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2E277D" w14:textId="77777777" w:rsidR="00F00550" w:rsidRPr="00961A89" w:rsidRDefault="00F00550" w:rsidP="00F00550">
      <w:pPr>
        <w:pStyle w:val="Heading1"/>
        <w:jc w:val="center"/>
        <w:rPr>
          <w:rFonts w:ascii="Calibri" w:hAnsi="Calibri" w:cs="Calibri"/>
          <w:b/>
          <w:bCs/>
          <w:sz w:val="48"/>
          <w:szCs w:val="48"/>
          <w:u w:val="single"/>
          <w:lang w:val="en-US"/>
        </w:rPr>
      </w:pPr>
      <w:bookmarkStart w:id="0" w:name="_Toc223653120"/>
      <w:bookmarkStart w:id="1" w:name="_Toc225502290"/>
      <w:bookmarkStart w:id="2" w:name="_Toc226375051"/>
      <w:bookmarkStart w:id="3" w:name="_Toc226635558"/>
      <w:r w:rsidRPr="001D3B85">
        <w:rPr>
          <w:rFonts w:ascii="Calibri" w:hAnsi="Calibri" w:cs="Calibri"/>
          <w:b/>
          <w:bCs/>
          <w:sz w:val="44"/>
          <w:szCs w:val="44"/>
          <w:u w:val="single"/>
          <w:lang w:val="en-US"/>
        </w:rPr>
        <w:t>Title</w:t>
      </w:r>
      <w:bookmarkEnd w:id="0"/>
      <w:bookmarkEnd w:id="1"/>
      <w:bookmarkEnd w:id="2"/>
      <w:bookmarkEnd w:id="3"/>
    </w:p>
    <w:p w14:paraId="62ADA6B2" w14:textId="77777777" w:rsidR="00F00550" w:rsidRPr="00961A89" w:rsidRDefault="00F00550" w:rsidP="00F00550">
      <w:pPr>
        <w:ind w:left="360"/>
        <w:jc w:val="center"/>
        <w:rPr>
          <w:rFonts w:cs="Calibri"/>
        </w:rPr>
      </w:pPr>
      <w:r w:rsidRPr="00961A89">
        <w:rPr>
          <w:rFonts w:cs="Calibri"/>
          <w:b/>
          <w:bCs/>
          <w:lang w:val="en-US"/>
        </w:rPr>
        <w:t>Student Name:</w:t>
      </w:r>
      <w:r w:rsidRPr="00961A89">
        <w:rPr>
          <w:rFonts w:cs="Calibri"/>
          <w:lang w:val="en-US"/>
        </w:rPr>
        <w:t xml:space="preserve"> Jervis Alexis Payne</w:t>
      </w:r>
    </w:p>
    <w:p w14:paraId="3AE0F506" w14:textId="77777777" w:rsidR="00F00550" w:rsidRPr="00961A89" w:rsidRDefault="00F00550" w:rsidP="00F00550">
      <w:pPr>
        <w:ind w:left="360"/>
        <w:jc w:val="center"/>
        <w:rPr>
          <w:rFonts w:cs="Calibri"/>
        </w:rPr>
      </w:pPr>
      <w:r w:rsidRPr="00961A89">
        <w:rPr>
          <w:rFonts w:cs="Calibri"/>
          <w:b/>
          <w:bCs/>
          <w:lang w:val="en-US"/>
        </w:rPr>
        <w:t>Student Number:</w:t>
      </w:r>
      <w:r w:rsidRPr="00961A89">
        <w:rPr>
          <w:rFonts w:cs="Calibri"/>
          <w:lang w:val="en-US"/>
        </w:rPr>
        <w:t xml:space="preserve"> 2127853</w:t>
      </w:r>
    </w:p>
    <w:p w14:paraId="6324BDDF" w14:textId="77777777" w:rsidR="00F00550" w:rsidRPr="00961A89" w:rsidRDefault="00F00550" w:rsidP="00F00550">
      <w:pPr>
        <w:ind w:left="360"/>
        <w:jc w:val="center"/>
        <w:rPr>
          <w:rFonts w:cs="Calibri"/>
        </w:rPr>
      </w:pPr>
      <w:r w:rsidRPr="00961A89">
        <w:rPr>
          <w:rFonts w:cs="Calibri"/>
          <w:b/>
          <w:bCs/>
          <w:lang w:val="en-US"/>
        </w:rPr>
        <w:t>Course Name:</w:t>
      </w:r>
      <w:r w:rsidRPr="00961A89">
        <w:rPr>
          <w:rFonts w:cs="Calibri"/>
          <w:lang w:val="en-US"/>
        </w:rPr>
        <w:t xml:space="preserve"> MSc Data and AI</w:t>
      </w:r>
    </w:p>
    <w:p w14:paraId="1394F3EC" w14:textId="18B8572E" w:rsidR="00F00550" w:rsidRPr="00961A89" w:rsidRDefault="00F00550" w:rsidP="00F00550">
      <w:pPr>
        <w:ind w:left="360"/>
        <w:jc w:val="center"/>
        <w:rPr>
          <w:rFonts w:cs="Calibri"/>
        </w:rPr>
      </w:pPr>
      <w:r w:rsidRPr="00961A89">
        <w:rPr>
          <w:rFonts w:cs="Calibri"/>
          <w:b/>
          <w:bCs/>
          <w:lang w:val="en-US"/>
        </w:rPr>
        <w:t xml:space="preserve">Module Name: </w:t>
      </w:r>
      <w:r w:rsidRPr="00F00550">
        <w:rPr>
          <w:rFonts w:cs="Calibri"/>
          <w:lang w:val="en-US"/>
        </w:rPr>
        <w:t>Data Security, Governance and Compliance</w:t>
      </w:r>
    </w:p>
    <w:p w14:paraId="545E6B64" w14:textId="4412A61A" w:rsidR="00F00550" w:rsidRPr="00961A89" w:rsidRDefault="00F00550" w:rsidP="00F00550">
      <w:pPr>
        <w:ind w:left="360"/>
        <w:jc w:val="center"/>
        <w:rPr>
          <w:rFonts w:cs="Calibri"/>
        </w:rPr>
      </w:pPr>
      <w:r w:rsidRPr="00961A89">
        <w:rPr>
          <w:rFonts w:cs="Calibri"/>
          <w:b/>
          <w:bCs/>
          <w:lang w:val="en-US"/>
        </w:rPr>
        <w:t>Module Code:</w:t>
      </w:r>
      <w:r w:rsidRPr="00961A89">
        <w:rPr>
          <w:rFonts w:cs="Calibri"/>
        </w:rPr>
        <w:t xml:space="preserve"> </w:t>
      </w:r>
      <w:r w:rsidRPr="00961A89">
        <w:rPr>
          <w:rFonts w:cs="Calibri"/>
          <w:lang w:val="en-US"/>
        </w:rPr>
        <w:t>ACCA702</w:t>
      </w:r>
      <w:r>
        <w:rPr>
          <w:rFonts w:cs="Calibri"/>
          <w:lang w:val="en-US"/>
        </w:rPr>
        <w:t>8</w:t>
      </w:r>
    </w:p>
    <w:p w14:paraId="454AC02E" w14:textId="6079A6FE" w:rsidR="00F00550" w:rsidRDefault="00F00550" w:rsidP="00F00550">
      <w:pPr>
        <w:ind w:left="360"/>
        <w:jc w:val="center"/>
        <w:rPr>
          <w:rFonts w:cs="Calibri"/>
          <w:bCs/>
        </w:rPr>
      </w:pPr>
      <w:r w:rsidRPr="00961A89">
        <w:rPr>
          <w:rFonts w:cs="Calibri"/>
          <w:b/>
          <w:bCs/>
          <w:lang w:val="en-US"/>
        </w:rPr>
        <w:t>Assignment Title:</w:t>
      </w:r>
      <w:r w:rsidRPr="00961A89">
        <w:rPr>
          <w:rFonts w:cs="Calibri"/>
          <w:lang w:val="en-US"/>
        </w:rPr>
        <w:t xml:space="preserve"> </w:t>
      </w:r>
      <w:r w:rsidRPr="00F00550">
        <w:rPr>
          <w:rFonts w:cs="Calibri"/>
          <w:bCs/>
        </w:rPr>
        <w:t xml:space="preserve">Apply the principles and practices of Data </w:t>
      </w:r>
      <w:r>
        <w:rPr>
          <w:rFonts w:cs="Calibri"/>
          <w:bCs/>
        </w:rPr>
        <w:t>Security</w:t>
      </w:r>
      <w:r w:rsidRPr="00F00550">
        <w:rPr>
          <w:rFonts w:cs="Calibri"/>
          <w:bCs/>
        </w:rPr>
        <w:t>, Governance and Compliance.</w:t>
      </w:r>
    </w:p>
    <w:p w14:paraId="5FBB9148" w14:textId="0AA4F8DB" w:rsidR="00F00550" w:rsidRDefault="00F00550" w:rsidP="00F00550">
      <w:pPr>
        <w:ind w:left="360"/>
        <w:jc w:val="center"/>
        <w:rPr>
          <w:rFonts w:cs="Calibri"/>
          <w:lang w:val="en-US"/>
        </w:rPr>
      </w:pPr>
      <w:r w:rsidRPr="00961A89">
        <w:rPr>
          <w:rFonts w:cs="Calibri"/>
          <w:b/>
          <w:bCs/>
          <w:lang w:val="en-US"/>
        </w:rPr>
        <w:t>Submission Date:</w:t>
      </w:r>
      <w:r w:rsidRPr="00961A89">
        <w:rPr>
          <w:rFonts w:cs="Calibri"/>
          <w:lang w:val="en-US"/>
        </w:rPr>
        <w:t xml:space="preserve"> </w:t>
      </w:r>
      <w:r w:rsidRPr="00F00550">
        <w:rPr>
          <w:rFonts w:cs="Calibri"/>
          <w:lang w:val="en-US"/>
        </w:rPr>
        <w:t>Thursday, 2 April 2026</w:t>
      </w:r>
      <w:r>
        <w:rPr>
          <w:rFonts w:cs="Calibri"/>
          <w:lang w:val="en-US"/>
        </w:rPr>
        <w:t xml:space="preserve"> </w:t>
      </w:r>
      <w:r w:rsidRPr="00961A89">
        <w:rPr>
          <w:rFonts w:cs="Calibri"/>
          <w:lang w:val="en-US"/>
        </w:rPr>
        <w:t xml:space="preserve">14:00 </w:t>
      </w:r>
    </w:p>
    <w:p w14:paraId="74FE3C74" w14:textId="77777777" w:rsidR="00C131FF" w:rsidRDefault="00C131FF"/>
    <w:p w14:paraId="6BE5A913" w14:textId="77777777" w:rsidR="00F00550" w:rsidRDefault="00F00550"/>
    <w:p w14:paraId="25F165A0" w14:textId="77777777" w:rsidR="00F00550" w:rsidRDefault="00F00550"/>
    <w:p w14:paraId="4B59F0C6" w14:textId="77777777" w:rsidR="00F00550" w:rsidRDefault="00F00550"/>
    <w:p w14:paraId="69CBF0DD" w14:textId="77777777" w:rsidR="00F00550" w:rsidRDefault="00F00550"/>
    <w:p w14:paraId="03DD8C02" w14:textId="77777777" w:rsidR="00F00550" w:rsidRDefault="00F00550"/>
    <w:p w14:paraId="6C69CE0C" w14:textId="77777777" w:rsidR="00F00550" w:rsidRDefault="00F00550"/>
    <w:p w14:paraId="0FC26256" w14:textId="77777777" w:rsidR="00F00550" w:rsidRDefault="00F00550"/>
    <w:p w14:paraId="40B668BF" w14:textId="77777777" w:rsidR="00F00550" w:rsidRDefault="00F00550"/>
    <w:p w14:paraId="345571A6" w14:textId="77777777" w:rsidR="00F00550" w:rsidRDefault="00F00550"/>
    <w:p w14:paraId="07C0F7D7" w14:textId="77777777" w:rsidR="00F00550" w:rsidRDefault="00F00550"/>
    <w:p w14:paraId="790E6C80" w14:textId="77777777" w:rsidR="00F00550" w:rsidRDefault="00F00550"/>
    <w:p w14:paraId="7FE40DEE" w14:textId="77777777" w:rsidR="00F00550" w:rsidRDefault="00F00550"/>
    <w:p w14:paraId="2D0281C0" w14:textId="77777777" w:rsidR="00F00550" w:rsidRDefault="00F00550"/>
    <w:p w14:paraId="11B530B5" w14:textId="77777777" w:rsidR="00F00550" w:rsidRDefault="00F00550"/>
    <w:p w14:paraId="616913E0" w14:textId="77777777" w:rsidR="00F00550" w:rsidRDefault="00F00550"/>
    <w:p w14:paraId="1BCAC91A" w14:textId="77777777" w:rsidR="00F00550" w:rsidRDefault="00F00550"/>
    <w:p w14:paraId="67C2E8A0" w14:textId="77777777" w:rsidR="00F00550" w:rsidRDefault="00F00550"/>
    <w:p w14:paraId="6947E9F2" w14:textId="77777777" w:rsidR="00F00550" w:rsidRDefault="00F00550"/>
    <w:p w14:paraId="60485B13" w14:textId="77777777" w:rsidR="00F00550" w:rsidRDefault="00F00550"/>
    <w:p w14:paraId="2E165E63" w14:textId="77777777" w:rsidR="00F00550" w:rsidRDefault="00F00550"/>
    <w:bookmarkStart w:id="4" w:name="_Toc226635559" w:displacedByCustomXml="next"/>
    <w:sdt>
      <w:sdtPr>
        <w:rPr>
          <w:rFonts w:ascii="Calibri" w:eastAsiaTheme="minorHAnsi" w:hAnsi="Calibri" w:cs="Calibri"/>
          <w:b/>
          <w:bCs/>
          <w:color w:val="auto"/>
          <w:sz w:val="44"/>
          <w:szCs w:val="44"/>
          <w:u w:val="single"/>
        </w:rPr>
        <w:id w:val="-1201169745"/>
        <w:docPartObj>
          <w:docPartGallery w:val="Table of Contents"/>
          <w:docPartUnique/>
        </w:docPartObj>
      </w:sdtPr>
      <w:sdtEndPr>
        <w:rPr>
          <w:rFonts w:cstheme="minorBidi"/>
          <w:noProof/>
          <w:sz w:val="22"/>
          <w:szCs w:val="22"/>
          <w:u w:val="none"/>
        </w:rPr>
      </w:sdtEndPr>
      <w:sdtContent>
        <w:p w14:paraId="6589B32E" w14:textId="656DF9D3" w:rsidR="000C0E85" w:rsidRPr="000C0E85" w:rsidRDefault="000C0E85" w:rsidP="000C0E85">
          <w:pPr>
            <w:pStyle w:val="Heading1"/>
            <w:jc w:val="center"/>
            <w:rPr>
              <w:rFonts w:ascii="Calibri" w:hAnsi="Calibri" w:cs="Calibri"/>
              <w:b/>
              <w:bCs/>
              <w:sz w:val="44"/>
              <w:szCs w:val="44"/>
              <w:u w:val="single"/>
            </w:rPr>
          </w:pPr>
          <w:r w:rsidRPr="000C0E85">
            <w:rPr>
              <w:rFonts w:ascii="Calibri" w:hAnsi="Calibri" w:cs="Calibri"/>
              <w:b/>
              <w:bCs/>
              <w:sz w:val="44"/>
              <w:szCs w:val="44"/>
              <w:u w:val="single"/>
            </w:rPr>
            <w:t>Table of Contents</w:t>
          </w:r>
          <w:bookmarkEnd w:id="4"/>
        </w:p>
        <w:p w14:paraId="444D4F32" w14:textId="23AC54A0" w:rsidR="009F0616" w:rsidRDefault="000C0E85">
          <w:pPr>
            <w:pStyle w:val="TOC1"/>
            <w:tabs>
              <w:tab w:val="right" w:leader="dot" w:pos="9016"/>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226635558" w:history="1">
            <w:r w:rsidR="009F0616" w:rsidRPr="0019051C">
              <w:rPr>
                <w:rStyle w:val="Hyperlink"/>
                <w:rFonts w:cs="Calibri"/>
                <w:b/>
                <w:bCs/>
                <w:noProof/>
                <w:lang w:val="en-US"/>
              </w:rPr>
              <w:t>Title</w:t>
            </w:r>
            <w:r w:rsidR="009F0616">
              <w:rPr>
                <w:noProof/>
                <w:webHidden/>
              </w:rPr>
              <w:tab/>
            </w:r>
            <w:r w:rsidR="009F0616">
              <w:rPr>
                <w:noProof/>
                <w:webHidden/>
              </w:rPr>
              <w:fldChar w:fldCharType="begin"/>
            </w:r>
            <w:r w:rsidR="009F0616">
              <w:rPr>
                <w:noProof/>
                <w:webHidden/>
              </w:rPr>
              <w:instrText xml:space="preserve"> PAGEREF _Toc226635558 \h </w:instrText>
            </w:r>
            <w:r w:rsidR="009F0616">
              <w:rPr>
                <w:noProof/>
                <w:webHidden/>
              </w:rPr>
            </w:r>
            <w:r w:rsidR="009F0616">
              <w:rPr>
                <w:noProof/>
                <w:webHidden/>
              </w:rPr>
              <w:fldChar w:fldCharType="separate"/>
            </w:r>
            <w:r w:rsidR="009F0616">
              <w:rPr>
                <w:noProof/>
                <w:webHidden/>
              </w:rPr>
              <w:t>1</w:t>
            </w:r>
            <w:r w:rsidR="009F0616">
              <w:rPr>
                <w:noProof/>
                <w:webHidden/>
              </w:rPr>
              <w:fldChar w:fldCharType="end"/>
            </w:r>
          </w:hyperlink>
        </w:p>
        <w:p w14:paraId="64E3FBB7" w14:textId="56141D77" w:rsidR="009F0616" w:rsidRDefault="009F0616">
          <w:pPr>
            <w:pStyle w:val="TOC1"/>
            <w:tabs>
              <w:tab w:val="right" w:leader="dot" w:pos="9016"/>
            </w:tabs>
            <w:rPr>
              <w:rFonts w:asciiTheme="minorHAnsi" w:eastAsiaTheme="minorEastAsia" w:hAnsiTheme="minorHAnsi"/>
              <w:noProof/>
              <w:sz w:val="24"/>
              <w:szCs w:val="24"/>
              <w:lang w:eastAsia="en-GB"/>
            </w:rPr>
          </w:pPr>
          <w:hyperlink w:anchor="_Toc226635559" w:history="1">
            <w:r w:rsidRPr="0019051C">
              <w:rPr>
                <w:rStyle w:val="Hyperlink"/>
                <w:rFonts w:cs="Calibri"/>
                <w:b/>
                <w:bCs/>
                <w:noProof/>
              </w:rPr>
              <w:t>Table of Contents</w:t>
            </w:r>
            <w:r>
              <w:rPr>
                <w:noProof/>
                <w:webHidden/>
              </w:rPr>
              <w:tab/>
            </w:r>
            <w:r>
              <w:rPr>
                <w:noProof/>
                <w:webHidden/>
              </w:rPr>
              <w:fldChar w:fldCharType="begin"/>
            </w:r>
            <w:r>
              <w:rPr>
                <w:noProof/>
                <w:webHidden/>
              </w:rPr>
              <w:instrText xml:space="preserve"> PAGEREF _Toc226635559 \h </w:instrText>
            </w:r>
            <w:r>
              <w:rPr>
                <w:noProof/>
                <w:webHidden/>
              </w:rPr>
            </w:r>
            <w:r>
              <w:rPr>
                <w:noProof/>
                <w:webHidden/>
              </w:rPr>
              <w:fldChar w:fldCharType="separate"/>
            </w:r>
            <w:r>
              <w:rPr>
                <w:noProof/>
                <w:webHidden/>
              </w:rPr>
              <w:t>2</w:t>
            </w:r>
            <w:r>
              <w:rPr>
                <w:noProof/>
                <w:webHidden/>
              </w:rPr>
              <w:fldChar w:fldCharType="end"/>
            </w:r>
          </w:hyperlink>
        </w:p>
        <w:p w14:paraId="193C916C" w14:textId="147446F3" w:rsidR="009F0616" w:rsidRDefault="009F0616">
          <w:pPr>
            <w:pStyle w:val="TOC1"/>
            <w:tabs>
              <w:tab w:val="right" w:leader="dot" w:pos="9016"/>
            </w:tabs>
            <w:rPr>
              <w:rFonts w:asciiTheme="minorHAnsi" w:eastAsiaTheme="minorEastAsia" w:hAnsiTheme="minorHAnsi"/>
              <w:noProof/>
              <w:sz w:val="24"/>
              <w:szCs w:val="24"/>
              <w:lang w:eastAsia="en-GB"/>
            </w:rPr>
          </w:pPr>
          <w:hyperlink w:anchor="_Toc226635560" w:history="1">
            <w:r w:rsidRPr="0019051C">
              <w:rPr>
                <w:rStyle w:val="Hyperlink"/>
                <w:rFonts w:cs="Calibri"/>
                <w:b/>
                <w:bCs/>
                <w:noProof/>
              </w:rPr>
              <w:t>List of Figures</w:t>
            </w:r>
            <w:r>
              <w:rPr>
                <w:noProof/>
                <w:webHidden/>
              </w:rPr>
              <w:tab/>
            </w:r>
            <w:r>
              <w:rPr>
                <w:noProof/>
                <w:webHidden/>
              </w:rPr>
              <w:fldChar w:fldCharType="begin"/>
            </w:r>
            <w:r>
              <w:rPr>
                <w:noProof/>
                <w:webHidden/>
              </w:rPr>
              <w:instrText xml:space="preserve"> PAGEREF _Toc226635560 \h </w:instrText>
            </w:r>
            <w:r>
              <w:rPr>
                <w:noProof/>
                <w:webHidden/>
              </w:rPr>
            </w:r>
            <w:r>
              <w:rPr>
                <w:noProof/>
                <w:webHidden/>
              </w:rPr>
              <w:fldChar w:fldCharType="separate"/>
            </w:r>
            <w:r>
              <w:rPr>
                <w:noProof/>
                <w:webHidden/>
              </w:rPr>
              <w:t>3</w:t>
            </w:r>
            <w:r>
              <w:rPr>
                <w:noProof/>
                <w:webHidden/>
              </w:rPr>
              <w:fldChar w:fldCharType="end"/>
            </w:r>
          </w:hyperlink>
        </w:p>
        <w:p w14:paraId="43A38BF7" w14:textId="66BB631F" w:rsidR="009F0616" w:rsidRDefault="009F0616">
          <w:pPr>
            <w:pStyle w:val="TOC1"/>
            <w:tabs>
              <w:tab w:val="right" w:leader="dot" w:pos="9016"/>
            </w:tabs>
            <w:rPr>
              <w:rFonts w:asciiTheme="minorHAnsi" w:eastAsiaTheme="minorEastAsia" w:hAnsiTheme="minorHAnsi"/>
              <w:noProof/>
              <w:sz w:val="24"/>
              <w:szCs w:val="24"/>
              <w:lang w:eastAsia="en-GB"/>
            </w:rPr>
          </w:pPr>
          <w:hyperlink w:anchor="_Toc226635561" w:history="1">
            <w:r w:rsidRPr="0019051C">
              <w:rPr>
                <w:rStyle w:val="Hyperlink"/>
                <w:rFonts w:cs="Calibri"/>
                <w:b/>
                <w:bCs/>
                <w:noProof/>
              </w:rPr>
              <w:t>List of Tables</w:t>
            </w:r>
            <w:r>
              <w:rPr>
                <w:noProof/>
                <w:webHidden/>
              </w:rPr>
              <w:tab/>
            </w:r>
            <w:r>
              <w:rPr>
                <w:noProof/>
                <w:webHidden/>
              </w:rPr>
              <w:fldChar w:fldCharType="begin"/>
            </w:r>
            <w:r>
              <w:rPr>
                <w:noProof/>
                <w:webHidden/>
              </w:rPr>
              <w:instrText xml:space="preserve"> PAGEREF _Toc226635561 \h </w:instrText>
            </w:r>
            <w:r>
              <w:rPr>
                <w:noProof/>
                <w:webHidden/>
              </w:rPr>
            </w:r>
            <w:r>
              <w:rPr>
                <w:noProof/>
                <w:webHidden/>
              </w:rPr>
              <w:fldChar w:fldCharType="separate"/>
            </w:r>
            <w:r>
              <w:rPr>
                <w:noProof/>
                <w:webHidden/>
              </w:rPr>
              <w:t>3</w:t>
            </w:r>
            <w:r>
              <w:rPr>
                <w:noProof/>
                <w:webHidden/>
              </w:rPr>
              <w:fldChar w:fldCharType="end"/>
            </w:r>
          </w:hyperlink>
        </w:p>
        <w:p w14:paraId="743D5141" w14:textId="68F0646F" w:rsidR="009F0616" w:rsidRDefault="009F0616">
          <w:pPr>
            <w:pStyle w:val="TOC1"/>
            <w:tabs>
              <w:tab w:val="left" w:pos="480"/>
              <w:tab w:val="right" w:leader="dot" w:pos="9016"/>
            </w:tabs>
            <w:rPr>
              <w:rFonts w:asciiTheme="minorHAnsi" w:eastAsiaTheme="minorEastAsia" w:hAnsiTheme="minorHAnsi"/>
              <w:noProof/>
              <w:sz w:val="24"/>
              <w:szCs w:val="24"/>
              <w:lang w:eastAsia="en-GB"/>
            </w:rPr>
          </w:pPr>
          <w:hyperlink w:anchor="_Toc226635562" w:history="1">
            <w:r w:rsidRPr="0019051C">
              <w:rPr>
                <w:rStyle w:val="Hyperlink"/>
                <w:rFonts w:cs="Calibri"/>
                <w:b/>
                <w:bCs/>
                <w:noProof/>
              </w:rPr>
              <w:t>1.</w:t>
            </w:r>
            <w:r>
              <w:rPr>
                <w:rFonts w:asciiTheme="minorHAnsi" w:eastAsiaTheme="minorEastAsia" w:hAnsiTheme="minorHAnsi"/>
                <w:noProof/>
                <w:sz w:val="24"/>
                <w:szCs w:val="24"/>
                <w:lang w:eastAsia="en-GB"/>
              </w:rPr>
              <w:tab/>
            </w:r>
            <w:r w:rsidRPr="0019051C">
              <w:rPr>
                <w:rStyle w:val="Hyperlink"/>
                <w:rFonts w:cs="Calibri"/>
                <w:b/>
                <w:bCs/>
                <w:noProof/>
              </w:rPr>
              <w:t>Abstract</w:t>
            </w:r>
            <w:r>
              <w:rPr>
                <w:noProof/>
                <w:webHidden/>
              </w:rPr>
              <w:tab/>
            </w:r>
            <w:r>
              <w:rPr>
                <w:noProof/>
                <w:webHidden/>
              </w:rPr>
              <w:fldChar w:fldCharType="begin"/>
            </w:r>
            <w:r>
              <w:rPr>
                <w:noProof/>
                <w:webHidden/>
              </w:rPr>
              <w:instrText xml:space="preserve"> PAGEREF _Toc226635562 \h </w:instrText>
            </w:r>
            <w:r>
              <w:rPr>
                <w:noProof/>
                <w:webHidden/>
              </w:rPr>
            </w:r>
            <w:r>
              <w:rPr>
                <w:noProof/>
                <w:webHidden/>
              </w:rPr>
              <w:fldChar w:fldCharType="separate"/>
            </w:r>
            <w:r>
              <w:rPr>
                <w:noProof/>
                <w:webHidden/>
              </w:rPr>
              <w:t>4</w:t>
            </w:r>
            <w:r>
              <w:rPr>
                <w:noProof/>
                <w:webHidden/>
              </w:rPr>
              <w:fldChar w:fldCharType="end"/>
            </w:r>
          </w:hyperlink>
        </w:p>
        <w:p w14:paraId="6F63123D" w14:textId="50844444" w:rsidR="009F0616" w:rsidRDefault="009F0616">
          <w:pPr>
            <w:pStyle w:val="TOC1"/>
            <w:tabs>
              <w:tab w:val="left" w:pos="480"/>
              <w:tab w:val="right" w:leader="dot" w:pos="9016"/>
            </w:tabs>
            <w:rPr>
              <w:rFonts w:asciiTheme="minorHAnsi" w:eastAsiaTheme="minorEastAsia" w:hAnsiTheme="minorHAnsi"/>
              <w:noProof/>
              <w:sz w:val="24"/>
              <w:szCs w:val="24"/>
              <w:lang w:eastAsia="en-GB"/>
            </w:rPr>
          </w:pPr>
          <w:hyperlink w:anchor="_Toc226635563" w:history="1">
            <w:r w:rsidRPr="0019051C">
              <w:rPr>
                <w:rStyle w:val="Hyperlink"/>
                <w:rFonts w:cs="Calibri"/>
                <w:b/>
                <w:bCs/>
                <w:noProof/>
              </w:rPr>
              <w:t>2.</w:t>
            </w:r>
            <w:r>
              <w:rPr>
                <w:rFonts w:asciiTheme="minorHAnsi" w:eastAsiaTheme="minorEastAsia" w:hAnsiTheme="minorHAnsi"/>
                <w:noProof/>
                <w:sz w:val="24"/>
                <w:szCs w:val="24"/>
                <w:lang w:eastAsia="en-GB"/>
              </w:rPr>
              <w:tab/>
            </w:r>
            <w:r w:rsidRPr="0019051C">
              <w:rPr>
                <w:rStyle w:val="Hyperlink"/>
                <w:rFonts w:cs="Calibri"/>
                <w:b/>
                <w:bCs/>
                <w:noProof/>
              </w:rPr>
              <w:t>Introduction</w:t>
            </w:r>
            <w:r>
              <w:rPr>
                <w:noProof/>
                <w:webHidden/>
              </w:rPr>
              <w:tab/>
            </w:r>
            <w:r>
              <w:rPr>
                <w:noProof/>
                <w:webHidden/>
              </w:rPr>
              <w:fldChar w:fldCharType="begin"/>
            </w:r>
            <w:r>
              <w:rPr>
                <w:noProof/>
                <w:webHidden/>
              </w:rPr>
              <w:instrText xml:space="preserve"> PAGEREF _Toc226635563 \h </w:instrText>
            </w:r>
            <w:r>
              <w:rPr>
                <w:noProof/>
                <w:webHidden/>
              </w:rPr>
            </w:r>
            <w:r>
              <w:rPr>
                <w:noProof/>
                <w:webHidden/>
              </w:rPr>
              <w:fldChar w:fldCharType="separate"/>
            </w:r>
            <w:r>
              <w:rPr>
                <w:noProof/>
                <w:webHidden/>
              </w:rPr>
              <w:t>4</w:t>
            </w:r>
            <w:r>
              <w:rPr>
                <w:noProof/>
                <w:webHidden/>
              </w:rPr>
              <w:fldChar w:fldCharType="end"/>
            </w:r>
          </w:hyperlink>
        </w:p>
        <w:p w14:paraId="46BF9017" w14:textId="76D61A01" w:rsidR="009F0616" w:rsidRDefault="009F0616">
          <w:pPr>
            <w:pStyle w:val="TOC1"/>
            <w:tabs>
              <w:tab w:val="left" w:pos="480"/>
              <w:tab w:val="right" w:leader="dot" w:pos="9016"/>
            </w:tabs>
            <w:rPr>
              <w:rFonts w:asciiTheme="minorHAnsi" w:eastAsiaTheme="minorEastAsia" w:hAnsiTheme="minorHAnsi"/>
              <w:noProof/>
              <w:sz w:val="24"/>
              <w:szCs w:val="24"/>
              <w:lang w:eastAsia="en-GB"/>
            </w:rPr>
          </w:pPr>
          <w:hyperlink w:anchor="_Toc226635564" w:history="1">
            <w:r w:rsidRPr="0019051C">
              <w:rPr>
                <w:rStyle w:val="Hyperlink"/>
                <w:rFonts w:cs="Calibri"/>
                <w:b/>
                <w:bCs/>
                <w:noProof/>
              </w:rPr>
              <w:t>3.</w:t>
            </w:r>
            <w:r>
              <w:rPr>
                <w:rFonts w:asciiTheme="minorHAnsi" w:eastAsiaTheme="minorEastAsia" w:hAnsiTheme="minorHAnsi"/>
                <w:noProof/>
                <w:sz w:val="24"/>
                <w:szCs w:val="24"/>
                <w:lang w:eastAsia="en-GB"/>
              </w:rPr>
              <w:tab/>
            </w:r>
            <w:r w:rsidRPr="0019051C">
              <w:rPr>
                <w:rStyle w:val="Hyperlink"/>
                <w:rFonts w:cs="Calibri"/>
                <w:b/>
                <w:bCs/>
                <w:noProof/>
              </w:rPr>
              <w:t>Methodology and Assumptions</w:t>
            </w:r>
            <w:r>
              <w:rPr>
                <w:noProof/>
                <w:webHidden/>
              </w:rPr>
              <w:tab/>
            </w:r>
            <w:r>
              <w:rPr>
                <w:noProof/>
                <w:webHidden/>
              </w:rPr>
              <w:fldChar w:fldCharType="begin"/>
            </w:r>
            <w:r>
              <w:rPr>
                <w:noProof/>
                <w:webHidden/>
              </w:rPr>
              <w:instrText xml:space="preserve"> PAGEREF _Toc226635564 \h </w:instrText>
            </w:r>
            <w:r>
              <w:rPr>
                <w:noProof/>
                <w:webHidden/>
              </w:rPr>
            </w:r>
            <w:r>
              <w:rPr>
                <w:noProof/>
                <w:webHidden/>
              </w:rPr>
              <w:fldChar w:fldCharType="separate"/>
            </w:r>
            <w:r>
              <w:rPr>
                <w:noProof/>
                <w:webHidden/>
              </w:rPr>
              <w:t>4</w:t>
            </w:r>
            <w:r>
              <w:rPr>
                <w:noProof/>
                <w:webHidden/>
              </w:rPr>
              <w:fldChar w:fldCharType="end"/>
            </w:r>
          </w:hyperlink>
        </w:p>
        <w:p w14:paraId="3E07ABC8" w14:textId="24E2E691" w:rsidR="009F0616" w:rsidRDefault="009F0616">
          <w:pPr>
            <w:pStyle w:val="TOC2"/>
            <w:tabs>
              <w:tab w:val="left" w:pos="960"/>
              <w:tab w:val="right" w:leader="dot" w:pos="9016"/>
            </w:tabs>
            <w:rPr>
              <w:rFonts w:asciiTheme="minorHAnsi" w:eastAsiaTheme="minorEastAsia" w:hAnsiTheme="minorHAnsi"/>
              <w:noProof/>
              <w:sz w:val="24"/>
              <w:szCs w:val="24"/>
              <w:lang w:eastAsia="en-GB"/>
            </w:rPr>
          </w:pPr>
          <w:hyperlink w:anchor="_Toc226635565" w:history="1">
            <w:r w:rsidRPr="0019051C">
              <w:rPr>
                <w:rStyle w:val="Hyperlink"/>
                <w:rFonts w:cs="Calibri"/>
                <w:b/>
                <w:bCs/>
                <w:noProof/>
              </w:rPr>
              <w:t>3.1</w:t>
            </w:r>
            <w:r>
              <w:rPr>
                <w:rFonts w:asciiTheme="minorHAnsi" w:eastAsiaTheme="minorEastAsia" w:hAnsiTheme="minorHAnsi"/>
                <w:noProof/>
                <w:sz w:val="24"/>
                <w:szCs w:val="24"/>
                <w:lang w:eastAsia="en-GB"/>
              </w:rPr>
              <w:tab/>
            </w:r>
            <w:r w:rsidRPr="0019051C">
              <w:rPr>
                <w:rStyle w:val="Hyperlink"/>
                <w:rFonts w:cs="Calibri"/>
                <w:b/>
                <w:bCs/>
                <w:noProof/>
              </w:rPr>
              <w:t>Method</w:t>
            </w:r>
            <w:r>
              <w:rPr>
                <w:noProof/>
                <w:webHidden/>
              </w:rPr>
              <w:tab/>
            </w:r>
            <w:r>
              <w:rPr>
                <w:noProof/>
                <w:webHidden/>
              </w:rPr>
              <w:fldChar w:fldCharType="begin"/>
            </w:r>
            <w:r>
              <w:rPr>
                <w:noProof/>
                <w:webHidden/>
              </w:rPr>
              <w:instrText xml:space="preserve"> PAGEREF _Toc226635565 \h </w:instrText>
            </w:r>
            <w:r>
              <w:rPr>
                <w:noProof/>
                <w:webHidden/>
              </w:rPr>
            </w:r>
            <w:r>
              <w:rPr>
                <w:noProof/>
                <w:webHidden/>
              </w:rPr>
              <w:fldChar w:fldCharType="separate"/>
            </w:r>
            <w:r>
              <w:rPr>
                <w:noProof/>
                <w:webHidden/>
              </w:rPr>
              <w:t>4</w:t>
            </w:r>
            <w:r>
              <w:rPr>
                <w:noProof/>
                <w:webHidden/>
              </w:rPr>
              <w:fldChar w:fldCharType="end"/>
            </w:r>
          </w:hyperlink>
        </w:p>
        <w:p w14:paraId="4755E0F0" w14:textId="29E832CB" w:rsidR="009F0616" w:rsidRDefault="009F0616">
          <w:pPr>
            <w:pStyle w:val="TOC2"/>
            <w:tabs>
              <w:tab w:val="left" w:pos="960"/>
              <w:tab w:val="right" w:leader="dot" w:pos="9016"/>
            </w:tabs>
            <w:rPr>
              <w:rFonts w:asciiTheme="minorHAnsi" w:eastAsiaTheme="minorEastAsia" w:hAnsiTheme="minorHAnsi"/>
              <w:noProof/>
              <w:sz w:val="24"/>
              <w:szCs w:val="24"/>
              <w:lang w:eastAsia="en-GB"/>
            </w:rPr>
          </w:pPr>
          <w:hyperlink w:anchor="_Toc226635566" w:history="1">
            <w:r w:rsidRPr="0019051C">
              <w:rPr>
                <w:rStyle w:val="Hyperlink"/>
                <w:rFonts w:cs="Calibri"/>
                <w:b/>
                <w:bCs/>
                <w:noProof/>
              </w:rPr>
              <w:t>3.2</w:t>
            </w:r>
            <w:r>
              <w:rPr>
                <w:rFonts w:asciiTheme="minorHAnsi" w:eastAsiaTheme="minorEastAsia" w:hAnsiTheme="minorHAnsi"/>
                <w:noProof/>
                <w:sz w:val="24"/>
                <w:szCs w:val="24"/>
                <w:lang w:eastAsia="en-GB"/>
              </w:rPr>
              <w:tab/>
            </w:r>
            <w:r w:rsidRPr="0019051C">
              <w:rPr>
                <w:rStyle w:val="Hyperlink"/>
                <w:rFonts w:cs="Calibri"/>
                <w:b/>
                <w:bCs/>
                <w:noProof/>
              </w:rPr>
              <w:t>Assumptions</w:t>
            </w:r>
            <w:r>
              <w:rPr>
                <w:noProof/>
                <w:webHidden/>
              </w:rPr>
              <w:tab/>
            </w:r>
            <w:r>
              <w:rPr>
                <w:noProof/>
                <w:webHidden/>
              </w:rPr>
              <w:fldChar w:fldCharType="begin"/>
            </w:r>
            <w:r>
              <w:rPr>
                <w:noProof/>
                <w:webHidden/>
              </w:rPr>
              <w:instrText xml:space="preserve"> PAGEREF _Toc226635566 \h </w:instrText>
            </w:r>
            <w:r>
              <w:rPr>
                <w:noProof/>
                <w:webHidden/>
              </w:rPr>
            </w:r>
            <w:r>
              <w:rPr>
                <w:noProof/>
                <w:webHidden/>
              </w:rPr>
              <w:fldChar w:fldCharType="separate"/>
            </w:r>
            <w:r>
              <w:rPr>
                <w:noProof/>
                <w:webHidden/>
              </w:rPr>
              <w:t>5</w:t>
            </w:r>
            <w:r>
              <w:rPr>
                <w:noProof/>
                <w:webHidden/>
              </w:rPr>
              <w:fldChar w:fldCharType="end"/>
            </w:r>
          </w:hyperlink>
        </w:p>
        <w:p w14:paraId="44A32364" w14:textId="079D8751" w:rsidR="009F0616" w:rsidRDefault="009F0616">
          <w:pPr>
            <w:pStyle w:val="TOC1"/>
            <w:tabs>
              <w:tab w:val="left" w:pos="480"/>
              <w:tab w:val="right" w:leader="dot" w:pos="9016"/>
            </w:tabs>
            <w:rPr>
              <w:rFonts w:asciiTheme="minorHAnsi" w:eastAsiaTheme="minorEastAsia" w:hAnsiTheme="minorHAnsi"/>
              <w:noProof/>
              <w:sz w:val="24"/>
              <w:szCs w:val="24"/>
              <w:lang w:eastAsia="en-GB"/>
            </w:rPr>
          </w:pPr>
          <w:hyperlink w:anchor="_Toc226635567" w:history="1">
            <w:r w:rsidRPr="0019051C">
              <w:rPr>
                <w:rStyle w:val="Hyperlink"/>
                <w:rFonts w:cs="Calibri"/>
                <w:b/>
                <w:bCs/>
                <w:noProof/>
              </w:rPr>
              <w:t>4</w:t>
            </w:r>
            <w:r>
              <w:rPr>
                <w:rFonts w:asciiTheme="minorHAnsi" w:eastAsiaTheme="minorEastAsia" w:hAnsiTheme="minorHAnsi"/>
                <w:noProof/>
                <w:sz w:val="24"/>
                <w:szCs w:val="24"/>
                <w:lang w:eastAsia="en-GB"/>
              </w:rPr>
              <w:tab/>
            </w:r>
            <w:r w:rsidRPr="0019051C">
              <w:rPr>
                <w:rStyle w:val="Hyperlink"/>
                <w:rFonts w:cs="Calibri"/>
                <w:b/>
                <w:bCs/>
                <w:noProof/>
              </w:rPr>
              <w:t>Literature Review</w:t>
            </w:r>
            <w:r>
              <w:rPr>
                <w:noProof/>
                <w:webHidden/>
              </w:rPr>
              <w:tab/>
            </w:r>
            <w:r>
              <w:rPr>
                <w:noProof/>
                <w:webHidden/>
              </w:rPr>
              <w:fldChar w:fldCharType="begin"/>
            </w:r>
            <w:r>
              <w:rPr>
                <w:noProof/>
                <w:webHidden/>
              </w:rPr>
              <w:instrText xml:space="preserve"> PAGEREF _Toc226635567 \h </w:instrText>
            </w:r>
            <w:r>
              <w:rPr>
                <w:noProof/>
                <w:webHidden/>
              </w:rPr>
            </w:r>
            <w:r>
              <w:rPr>
                <w:noProof/>
                <w:webHidden/>
              </w:rPr>
              <w:fldChar w:fldCharType="separate"/>
            </w:r>
            <w:r>
              <w:rPr>
                <w:noProof/>
                <w:webHidden/>
              </w:rPr>
              <w:t>5</w:t>
            </w:r>
            <w:r>
              <w:rPr>
                <w:noProof/>
                <w:webHidden/>
              </w:rPr>
              <w:fldChar w:fldCharType="end"/>
            </w:r>
          </w:hyperlink>
        </w:p>
        <w:p w14:paraId="419182C1" w14:textId="21EBDCC2" w:rsidR="009F0616" w:rsidRDefault="009F0616">
          <w:pPr>
            <w:pStyle w:val="TOC2"/>
            <w:tabs>
              <w:tab w:val="left" w:pos="960"/>
              <w:tab w:val="right" w:leader="dot" w:pos="9016"/>
            </w:tabs>
            <w:rPr>
              <w:rFonts w:asciiTheme="minorHAnsi" w:eastAsiaTheme="minorEastAsia" w:hAnsiTheme="minorHAnsi"/>
              <w:noProof/>
              <w:sz w:val="24"/>
              <w:szCs w:val="24"/>
              <w:lang w:eastAsia="en-GB"/>
            </w:rPr>
          </w:pPr>
          <w:hyperlink w:anchor="_Toc226635568" w:history="1">
            <w:r w:rsidRPr="0019051C">
              <w:rPr>
                <w:rStyle w:val="Hyperlink"/>
                <w:rFonts w:cs="Calibri"/>
                <w:b/>
                <w:bCs/>
                <w:noProof/>
              </w:rPr>
              <w:t>4.1</w:t>
            </w:r>
            <w:r>
              <w:rPr>
                <w:rFonts w:asciiTheme="minorHAnsi" w:eastAsiaTheme="minorEastAsia" w:hAnsiTheme="minorHAnsi"/>
                <w:noProof/>
                <w:sz w:val="24"/>
                <w:szCs w:val="24"/>
                <w:lang w:eastAsia="en-GB"/>
              </w:rPr>
              <w:tab/>
            </w:r>
            <w:r w:rsidRPr="0019051C">
              <w:rPr>
                <w:rStyle w:val="Hyperlink"/>
                <w:rFonts w:cs="Calibri"/>
                <w:b/>
                <w:bCs/>
                <w:noProof/>
              </w:rPr>
              <w:t>Governance and management structures (COBIT 2019 + ITIL 4)</w:t>
            </w:r>
            <w:r>
              <w:rPr>
                <w:noProof/>
                <w:webHidden/>
              </w:rPr>
              <w:tab/>
            </w:r>
            <w:r>
              <w:rPr>
                <w:noProof/>
                <w:webHidden/>
              </w:rPr>
              <w:fldChar w:fldCharType="begin"/>
            </w:r>
            <w:r>
              <w:rPr>
                <w:noProof/>
                <w:webHidden/>
              </w:rPr>
              <w:instrText xml:space="preserve"> PAGEREF _Toc226635568 \h </w:instrText>
            </w:r>
            <w:r>
              <w:rPr>
                <w:noProof/>
                <w:webHidden/>
              </w:rPr>
            </w:r>
            <w:r>
              <w:rPr>
                <w:noProof/>
                <w:webHidden/>
              </w:rPr>
              <w:fldChar w:fldCharType="separate"/>
            </w:r>
            <w:r>
              <w:rPr>
                <w:noProof/>
                <w:webHidden/>
              </w:rPr>
              <w:t>5</w:t>
            </w:r>
            <w:r>
              <w:rPr>
                <w:noProof/>
                <w:webHidden/>
              </w:rPr>
              <w:fldChar w:fldCharType="end"/>
            </w:r>
          </w:hyperlink>
        </w:p>
        <w:p w14:paraId="0651EE46" w14:textId="169BF3C5" w:rsidR="009F0616" w:rsidRDefault="009F0616">
          <w:pPr>
            <w:pStyle w:val="TOC2"/>
            <w:tabs>
              <w:tab w:val="left" w:pos="960"/>
              <w:tab w:val="right" w:leader="dot" w:pos="9016"/>
            </w:tabs>
            <w:rPr>
              <w:rFonts w:asciiTheme="minorHAnsi" w:eastAsiaTheme="minorEastAsia" w:hAnsiTheme="minorHAnsi"/>
              <w:noProof/>
              <w:sz w:val="24"/>
              <w:szCs w:val="24"/>
              <w:lang w:eastAsia="en-GB"/>
            </w:rPr>
          </w:pPr>
          <w:hyperlink w:anchor="_Toc226635569" w:history="1">
            <w:r w:rsidRPr="0019051C">
              <w:rPr>
                <w:rStyle w:val="Hyperlink"/>
                <w:rFonts w:cs="Calibri"/>
                <w:b/>
                <w:bCs/>
                <w:noProof/>
              </w:rPr>
              <w:t>4.2</w:t>
            </w:r>
            <w:r>
              <w:rPr>
                <w:rFonts w:asciiTheme="minorHAnsi" w:eastAsiaTheme="minorEastAsia" w:hAnsiTheme="minorHAnsi"/>
                <w:noProof/>
                <w:sz w:val="24"/>
                <w:szCs w:val="24"/>
                <w:lang w:eastAsia="en-GB"/>
              </w:rPr>
              <w:tab/>
            </w:r>
            <w:r w:rsidRPr="0019051C">
              <w:rPr>
                <w:rStyle w:val="Hyperlink"/>
                <w:rFonts w:cs="Calibri"/>
                <w:b/>
                <w:bCs/>
                <w:noProof/>
              </w:rPr>
              <w:t>ISO/IEC 27001 ISMS as the backbone</w:t>
            </w:r>
            <w:r>
              <w:rPr>
                <w:noProof/>
                <w:webHidden/>
              </w:rPr>
              <w:tab/>
            </w:r>
            <w:r>
              <w:rPr>
                <w:noProof/>
                <w:webHidden/>
              </w:rPr>
              <w:fldChar w:fldCharType="begin"/>
            </w:r>
            <w:r>
              <w:rPr>
                <w:noProof/>
                <w:webHidden/>
              </w:rPr>
              <w:instrText xml:space="preserve"> PAGEREF _Toc226635569 \h </w:instrText>
            </w:r>
            <w:r>
              <w:rPr>
                <w:noProof/>
                <w:webHidden/>
              </w:rPr>
            </w:r>
            <w:r>
              <w:rPr>
                <w:noProof/>
                <w:webHidden/>
              </w:rPr>
              <w:fldChar w:fldCharType="separate"/>
            </w:r>
            <w:r>
              <w:rPr>
                <w:noProof/>
                <w:webHidden/>
              </w:rPr>
              <w:t>5</w:t>
            </w:r>
            <w:r>
              <w:rPr>
                <w:noProof/>
                <w:webHidden/>
              </w:rPr>
              <w:fldChar w:fldCharType="end"/>
            </w:r>
          </w:hyperlink>
        </w:p>
        <w:p w14:paraId="102EA3D6" w14:textId="6E54F06C" w:rsidR="009F0616" w:rsidRDefault="009F0616">
          <w:pPr>
            <w:pStyle w:val="TOC2"/>
            <w:tabs>
              <w:tab w:val="left" w:pos="960"/>
              <w:tab w:val="right" w:leader="dot" w:pos="9016"/>
            </w:tabs>
            <w:rPr>
              <w:rFonts w:asciiTheme="minorHAnsi" w:eastAsiaTheme="minorEastAsia" w:hAnsiTheme="minorHAnsi"/>
              <w:noProof/>
              <w:sz w:val="24"/>
              <w:szCs w:val="24"/>
              <w:lang w:eastAsia="en-GB"/>
            </w:rPr>
          </w:pPr>
          <w:hyperlink w:anchor="_Toc226635570" w:history="1">
            <w:r w:rsidRPr="0019051C">
              <w:rPr>
                <w:rStyle w:val="Hyperlink"/>
                <w:rFonts w:cs="Calibri"/>
                <w:b/>
                <w:bCs/>
                <w:noProof/>
              </w:rPr>
              <w:t>4.3</w:t>
            </w:r>
            <w:r>
              <w:rPr>
                <w:rFonts w:asciiTheme="minorHAnsi" w:eastAsiaTheme="minorEastAsia" w:hAnsiTheme="minorHAnsi"/>
                <w:noProof/>
                <w:sz w:val="24"/>
                <w:szCs w:val="24"/>
                <w:lang w:eastAsia="en-GB"/>
              </w:rPr>
              <w:tab/>
            </w:r>
            <w:r w:rsidRPr="0019051C">
              <w:rPr>
                <w:rStyle w:val="Hyperlink"/>
                <w:rFonts w:cs="Calibri"/>
                <w:b/>
                <w:bCs/>
                <w:noProof/>
              </w:rPr>
              <w:t>Cybersecurity results and measurement (NIST CSF 2.0, CIS Controls v8)</w:t>
            </w:r>
            <w:r>
              <w:rPr>
                <w:noProof/>
                <w:webHidden/>
              </w:rPr>
              <w:tab/>
            </w:r>
            <w:r>
              <w:rPr>
                <w:noProof/>
                <w:webHidden/>
              </w:rPr>
              <w:fldChar w:fldCharType="begin"/>
            </w:r>
            <w:r>
              <w:rPr>
                <w:noProof/>
                <w:webHidden/>
              </w:rPr>
              <w:instrText xml:space="preserve"> PAGEREF _Toc226635570 \h </w:instrText>
            </w:r>
            <w:r>
              <w:rPr>
                <w:noProof/>
                <w:webHidden/>
              </w:rPr>
            </w:r>
            <w:r>
              <w:rPr>
                <w:noProof/>
                <w:webHidden/>
              </w:rPr>
              <w:fldChar w:fldCharType="separate"/>
            </w:r>
            <w:r>
              <w:rPr>
                <w:noProof/>
                <w:webHidden/>
              </w:rPr>
              <w:t>5</w:t>
            </w:r>
            <w:r>
              <w:rPr>
                <w:noProof/>
                <w:webHidden/>
              </w:rPr>
              <w:fldChar w:fldCharType="end"/>
            </w:r>
          </w:hyperlink>
        </w:p>
        <w:p w14:paraId="68500941" w14:textId="2F6F9EFD" w:rsidR="009F0616" w:rsidRDefault="009F0616">
          <w:pPr>
            <w:pStyle w:val="TOC2"/>
            <w:tabs>
              <w:tab w:val="left" w:pos="960"/>
              <w:tab w:val="right" w:leader="dot" w:pos="9016"/>
            </w:tabs>
            <w:rPr>
              <w:rFonts w:asciiTheme="minorHAnsi" w:eastAsiaTheme="minorEastAsia" w:hAnsiTheme="minorHAnsi"/>
              <w:noProof/>
              <w:sz w:val="24"/>
              <w:szCs w:val="24"/>
              <w:lang w:eastAsia="en-GB"/>
            </w:rPr>
          </w:pPr>
          <w:hyperlink w:anchor="_Toc226635571" w:history="1">
            <w:r w:rsidRPr="0019051C">
              <w:rPr>
                <w:rStyle w:val="Hyperlink"/>
                <w:rFonts w:cs="Calibri"/>
                <w:b/>
                <w:bCs/>
                <w:noProof/>
              </w:rPr>
              <w:t>4.4</w:t>
            </w:r>
            <w:r>
              <w:rPr>
                <w:rFonts w:asciiTheme="minorHAnsi" w:eastAsiaTheme="minorEastAsia" w:hAnsiTheme="minorHAnsi"/>
                <w:noProof/>
                <w:sz w:val="24"/>
                <w:szCs w:val="24"/>
                <w:lang w:eastAsia="en-GB"/>
              </w:rPr>
              <w:tab/>
            </w:r>
            <w:r w:rsidRPr="0019051C">
              <w:rPr>
                <w:rStyle w:val="Hyperlink"/>
                <w:rFonts w:cs="Calibri"/>
                <w:b/>
                <w:bCs/>
                <w:noProof/>
              </w:rPr>
              <w:t>Risk Management with ERM (NISTIR 8286 series)</w:t>
            </w:r>
            <w:r>
              <w:rPr>
                <w:noProof/>
                <w:webHidden/>
              </w:rPr>
              <w:tab/>
            </w:r>
            <w:r>
              <w:rPr>
                <w:noProof/>
                <w:webHidden/>
              </w:rPr>
              <w:fldChar w:fldCharType="begin"/>
            </w:r>
            <w:r>
              <w:rPr>
                <w:noProof/>
                <w:webHidden/>
              </w:rPr>
              <w:instrText xml:space="preserve"> PAGEREF _Toc226635571 \h </w:instrText>
            </w:r>
            <w:r>
              <w:rPr>
                <w:noProof/>
                <w:webHidden/>
              </w:rPr>
            </w:r>
            <w:r>
              <w:rPr>
                <w:noProof/>
                <w:webHidden/>
              </w:rPr>
              <w:fldChar w:fldCharType="separate"/>
            </w:r>
            <w:r>
              <w:rPr>
                <w:noProof/>
                <w:webHidden/>
              </w:rPr>
              <w:t>6</w:t>
            </w:r>
            <w:r>
              <w:rPr>
                <w:noProof/>
                <w:webHidden/>
              </w:rPr>
              <w:fldChar w:fldCharType="end"/>
            </w:r>
          </w:hyperlink>
        </w:p>
        <w:p w14:paraId="617FEB83" w14:textId="0AB94040" w:rsidR="009F0616" w:rsidRDefault="009F0616">
          <w:pPr>
            <w:pStyle w:val="TOC2"/>
            <w:tabs>
              <w:tab w:val="left" w:pos="960"/>
              <w:tab w:val="right" w:leader="dot" w:pos="9016"/>
            </w:tabs>
            <w:rPr>
              <w:rFonts w:asciiTheme="minorHAnsi" w:eastAsiaTheme="minorEastAsia" w:hAnsiTheme="minorHAnsi"/>
              <w:noProof/>
              <w:sz w:val="24"/>
              <w:szCs w:val="24"/>
              <w:lang w:eastAsia="en-GB"/>
            </w:rPr>
          </w:pPr>
          <w:hyperlink w:anchor="_Toc226635572" w:history="1">
            <w:r w:rsidRPr="0019051C">
              <w:rPr>
                <w:rStyle w:val="Hyperlink"/>
                <w:rFonts w:cs="Calibri"/>
                <w:b/>
                <w:bCs/>
                <w:noProof/>
              </w:rPr>
              <w:t>4.5</w:t>
            </w:r>
            <w:r>
              <w:rPr>
                <w:rFonts w:asciiTheme="minorHAnsi" w:eastAsiaTheme="minorEastAsia" w:hAnsiTheme="minorHAnsi"/>
                <w:noProof/>
                <w:sz w:val="24"/>
                <w:szCs w:val="24"/>
                <w:lang w:eastAsia="en-GB"/>
              </w:rPr>
              <w:tab/>
            </w:r>
            <w:r w:rsidRPr="0019051C">
              <w:rPr>
                <w:rStyle w:val="Hyperlink"/>
                <w:rFonts w:cs="Calibri"/>
                <w:b/>
                <w:bCs/>
                <w:noProof/>
              </w:rPr>
              <w:t>Key compliance drivers for FinSure Bank.</w:t>
            </w:r>
            <w:r>
              <w:rPr>
                <w:noProof/>
                <w:webHidden/>
              </w:rPr>
              <w:tab/>
            </w:r>
            <w:r>
              <w:rPr>
                <w:noProof/>
                <w:webHidden/>
              </w:rPr>
              <w:fldChar w:fldCharType="begin"/>
            </w:r>
            <w:r>
              <w:rPr>
                <w:noProof/>
                <w:webHidden/>
              </w:rPr>
              <w:instrText xml:space="preserve"> PAGEREF _Toc226635572 \h </w:instrText>
            </w:r>
            <w:r>
              <w:rPr>
                <w:noProof/>
                <w:webHidden/>
              </w:rPr>
            </w:r>
            <w:r>
              <w:rPr>
                <w:noProof/>
                <w:webHidden/>
              </w:rPr>
              <w:fldChar w:fldCharType="separate"/>
            </w:r>
            <w:r>
              <w:rPr>
                <w:noProof/>
                <w:webHidden/>
              </w:rPr>
              <w:t>6</w:t>
            </w:r>
            <w:r>
              <w:rPr>
                <w:noProof/>
                <w:webHidden/>
              </w:rPr>
              <w:fldChar w:fldCharType="end"/>
            </w:r>
          </w:hyperlink>
        </w:p>
        <w:p w14:paraId="037AE5D2" w14:textId="2F78442F" w:rsidR="009F0616" w:rsidRDefault="009F0616">
          <w:pPr>
            <w:pStyle w:val="TOC1"/>
            <w:tabs>
              <w:tab w:val="left" w:pos="480"/>
              <w:tab w:val="right" w:leader="dot" w:pos="9016"/>
            </w:tabs>
            <w:rPr>
              <w:rFonts w:asciiTheme="minorHAnsi" w:eastAsiaTheme="minorEastAsia" w:hAnsiTheme="minorHAnsi"/>
              <w:noProof/>
              <w:sz w:val="24"/>
              <w:szCs w:val="24"/>
              <w:lang w:eastAsia="en-GB"/>
            </w:rPr>
          </w:pPr>
          <w:hyperlink w:anchor="_Toc226635573" w:history="1">
            <w:r w:rsidRPr="0019051C">
              <w:rPr>
                <w:rStyle w:val="Hyperlink"/>
                <w:rFonts w:cs="Calibri"/>
                <w:b/>
                <w:bCs/>
                <w:noProof/>
              </w:rPr>
              <w:t>5</w:t>
            </w:r>
            <w:r>
              <w:rPr>
                <w:rFonts w:asciiTheme="minorHAnsi" w:eastAsiaTheme="minorEastAsia" w:hAnsiTheme="minorHAnsi"/>
                <w:noProof/>
                <w:sz w:val="24"/>
                <w:szCs w:val="24"/>
                <w:lang w:eastAsia="en-GB"/>
              </w:rPr>
              <w:tab/>
            </w:r>
            <w:r w:rsidRPr="0019051C">
              <w:rPr>
                <w:rStyle w:val="Hyperlink"/>
                <w:rFonts w:cs="Calibri"/>
                <w:b/>
                <w:bCs/>
                <w:noProof/>
              </w:rPr>
              <w:t>Proposed integrated approach for FinSure Bank</w:t>
            </w:r>
            <w:r>
              <w:rPr>
                <w:noProof/>
                <w:webHidden/>
              </w:rPr>
              <w:tab/>
            </w:r>
            <w:r>
              <w:rPr>
                <w:noProof/>
                <w:webHidden/>
              </w:rPr>
              <w:fldChar w:fldCharType="begin"/>
            </w:r>
            <w:r>
              <w:rPr>
                <w:noProof/>
                <w:webHidden/>
              </w:rPr>
              <w:instrText xml:space="preserve"> PAGEREF _Toc226635573 \h </w:instrText>
            </w:r>
            <w:r>
              <w:rPr>
                <w:noProof/>
                <w:webHidden/>
              </w:rPr>
            </w:r>
            <w:r>
              <w:rPr>
                <w:noProof/>
                <w:webHidden/>
              </w:rPr>
              <w:fldChar w:fldCharType="separate"/>
            </w:r>
            <w:r>
              <w:rPr>
                <w:noProof/>
                <w:webHidden/>
              </w:rPr>
              <w:t>7</w:t>
            </w:r>
            <w:r>
              <w:rPr>
                <w:noProof/>
                <w:webHidden/>
              </w:rPr>
              <w:fldChar w:fldCharType="end"/>
            </w:r>
          </w:hyperlink>
        </w:p>
        <w:p w14:paraId="1CCF6BFA" w14:textId="313F168B" w:rsidR="009F0616" w:rsidRDefault="009F0616">
          <w:pPr>
            <w:pStyle w:val="TOC2"/>
            <w:tabs>
              <w:tab w:val="left" w:pos="960"/>
              <w:tab w:val="right" w:leader="dot" w:pos="9016"/>
            </w:tabs>
            <w:rPr>
              <w:rFonts w:asciiTheme="minorHAnsi" w:eastAsiaTheme="minorEastAsia" w:hAnsiTheme="minorHAnsi"/>
              <w:noProof/>
              <w:sz w:val="24"/>
              <w:szCs w:val="24"/>
              <w:lang w:eastAsia="en-GB"/>
            </w:rPr>
          </w:pPr>
          <w:hyperlink w:anchor="_Toc226635574" w:history="1">
            <w:r w:rsidRPr="0019051C">
              <w:rPr>
                <w:rStyle w:val="Hyperlink"/>
                <w:rFonts w:cs="Calibri"/>
                <w:b/>
                <w:bCs/>
                <w:noProof/>
              </w:rPr>
              <w:t>5.1</w:t>
            </w:r>
            <w:r>
              <w:rPr>
                <w:rFonts w:asciiTheme="minorHAnsi" w:eastAsiaTheme="minorEastAsia" w:hAnsiTheme="minorHAnsi"/>
                <w:noProof/>
                <w:sz w:val="24"/>
                <w:szCs w:val="24"/>
                <w:lang w:eastAsia="en-GB"/>
              </w:rPr>
              <w:tab/>
            </w:r>
            <w:r w:rsidRPr="0019051C">
              <w:rPr>
                <w:rStyle w:val="Hyperlink"/>
                <w:rFonts w:cs="Calibri"/>
                <w:b/>
                <w:bCs/>
                <w:noProof/>
              </w:rPr>
              <w:t>Design principles</w:t>
            </w:r>
            <w:r>
              <w:rPr>
                <w:noProof/>
                <w:webHidden/>
              </w:rPr>
              <w:tab/>
            </w:r>
            <w:r>
              <w:rPr>
                <w:noProof/>
                <w:webHidden/>
              </w:rPr>
              <w:fldChar w:fldCharType="begin"/>
            </w:r>
            <w:r>
              <w:rPr>
                <w:noProof/>
                <w:webHidden/>
              </w:rPr>
              <w:instrText xml:space="preserve"> PAGEREF _Toc226635574 \h </w:instrText>
            </w:r>
            <w:r>
              <w:rPr>
                <w:noProof/>
                <w:webHidden/>
              </w:rPr>
            </w:r>
            <w:r>
              <w:rPr>
                <w:noProof/>
                <w:webHidden/>
              </w:rPr>
              <w:fldChar w:fldCharType="separate"/>
            </w:r>
            <w:r>
              <w:rPr>
                <w:noProof/>
                <w:webHidden/>
              </w:rPr>
              <w:t>7</w:t>
            </w:r>
            <w:r>
              <w:rPr>
                <w:noProof/>
                <w:webHidden/>
              </w:rPr>
              <w:fldChar w:fldCharType="end"/>
            </w:r>
          </w:hyperlink>
        </w:p>
        <w:p w14:paraId="5C6E229F" w14:textId="1B5B0EA9" w:rsidR="009F0616" w:rsidRDefault="009F0616">
          <w:pPr>
            <w:pStyle w:val="TOC2"/>
            <w:tabs>
              <w:tab w:val="left" w:pos="960"/>
              <w:tab w:val="right" w:leader="dot" w:pos="9016"/>
            </w:tabs>
            <w:rPr>
              <w:rFonts w:asciiTheme="minorHAnsi" w:eastAsiaTheme="minorEastAsia" w:hAnsiTheme="minorHAnsi"/>
              <w:noProof/>
              <w:sz w:val="24"/>
              <w:szCs w:val="24"/>
              <w:lang w:eastAsia="en-GB"/>
            </w:rPr>
          </w:pPr>
          <w:hyperlink w:anchor="_Toc226635575" w:history="1">
            <w:r w:rsidRPr="0019051C">
              <w:rPr>
                <w:rStyle w:val="Hyperlink"/>
                <w:rFonts w:cs="Calibri"/>
                <w:b/>
                <w:bCs/>
                <w:noProof/>
              </w:rPr>
              <w:t>5.2</w:t>
            </w:r>
            <w:r>
              <w:rPr>
                <w:rFonts w:asciiTheme="minorHAnsi" w:eastAsiaTheme="minorEastAsia" w:hAnsiTheme="minorHAnsi"/>
                <w:noProof/>
                <w:sz w:val="24"/>
                <w:szCs w:val="24"/>
                <w:lang w:eastAsia="en-GB"/>
              </w:rPr>
              <w:tab/>
            </w:r>
            <w:r w:rsidRPr="0019051C">
              <w:rPr>
                <w:rStyle w:val="Hyperlink"/>
                <w:rFonts w:cs="Calibri"/>
                <w:b/>
                <w:bCs/>
                <w:noProof/>
              </w:rPr>
              <w:t>Governance: Board, committees, accountability.</w:t>
            </w:r>
            <w:r>
              <w:rPr>
                <w:noProof/>
                <w:webHidden/>
              </w:rPr>
              <w:tab/>
            </w:r>
            <w:r>
              <w:rPr>
                <w:noProof/>
                <w:webHidden/>
              </w:rPr>
              <w:fldChar w:fldCharType="begin"/>
            </w:r>
            <w:r>
              <w:rPr>
                <w:noProof/>
                <w:webHidden/>
              </w:rPr>
              <w:instrText xml:space="preserve"> PAGEREF _Toc226635575 \h </w:instrText>
            </w:r>
            <w:r>
              <w:rPr>
                <w:noProof/>
                <w:webHidden/>
              </w:rPr>
            </w:r>
            <w:r>
              <w:rPr>
                <w:noProof/>
                <w:webHidden/>
              </w:rPr>
              <w:fldChar w:fldCharType="separate"/>
            </w:r>
            <w:r>
              <w:rPr>
                <w:noProof/>
                <w:webHidden/>
              </w:rPr>
              <w:t>7</w:t>
            </w:r>
            <w:r>
              <w:rPr>
                <w:noProof/>
                <w:webHidden/>
              </w:rPr>
              <w:fldChar w:fldCharType="end"/>
            </w:r>
          </w:hyperlink>
        </w:p>
        <w:p w14:paraId="08330E93" w14:textId="46B5BAA5" w:rsidR="009F0616" w:rsidRDefault="009F0616">
          <w:pPr>
            <w:pStyle w:val="TOC2"/>
            <w:tabs>
              <w:tab w:val="left" w:pos="960"/>
              <w:tab w:val="right" w:leader="dot" w:pos="9016"/>
            </w:tabs>
            <w:rPr>
              <w:rFonts w:asciiTheme="minorHAnsi" w:eastAsiaTheme="minorEastAsia" w:hAnsiTheme="minorHAnsi"/>
              <w:noProof/>
              <w:sz w:val="24"/>
              <w:szCs w:val="24"/>
              <w:lang w:eastAsia="en-GB"/>
            </w:rPr>
          </w:pPr>
          <w:hyperlink w:anchor="_Toc226635576" w:history="1">
            <w:r w:rsidRPr="0019051C">
              <w:rPr>
                <w:rStyle w:val="Hyperlink"/>
                <w:rFonts w:cs="Calibri"/>
                <w:b/>
                <w:bCs/>
                <w:noProof/>
              </w:rPr>
              <w:t>5.3</w:t>
            </w:r>
            <w:r>
              <w:rPr>
                <w:rFonts w:asciiTheme="minorHAnsi" w:eastAsiaTheme="minorEastAsia" w:hAnsiTheme="minorHAnsi"/>
                <w:noProof/>
                <w:sz w:val="24"/>
                <w:szCs w:val="24"/>
                <w:lang w:eastAsia="en-GB"/>
              </w:rPr>
              <w:tab/>
            </w:r>
            <w:r w:rsidRPr="0019051C">
              <w:rPr>
                <w:rStyle w:val="Hyperlink"/>
                <w:rFonts w:cs="Calibri"/>
                <w:b/>
                <w:bCs/>
                <w:noProof/>
              </w:rPr>
              <w:t>Operating Model (Three Lines of Defence) Target.</w:t>
            </w:r>
            <w:r>
              <w:rPr>
                <w:noProof/>
                <w:webHidden/>
              </w:rPr>
              <w:tab/>
            </w:r>
            <w:r>
              <w:rPr>
                <w:noProof/>
                <w:webHidden/>
              </w:rPr>
              <w:fldChar w:fldCharType="begin"/>
            </w:r>
            <w:r>
              <w:rPr>
                <w:noProof/>
                <w:webHidden/>
              </w:rPr>
              <w:instrText xml:space="preserve"> PAGEREF _Toc226635576 \h </w:instrText>
            </w:r>
            <w:r>
              <w:rPr>
                <w:noProof/>
                <w:webHidden/>
              </w:rPr>
            </w:r>
            <w:r>
              <w:rPr>
                <w:noProof/>
                <w:webHidden/>
              </w:rPr>
              <w:fldChar w:fldCharType="separate"/>
            </w:r>
            <w:r>
              <w:rPr>
                <w:noProof/>
                <w:webHidden/>
              </w:rPr>
              <w:t>8</w:t>
            </w:r>
            <w:r>
              <w:rPr>
                <w:noProof/>
                <w:webHidden/>
              </w:rPr>
              <w:fldChar w:fldCharType="end"/>
            </w:r>
          </w:hyperlink>
        </w:p>
        <w:p w14:paraId="29C2C497" w14:textId="7F2E8C23" w:rsidR="009F0616" w:rsidRDefault="009F0616">
          <w:pPr>
            <w:pStyle w:val="TOC2"/>
            <w:tabs>
              <w:tab w:val="left" w:pos="960"/>
              <w:tab w:val="right" w:leader="dot" w:pos="9016"/>
            </w:tabs>
            <w:rPr>
              <w:rFonts w:asciiTheme="minorHAnsi" w:eastAsiaTheme="minorEastAsia" w:hAnsiTheme="minorHAnsi"/>
              <w:noProof/>
              <w:sz w:val="24"/>
              <w:szCs w:val="24"/>
              <w:lang w:eastAsia="en-GB"/>
            </w:rPr>
          </w:pPr>
          <w:hyperlink w:anchor="_Toc226635577" w:history="1">
            <w:r w:rsidRPr="0019051C">
              <w:rPr>
                <w:rStyle w:val="Hyperlink"/>
                <w:rFonts w:cs="Calibri"/>
                <w:b/>
                <w:bCs/>
                <w:noProof/>
              </w:rPr>
              <w:t>5.4</w:t>
            </w:r>
            <w:r>
              <w:rPr>
                <w:rFonts w:asciiTheme="minorHAnsi" w:eastAsiaTheme="minorEastAsia" w:hAnsiTheme="minorHAnsi"/>
                <w:noProof/>
                <w:sz w:val="24"/>
                <w:szCs w:val="24"/>
                <w:lang w:eastAsia="en-GB"/>
              </w:rPr>
              <w:tab/>
            </w:r>
            <w:r w:rsidRPr="0019051C">
              <w:rPr>
                <w:rStyle w:val="Hyperlink"/>
                <w:rFonts w:cs="Calibri"/>
                <w:b/>
                <w:bCs/>
                <w:noProof/>
              </w:rPr>
              <w:t>Core management system: ISO 27001 ISMS and NIST CSF 2.0 overlay.</w:t>
            </w:r>
            <w:r>
              <w:rPr>
                <w:noProof/>
                <w:webHidden/>
              </w:rPr>
              <w:tab/>
            </w:r>
            <w:r>
              <w:rPr>
                <w:noProof/>
                <w:webHidden/>
              </w:rPr>
              <w:fldChar w:fldCharType="begin"/>
            </w:r>
            <w:r>
              <w:rPr>
                <w:noProof/>
                <w:webHidden/>
              </w:rPr>
              <w:instrText xml:space="preserve"> PAGEREF _Toc226635577 \h </w:instrText>
            </w:r>
            <w:r>
              <w:rPr>
                <w:noProof/>
                <w:webHidden/>
              </w:rPr>
            </w:r>
            <w:r>
              <w:rPr>
                <w:noProof/>
                <w:webHidden/>
              </w:rPr>
              <w:fldChar w:fldCharType="separate"/>
            </w:r>
            <w:r>
              <w:rPr>
                <w:noProof/>
                <w:webHidden/>
              </w:rPr>
              <w:t>9</w:t>
            </w:r>
            <w:r>
              <w:rPr>
                <w:noProof/>
                <w:webHidden/>
              </w:rPr>
              <w:fldChar w:fldCharType="end"/>
            </w:r>
          </w:hyperlink>
        </w:p>
        <w:p w14:paraId="2FFCAE9F" w14:textId="52A77E39" w:rsidR="009F0616" w:rsidRDefault="009F0616">
          <w:pPr>
            <w:pStyle w:val="TOC2"/>
            <w:tabs>
              <w:tab w:val="left" w:pos="960"/>
              <w:tab w:val="right" w:leader="dot" w:pos="9016"/>
            </w:tabs>
            <w:rPr>
              <w:rFonts w:asciiTheme="minorHAnsi" w:eastAsiaTheme="minorEastAsia" w:hAnsiTheme="minorHAnsi"/>
              <w:noProof/>
              <w:sz w:val="24"/>
              <w:szCs w:val="24"/>
              <w:lang w:eastAsia="en-GB"/>
            </w:rPr>
          </w:pPr>
          <w:hyperlink w:anchor="_Toc226635578" w:history="1">
            <w:r w:rsidRPr="0019051C">
              <w:rPr>
                <w:rStyle w:val="Hyperlink"/>
                <w:rFonts w:cs="Calibri"/>
                <w:b/>
                <w:bCs/>
                <w:noProof/>
              </w:rPr>
              <w:t>5.5</w:t>
            </w:r>
            <w:r>
              <w:rPr>
                <w:rFonts w:asciiTheme="minorHAnsi" w:eastAsiaTheme="minorEastAsia" w:hAnsiTheme="minorHAnsi"/>
                <w:noProof/>
                <w:sz w:val="24"/>
                <w:szCs w:val="24"/>
                <w:lang w:eastAsia="en-GB"/>
              </w:rPr>
              <w:tab/>
            </w:r>
            <w:r w:rsidRPr="0019051C">
              <w:rPr>
                <w:rStyle w:val="Hyperlink"/>
                <w:rFonts w:cs="Calibri"/>
                <w:b/>
                <w:bCs/>
                <w:noProof/>
              </w:rPr>
              <w:t>Control baseline</w:t>
            </w:r>
            <w:r>
              <w:rPr>
                <w:noProof/>
                <w:webHidden/>
              </w:rPr>
              <w:tab/>
            </w:r>
            <w:r>
              <w:rPr>
                <w:noProof/>
                <w:webHidden/>
              </w:rPr>
              <w:fldChar w:fldCharType="begin"/>
            </w:r>
            <w:r>
              <w:rPr>
                <w:noProof/>
                <w:webHidden/>
              </w:rPr>
              <w:instrText xml:space="preserve"> PAGEREF _Toc226635578 \h </w:instrText>
            </w:r>
            <w:r>
              <w:rPr>
                <w:noProof/>
                <w:webHidden/>
              </w:rPr>
            </w:r>
            <w:r>
              <w:rPr>
                <w:noProof/>
                <w:webHidden/>
              </w:rPr>
              <w:fldChar w:fldCharType="separate"/>
            </w:r>
            <w:r>
              <w:rPr>
                <w:noProof/>
                <w:webHidden/>
              </w:rPr>
              <w:t>10</w:t>
            </w:r>
            <w:r>
              <w:rPr>
                <w:noProof/>
                <w:webHidden/>
              </w:rPr>
              <w:fldChar w:fldCharType="end"/>
            </w:r>
          </w:hyperlink>
        </w:p>
        <w:p w14:paraId="0BC3D478" w14:textId="2CD43F37" w:rsidR="009F0616" w:rsidRDefault="009F0616">
          <w:pPr>
            <w:pStyle w:val="TOC2"/>
            <w:tabs>
              <w:tab w:val="left" w:pos="960"/>
              <w:tab w:val="right" w:leader="dot" w:pos="9016"/>
            </w:tabs>
            <w:rPr>
              <w:rFonts w:asciiTheme="minorHAnsi" w:eastAsiaTheme="minorEastAsia" w:hAnsiTheme="minorHAnsi"/>
              <w:noProof/>
              <w:sz w:val="24"/>
              <w:szCs w:val="24"/>
              <w:lang w:eastAsia="en-GB"/>
            </w:rPr>
          </w:pPr>
          <w:hyperlink w:anchor="_Toc226635579" w:history="1">
            <w:r w:rsidRPr="0019051C">
              <w:rPr>
                <w:rStyle w:val="Hyperlink"/>
                <w:rFonts w:cs="Calibri"/>
                <w:b/>
                <w:bCs/>
                <w:noProof/>
              </w:rPr>
              <w:t>5.6</w:t>
            </w:r>
            <w:r>
              <w:rPr>
                <w:rFonts w:asciiTheme="minorHAnsi" w:eastAsiaTheme="minorEastAsia" w:hAnsiTheme="minorHAnsi"/>
                <w:noProof/>
                <w:sz w:val="24"/>
                <w:szCs w:val="24"/>
                <w:lang w:eastAsia="en-GB"/>
              </w:rPr>
              <w:tab/>
            </w:r>
            <w:r w:rsidRPr="0019051C">
              <w:rPr>
                <w:rStyle w:val="Hyperlink"/>
                <w:rFonts w:cs="Calibri"/>
                <w:b/>
                <w:bCs/>
                <w:noProof/>
              </w:rPr>
              <w:t>Third-party, outsourcing and Cloud Governance</w:t>
            </w:r>
            <w:r>
              <w:rPr>
                <w:noProof/>
                <w:webHidden/>
              </w:rPr>
              <w:tab/>
            </w:r>
            <w:r>
              <w:rPr>
                <w:noProof/>
                <w:webHidden/>
              </w:rPr>
              <w:fldChar w:fldCharType="begin"/>
            </w:r>
            <w:r>
              <w:rPr>
                <w:noProof/>
                <w:webHidden/>
              </w:rPr>
              <w:instrText xml:space="preserve"> PAGEREF _Toc226635579 \h </w:instrText>
            </w:r>
            <w:r>
              <w:rPr>
                <w:noProof/>
                <w:webHidden/>
              </w:rPr>
            </w:r>
            <w:r>
              <w:rPr>
                <w:noProof/>
                <w:webHidden/>
              </w:rPr>
              <w:fldChar w:fldCharType="separate"/>
            </w:r>
            <w:r>
              <w:rPr>
                <w:noProof/>
                <w:webHidden/>
              </w:rPr>
              <w:t>12</w:t>
            </w:r>
            <w:r>
              <w:rPr>
                <w:noProof/>
                <w:webHidden/>
              </w:rPr>
              <w:fldChar w:fldCharType="end"/>
            </w:r>
          </w:hyperlink>
        </w:p>
        <w:p w14:paraId="72BAB6BD" w14:textId="7887E60C" w:rsidR="009F0616" w:rsidRDefault="009F0616">
          <w:pPr>
            <w:pStyle w:val="TOC2"/>
            <w:tabs>
              <w:tab w:val="left" w:pos="960"/>
              <w:tab w:val="right" w:leader="dot" w:pos="9016"/>
            </w:tabs>
            <w:rPr>
              <w:rFonts w:asciiTheme="minorHAnsi" w:eastAsiaTheme="minorEastAsia" w:hAnsiTheme="minorHAnsi"/>
              <w:noProof/>
              <w:sz w:val="24"/>
              <w:szCs w:val="24"/>
              <w:lang w:eastAsia="en-GB"/>
            </w:rPr>
          </w:pPr>
          <w:hyperlink w:anchor="_Toc226635580" w:history="1">
            <w:r w:rsidRPr="0019051C">
              <w:rPr>
                <w:rStyle w:val="Hyperlink"/>
                <w:rFonts w:cs="Calibri"/>
                <w:b/>
                <w:bCs/>
                <w:noProof/>
              </w:rPr>
              <w:t>5.7</w:t>
            </w:r>
            <w:r>
              <w:rPr>
                <w:rFonts w:asciiTheme="minorHAnsi" w:eastAsiaTheme="minorEastAsia" w:hAnsiTheme="minorHAnsi"/>
                <w:noProof/>
                <w:sz w:val="24"/>
                <w:szCs w:val="24"/>
                <w:lang w:eastAsia="en-GB"/>
              </w:rPr>
              <w:tab/>
            </w:r>
            <w:r w:rsidRPr="0019051C">
              <w:rPr>
                <w:rStyle w:val="Hyperlink"/>
                <w:rFonts w:cs="Calibri"/>
                <w:b/>
                <w:bCs/>
                <w:noProof/>
              </w:rPr>
              <w:t>BYOD and mobile/ device security</w:t>
            </w:r>
            <w:r>
              <w:rPr>
                <w:noProof/>
                <w:webHidden/>
              </w:rPr>
              <w:tab/>
            </w:r>
            <w:r>
              <w:rPr>
                <w:noProof/>
                <w:webHidden/>
              </w:rPr>
              <w:fldChar w:fldCharType="begin"/>
            </w:r>
            <w:r>
              <w:rPr>
                <w:noProof/>
                <w:webHidden/>
              </w:rPr>
              <w:instrText xml:space="preserve"> PAGEREF _Toc226635580 \h </w:instrText>
            </w:r>
            <w:r>
              <w:rPr>
                <w:noProof/>
                <w:webHidden/>
              </w:rPr>
            </w:r>
            <w:r>
              <w:rPr>
                <w:noProof/>
                <w:webHidden/>
              </w:rPr>
              <w:fldChar w:fldCharType="separate"/>
            </w:r>
            <w:r>
              <w:rPr>
                <w:noProof/>
                <w:webHidden/>
              </w:rPr>
              <w:t>13</w:t>
            </w:r>
            <w:r>
              <w:rPr>
                <w:noProof/>
                <w:webHidden/>
              </w:rPr>
              <w:fldChar w:fldCharType="end"/>
            </w:r>
          </w:hyperlink>
        </w:p>
        <w:p w14:paraId="000164E1" w14:textId="2FA8C1F6" w:rsidR="009F0616" w:rsidRDefault="009F0616">
          <w:pPr>
            <w:pStyle w:val="TOC2"/>
            <w:tabs>
              <w:tab w:val="left" w:pos="960"/>
              <w:tab w:val="right" w:leader="dot" w:pos="9016"/>
            </w:tabs>
            <w:rPr>
              <w:rFonts w:asciiTheme="minorHAnsi" w:eastAsiaTheme="minorEastAsia" w:hAnsiTheme="minorHAnsi"/>
              <w:noProof/>
              <w:sz w:val="24"/>
              <w:szCs w:val="24"/>
              <w:lang w:eastAsia="en-GB"/>
            </w:rPr>
          </w:pPr>
          <w:hyperlink w:anchor="_Toc226635581" w:history="1">
            <w:r w:rsidRPr="0019051C">
              <w:rPr>
                <w:rStyle w:val="Hyperlink"/>
                <w:rFonts w:cs="Calibri"/>
                <w:b/>
                <w:bCs/>
                <w:noProof/>
              </w:rPr>
              <w:t>5.8</w:t>
            </w:r>
            <w:r>
              <w:rPr>
                <w:rFonts w:asciiTheme="minorHAnsi" w:eastAsiaTheme="minorEastAsia" w:hAnsiTheme="minorHAnsi"/>
                <w:noProof/>
                <w:sz w:val="24"/>
                <w:szCs w:val="24"/>
                <w:lang w:eastAsia="en-GB"/>
              </w:rPr>
              <w:tab/>
            </w:r>
            <w:r w:rsidRPr="0019051C">
              <w:rPr>
                <w:rStyle w:val="Hyperlink"/>
                <w:rFonts w:cs="Calibri"/>
                <w:b/>
                <w:bCs/>
                <w:noProof/>
              </w:rPr>
              <w:t>Incident response, reporting, and operational resilience</w:t>
            </w:r>
            <w:r>
              <w:rPr>
                <w:noProof/>
                <w:webHidden/>
              </w:rPr>
              <w:tab/>
            </w:r>
            <w:r>
              <w:rPr>
                <w:noProof/>
                <w:webHidden/>
              </w:rPr>
              <w:fldChar w:fldCharType="begin"/>
            </w:r>
            <w:r>
              <w:rPr>
                <w:noProof/>
                <w:webHidden/>
              </w:rPr>
              <w:instrText xml:space="preserve"> PAGEREF _Toc226635581 \h </w:instrText>
            </w:r>
            <w:r>
              <w:rPr>
                <w:noProof/>
                <w:webHidden/>
              </w:rPr>
            </w:r>
            <w:r>
              <w:rPr>
                <w:noProof/>
                <w:webHidden/>
              </w:rPr>
              <w:fldChar w:fldCharType="separate"/>
            </w:r>
            <w:r>
              <w:rPr>
                <w:noProof/>
                <w:webHidden/>
              </w:rPr>
              <w:t>14</w:t>
            </w:r>
            <w:r>
              <w:rPr>
                <w:noProof/>
                <w:webHidden/>
              </w:rPr>
              <w:fldChar w:fldCharType="end"/>
            </w:r>
          </w:hyperlink>
        </w:p>
        <w:p w14:paraId="5087B4B9" w14:textId="5E25689B" w:rsidR="009F0616" w:rsidRDefault="009F0616">
          <w:pPr>
            <w:pStyle w:val="TOC2"/>
            <w:tabs>
              <w:tab w:val="left" w:pos="960"/>
              <w:tab w:val="right" w:leader="dot" w:pos="9016"/>
            </w:tabs>
            <w:rPr>
              <w:rFonts w:asciiTheme="minorHAnsi" w:eastAsiaTheme="minorEastAsia" w:hAnsiTheme="minorHAnsi"/>
              <w:noProof/>
              <w:sz w:val="24"/>
              <w:szCs w:val="24"/>
              <w:lang w:eastAsia="en-GB"/>
            </w:rPr>
          </w:pPr>
          <w:hyperlink w:anchor="_Toc226635582" w:history="1">
            <w:r w:rsidRPr="0019051C">
              <w:rPr>
                <w:rStyle w:val="Hyperlink"/>
                <w:rFonts w:cs="Calibri"/>
                <w:b/>
                <w:bCs/>
                <w:noProof/>
              </w:rPr>
              <w:t>5.9</w:t>
            </w:r>
            <w:r>
              <w:rPr>
                <w:rFonts w:asciiTheme="minorHAnsi" w:eastAsiaTheme="minorEastAsia" w:hAnsiTheme="minorHAnsi"/>
                <w:noProof/>
                <w:sz w:val="24"/>
                <w:szCs w:val="24"/>
                <w:lang w:eastAsia="en-GB"/>
              </w:rPr>
              <w:tab/>
            </w:r>
            <w:r w:rsidRPr="0019051C">
              <w:rPr>
                <w:rStyle w:val="Hyperlink"/>
                <w:rFonts w:cs="Calibri"/>
                <w:b/>
                <w:bCs/>
                <w:noProof/>
              </w:rPr>
              <w:t>Measurement, assurance and continual improvement</w:t>
            </w:r>
            <w:r>
              <w:rPr>
                <w:noProof/>
                <w:webHidden/>
              </w:rPr>
              <w:tab/>
            </w:r>
            <w:r>
              <w:rPr>
                <w:noProof/>
                <w:webHidden/>
              </w:rPr>
              <w:fldChar w:fldCharType="begin"/>
            </w:r>
            <w:r>
              <w:rPr>
                <w:noProof/>
                <w:webHidden/>
              </w:rPr>
              <w:instrText xml:space="preserve"> PAGEREF _Toc226635582 \h </w:instrText>
            </w:r>
            <w:r>
              <w:rPr>
                <w:noProof/>
                <w:webHidden/>
              </w:rPr>
            </w:r>
            <w:r>
              <w:rPr>
                <w:noProof/>
                <w:webHidden/>
              </w:rPr>
              <w:fldChar w:fldCharType="separate"/>
            </w:r>
            <w:r>
              <w:rPr>
                <w:noProof/>
                <w:webHidden/>
              </w:rPr>
              <w:t>14</w:t>
            </w:r>
            <w:r>
              <w:rPr>
                <w:noProof/>
                <w:webHidden/>
              </w:rPr>
              <w:fldChar w:fldCharType="end"/>
            </w:r>
          </w:hyperlink>
        </w:p>
        <w:p w14:paraId="012D04C3" w14:textId="758595DE" w:rsidR="009F0616" w:rsidRDefault="009F0616">
          <w:pPr>
            <w:pStyle w:val="TOC2"/>
            <w:tabs>
              <w:tab w:val="left" w:pos="960"/>
              <w:tab w:val="right" w:leader="dot" w:pos="9016"/>
            </w:tabs>
            <w:rPr>
              <w:rFonts w:asciiTheme="minorHAnsi" w:eastAsiaTheme="minorEastAsia" w:hAnsiTheme="minorHAnsi"/>
              <w:noProof/>
              <w:sz w:val="24"/>
              <w:szCs w:val="24"/>
              <w:lang w:eastAsia="en-GB"/>
            </w:rPr>
          </w:pPr>
          <w:hyperlink w:anchor="_Toc226635583" w:history="1">
            <w:r w:rsidRPr="0019051C">
              <w:rPr>
                <w:rStyle w:val="Hyperlink"/>
                <w:rFonts w:cs="Calibri"/>
                <w:b/>
                <w:bCs/>
                <w:noProof/>
              </w:rPr>
              <w:t>5.10</w:t>
            </w:r>
            <w:r>
              <w:rPr>
                <w:rFonts w:asciiTheme="minorHAnsi" w:eastAsiaTheme="minorEastAsia" w:hAnsiTheme="minorHAnsi"/>
                <w:noProof/>
                <w:sz w:val="24"/>
                <w:szCs w:val="24"/>
                <w:lang w:eastAsia="en-GB"/>
              </w:rPr>
              <w:tab/>
            </w:r>
            <w:r w:rsidRPr="0019051C">
              <w:rPr>
                <w:rStyle w:val="Hyperlink"/>
                <w:rFonts w:cs="Calibri"/>
                <w:b/>
                <w:bCs/>
                <w:noProof/>
              </w:rPr>
              <w:t>Limitations and residual risk</w:t>
            </w:r>
            <w:r>
              <w:rPr>
                <w:noProof/>
                <w:webHidden/>
              </w:rPr>
              <w:tab/>
            </w:r>
            <w:r>
              <w:rPr>
                <w:noProof/>
                <w:webHidden/>
              </w:rPr>
              <w:fldChar w:fldCharType="begin"/>
            </w:r>
            <w:r>
              <w:rPr>
                <w:noProof/>
                <w:webHidden/>
              </w:rPr>
              <w:instrText xml:space="preserve"> PAGEREF _Toc226635583 \h </w:instrText>
            </w:r>
            <w:r>
              <w:rPr>
                <w:noProof/>
                <w:webHidden/>
              </w:rPr>
            </w:r>
            <w:r>
              <w:rPr>
                <w:noProof/>
                <w:webHidden/>
              </w:rPr>
              <w:fldChar w:fldCharType="separate"/>
            </w:r>
            <w:r>
              <w:rPr>
                <w:noProof/>
                <w:webHidden/>
              </w:rPr>
              <w:t>14</w:t>
            </w:r>
            <w:r>
              <w:rPr>
                <w:noProof/>
                <w:webHidden/>
              </w:rPr>
              <w:fldChar w:fldCharType="end"/>
            </w:r>
          </w:hyperlink>
        </w:p>
        <w:p w14:paraId="371C6F3A" w14:textId="67594090" w:rsidR="009F0616" w:rsidRDefault="009F0616">
          <w:pPr>
            <w:pStyle w:val="TOC1"/>
            <w:tabs>
              <w:tab w:val="left" w:pos="480"/>
              <w:tab w:val="right" w:leader="dot" w:pos="9016"/>
            </w:tabs>
            <w:rPr>
              <w:rFonts w:asciiTheme="minorHAnsi" w:eastAsiaTheme="minorEastAsia" w:hAnsiTheme="minorHAnsi"/>
              <w:noProof/>
              <w:sz w:val="24"/>
              <w:szCs w:val="24"/>
              <w:lang w:eastAsia="en-GB"/>
            </w:rPr>
          </w:pPr>
          <w:hyperlink w:anchor="_Toc226635584" w:history="1">
            <w:r w:rsidRPr="0019051C">
              <w:rPr>
                <w:rStyle w:val="Hyperlink"/>
                <w:rFonts w:cs="Calibri"/>
                <w:b/>
                <w:bCs/>
                <w:noProof/>
              </w:rPr>
              <w:t>6</w:t>
            </w:r>
            <w:r>
              <w:rPr>
                <w:rFonts w:asciiTheme="minorHAnsi" w:eastAsiaTheme="minorEastAsia" w:hAnsiTheme="minorHAnsi"/>
                <w:noProof/>
                <w:sz w:val="24"/>
                <w:szCs w:val="24"/>
                <w:lang w:eastAsia="en-GB"/>
              </w:rPr>
              <w:tab/>
            </w:r>
            <w:r w:rsidRPr="0019051C">
              <w:rPr>
                <w:rStyle w:val="Hyperlink"/>
                <w:rFonts w:cs="Calibri"/>
                <w:b/>
                <w:bCs/>
                <w:noProof/>
              </w:rPr>
              <w:t>Critical discussion</w:t>
            </w:r>
            <w:r>
              <w:rPr>
                <w:noProof/>
                <w:webHidden/>
              </w:rPr>
              <w:tab/>
            </w:r>
            <w:r>
              <w:rPr>
                <w:noProof/>
                <w:webHidden/>
              </w:rPr>
              <w:fldChar w:fldCharType="begin"/>
            </w:r>
            <w:r>
              <w:rPr>
                <w:noProof/>
                <w:webHidden/>
              </w:rPr>
              <w:instrText xml:space="preserve"> PAGEREF _Toc226635584 \h </w:instrText>
            </w:r>
            <w:r>
              <w:rPr>
                <w:noProof/>
                <w:webHidden/>
              </w:rPr>
            </w:r>
            <w:r>
              <w:rPr>
                <w:noProof/>
                <w:webHidden/>
              </w:rPr>
              <w:fldChar w:fldCharType="separate"/>
            </w:r>
            <w:r>
              <w:rPr>
                <w:noProof/>
                <w:webHidden/>
              </w:rPr>
              <w:t>15</w:t>
            </w:r>
            <w:r>
              <w:rPr>
                <w:noProof/>
                <w:webHidden/>
              </w:rPr>
              <w:fldChar w:fldCharType="end"/>
            </w:r>
          </w:hyperlink>
        </w:p>
        <w:p w14:paraId="58E3DB5D" w14:textId="5FE7D58C" w:rsidR="009F0616" w:rsidRDefault="009F0616">
          <w:pPr>
            <w:pStyle w:val="TOC1"/>
            <w:tabs>
              <w:tab w:val="left" w:pos="480"/>
              <w:tab w:val="right" w:leader="dot" w:pos="9016"/>
            </w:tabs>
            <w:rPr>
              <w:rFonts w:asciiTheme="minorHAnsi" w:eastAsiaTheme="minorEastAsia" w:hAnsiTheme="minorHAnsi"/>
              <w:noProof/>
              <w:sz w:val="24"/>
              <w:szCs w:val="24"/>
              <w:lang w:eastAsia="en-GB"/>
            </w:rPr>
          </w:pPr>
          <w:hyperlink w:anchor="_Toc226635585" w:history="1">
            <w:r w:rsidRPr="0019051C">
              <w:rPr>
                <w:rStyle w:val="Hyperlink"/>
                <w:rFonts w:cs="Calibri"/>
                <w:b/>
                <w:bCs/>
                <w:noProof/>
              </w:rPr>
              <w:t>7</w:t>
            </w:r>
            <w:r>
              <w:rPr>
                <w:rFonts w:asciiTheme="minorHAnsi" w:eastAsiaTheme="minorEastAsia" w:hAnsiTheme="minorHAnsi"/>
                <w:noProof/>
                <w:sz w:val="24"/>
                <w:szCs w:val="24"/>
                <w:lang w:eastAsia="en-GB"/>
              </w:rPr>
              <w:tab/>
            </w:r>
            <w:r w:rsidRPr="0019051C">
              <w:rPr>
                <w:rStyle w:val="Hyperlink"/>
                <w:rFonts w:cs="Calibri"/>
                <w:b/>
                <w:bCs/>
                <w:noProof/>
              </w:rPr>
              <w:t>Conclusion</w:t>
            </w:r>
            <w:r>
              <w:rPr>
                <w:noProof/>
                <w:webHidden/>
              </w:rPr>
              <w:tab/>
            </w:r>
            <w:r>
              <w:rPr>
                <w:noProof/>
                <w:webHidden/>
              </w:rPr>
              <w:fldChar w:fldCharType="begin"/>
            </w:r>
            <w:r>
              <w:rPr>
                <w:noProof/>
                <w:webHidden/>
              </w:rPr>
              <w:instrText xml:space="preserve"> PAGEREF _Toc226635585 \h </w:instrText>
            </w:r>
            <w:r>
              <w:rPr>
                <w:noProof/>
                <w:webHidden/>
              </w:rPr>
            </w:r>
            <w:r>
              <w:rPr>
                <w:noProof/>
                <w:webHidden/>
              </w:rPr>
              <w:fldChar w:fldCharType="separate"/>
            </w:r>
            <w:r>
              <w:rPr>
                <w:noProof/>
                <w:webHidden/>
              </w:rPr>
              <w:t>15</w:t>
            </w:r>
            <w:r>
              <w:rPr>
                <w:noProof/>
                <w:webHidden/>
              </w:rPr>
              <w:fldChar w:fldCharType="end"/>
            </w:r>
          </w:hyperlink>
        </w:p>
        <w:p w14:paraId="3863552E" w14:textId="61248CAA" w:rsidR="009F0616" w:rsidRDefault="009F0616">
          <w:pPr>
            <w:pStyle w:val="TOC1"/>
            <w:tabs>
              <w:tab w:val="right" w:leader="dot" w:pos="9016"/>
            </w:tabs>
            <w:rPr>
              <w:rFonts w:asciiTheme="minorHAnsi" w:eastAsiaTheme="minorEastAsia" w:hAnsiTheme="minorHAnsi"/>
              <w:noProof/>
              <w:sz w:val="24"/>
              <w:szCs w:val="24"/>
              <w:lang w:eastAsia="en-GB"/>
            </w:rPr>
          </w:pPr>
          <w:hyperlink w:anchor="_Toc226635586" w:history="1">
            <w:r w:rsidRPr="0019051C">
              <w:rPr>
                <w:rStyle w:val="Hyperlink"/>
                <w:rFonts w:cs="Calibri"/>
                <w:b/>
                <w:bCs/>
                <w:noProof/>
              </w:rPr>
              <w:t>References</w:t>
            </w:r>
            <w:r>
              <w:rPr>
                <w:noProof/>
                <w:webHidden/>
              </w:rPr>
              <w:tab/>
            </w:r>
            <w:r>
              <w:rPr>
                <w:noProof/>
                <w:webHidden/>
              </w:rPr>
              <w:fldChar w:fldCharType="begin"/>
            </w:r>
            <w:r>
              <w:rPr>
                <w:noProof/>
                <w:webHidden/>
              </w:rPr>
              <w:instrText xml:space="preserve"> PAGEREF _Toc226635586 \h </w:instrText>
            </w:r>
            <w:r>
              <w:rPr>
                <w:noProof/>
                <w:webHidden/>
              </w:rPr>
            </w:r>
            <w:r>
              <w:rPr>
                <w:noProof/>
                <w:webHidden/>
              </w:rPr>
              <w:fldChar w:fldCharType="separate"/>
            </w:r>
            <w:r>
              <w:rPr>
                <w:noProof/>
                <w:webHidden/>
              </w:rPr>
              <w:t>15</w:t>
            </w:r>
            <w:r>
              <w:rPr>
                <w:noProof/>
                <w:webHidden/>
              </w:rPr>
              <w:fldChar w:fldCharType="end"/>
            </w:r>
          </w:hyperlink>
        </w:p>
        <w:p w14:paraId="6EABE64B" w14:textId="55C789BF" w:rsidR="000C0E85" w:rsidRDefault="000C0E85">
          <w:r>
            <w:rPr>
              <w:b/>
              <w:bCs/>
              <w:noProof/>
            </w:rPr>
            <w:fldChar w:fldCharType="end"/>
          </w:r>
        </w:p>
      </w:sdtContent>
    </w:sdt>
    <w:p w14:paraId="60E002E9" w14:textId="77777777" w:rsidR="00F00550" w:rsidRDefault="00F00550" w:rsidP="000C0E85">
      <w:pPr>
        <w:pStyle w:val="Heading1"/>
      </w:pPr>
    </w:p>
    <w:p w14:paraId="13C35A6D" w14:textId="77777777" w:rsidR="00F00550" w:rsidRDefault="00F00550"/>
    <w:p w14:paraId="2B57B073" w14:textId="5EF71DDF" w:rsidR="00F00550" w:rsidRPr="0091621F" w:rsidRDefault="00900E1E" w:rsidP="0091621F">
      <w:pPr>
        <w:pStyle w:val="Heading1"/>
        <w:jc w:val="center"/>
        <w:rPr>
          <w:rFonts w:ascii="Calibri" w:hAnsi="Calibri" w:cs="Calibri"/>
          <w:b/>
          <w:bCs/>
          <w:sz w:val="44"/>
          <w:szCs w:val="44"/>
          <w:u w:val="single"/>
        </w:rPr>
      </w:pPr>
      <w:bookmarkStart w:id="5" w:name="_Toc226635560"/>
      <w:r>
        <w:rPr>
          <w:rFonts w:ascii="Calibri" w:hAnsi="Calibri" w:cs="Calibri"/>
          <w:b/>
          <w:bCs/>
          <w:sz w:val="44"/>
          <w:szCs w:val="44"/>
          <w:u w:val="single"/>
        </w:rPr>
        <w:lastRenderedPageBreak/>
        <w:t>List</w:t>
      </w:r>
      <w:r w:rsidR="0091621F" w:rsidRPr="0091621F">
        <w:rPr>
          <w:rFonts w:ascii="Calibri" w:hAnsi="Calibri" w:cs="Calibri"/>
          <w:b/>
          <w:bCs/>
          <w:sz w:val="44"/>
          <w:szCs w:val="44"/>
          <w:u w:val="single"/>
        </w:rPr>
        <w:t xml:space="preserve"> of </w:t>
      </w:r>
      <w:r w:rsidR="00FB751D">
        <w:rPr>
          <w:rFonts w:ascii="Calibri" w:hAnsi="Calibri" w:cs="Calibri"/>
          <w:b/>
          <w:bCs/>
          <w:sz w:val="44"/>
          <w:szCs w:val="44"/>
          <w:u w:val="single"/>
        </w:rPr>
        <w:t>F</w:t>
      </w:r>
      <w:r w:rsidR="0091621F" w:rsidRPr="0091621F">
        <w:rPr>
          <w:rFonts w:ascii="Calibri" w:hAnsi="Calibri" w:cs="Calibri"/>
          <w:b/>
          <w:bCs/>
          <w:sz w:val="44"/>
          <w:szCs w:val="44"/>
          <w:u w:val="single"/>
        </w:rPr>
        <w:t>igures</w:t>
      </w:r>
      <w:bookmarkEnd w:id="5"/>
    </w:p>
    <w:p w14:paraId="2FDB7CBB" w14:textId="3ACB6BCA" w:rsidR="00722CF6" w:rsidRDefault="001A4B37">
      <w:pPr>
        <w:pStyle w:val="TableofFigures"/>
        <w:tabs>
          <w:tab w:val="right" w:leader="dot" w:pos="9016"/>
        </w:tabs>
        <w:rPr>
          <w:rFonts w:asciiTheme="minorHAnsi" w:eastAsiaTheme="minorEastAsia" w:hAnsiTheme="minorHAnsi"/>
          <w:noProof/>
          <w:sz w:val="24"/>
          <w:szCs w:val="24"/>
          <w:lang w:eastAsia="en-GB"/>
        </w:rPr>
      </w:pPr>
      <w:r>
        <w:fldChar w:fldCharType="begin"/>
      </w:r>
      <w:r>
        <w:instrText xml:space="preserve"> TOC \h \z \c "Figure" </w:instrText>
      </w:r>
      <w:r>
        <w:fldChar w:fldCharType="separate"/>
      </w:r>
      <w:hyperlink w:anchor="_Toc226622700" w:history="1">
        <w:r w:rsidR="00722CF6" w:rsidRPr="00BB3652">
          <w:rPr>
            <w:rStyle w:val="Hyperlink"/>
            <w:b/>
            <w:bCs/>
            <w:noProof/>
          </w:rPr>
          <w:t>Figure 1 Integrated governance stack and accountability flow</w:t>
        </w:r>
        <w:r w:rsidR="00722CF6">
          <w:rPr>
            <w:noProof/>
            <w:webHidden/>
          </w:rPr>
          <w:tab/>
        </w:r>
        <w:r w:rsidR="00722CF6">
          <w:rPr>
            <w:noProof/>
            <w:webHidden/>
          </w:rPr>
          <w:fldChar w:fldCharType="begin"/>
        </w:r>
        <w:r w:rsidR="00722CF6">
          <w:rPr>
            <w:noProof/>
            <w:webHidden/>
          </w:rPr>
          <w:instrText xml:space="preserve"> PAGEREF _Toc226622700 \h </w:instrText>
        </w:r>
        <w:r w:rsidR="00722CF6">
          <w:rPr>
            <w:noProof/>
            <w:webHidden/>
          </w:rPr>
        </w:r>
        <w:r w:rsidR="00722CF6">
          <w:rPr>
            <w:noProof/>
            <w:webHidden/>
          </w:rPr>
          <w:fldChar w:fldCharType="separate"/>
        </w:r>
        <w:r w:rsidR="00722CF6">
          <w:rPr>
            <w:noProof/>
            <w:webHidden/>
          </w:rPr>
          <w:t>8</w:t>
        </w:r>
        <w:r w:rsidR="00722CF6">
          <w:rPr>
            <w:noProof/>
            <w:webHidden/>
          </w:rPr>
          <w:fldChar w:fldCharType="end"/>
        </w:r>
      </w:hyperlink>
    </w:p>
    <w:p w14:paraId="124CD42C" w14:textId="52AFD57F" w:rsidR="00722CF6" w:rsidRDefault="00722CF6">
      <w:pPr>
        <w:pStyle w:val="TableofFigures"/>
        <w:tabs>
          <w:tab w:val="right" w:leader="dot" w:pos="9016"/>
        </w:tabs>
        <w:rPr>
          <w:rFonts w:asciiTheme="minorHAnsi" w:eastAsiaTheme="minorEastAsia" w:hAnsiTheme="minorHAnsi"/>
          <w:noProof/>
          <w:sz w:val="24"/>
          <w:szCs w:val="24"/>
          <w:lang w:eastAsia="en-GB"/>
        </w:rPr>
      </w:pPr>
      <w:hyperlink w:anchor="_Toc226622701" w:history="1">
        <w:r>
          <w:rPr>
            <w:rStyle w:val="Hyperlink"/>
            <w:b/>
            <w:bCs/>
            <w:noProof/>
          </w:rPr>
          <w:t>Figure 2: Three Lines of Defence target operating model for security and compliance</w:t>
        </w:r>
        <w:r>
          <w:rPr>
            <w:rStyle w:val="Hyperlink"/>
            <w:b/>
            <w:bCs/>
            <w:noProof/>
          </w:rPr>
          <w:tab/>
          <w:t>9</w:t>
        </w:r>
      </w:hyperlink>
    </w:p>
    <w:p w14:paraId="28746557" w14:textId="12B5909E" w:rsidR="00722CF6" w:rsidRDefault="00722CF6">
      <w:pPr>
        <w:pStyle w:val="TableofFigures"/>
        <w:tabs>
          <w:tab w:val="right" w:leader="dot" w:pos="9016"/>
        </w:tabs>
        <w:rPr>
          <w:rFonts w:asciiTheme="minorHAnsi" w:eastAsiaTheme="minorEastAsia" w:hAnsiTheme="minorHAnsi"/>
          <w:noProof/>
          <w:sz w:val="24"/>
          <w:szCs w:val="24"/>
          <w:lang w:eastAsia="en-GB"/>
        </w:rPr>
      </w:pPr>
      <w:hyperlink w:anchor="_Toc226622702" w:history="1">
        <w:r w:rsidRPr="00BB3652">
          <w:rPr>
            <w:rStyle w:val="Hyperlink"/>
            <w:b/>
            <w:bCs/>
            <w:noProof/>
          </w:rPr>
          <w:t>Figure 3 Framework mapping (COBIT 2019 ↔ ISO 27001/27002 ↔ NIST CSF 2.0)</w:t>
        </w:r>
        <w:r>
          <w:rPr>
            <w:noProof/>
            <w:webHidden/>
          </w:rPr>
          <w:tab/>
        </w:r>
        <w:r>
          <w:rPr>
            <w:noProof/>
            <w:webHidden/>
          </w:rPr>
          <w:fldChar w:fldCharType="begin"/>
        </w:r>
        <w:r>
          <w:rPr>
            <w:noProof/>
            <w:webHidden/>
          </w:rPr>
          <w:instrText xml:space="preserve"> PAGEREF _Toc226622702 \h </w:instrText>
        </w:r>
        <w:r>
          <w:rPr>
            <w:noProof/>
            <w:webHidden/>
          </w:rPr>
        </w:r>
        <w:r>
          <w:rPr>
            <w:noProof/>
            <w:webHidden/>
          </w:rPr>
          <w:fldChar w:fldCharType="separate"/>
        </w:r>
        <w:r>
          <w:rPr>
            <w:noProof/>
            <w:webHidden/>
          </w:rPr>
          <w:t>10</w:t>
        </w:r>
        <w:r>
          <w:rPr>
            <w:noProof/>
            <w:webHidden/>
          </w:rPr>
          <w:fldChar w:fldCharType="end"/>
        </w:r>
      </w:hyperlink>
    </w:p>
    <w:p w14:paraId="14608DC7" w14:textId="07E565AC" w:rsidR="00722CF6" w:rsidRDefault="00722CF6">
      <w:pPr>
        <w:pStyle w:val="TableofFigures"/>
        <w:tabs>
          <w:tab w:val="right" w:leader="dot" w:pos="9016"/>
        </w:tabs>
        <w:rPr>
          <w:rFonts w:asciiTheme="minorHAnsi" w:eastAsiaTheme="minorEastAsia" w:hAnsiTheme="minorHAnsi"/>
          <w:noProof/>
          <w:sz w:val="24"/>
          <w:szCs w:val="24"/>
          <w:lang w:eastAsia="en-GB"/>
        </w:rPr>
      </w:pPr>
      <w:hyperlink w:anchor="_Toc226622703" w:history="1">
        <w:r w:rsidRPr="00BB3652">
          <w:rPr>
            <w:rStyle w:val="Hyperlink"/>
            <w:b/>
            <w:bCs/>
            <w:noProof/>
          </w:rPr>
          <w:t>Figure 4 Third</w:t>
        </w:r>
        <w:r w:rsidRPr="00BB3652">
          <w:rPr>
            <w:rStyle w:val="Hyperlink"/>
            <w:rFonts w:ascii="Cambria Math" w:hAnsi="Cambria Math" w:cs="Cambria Math"/>
            <w:b/>
            <w:bCs/>
            <w:noProof/>
          </w:rPr>
          <w:t>‑</w:t>
        </w:r>
        <w:r w:rsidRPr="00BB3652">
          <w:rPr>
            <w:rStyle w:val="Hyperlink"/>
            <w:b/>
            <w:bCs/>
            <w:noProof/>
          </w:rPr>
          <w:t xml:space="preserve">party and outsourcing risk lifecycle (due diligence </w:t>
        </w:r>
        <w:r w:rsidRPr="00BB3652">
          <w:rPr>
            <w:rStyle w:val="Hyperlink"/>
            <w:rFonts w:cs="Calibri"/>
            <w:b/>
            <w:bCs/>
            <w:noProof/>
          </w:rPr>
          <w:t>→</w:t>
        </w:r>
        <w:r w:rsidRPr="00BB3652">
          <w:rPr>
            <w:rStyle w:val="Hyperlink"/>
            <w:b/>
            <w:bCs/>
            <w:noProof/>
          </w:rPr>
          <w:t xml:space="preserve"> contracting </w:t>
        </w:r>
        <w:r w:rsidRPr="00BB3652">
          <w:rPr>
            <w:rStyle w:val="Hyperlink"/>
            <w:rFonts w:cs="Calibri"/>
            <w:b/>
            <w:bCs/>
            <w:noProof/>
          </w:rPr>
          <w:t>→</w:t>
        </w:r>
        <w:r w:rsidRPr="00BB3652">
          <w:rPr>
            <w:rStyle w:val="Hyperlink"/>
            <w:b/>
            <w:bCs/>
            <w:noProof/>
          </w:rPr>
          <w:t xml:space="preserve"> monitoring </w:t>
        </w:r>
        <w:r w:rsidRPr="00BB3652">
          <w:rPr>
            <w:rStyle w:val="Hyperlink"/>
            <w:rFonts w:cs="Calibri"/>
            <w:b/>
            <w:bCs/>
            <w:noProof/>
          </w:rPr>
          <w:t>→</w:t>
        </w:r>
        <w:r w:rsidRPr="00BB3652">
          <w:rPr>
            <w:rStyle w:val="Hyperlink"/>
            <w:b/>
            <w:bCs/>
            <w:noProof/>
          </w:rPr>
          <w:t xml:space="preserve"> exit)</w:t>
        </w:r>
        <w:r>
          <w:rPr>
            <w:noProof/>
            <w:webHidden/>
          </w:rPr>
          <w:tab/>
        </w:r>
        <w:r>
          <w:rPr>
            <w:noProof/>
            <w:webHidden/>
          </w:rPr>
          <w:fldChar w:fldCharType="begin"/>
        </w:r>
        <w:r>
          <w:rPr>
            <w:noProof/>
            <w:webHidden/>
          </w:rPr>
          <w:instrText xml:space="preserve"> PAGEREF _Toc226622703 \h </w:instrText>
        </w:r>
        <w:r>
          <w:rPr>
            <w:noProof/>
            <w:webHidden/>
          </w:rPr>
        </w:r>
        <w:r>
          <w:rPr>
            <w:noProof/>
            <w:webHidden/>
          </w:rPr>
          <w:fldChar w:fldCharType="separate"/>
        </w:r>
        <w:r>
          <w:rPr>
            <w:noProof/>
            <w:webHidden/>
          </w:rPr>
          <w:t>12</w:t>
        </w:r>
        <w:r>
          <w:rPr>
            <w:noProof/>
            <w:webHidden/>
          </w:rPr>
          <w:fldChar w:fldCharType="end"/>
        </w:r>
      </w:hyperlink>
    </w:p>
    <w:p w14:paraId="572BD698" w14:textId="5BBD79A8" w:rsidR="00722CF6" w:rsidRDefault="00722CF6">
      <w:pPr>
        <w:pStyle w:val="TableofFigures"/>
        <w:tabs>
          <w:tab w:val="right" w:leader="dot" w:pos="9016"/>
        </w:tabs>
        <w:rPr>
          <w:rFonts w:asciiTheme="minorHAnsi" w:eastAsiaTheme="minorEastAsia" w:hAnsiTheme="minorHAnsi"/>
          <w:noProof/>
          <w:sz w:val="24"/>
          <w:szCs w:val="24"/>
          <w:lang w:eastAsia="en-GB"/>
        </w:rPr>
      </w:pPr>
      <w:hyperlink w:anchor="_Toc226622704" w:history="1">
        <w:r>
          <w:rPr>
            <w:rStyle w:val="Hyperlink"/>
            <w:b/>
            <w:bCs/>
            <w:noProof/>
          </w:rPr>
          <w:t>Figure 5: Zero Trust access model for BYOD and mobile administration access</w:t>
        </w:r>
        <w:r>
          <w:rPr>
            <w:rStyle w:val="Hyperlink"/>
            <w:b/>
            <w:bCs/>
            <w:noProof/>
          </w:rPr>
          <w:tab/>
          <w:t>12</w:t>
        </w:r>
      </w:hyperlink>
    </w:p>
    <w:p w14:paraId="7FFC5B73" w14:textId="47D4741D" w:rsidR="00F00550" w:rsidRDefault="001A4B37">
      <w:r>
        <w:fldChar w:fldCharType="end"/>
      </w:r>
    </w:p>
    <w:p w14:paraId="200C35EB" w14:textId="77777777" w:rsidR="00F00550" w:rsidRDefault="00F00550"/>
    <w:p w14:paraId="55299A67" w14:textId="77777777" w:rsidR="00F00550" w:rsidRDefault="00F00550"/>
    <w:p w14:paraId="20F6CB81" w14:textId="77777777" w:rsidR="00F00550" w:rsidRDefault="00F00550"/>
    <w:p w14:paraId="457C5924" w14:textId="77777777" w:rsidR="00F00550" w:rsidRDefault="00F00550"/>
    <w:p w14:paraId="6C386F10" w14:textId="49A5C50C" w:rsidR="00F00550" w:rsidRPr="00900E1E" w:rsidRDefault="00900E1E" w:rsidP="00900E1E">
      <w:pPr>
        <w:pStyle w:val="Heading1"/>
        <w:jc w:val="center"/>
        <w:rPr>
          <w:rFonts w:ascii="Calibri" w:hAnsi="Calibri" w:cs="Calibri"/>
          <w:b/>
          <w:bCs/>
          <w:sz w:val="44"/>
          <w:szCs w:val="44"/>
          <w:u w:val="single"/>
        </w:rPr>
      </w:pPr>
      <w:bookmarkStart w:id="6" w:name="_Toc226635561"/>
      <w:r w:rsidRPr="00900E1E">
        <w:rPr>
          <w:rFonts w:ascii="Calibri" w:hAnsi="Calibri" w:cs="Calibri"/>
          <w:b/>
          <w:bCs/>
          <w:sz w:val="44"/>
          <w:szCs w:val="44"/>
          <w:u w:val="single"/>
        </w:rPr>
        <w:t>List of Tables</w:t>
      </w:r>
      <w:bookmarkEnd w:id="6"/>
    </w:p>
    <w:p w14:paraId="441473B4" w14:textId="4C5E5A11" w:rsidR="00722CF6" w:rsidRDefault="00900E1E">
      <w:pPr>
        <w:pStyle w:val="TableofFigures"/>
        <w:tabs>
          <w:tab w:val="right" w:leader="dot" w:pos="9016"/>
        </w:tabs>
        <w:rPr>
          <w:rFonts w:asciiTheme="minorHAnsi" w:eastAsiaTheme="minorEastAsia" w:hAnsiTheme="minorHAnsi"/>
          <w:noProof/>
          <w:sz w:val="24"/>
          <w:szCs w:val="24"/>
          <w:lang w:eastAsia="en-GB"/>
        </w:rPr>
      </w:pPr>
      <w:r>
        <w:fldChar w:fldCharType="begin"/>
      </w:r>
      <w:r>
        <w:instrText xml:space="preserve"> TOC \h \z \c "Table" </w:instrText>
      </w:r>
      <w:r>
        <w:fldChar w:fldCharType="separate"/>
      </w:r>
      <w:hyperlink w:anchor="_Toc226622705" w:history="1">
        <w:r w:rsidR="00722CF6" w:rsidRPr="008F7F47">
          <w:rPr>
            <w:rStyle w:val="Hyperlink"/>
            <w:b/>
            <w:bCs/>
            <w:noProof/>
          </w:rPr>
          <w:t>Table 1 Regulatory/standards obligations matrix and required evidence artefacts.</w:t>
        </w:r>
        <w:r w:rsidR="00722CF6">
          <w:rPr>
            <w:noProof/>
            <w:webHidden/>
          </w:rPr>
          <w:tab/>
        </w:r>
        <w:r w:rsidR="00722CF6">
          <w:rPr>
            <w:noProof/>
            <w:webHidden/>
          </w:rPr>
          <w:fldChar w:fldCharType="begin"/>
        </w:r>
        <w:r w:rsidR="00722CF6">
          <w:rPr>
            <w:noProof/>
            <w:webHidden/>
          </w:rPr>
          <w:instrText xml:space="preserve"> PAGEREF _Toc226622705 \h </w:instrText>
        </w:r>
        <w:r w:rsidR="00722CF6">
          <w:rPr>
            <w:noProof/>
            <w:webHidden/>
          </w:rPr>
        </w:r>
        <w:r w:rsidR="00722CF6">
          <w:rPr>
            <w:noProof/>
            <w:webHidden/>
          </w:rPr>
          <w:fldChar w:fldCharType="separate"/>
        </w:r>
        <w:r w:rsidR="00722CF6">
          <w:rPr>
            <w:noProof/>
            <w:webHidden/>
          </w:rPr>
          <w:t>7</w:t>
        </w:r>
        <w:r w:rsidR="00722CF6">
          <w:rPr>
            <w:noProof/>
            <w:webHidden/>
          </w:rPr>
          <w:fldChar w:fldCharType="end"/>
        </w:r>
      </w:hyperlink>
    </w:p>
    <w:p w14:paraId="5FA79F06" w14:textId="7BC374F8" w:rsidR="00722CF6" w:rsidRDefault="00722CF6">
      <w:pPr>
        <w:pStyle w:val="TableofFigures"/>
        <w:tabs>
          <w:tab w:val="right" w:leader="dot" w:pos="9016"/>
        </w:tabs>
        <w:rPr>
          <w:rFonts w:asciiTheme="minorHAnsi" w:eastAsiaTheme="minorEastAsia" w:hAnsiTheme="minorHAnsi"/>
          <w:noProof/>
          <w:sz w:val="24"/>
          <w:szCs w:val="24"/>
          <w:lang w:eastAsia="en-GB"/>
        </w:rPr>
      </w:pPr>
      <w:hyperlink w:anchor="_Toc226622706" w:history="1">
        <w:r w:rsidRPr="008F7F47">
          <w:rPr>
            <w:rStyle w:val="Hyperlink"/>
            <w:rFonts w:cs="Calibri"/>
            <w:b/>
            <w:bCs/>
            <w:noProof/>
          </w:rPr>
          <w:t>Table 2 FinSure Bank Top</w:t>
        </w:r>
        <w:r w:rsidRPr="008F7F47">
          <w:rPr>
            <w:rStyle w:val="Hyperlink"/>
            <w:rFonts w:ascii="Cambria Math" w:hAnsi="Cambria Math" w:cs="Cambria Math"/>
            <w:b/>
            <w:bCs/>
            <w:noProof/>
          </w:rPr>
          <w:t>‑</w:t>
        </w:r>
        <w:r w:rsidRPr="008F7F47">
          <w:rPr>
            <w:rStyle w:val="Hyperlink"/>
            <w:rFonts w:cs="Calibri"/>
            <w:b/>
            <w:bCs/>
            <w:noProof/>
          </w:rPr>
          <w:t>25 control baseline with KPIs/KRIs and assurance method</w:t>
        </w:r>
        <w:r>
          <w:rPr>
            <w:noProof/>
            <w:webHidden/>
          </w:rPr>
          <w:tab/>
        </w:r>
        <w:r>
          <w:rPr>
            <w:noProof/>
            <w:webHidden/>
          </w:rPr>
          <w:fldChar w:fldCharType="begin"/>
        </w:r>
        <w:r>
          <w:rPr>
            <w:noProof/>
            <w:webHidden/>
          </w:rPr>
          <w:instrText xml:space="preserve"> PAGEREF _Toc226622706 \h </w:instrText>
        </w:r>
        <w:r>
          <w:rPr>
            <w:noProof/>
            <w:webHidden/>
          </w:rPr>
        </w:r>
        <w:r>
          <w:rPr>
            <w:noProof/>
            <w:webHidden/>
          </w:rPr>
          <w:fldChar w:fldCharType="separate"/>
        </w:r>
        <w:r>
          <w:rPr>
            <w:noProof/>
            <w:webHidden/>
          </w:rPr>
          <w:t>11</w:t>
        </w:r>
        <w:r>
          <w:rPr>
            <w:noProof/>
            <w:webHidden/>
          </w:rPr>
          <w:fldChar w:fldCharType="end"/>
        </w:r>
      </w:hyperlink>
    </w:p>
    <w:p w14:paraId="3C8C92D4" w14:textId="729397C5" w:rsidR="00722CF6" w:rsidRDefault="00722CF6">
      <w:pPr>
        <w:pStyle w:val="TableofFigures"/>
        <w:tabs>
          <w:tab w:val="right" w:leader="dot" w:pos="9016"/>
        </w:tabs>
        <w:rPr>
          <w:rFonts w:asciiTheme="minorHAnsi" w:eastAsiaTheme="minorEastAsia" w:hAnsiTheme="minorHAnsi"/>
          <w:noProof/>
          <w:sz w:val="24"/>
          <w:szCs w:val="24"/>
          <w:lang w:eastAsia="en-GB"/>
        </w:rPr>
      </w:pPr>
      <w:hyperlink w:anchor="_Toc226622707" w:history="1">
        <w:r w:rsidRPr="008F7F47">
          <w:rPr>
            <w:rStyle w:val="Hyperlink"/>
            <w:b/>
            <w:bCs/>
            <w:noProof/>
          </w:rPr>
          <w:t>Table 3 Incident response playbooks and reporting triggers (security, privacy, resilience)</w:t>
        </w:r>
        <w:r>
          <w:rPr>
            <w:noProof/>
            <w:webHidden/>
          </w:rPr>
          <w:tab/>
        </w:r>
        <w:r>
          <w:rPr>
            <w:noProof/>
            <w:webHidden/>
          </w:rPr>
          <w:fldChar w:fldCharType="begin"/>
        </w:r>
        <w:r>
          <w:rPr>
            <w:noProof/>
            <w:webHidden/>
          </w:rPr>
          <w:instrText xml:space="preserve"> PAGEREF _Toc226622707 \h </w:instrText>
        </w:r>
        <w:r>
          <w:rPr>
            <w:noProof/>
            <w:webHidden/>
          </w:rPr>
        </w:r>
        <w:r>
          <w:rPr>
            <w:noProof/>
            <w:webHidden/>
          </w:rPr>
          <w:fldChar w:fldCharType="separate"/>
        </w:r>
        <w:r>
          <w:rPr>
            <w:noProof/>
            <w:webHidden/>
          </w:rPr>
          <w:t>13</w:t>
        </w:r>
        <w:r>
          <w:rPr>
            <w:noProof/>
            <w:webHidden/>
          </w:rPr>
          <w:fldChar w:fldCharType="end"/>
        </w:r>
      </w:hyperlink>
    </w:p>
    <w:p w14:paraId="29B89AE6" w14:textId="77E9AD33" w:rsidR="00F00550" w:rsidRDefault="00900E1E">
      <w:r>
        <w:fldChar w:fldCharType="end"/>
      </w:r>
    </w:p>
    <w:p w14:paraId="6E801EB4" w14:textId="77777777" w:rsidR="00F00550" w:rsidRDefault="00F00550"/>
    <w:p w14:paraId="20431414" w14:textId="77777777" w:rsidR="00F00550" w:rsidRDefault="00F00550"/>
    <w:p w14:paraId="0B27C3A8" w14:textId="77777777" w:rsidR="00F00550" w:rsidRDefault="00F00550"/>
    <w:p w14:paraId="3029B538" w14:textId="77777777" w:rsidR="00F00550" w:rsidRDefault="00F00550"/>
    <w:p w14:paraId="3FAD1C41" w14:textId="77777777" w:rsidR="00F00550" w:rsidRDefault="00F00550"/>
    <w:p w14:paraId="7DD564FD" w14:textId="77777777" w:rsidR="00F00550" w:rsidRDefault="00F00550"/>
    <w:p w14:paraId="7F91A5EF" w14:textId="77777777" w:rsidR="00F00550" w:rsidRDefault="00F00550"/>
    <w:p w14:paraId="038E743A" w14:textId="77777777" w:rsidR="00F00550" w:rsidRDefault="00F00550"/>
    <w:p w14:paraId="23613BD5" w14:textId="77777777" w:rsidR="00F00550" w:rsidRDefault="00F00550"/>
    <w:p w14:paraId="31721D10" w14:textId="77777777" w:rsidR="00F00550" w:rsidRDefault="00F00550"/>
    <w:p w14:paraId="689E19BE" w14:textId="77777777" w:rsidR="00F00550" w:rsidRDefault="00F00550"/>
    <w:p w14:paraId="21E1B035" w14:textId="77777777" w:rsidR="00F00550" w:rsidRDefault="00F00550"/>
    <w:p w14:paraId="0F3FAC47" w14:textId="77777777" w:rsidR="00F00550" w:rsidRDefault="00F00550"/>
    <w:p w14:paraId="4CD1153C" w14:textId="77777777" w:rsidR="0024058E" w:rsidRDefault="0024058E"/>
    <w:p w14:paraId="06D14097" w14:textId="77777777" w:rsidR="0024058E" w:rsidRDefault="0024058E"/>
    <w:p w14:paraId="5E5F0C73" w14:textId="304CE88D" w:rsidR="00F00550" w:rsidRPr="003139C0" w:rsidRDefault="003139C0" w:rsidP="007E2D94">
      <w:pPr>
        <w:pStyle w:val="Heading1"/>
        <w:numPr>
          <w:ilvl w:val="0"/>
          <w:numId w:val="2"/>
        </w:numPr>
        <w:jc w:val="center"/>
        <w:rPr>
          <w:rFonts w:ascii="Calibri" w:hAnsi="Calibri" w:cs="Calibri"/>
          <w:b/>
          <w:bCs/>
          <w:sz w:val="44"/>
          <w:szCs w:val="44"/>
          <w:u w:val="single"/>
        </w:rPr>
      </w:pPr>
      <w:bookmarkStart w:id="7" w:name="_Toc226635562"/>
      <w:r>
        <w:rPr>
          <w:rFonts w:ascii="Calibri" w:hAnsi="Calibri" w:cs="Calibri"/>
          <w:b/>
          <w:bCs/>
          <w:sz w:val="44"/>
          <w:szCs w:val="44"/>
          <w:u w:val="single"/>
        </w:rPr>
        <w:lastRenderedPageBreak/>
        <w:t>Abstract</w:t>
      </w:r>
      <w:bookmarkEnd w:id="7"/>
    </w:p>
    <w:p w14:paraId="4B65F8BC" w14:textId="77777777" w:rsidR="005A2CD7" w:rsidRDefault="00927BD2">
      <w:r w:rsidRPr="00927BD2">
        <w:t xml:space="preserve">FinSure </w:t>
      </w:r>
      <w:r w:rsidR="00C2344C">
        <w:t>Bank's diversification</w:t>
      </w:r>
      <w:r w:rsidRPr="00927BD2">
        <w:t xml:space="preserve"> in its growth and service provision exposes the bank to the risk of cybersecurity, privacy, operational resilience, and regulatory non-compliance risks. In this report</w:t>
      </w:r>
      <w:r w:rsidR="00C2344C">
        <w:t>, a pipeline Data Security, Governance and Compliance methodology is designed that incorporates an information security management framework by the ISO/IEC 27001 aligned, a governance layer based on the COBIT 2019 informed and NIST-aligned</w:t>
      </w:r>
      <w:r w:rsidRPr="00927BD2">
        <w:t xml:space="preserve"> cybersecurity results. </w:t>
      </w:r>
    </w:p>
    <w:p w14:paraId="12C5B93C" w14:textId="719337BB" w:rsidR="005A2CD7" w:rsidRDefault="00927BD2">
      <w:r w:rsidRPr="00927BD2">
        <w:t xml:space="preserve">The operationalisation of the approach is a clear target operating model, which has been founded upon the Three Lines of Defence, the cyber risk being addressed in enterprise risk management, and the single control baseline being associated </w:t>
      </w:r>
      <w:r w:rsidR="00C2344C">
        <w:t>with</w:t>
      </w:r>
      <w:r w:rsidRPr="00927BD2">
        <w:t xml:space="preserve"> key financial-sector requirements, such as the EBA ICT and security risk expectations</w:t>
      </w:r>
      <w:r w:rsidR="00D56AD3">
        <w:t>,</w:t>
      </w:r>
      <w:r w:rsidRPr="00927BD2">
        <w:t xml:space="preserve"> as well as the EU operational resilience regulation. </w:t>
      </w:r>
    </w:p>
    <w:p w14:paraId="12648A82" w14:textId="22041C7D" w:rsidR="00927BD2" w:rsidRDefault="00927BD2">
      <w:r w:rsidRPr="00927BD2">
        <w:t xml:space="preserve">Additional topics covered in the report include mobile and BYOD security, third-party and cloud risk governance, incident response, and evidence-based assurance. Lastly, it critically evaluates and reviews why constant changes in standards and </w:t>
      </w:r>
      <w:r w:rsidR="00C2344C">
        <w:t>regulations</w:t>
      </w:r>
      <w:r w:rsidRPr="00927BD2">
        <w:t xml:space="preserve"> are needed in the field of financial services and how this change can be instigated without spawning compliance theatre.</w:t>
      </w:r>
    </w:p>
    <w:p w14:paraId="74667655" w14:textId="10331F7F" w:rsidR="00F00550" w:rsidRPr="00E47981" w:rsidRDefault="00FB751D" w:rsidP="00E47981">
      <w:pPr>
        <w:pStyle w:val="Heading1"/>
        <w:numPr>
          <w:ilvl w:val="0"/>
          <w:numId w:val="2"/>
        </w:numPr>
        <w:jc w:val="center"/>
        <w:rPr>
          <w:rFonts w:ascii="Calibri" w:hAnsi="Calibri" w:cs="Calibri"/>
          <w:b/>
          <w:bCs/>
          <w:sz w:val="44"/>
          <w:szCs w:val="44"/>
          <w:u w:val="single"/>
        </w:rPr>
      </w:pPr>
      <w:bookmarkStart w:id="8" w:name="_Toc226635563"/>
      <w:r>
        <w:rPr>
          <w:rFonts w:ascii="Calibri" w:hAnsi="Calibri" w:cs="Calibri"/>
          <w:b/>
          <w:bCs/>
          <w:sz w:val="44"/>
          <w:szCs w:val="44"/>
          <w:u w:val="single"/>
        </w:rPr>
        <w:t>Introduction</w:t>
      </w:r>
      <w:bookmarkEnd w:id="8"/>
    </w:p>
    <w:p w14:paraId="6A1745D2" w14:textId="28FB90DA" w:rsidR="005A2CD7" w:rsidRDefault="000A012D">
      <w:r w:rsidRPr="00E93DE5">
        <w:t>FinSure Bank is</w:t>
      </w:r>
      <w:r w:rsidR="00945DD9">
        <w:t xml:space="preserve"> r</w:t>
      </w:r>
      <w:r w:rsidR="00AE5B0B">
        <w:t>ap</w:t>
      </w:r>
      <w:r w:rsidR="00026D74">
        <w:t>idly g</w:t>
      </w:r>
      <w:r w:rsidR="00864157">
        <w:t xml:space="preserve">rowing </w:t>
      </w:r>
      <w:r w:rsidR="00864157" w:rsidRPr="00E93DE5">
        <w:t>financial services organisation</w:t>
      </w:r>
      <w:r w:rsidR="00864157">
        <w:t xml:space="preserve"> </w:t>
      </w:r>
      <w:r w:rsidR="00AE5B0B">
        <w:t xml:space="preserve">with </w:t>
      </w:r>
      <w:r w:rsidR="00E93DE5" w:rsidRPr="00E93DE5">
        <w:t>multi-product portfolio (insurance, residential mortgages, and SME / business banking) and a growth strategy that will see its customer base and digital footprint grow considerably, characteristics of the environment are high levels of confidentiality (customer/financial data), high levels of integrity (correctness of transactions) and high levels of availability (customer accessibility and essential business services)</w:t>
      </w:r>
      <w:sdt>
        <w:sdtPr>
          <w:id w:val="-342788377"/>
          <w:citation/>
        </w:sdtPr>
        <w:sdtEndPr/>
        <w:sdtContent>
          <w:r w:rsidR="0063203C">
            <w:fldChar w:fldCharType="begin"/>
          </w:r>
          <w:r w:rsidR="0063203C">
            <w:instrText xml:space="preserve"> CITATION Udd20 \l 2057 </w:instrText>
          </w:r>
          <w:r w:rsidR="0063203C">
            <w:fldChar w:fldCharType="separate"/>
          </w:r>
          <w:r w:rsidR="009F0616">
            <w:rPr>
              <w:noProof/>
            </w:rPr>
            <w:t xml:space="preserve"> </w:t>
          </w:r>
          <w:r w:rsidR="009F0616" w:rsidRPr="009F0616">
            <w:rPr>
              <w:noProof/>
            </w:rPr>
            <w:t>[1]</w:t>
          </w:r>
          <w:r w:rsidR="0063203C">
            <w:fldChar w:fldCharType="end"/>
          </w:r>
        </w:sdtContent>
      </w:sdt>
      <w:r w:rsidR="00E93DE5" w:rsidRPr="00E93DE5">
        <w:t>. Cyber incidents in the financial sector cannot be considered merely technical incidents; they could turn out to be operational resilience failures and regulatory violations</w:t>
      </w:r>
      <w:r w:rsidR="00AE5B0B">
        <w:t>, for</w:t>
      </w:r>
      <w:r w:rsidR="00E93DE5" w:rsidRPr="00E93DE5">
        <w:t xml:space="preserve"> which their reputational and financial consequences are instantaneous</w:t>
      </w:r>
      <w:sdt>
        <w:sdtPr>
          <w:id w:val="270511913"/>
          <w:citation/>
        </w:sdtPr>
        <w:sdtEndPr/>
        <w:sdtContent>
          <w:r w:rsidR="00D32178">
            <w:fldChar w:fldCharType="begin"/>
          </w:r>
          <w:r w:rsidR="00D32178">
            <w:instrText xml:space="preserve"> CITATION Dup19 \l 2057 </w:instrText>
          </w:r>
          <w:r w:rsidR="00D32178">
            <w:fldChar w:fldCharType="separate"/>
          </w:r>
          <w:r w:rsidR="009F0616">
            <w:rPr>
              <w:noProof/>
            </w:rPr>
            <w:t xml:space="preserve"> </w:t>
          </w:r>
          <w:r w:rsidR="009F0616" w:rsidRPr="009F0616">
            <w:rPr>
              <w:noProof/>
            </w:rPr>
            <w:t>[2]</w:t>
          </w:r>
          <w:r w:rsidR="00D32178">
            <w:fldChar w:fldCharType="end"/>
          </w:r>
        </w:sdtContent>
      </w:sdt>
      <w:r w:rsidR="00E93DE5" w:rsidRPr="00E93DE5">
        <w:t xml:space="preserve">. </w:t>
      </w:r>
    </w:p>
    <w:p w14:paraId="02CBA51E" w14:textId="465FF3C2" w:rsidR="00F00550" w:rsidRDefault="00E93DE5">
      <w:r w:rsidRPr="00E93DE5">
        <w:t xml:space="preserve">The aim of the report is to develop a real-world, standards-based and </w:t>
      </w:r>
      <w:r w:rsidR="00AE5B0B">
        <w:t xml:space="preserve">regulatory-conscious security governance and compliance model of the FinSure </w:t>
      </w:r>
      <w:r w:rsidR="00E943B2">
        <w:t>Bank and</w:t>
      </w:r>
      <w:r w:rsidRPr="00E93DE5">
        <w:t xml:space="preserve"> demonstrate </w:t>
      </w:r>
      <w:r w:rsidR="00AE5B0B">
        <w:t xml:space="preserve">a </w:t>
      </w:r>
      <w:r w:rsidRPr="00E93DE5">
        <w:t>fundamental understanding of why rules and regulations always need to be revised.</w:t>
      </w:r>
    </w:p>
    <w:p w14:paraId="23340EC9" w14:textId="38E0C4A6" w:rsidR="00F00550" w:rsidRPr="00E943B2" w:rsidRDefault="00E943B2" w:rsidP="007E2D94">
      <w:pPr>
        <w:pStyle w:val="Heading1"/>
        <w:numPr>
          <w:ilvl w:val="0"/>
          <w:numId w:val="2"/>
        </w:numPr>
        <w:jc w:val="center"/>
        <w:rPr>
          <w:rFonts w:ascii="Calibri" w:hAnsi="Calibri" w:cs="Calibri"/>
          <w:b/>
          <w:bCs/>
          <w:sz w:val="44"/>
          <w:szCs w:val="44"/>
          <w:u w:val="single"/>
        </w:rPr>
      </w:pPr>
      <w:bookmarkStart w:id="9" w:name="_Toc226635564"/>
      <w:r>
        <w:rPr>
          <w:rFonts w:ascii="Calibri" w:hAnsi="Calibri" w:cs="Calibri"/>
          <w:b/>
          <w:bCs/>
          <w:sz w:val="44"/>
          <w:szCs w:val="44"/>
          <w:u w:val="single"/>
        </w:rPr>
        <w:t>Methodology and Assumptions</w:t>
      </w:r>
      <w:bookmarkEnd w:id="9"/>
      <w:r>
        <w:rPr>
          <w:rFonts w:ascii="Calibri" w:hAnsi="Calibri" w:cs="Calibri"/>
          <w:b/>
          <w:bCs/>
          <w:sz w:val="44"/>
          <w:szCs w:val="44"/>
          <w:u w:val="single"/>
        </w:rPr>
        <w:t xml:space="preserve"> </w:t>
      </w:r>
    </w:p>
    <w:p w14:paraId="5AA18FB4" w14:textId="62F25237" w:rsidR="00F00550" w:rsidRPr="002E7C68" w:rsidRDefault="00A52364" w:rsidP="00DB6E08">
      <w:pPr>
        <w:pStyle w:val="Heading2"/>
        <w:numPr>
          <w:ilvl w:val="1"/>
          <w:numId w:val="6"/>
        </w:numPr>
        <w:rPr>
          <w:rFonts w:ascii="Calibri" w:hAnsi="Calibri" w:cs="Calibri"/>
          <w:b/>
          <w:bCs/>
          <w:sz w:val="28"/>
          <w:szCs w:val="28"/>
          <w:u w:val="single"/>
        </w:rPr>
      </w:pPr>
      <w:r>
        <w:rPr>
          <w:rFonts w:ascii="Calibri" w:hAnsi="Calibri" w:cs="Calibri"/>
          <w:b/>
          <w:bCs/>
          <w:sz w:val="28"/>
          <w:szCs w:val="28"/>
          <w:u w:val="single"/>
        </w:rPr>
        <w:t xml:space="preserve"> </w:t>
      </w:r>
      <w:bookmarkStart w:id="10" w:name="_Toc226635565"/>
      <w:r w:rsidR="00947326">
        <w:rPr>
          <w:rFonts w:ascii="Calibri" w:hAnsi="Calibri" w:cs="Calibri"/>
          <w:b/>
          <w:bCs/>
          <w:sz w:val="28"/>
          <w:szCs w:val="28"/>
          <w:u w:val="single"/>
        </w:rPr>
        <w:t>Method</w:t>
      </w:r>
      <w:bookmarkEnd w:id="10"/>
      <w:r w:rsidR="00947326">
        <w:rPr>
          <w:rFonts w:ascii="Calibri" w:hAnsi="Calibri" w:cs="Calibri"/>
          <w:b/>
          <w:bCs/>
          <w:sz w:val="28"/>
          <w:szCs w:val="28"/>
          <w:u w:val="single"/>
        </w:rPr>
        <w:t xml:space="preserve"> </w:t>
      </w:r>
    </w:p>
    <w:p w14:paraId="0200DA79" w14:textId="409F71C8" w:rsidR="00F00550" w:rsidRDefault="00947326">
      <w:r w:rsidRPr="00947326">
        <w:t xml:space="preserve">The current </w:t>
      </w:r>
      <w:r w:rsidR="008E6B18" w:rsidRPr="008E6B18">
        <w:rPr>
          <w:b/>
          <w:bCs/>
        </w:rPr>
        <w:t>case</w:t>
      </w:r>
      <w:r w:rsidR="008E6B18">
        <w:rPr>
          <w:b/>
          <w:bCs/>
        </w:rPr>
        <w:t xml:space="preserve"> </w:t>
      </w:r>
      <w:r w:rsidRPr="00947326">
        <w:t xml:space="preserve">study follows a design-science-based approach in developing and critically assessing a standards-based security governance system </w:t>
      </w:r>
      <w:r w:rsidR="002717B6">
        <w:t>for</w:t>
      </w:r>
      <w:r w:rsidRPr="00947326">
        <w:t xml:space="preserve"> the financial sector</w:t>
      </w:r>
      <w:sdt>
        <w:sdtPr>
          <w:id w:val="1299033111"/>
          <w:citation/>
        </w:sdtPr>
        <w:sdtEndPr/>
        <w:sdtContent>
          <w:r w:rsidR="009A5D3F">
            <w:fldChar w:fldCharType="begin"/>
          </w:r>
          <w:r w:rsidR="009A5D3F">
            <w:instrText xml:space="preserve"> CITATION Vom20 \l 2057 </w:instrText>
          </w:r>
          <w:r w:rsidR="009A5D3F">
            <w:fldChar w:fldCharType="separate"/>
          </w:r>
          <w:r w:rsidR="009F0616">
            <w:rPr>
              <w:noProof/>
            </w:rPr>
            <w:t xml:space="preserve"> </w:t>
          </w:r>
          <w:r w:rsidR="009F0616" w:rsidRPr="009F0616">
            <w:rPr>
              <w:noProof/>
            </w:rPr>
            <w:t>[3]</w:t>
          </w:r>
          <w:r w:rsidR="009A5D3F">
            <w:fldChar w:fldCharType="end"/>
          </w:r>
        </w:sdtContent>
      </w:sdt>
      <w:r w:rsidRPr="00947326">
        <w:t xml:space="preserve">. The method consists of four steps: creation of the requirements based on the situation in the financial sector and current regulatory responsibilities; choice and rationalisation of the integrated governance and control architecture with identified recognised standards, operationalisation of the design into an implementable target operating model with realisable and audit trailable controls, and critical analysis of trade-offs, constraints, and motivators to regulatory and organisational change. The foundation of the methodology is based on the ISO/IEC 27001 as a backbone of the management system, the COBIT 2019 </w:t>
      </w:r>
      <w:r w:rsidR="00E52C62">
        <w:t xml:space="preserve">for governance and management goals, the NIST Cybersecurity Framework (CSF) 2.0 as an outcome-oriented framework, and the </w:t>
      </w:r>
      <w:r w:rsidRPr="00947326">
        <w:t>NIST incident response guidelines as an operational process.</w:t>
      </w:r>
    </w:p>
    <w:p w14:paraId="614A247A" w14:textId="659D69D7" w:rsidR="00F00550" w:rsidRPr="00B87978" w:rsidRDefault="00A52364" w:rsidP="00867E2E">
      <w:pPr>
        <w:pStyle w:val="Heading2"/>
        <w:numPr>
          <w:ilvl w:val="1"/>
          <w:numId w:val="6"/>
        </w:numPr>
        <w:rPr>
          <w:rFonts w:ascii="Calibri" w:hAnsi="Calibri" w:cs="Calibri"/>
          <w:b/>
          <w:bCs/>
          <w:sz w:val="28"/>
          <w:szCs w:val="28"/>
          <w:u w:val="single"/>
        </w:rPr>
      </w:pPr>
      <w:r>
        <w:rPr>
          <w:rFonts w:ascii="Calibri" w:hAnsi="Calibri" w:cs="Calibri"/>
          <w:b/>
          <w:bCs/>
          <w:sz w:val="28"/>
          <w:szCs w:val="28"/>
          <w:u w:val="single"/>
        </w:rPr>
        <w:lastRenderedPageBreak/>
        <w:t xml:space="preserve"> </w:t>
      </w:r>
      <w:bookmarkStart w:id="11" w:name="_Toc226635566"/>
      <w:r w:rsidR="00655DEC">
        <w:rPr>
          <w:rFonts w:ascii="Calibri" w:hAnsi="Calibri" w:cs="Calibri"/>
          <w:b/>
          <w:bCs/>
          <w:sz w:val="28"/>
          <w:szCs w:val="28"/>
          <w:u w:val="single"/>
        </w:rPr>
        <w:t>Assumptions</w:t>
      </w:r>
      <w:bookmarkEnd w:id="11"/>
      <w:r w:rsidR="00B87978">
        <w:rPr>
          <w:rFonts w:ascii="Calibri" w:hAnsi="Calibri" w:cs="Calibri"/>
          <w:b/>
          <w:bCs/>
          <w:sz w:val="28"/>
          <w:szCs w:val="28"/>
          <w:u w:val="single"/>
        </w:rPr>
        <w:t xml:space="preserve"> </w:t>
      </w:r>
    </w:p>
    <w:p w14:paraId="76641864" w14:textId="4A2E197D" w:rsidR="00D6603E" w:rsidRDefault="00D6603E">
      <w:r w:rsidRPr="00D6603E">
        <w:t xml:space="preserve">This research is being </w:t>
      </w:r>
      <w:r>
        <w:t>conducted</w:t>
      </w:r>
      <w:r w:rsidRPr="00D6603E">
        <w:t xml:space="preserve"> based on the following express assumptions that determine the scope and interpretive limits of the desired design.</w:t>
      </w:r>
    </w:p>
    <w:p w14:paraId="481BF45E" w14:textId="0162B928" w:rsidR="00D6603E" w:rsidRDefault="00D6603E" w:rsidP="00693832">
      <w:pPr>
        <w:pStyle w:val="ListParagraph"/>
        <w:numPr>
          <w:ilvl w:val="0"/>
          <w:numId w:val="1"/>
        </w:numPr>
      </w:pPr>
      <w:r w:rsidRPr="00D6603E">
        <w:t xml:space="preserve">It is assumed that FinSure Bank is a hybrid technology environment, in which the infrastructure is deployed on its premises to support </w:t>
      </w:r>
      <w:r>
        <w:t>a few core banking functionalities</w:t>
      </w:r>
      <w:r w:rsidRPr="00D6603E">
        <w:t>, cloud-based systems to support analytics, customer relationship management, and collaboration services, and third-party Software-as-a-Service (SaaS) to focus on other business functions</w:t>
      </w:r>
      <w:sdt>
        <w:sdtPr>
          <w:id w:val="2127731199"/>
          <w:citation/>
        </w:sdtPr>
        <w:sdtEndPr/>
        <w:sdtContent>
          <w:r w:rsidR="00551D5E">
            <w:fldChar w:fldCharType="begin"/>
          </w:r>
          <w:r w:rsidR="00551D5E">
            <w:instrText xml:space="preserve"> CITATION Adw22 \l 2057 </w:instrText>
          </w:r>
          <w:r w:rsidR="00551D5E">
            <w:fldChar w:fldCharType="separate"/>
          </w:r>
          <w:r w:rsidR="009F0616">
            <w:rPr>
              <w:noProof/>
            </w:rPr>
            <w:t xml:space="preserve"> </w:t>
          </w:r>
          <w:r w:rsidR="009F0616" w:rsidRPr="009F0616">
            <w:rPr>
              <w:noProof/>
            </w:rPr>
            <w:t>[4]</w:t>
          </w:r>
          <w:r w:rsidR="00551D5E">
            <w:fldChar w:fldCharType="end"/>
          </w:r>
        </w:sdtContent>
      </w:sdt>
      <w:r w:rsidRPr="00D6603E">
        <w:t xml:space="preserve">. </w:t>
      </w:r>
    </w:p>
    <w:p w14:paraId="40C87FDE" w14:textId="260588B1" w:rsidR="00D6603E" w:rsidRDefault="00D6603E" w:rsidP="00693832">
      <w:pPr>
        <w:pStyle w:val="ListParagraph"/>
        <w:numPr>
          <w:ilvl w:val="0"/>
          <w:numId w:val="1"/>
        </w:numPr>
      </w:pPr>
      <w:r w:rsidRPr="00D6603E">
        <w:t>It is believed that FinSure Bank handles large amounts of personal data, both financial and other personal data of the special category, to the extent that the statutory privacy breach assessment and notification requirements may arise</w:t>
      </w:r>
      <w:sdt>
        <w:sdtPr>
          <w:id w:val="366418097"/>
          <w:citation/>
        </w:sdtPr>
        <w:sdtEndPr/>
        <w:sdtContent>
          <w:r w:rsidR="002C6931">
            <w:fldChar w:fldCharType="begin"/>
          </w:r>
          <w:r w:rsidR="002C6931">
            <w:instrText xml:space="preserve"> CITATION Xue19 \l 2057 </w:instrText>
          </w:r>
          <w:r w:rsidR="002C6931">
            <w:fldChar w:fldCharType="separate"/>
          </w:r>
          <w:r w:rsidR="009F0616">
            <w:rPr>
              <w:noProof/>
            </w:rPr>
            <w:t xml:space="preserve"> </w:t>
          </w:r>
          <w:r w:rsidR="009F0616" w:rsidRPr="009F0616">
            <w:rPr>
              <w:noProof/>
            </w:rPr>
            <w:t>[5]</w:t>
          </w:r>
          <w:r w:rsidR="002C6931">
            <w:fldChar w:fldCharType="end"/>
          </w:r>
        </w:sdtContent>
      </w:sdt>
      <w:r w:rsidRPr="00D6603E">
        <w:t xml:space="preserve">. </w:t>
      </w:r>
    </w:p>
    <w:p w14:paraId="75FC3BAB" w14:textId="39F9AF54" w:rsidR="00D6603E" w:rsidRDefault="00D6603E" w:rsidP="00693832">
      <w:pPr>
        <w:pStyle w:val="ListParagraph"/>
        <w:numPr>
          <w:ilvl w:val="0"/>
          <w:numId w:val="1"/>
        </w:numPr>
      </w:pPr>
      <w:r w:rsidRPr="00D6603E">
        <w:t>It is presumed that the European financial-sector ICT and security risk expectations, specifically those published by the European Banking Authority (EBA), and EU-wide operational resilience regulation under the Digital Operational Resilience Act (DORA)</w:t>
      </w:r>
      <w:r>
        <w:t>,</w:t>
      </w:r>
      <w:r w:rsidRPr="00D6603E">
        <w:t xml:space="preserve"> materially impact the organisation. Moreover, the existing baseline cybersecurity expectations aligned with the NIS2 Directive are deemed applicable</w:t>
      </w:r>
      <w:r>
        <w:t>,</w:t>
      </w:r>
      <w:r w:rsidRPr="00D6603E">
        <w:t xml:space="preserve"> </w:t>
      </w:r>
      <w:r w:rsidR="00693832">
        <w:t xml:space="preserve">given that the bank is in </w:t>
      </w:r>
      <w:r w:rsidRPr="00D6603E">
        <w:t xml:space="preserve">a critical sector. </w:t>
      </w:r>
    </w:p>
    <w:p w14:paraId="1396EDC6" w14:textId="0D1E4617" w:rsidR="00F00550" w:rsidRDefault="00D6603E" w:rsidP="00693832">
      <w:pPr>
        <w:pStyle w:val="ListParagraph"/>
        <w:numPr>
          <w:ilvl w:val="0"/>
          <w:numId w:val="1"/>
        </w:numPr>
      </w:pPr>
      <w:r w:rsidRPr="00D6603E">
        <w:t>The report does not attempt to invent or approximate internal quantitative measures (security budgets or rates of past incidents). An</w:t>
      </w:r>
      <w:r w:rsidR="002E313F">
        <w:t xml:space="preserve"> an</w:t>
      </w:r>
      <w:r w:rsidRPr="00D6603E">
        <w:t>alysis where quantitative reasoning is necessary thus stipulates methods of measurement and sources of evidence instead of making presumptions about intended numbers.</w:t>
      </w:r>
    </w:p>
    <w:p w14:paraId="172E2D2C" w14:textId="27C152C2" w:rsidR="00673CE5" w:rsidRPr="00B25299" w:rsidRDefault="00FE5BC6" w:rsidP="00867E2E">
      <w:pPr>
        <w:pStyle w:val="Heading1"/>
        <w:numPr>
          <w:ilvl w:val="0"/>
          <w:numId w:val="6"/>
        </w:numPr>
        <w:jc w:val="center"/>
        <w:rPr>
          <w:rFonts w:ascii="Calibri" w:hAnsi="Calibri" w:cs="Calibri"/>
          <w:b/>
          <w:bCs/>
          <w:sz w:val="44"/>
          <w:szCs w:val="44"/>
          <w:u w:val="single"/>
        </w:rPr>
      </w:pPr>
      <w:bookmarkStart w:id="12" w:name="_Toc226635567"/>
      <w:r>
        <w:rPr>
          <w:rFonts w:ascii="Calibri" w:hAnsi="Calibri" w:cs="Calibri"/>
          <w:b/>
          <w:bCs/>
          <w:sz w:val="44"/>
          <w:szCs w:val="44"/>
          <w:u w:val="single"/>
        </w:rPr>
        <w:t xml:space="preserve">Literature </w:t>
      </w:r>
      <w:r w:rsidR="00B25299">
        <w:rPr>
          <w:rFonts w:ascii="Calibri" w:hAnsi="Calibri" w:cs="Calibri"/>
          <w:b/>
          <w:bCs/>
          <w:sz w:val="44"/>
          <w:szCs w:val="44"/>
          <w:u w:val="single"/>
        </w:rPr>
        <w:t>Review</w:t>
      </w:r>
      <w:bookmarkEnd w:id="12"/>
    </w:p>
    <w:p w14:paraId="48917105" w14:textId="0313A404" w:rsidR="00B25299" w:rsidRPr="00B25299" w:rsidRDefault="00020F7D" w:rsidP="00020F7D">
      <w:pPr>
        <w:pStyle w:val="Heading2"/>
        <w:numPr>
          <w:ilvl w:val="1"/>
          <w:numId w:val="1"/>
        </w:numPr>
        <w:rPr>
          <w:rFonts w:ascii="Calibri" w:hAnsi="Calibri" w:cs="Calibri"/>
          <w:b/>
          <w:bCs/>
          <w:sz w:val="28"/>
          <w:szCs w:val="28"/>
          <w:u w:val="single"/>
        </w:rPr>
      </w:pPr>
      <w:r>
        <w:rPr>
          <w:rFonts w:ascii="Calibri" w:hAnsi="Calibri" w:cs="Calibri"/>
          <w:b/>
          <w:bCs/>
          <w:sz w:val="28"/>
          <w:szCs w:val="28"/>
          <w:u w:val="single"/>
        </w:rPr>
        <w:t xml:space="preserve"> </w:t>
      </w:r>
      <w:bookmarkStart w:id="13" w:name="_Toc226635568"/>
      <w:r w:rsidR="00673CE5" w:rsidRPr="00B25299">
        <w:rPr>
          <w:rFonts w:ascii="Calibri" w:hAnsi="Calibri" w:cs="Calibri"/>
          <w:b/>
          <w:bCs/>
          <w:sz w:val="28"/>
          <w:szCs w:val="28"/>
          <w:u w:val="single"/>
        </w:rPr>
        <w:t>Governance and management structures (COBIT 2019 + ITIL 4)</w:t>
      </w:r>
      <w:bookmarkEnd w:id="13"/>
      <w:r w:rsidR="00673CE5" w:rsidRPr="00B25299">
        <w:rPr>
          <w:rFonts w:ascii="Calibri" w:hAnsi="Calibri" w:cs="Calibri"/>
          <w:b/>
          <w:bCs/>
          <w:sz w:val="28"/>
          <w:szCs w:val="28"/>
          <w:u w:val="single"/>
        </w:rPr>
        <w:t xml:space="preserve"> </w:t>
      </w:r>
    </w:p>
    <w:p w14:paraId="77D5D0A9" w14:textId="433E163F" w:rsidR="00F00550" w:rsidRDefault="00673CE5">
      <w:r w:rsidRPr="00673CE5">
        <w:t xml:space="preserve">COBIT 2019 offers a governance framework and goals that enable </w:t>
      </w:r>
      <w:r w:rsidR="00B25299">
        <w:t>the conversion of</w:t>
      </w:r>
      <w:r w:rsidRPr="00673CE5">
        <w:t xml:space="preserve"> the needs of stakeholders into governance priorities, administration goals and performance management. It is especially applicable to scaling security investment to enterprise outcomes and risk appetite</w:t>
      </w:r>
      <w:sdt>
        <w:sdtPr>
          <w:id w:val="-1469979281"/>
          <w:citation/>
        </w:sdtPr>
        <w:sdtEndPr/>
        <w:sdtContent>
          <w:r w:rsidR="00D03827">
            <w:fldChar w:fldCharType="begin"/>
          </w:r>
          <w:r w:rsidR="00D03827">
            <w:instrText xml:space="preserve"> CITATION DeH19 \l 2057 </w:instrText>
          </w:r>
          <w:r w:rsidR="00D03827">
            <w:fldChar w:fldCharType="separate"/>
          </w:r>
          <w:r w:rsidR="009F0616">
            <w:rPr>
              <w:noProof/>
            </w:rPr>
            <w:t xml:space="preserve"> </w:t>
          </w:r>
          <w:r w:rsidR="009F0616" w:rsidRPr="009F0616">
            <w:rPr>
              <w:noProof/>
            </w:rPr>
            <w:t>[6]</w:t>
          </w:r>
          <w:r w:rsidR="00D03827">
            <w:fldChar w:fldCharType="end"/>
          </w:r>
        </w:sdtContent>
      </w:sdt>
      <w:r w:rsidRPr="00673CE5">
        <w:t>. This is complemented by ITIL 4</w:t>
      </w:r>
      <w:r w:rsidR="00B25299">
        <w:t>, which organises</w:t>
      </w:r>
      <w:r w:rsidRPr="00673CE5">
        <w:t xml:space="preserve"> its service management practices (incident, change enablement, service continuity) relevant directly to operational resilience and control reliability</w:t>
      </w:r>
      <w:sdt>
        <w:sdtPr>
          <w:id w:val="2096593746"/>
          <w:citation/>
        </w:sdtPr>
        <w:sdtEndPr/>
        <w:sdtContent>
          <w:r w:rsidR="00B45A82">
            <w:fldChar w:fldCharType="begin"/>
          </w:r>
          <w:r w:rsidR="00B45A82">
            <w:instrText xml:space="preserve"> CITATION Gal23 \l 2057 </w:instrText>
          </w:r>
          <w:r w:rsidR="00B45A82">
            <w:fldChar w:fldCharType="separate"/>
          </w:r>
          <w:r w:rsidR="009F0616">
            <w:rPr>
              <w:noProof/>
            </w:rPr>
            <w:t xml:space="preserve"> </w:t>
          </w:r>
          <w:r w:rsidR="009F0616" w:rsidRPr="009F0616">
            <w:rPr>
              <w:noProof/>
            </w:rPr>
            <w:t>[7]</w:t>
          </w:r>
          <w:r w:rsidR="00B45A82">
            <w:fldChar w:fldCharType="end"/>
          </w:r>
        </w:sdtContent>
      </w:sdt>
      <w:r w:rsidRPr="00673CE5">
        <w:t>.</w:t>
      </w:r>
    </w:p>
    <w:p w14:paraId="0EA691FA" w14:textId="6AD417AE" w:rsidR="005918BE" w:rsidRPr="005918BE" w:rsidRDefault="00A52364" w:rsidP="00020F7D">
      <w:pPr>
        <w:pStyle w:val="Heading2"/>
        <w:numPr>
          <w:ilvl w:val="1"/>
          <w:numId w:val="1"/>
        </w:numPr>
        <w:rPr>
          <w:rFonts w:ascii="Calibri" w:hAnsi="Calibri" w:cs="Calibri"/>
          <w:b/>
          <w:bCs/>
          <w:sz w:val="28"/>
          <w:szCs w:val="28"/>
          <w:u w:val="single"/>
        </w:rPr>
      </w:pPr>
      <w:r>
        <w:rPr>
          <w:rFonts w:ascii="Calibri" w:hAnsi="Calibri" w:cs="Calibri"/>
          <w:b/>
          <w:bCs/>
          <w:sz w:val="28"/>
          <w:szCs w:val="28"/>
          <w:u w:val="single"/>
        </w:rPr>
        <w:t xml:space="preserve"> </w:t>
      </w:r>
      <w:bookmarkStart w:id="14" w:name="_Toc226635569"/>
      <w:r w:rsidR="005918BE" w:rsidRPr="005918BE">
        <w:rPr>
          <w:rFonts w:ascii="Calibri" w:hAnsi="Calibri" w:cs="Calibri"/>
          <w:b/>
          <w:bCs/>
          <w:sz w:val="28"/>
          <w:szCs w:val="28"/>
          <w:u w:val="single"/>
        </w:rPr>
        <w:t>ISO/IEC 27001 ISMS as the backbone</w:t>
      </w:r>
      <w:bookmarkEnd w:id="14"/>
      <w:r w:rsidR="005918BE" w:rsidRPr="005918BE">
        <w:rPr>
          <w:rFonts w:ascii="Calibri" w:hAnsi="Calibri" w:cs="Calibri"/>
          <w:b/>
          <w:bCs/>
          <w:sz w:val="28"/>
          <w:szCs w:val="28"/>
          <w:u w:val="single"/>
        </w:rPr>
        <w:t xml:space="preserve"> </w:t>
      </w:r>
    </w:p>
    <w:p w14:paraId="4A5C301F" w14:textId="2D01C14D" w:rsidR="00F00550" w:rsidRDefault="005918BE">
      <w:r w:rsidRPr="005918BE">
        <w:t>The ISO/IEC 27001:2022 defines an Information Security Management System (ISMS) that compels a repeatable governance: context, leadership, planning, supporting, operating, performance assessment and enhancement</w:t>
      </w:r>
      <w:sdt>
        <w:sdtPr>
          <w:id w:val="-136732255"/>
          <w:citation/>
        </w:sdtPr>
        <w:sdtEndPr/>
        <w:sdtContent>
          <w:r w:rsidR="0043568F">
            <w:fldChar w:fldCharType="begin"/>
          </w:r>
          <w:r w:rsidR="0043568F">
            <w:instrText xml:space="preserve"> CITATION Cul21 \l 2057 </w:instrText>
          </w:r>
          <w:r w:rsidR="0043568F">
            <w:fldChar w:fldCharType="separate"/>
          </w:r>
          <w:r w:rsidR="009F0616">
            <w:rPr>
              <w:noProof/>
            </w:rPr>
            <w:t xml:space="preserve"> </w:t>
          </w:r>
          <w:r w:rsidR="009F0616" w:rsidRPr="009F0616">
            <w:rPr>
              <w:noProof/>
            </w:rPr>
            <w:t>[8]</w:t>
          </w:r>
          <w:r w:rsidR="0043568F">
            <w:fldChar w:fldCharType="end"/>
          </w:r>
        </w:sdtContent>
      </w:sdt>
      <w:r w:rsidRPr="005918BE">
        <w:t>. The control catalogue that is available in ISO/IEC 27002:2022 can be chosen through risk treatment. An ISO/IEC 27701:2019 expands the notions of ISMS to privacy management, enhancing privacy governance and role definition</w:t>
      </w:r>
      <w:sdt>
        <w:sdtPr>
          <w:id w:val="1582797959"/>
          <w:citation/>
        </w:sdtPr>
        <w:sdtEndPr/>
        <w:sdtContent>
          <w:r w:rsidR="00B41B62">
            <w:fldChar w:fldCharType="begin"/>
          </w:r>
          <w:r w:rsidR="00B41B62">
            <w:instrText xml:space="preserve"> CITATION Kam231 \l 2057 </w:instrText>
          </w:r>
          <w:r w:rsidR="00B41B62">
            <w:fldChar w:fldCharType="separate"/>
          </w:r>
          <w:r w:rsidR="009F0616">
            <w:rPr>
              <w:noProof/>
            </w:rPr>
            <w:t xml:space="preserve"> </w:t>
          </w:r>
          <w:r w:rsidR="009F0616" w:rsidRPr="009F0616">
            <w:rPr>
              <w:noProof/>
            </w:rPr>
            <w:t>[9]</w:t>
          </w:r>
          <w:r w:rsidR="00B41B62">
            <w:fldChar w:fldCharType="end"/>
          </w:r>
        </w:sdtContent>
      </w:sdt>
      <w:r w:rsidRPr="005918BE">
        <w:t>.</w:t>
      </w:r>
    </w:p>
    <w:p w14:paraId="688D0F4C" w14:textId="54C6D487" w:rsidR="00422991" w:rsidRPr="00422991" w:rsidRDefault="00A52364" w:rsidP="00020F7D">
      <w:pPr>
        <w:pStyle w:val="Heading2"/>
        <w:numPr>
          <w:ilvl w:val="1"/>
          <w:numId w:val="1"/>
        </w:numPr>
        <w:rPr>
          <w:rFonts w:ascii="Calibri" w:hAnsi="Calibri" w:cs="Calibri"/>
          <w:b/>
          <w:bCs/>
          <w:sz w:val="28"/>
          <w:szCs w:val="28"/>
          <w:u w:val="single"/>
        </w:rPr>
      </w:pPr>
      <w:r w:rsidRPr="007E7162">
        <w:rPr>
          <w:rFonts w:ascii="Calibri" w:hAnsi="Calibri" w:cs="Calibri"/>
          <w:b/>
          <w:bCs/>
          <w:sz w:val="28"/>
          <w:szCs w:val="28"/>
        </w:rPr>
        <w:t xml:space="preserve"> </w:t>
      </w:r>
      <w:bookmarkStart w:id="15" w:name="_Toc226635570"/>
      <w:r w:rsidR="006F5AF8" w:rsidRPr="00422991">
        <w:rPr>
          <w:rFonts w:ascii="Calibri" w:hAnsi="Calibri" w:cs="Calibri"/>
          <w:b/>
          <w:bCs/>
          <w:sz w:val="28"/>
          <w:szCs w:val="28"/>
          <w:u w:val="single"/>
        </w:rPr>
        <w:t>Cybersecurity results and measurement (NIST CSF 2.0, CIS Controls v8)</w:t>
      </w:r>
      <w:bookmarkEnd w:id="15"/>
      <w:r w:rsidR="006F5AF8" w:rsidRPr="00422991">
        <w:rPr>
          <w:rFonts w:ascii="Calibri" w:hAnsi="Calibri" w:cs="Calibri"/>
          <w:b/>
          <w:bCs/>
          <w:sz w:val="28"/>
          <w:szCs w:val="28"/>
          <w:u w:val="single"/>
        </w:rPr>
        <w:t xml:space="preserve"> </w:t>
      </w:r>
    </w:p>
    <w:p w14:paraId="66E86886" w14:textId="4DA2E375" w:rsidR="00F00550" w:rsidRDefault="006F5AF8">
      <w:r w:rsidRPr="006F5AF8">
        <w:t xml:space="preserve">The NIST CSF 2.0 (2024) is handy as an outcome taxonomy (Govern, Identify, Protect, Detect, Respond, Recover), as well as an executive/regulator communication tool. CIS Controls v8 are the superior security measures, which can be helpful during </w:t>
      </w:r>
      <w:r w:rsidR="00422991">
        <w:t>the translation of the intent of control to implementable technical and procedural</w:t>
      </w:r>
      <w:r w:rsidRPr="006F5AF8">
        <w:t xml:space="preserve"> measures</w:t>
      </w:r>
      <w:sdt>
        <w:sdtPr>
          <w:id w:val="-1276641523"/>
          <w:citation/>
        </w:sdtPr>
        <w:sdtEndPr/>
        <w:sdtContent>
          <w:r w:rsidR="00A801CF">
            <w:fldChar w:fldCharType="begin"/>
          </w:r>
          <w:r w:rsidR="00A801CF">
            <w:instrText xml:space="preserve"> CITATION Cyb251 \l 2057 </w:instrText>
          </w:r>
          <w:r w:rsidR="00A801CF">
            <w:fldChar w:fldCharType="separate"/>
          </w:r>
          <w:r w:rsidR="009F0616">
            <w:rPr>
              <w:noProof/>
            </w:rPr>
            <w:t xml:space="preserve"> </w:t>
          </w:r>
          <w:r w:rsidR="009F0616" w:rsidRPr="009F0616">
            <w:rPr>
              <w:noProof/>
            </w:rPr>
            <w:t>[10]</w:t>
          </w:r>
          <w:r w:rsidR="00A801CF">
            <w:fldChar w:fldCharType="end"/>
          </w:r>
        </w:sdtContent>
      </w:sdt>
      <w:r w:rsidRPr="006F5AF8">
        <w:t>.</w:t>
      </w:r>
    </w:p>
    <w:p w14:paraId="292B709A" w14:textId="77536140" w:rsidR="00370F1A" w:rsidRPr="00370F1A" w:rsidRDefault="00A52364" w:rsidP="00393BF8">
      <w:pPr>
        <w:pStyle w:val="Heading2"/>
        <w:numPr>
          <w:ilvl w:val="1"/>
          <w:numId w:val="1"/>
        </w:numPr>
        <w:rPr>
          <w:rFonts w:ascii="Calibri" w:hAnsi="Calibri" w:cs="Calibri"/>
          <w:b/>
          <w:bCs/>
          <w:sz w:val="28"/>
          <w:szCs w:val="28"/>
          <w:u w:val="single"/>
        </w:rPr>
      </w:pPr>
      <w:r>
        <w:rPr>
          <w:rFonts w:ascii="Calibri" w:hAnsi="Calibri" w:cs="Calibri"/>
          <w:b/>
          <w:bCs/>
          <w:sz w:val="28"/>
          <w:szCs w:val="28"/>
          <w:u w:val="single"/>
        </w:rPr>
        <w:lastRenderedPageBreak/>
        <w:t xml:space="preserve"> </w:t>
      </w:r>
      <w:bookmarkStart w:id="16" w:name="_Toc226635571"/>
      <w:r w:rsidR="00370F1A" w:rsidRPr="00370F1A">
        <w:rPr>
          <w:rFonts w:ascii="Calibri" w:hAnsi="Calibri" w:cs="Calibri"/>
          <w:b/>
          <w:bCs/>
          <w:sz w:val="28"/>
          <w:szCs w:val="28"/>
          <w:u w:val="single"/>
        </w:rPr>
        <w:t>Risk Management with ERM (NISTIR 8286 series)</w:t>
      </w:r>
      <w:bookmarkEnd w:id="16"/>
      <w:r w:rsidR="00370F1A" w:rsidRPr="00370F1A">
        <w:rPr>
          <w:rFonts w:ascii="Calibri" w:hAnsi="Calibri" w:cs="Calibri"/>
          <w:b/>
          <w:bCs/>
          <w:sz w:val="28"/>
          <w:szCs w:val="28"/>
          <w:u w:val="single"/>
        </w:rPr>
        <w:t xml:space="preserve"> </w:t>
      </w:r>
    </w:p>
    <w:p w14:paraId="074DCF78" w14:textId="7C5B6C4D" w:rsidR="005A2CD7" w:rsidRDefault="004F68C7">
      <w:r>
        <w:t>The</w:t>
      </w:r>
      <w:r w:rsidRPr="004F68C7">
        <w:t xml:space="preserve"> NISTIR 8286 series offers advice on </w:t>
      </w:r>
      <w:r>
        <w:t xml:space="preserve">incorporating cybersecurity risk into enterprise risk management (ERM) activities and communicating risk in a manner </w:t>
      </w:r>
      <w:r w:rsidRPr="004F68C7">
        <w:t>aligned with enterprise goals. Its value goes beyond aligned methodology, since it literally reshapes cybersecurity risk as a purely technical or operational management challenge into enterprise-level governance</w:t>
      </w:r>
      <w:sdt>
        <w:sdtPr>
          <w:id w:val="2132736857"/>
          <w:citation/>
        </w:sdtPr>
        <w:sdtEndPr/>
        <w:sdtContent>
          <w:r w:rsidR="0073186B">
            <w:fldChar w:fldCharType="begin"/>
          </w:r>
          <w:r w:rsidR="0073186B">
            <w:instrText xml:space="preserve"> CITATION Sti20 \l 2057 </w:instrText>
          </w:r>
          <w:r w:rsidR="0073186B">
            <w:fldChar w:fldCharType="separate"/>
          </w:r>
          <w:r w:rsidR="009F0616">
            <w:rPr>
              <w:noProof/>
            </w:rPr>
            <w:t xml:space="preserve"> </w:t>
          </w:r>
          <w:r w:rsidR="009F0616" w:rsidRPr="009F0616">
            <w:rPr>
              <w:noProof/>
            </w:rPr>
            <w:t>[11]</w:t>
          </w:r>
          <w:r w:rsidR="0073186B">
            <w:fldChar w:fldCharType="end"/>
          </w:r>
        </w:sdtContent>
      </w:sdt>
      <w:r w:rsidRPr="004F68C7">
        <w:t>.</w:t>
      </w:r>
    </w:p>
    <w:p w14:paraId="0D9419AF" w14:textId="4FA06A57" w:rsidR="00DB54CE" w:rsidRDefault="004F68C7">
      <w:r w:rsidRPr="004F68C7">
        <w:t xml:space="preserve"> Focusing on the interrelationship between cyber risk, organisational goals, and risk appetite, the series empowers decision-makers to make investments in cybersecurity a priority in line with strategic and value considerations</w:t>
      </w:r>
      <w:sdt>
        <w:sdtPr>
          <w:id w:val="-662705759"/>
          <w:citation/>
        </w:sdtPr>
        <w:sdtEndPr/>
        <w:sdtContent>
          <w:r w:rsidR="00222327">
            <w:fldChar w:fldCharType="begin"/>
          </w:r>
          <w:r w:rsidR="00222327">
            <w:instrText xml:space="preserve"> CITATION Qui20 \l 2057 </w:instrText>
          </w:r>
          <w:r w:rsidR="00222327">
            <w:fldChar w:fldCharType="separate"/>
          </w:r>
          <w:r w:rsidR="009F0616">
            <w:rPr>
              <w:noProof/>
            </w:rPr>
            <w:t xml:space="preserve"> </w:t>
          </w:r>
          <w:r w:rsidR="009F0616" w:rsidRPr="009F0616">
            <w:rPr>
              <w:noProof/>
            </w:rPr>
            <w:t>[12]</w:t>
          </w:r>
          <w:r w:rsidR="00222327">
            <w:fldChar w:fldCharType="end"/>
          </w:r>
        </w:sdtContent>
      </w:sdt>
      <w:r w:rsidRPr="004F68C7">
        <w:t xml:space="preserve">. </w:t>
      </w:r>
    </w:p>
    <w:p w14:paraId="7380AD6E" w14:textId="598A80FC" w:rsidR="004F68C7" w:rsidRDefault="004F68C7">
      <w:r w:rsidRPr="004F68C7">
        <w:t>Moreover, NISTIR 8286 assists in converting complex technical risk data into risk statements that have significant meaning to senior executives and boards, increasing the escalation piping and accountability processes. Integration helps ensure that the cybersecurity risk and other strategic, operational, and financial risks in ERM portfolios are consistently compared to reduce the chances of cyber risk being addressed separately.</w:t>
      </w:r>
      <w:r w:rsidR="006C1625">
        <w:t xml:space="preserve"> This alignment is of particular importance within regulated financial settings, where both </w:t>
      </w:r>
      <w:r w:rsidR="00585991">
        <w:t>support</w:t>
      </w:r>
      <w:r w:rsidR="006C1625">
        <w:t xml:space="preserve"> defendable </w:t>
      </w:r>
      <w:r w:rsidR="000A42DA">
        <w:t xml:space="preserve">risk tolerance, board-level </w:t>
      </w:r>
      <w:r w:rsidR="00585991">
        <w:t xml:space="preserve">management and </w:t>
      </w:r>
      <w:r w:rsidR="00DB54CE">
        <w:t>evidence-based</w:t>
      </w:r>
      <w:r w:rsidR="00585991">
        <w:t xml:space="preserve"> </w:t>
      </w:r>
      <w:r w:rsidR="00DB54CE">
        <w:t>regulatory interaction</w:t>
      </w:r>
      <w:sdt>
        <w:sdtPr>
          <w:id w:val="-181438473"/>
          <w:citation/>
        </w:sdtPr>
        <w:sdtEndPr/>
        <w:sdtContent>
          <w:r w:rsidR="002136A3">
            <w:fldChar w:fldCharType="begin"/>
          </w:r>
          <w:r w:rsidR="002136A3">
            <w:instrText xml:space="preserve"> CITATION Qui22 \l 2057 </w:instrText>
          </w:r>
          <w:r w:rsidR="002136A3">
            <w:fldChar w:fldCharType="separate"/>
          </w:r>
          <w:r w:rsidR="009F0616">
            <w:rPr>
              <w:noProof/>
            </w:rPr>
            <w:t xml:space="preserve"> </w:t>
          </w:r>
          <w:r w:rsidR="009F0616" w:rsidRPr="009F0616">
            <w:rPr>
              <w:noProof/>
            </w:rPr>
            <w:t>[13]</w:t>
          </w:r>
          <w:r w:rsidR="002136A3">
            <w:fldChar w:fldCharType="end"/>
          </w:r>
        </w:sdtContent>
      </w:sdt>
      <w:r w:rsidR="00DB54CE">
        <w:t>.</w:t>
      </w:r>
      <w:r w:rsidR="00585991">
        <w:t xml:space="preserve"> </w:t>
      </w:r>
    </w:p>
    <w:p w14:paraId="4BF0BF54" w14:textId="115D497F" w:rsidR="001E13D6" w:rsidRDefault="001E13D6">
      <w:r w:rsidRPr="001E13D6">
        <w:t>In turn, the NISTIR 8286 series is invaluably relevant towards integrating the risk management of cybersecurity into the comprehensive context of enterprise rulemaking and resilience</w:t>
      </w:r>
      <w:r w:rsidR="00C95B4D">
        <w:t>,</w:t>
      </w:r>
      <w:r w:rsidRPr="001E13D6">
        <w:t xml:space="preserve"> instead of introducing it into the context of compliance as an individual function</w:t>
      </w:r>
      <w:sdt>
        <w:sdtPr>
          <w:id w:val="-600175325"/>
          <w:citation/>
        </w:sdtPr>
        <w:sdtEndPr/>
        <w:sdtContent>
          <w:r w:rsidR="005A1CC1">
            <w:fldChar w:fldCharType="begin"/>
          </w:r>
          <w:r w:rsidR="005A1CC1">
            <w:instrText xml:space="preserve"> CITATION Ahm24 \l 2057 </w:instrText>
          </w:r>
          <w:r w:rsidR="005A1CC1">
            <w:fldChar w:fldCharType="separate"/>
          </w:r>
          <w:r w:rsidR="009F0616">
            <w:rPr>
              <w:noProof/>
            </w:rPr>
            <w:t xml:space="preserve"> </w:t>
          </w:r>
          <w:r w:rsidR="009F0616" w:rsidRPr="009F0616">
            <w:rPr>
              <w:noProof/>
            </w:rPr>
            <w:t>[14]</w:t>
          </w:r>
          <w:r w:rsidR="005A1CC1">
            <w:fldChar w:fldCharType="end"/>
          </w:r>
        </w:sdtContent>
      </w:sdt>
      <w:r w:rsidRPr="001E13D6">
        <w:t>.</w:t>
      </w:r>
    </w:p>
    <w:p w14:paraId="38861F4A" w14:textId="5FA88DF4" w:rsidR="009E51DE" w:rsidRPr="00470595" w:rsidRDefault="00A52364" w:rsidP="00393BF8">
      <w:pPr>
        <w:pStyle w:val="Heading2"/>
        <w:numPr>
          <w:ilvl w:val="1"/>
          <w:numId w:val="1"/>
        </w:numPr>
        <w:rPr>
          <w:rFonts w:ascii="Calibri" w:hAnsi="Calibri" w:cs="Calibri"/>
          <w:b/>
          <w:bCs/>
          <w:sz w:val="28"/>
          <w:szCs w:val="28"/>
          <w:u w:val="single"/>
        </w:rPr>
      </w:pPr>
      <w:r>
        <w:rPr>
          <w:rFonts w:ascii="Calibri" w:hAnsi="Calibri" w:cs="Calibri"/>
          <w:b/>
          <w:bCs/>
          <w:sz w:val="28"/>
          <w:szCs w:val="28"/>
          <w:u w:val="single"/>
        </w:rPr>
        <w:t xml:space="preserve"> </w:t>
      </w:r>
      <w:bookmarkStart w:id="17" w:name="_Toc226635572"/>
      <w:r w:rsidR="00B85338">
        <w:rPr>
          <w:rFonts w:ascii="Calibri" w:hAnsi="Calibri" w:cs="Calibri"/>
          <w:b/>
          <w:bCs/>
          <w:sz w:val="28"/>
          <w:szCs w:val="28"/>
          <w:u w:val="single"/>
        </w:rPr>
        <w:t>Key</w:t>
      </w:r>
      <w:r w:rsidR="009E51DE" w:rsidRPr="00470595">
        <w:rPr>
          <w:rFonts w:ascii="Calibri" w:hAnsi="Calibri" w:cs="Calibri"/>
          <w:b/>
          <w:bCs/>
          <w:sz w:val="28"/>
          <w:szCs w:val="28"/>
          <w:u w:val="single"/>
        </w:rPr>
        <w:t xml:space="preserve"> compliance drivers </w:t>
      </w:r>
      <w:r w:rsidR="00470595">
        <w:rPr>
          <w:rFonts w:ascii="Calibri" w:hAnsi="Calibri" w:cs="Calibri"/>
          <w:b/>
          <w:bCs/>
          <w:sz w:val="28"/>
          <w:szCs w:val="28"/>
          <w:u w:val="single"/>
        </w:rPr>
        <w:t>for</w:t>
      </w:r>
      <w:r w:rsidR="009E51DE" w:rsidRPr="00470595">
        <w:rPr>
          <w:rFonts w:ascii="Calibri" w:hAnsi="Calibri" w:cs="Calibri"/>
          <w:b/>
          <w:bCs/>
          <w:sz w:val="28"/>
          <w:szCs w:val="28"/>
          <w:u w:val="single"/>
        </w:rPr>
        <w:t xml:space="preserve"> FinSure Bank.</w:t>
      </w:r>
      <w:bookmarkEnd w:id="17"/>
      <w:r w:rsidR="009E51DE" w:rsidRPr="00470595">
        <w:rPr>
          <w:rFonts w:ascii="Calibri" w:hAnsi="Calibri" w:cs="Calibri"/>
          <w:b/>
          <w:bCs/>
          <w:sz w:val="28"/>
          <w:szCs w:val="28"/>
          <w:u w:val="single"/>
        </w:rPr>
        <w:t xml:space="preserve"> </w:t>
      </w:r>
    </w:p>
    <w:p w14:paraId="32CC913E" w14:textId="3C5897AD" w:rsidR="00ED5784" w:rsidRDefault="009E51DE">
      <w:r w:rsidRPr="009E51DE">
        <w:t>EBA Guidelines on ICT and security risk management establish requirements in the governance, risk management, information security, ICT operations, outsourcing/third-party, and incident management</w:t>
      </w:r>
      <w:r w:rsidR="00742DD9">
        <w:t>.</w:t>
      </w:r>
      <w:r w:rsidRPr="009E51DE">
        <w:t xml:space="preserve"> EU DORA creates harmonised digital resilience operations and is a key constraint on design in contemporary financial ICT governance</w:t>
      </w:r>
      <w:sdt>
        <w:sdtPr>
          <w:id w:val="-1437600540"/>
          <w:citation/>
        </w:sdtPr>
        <w:sdtEndPr/>
        <w:sdtContent>
          <w:r w:rsidR="00A07842">
            <w:fldChar w:fldCharType="begin"/>
          </w:r>
          <w:r w:rsidR="00A07842">
            <w:instrText xml:space="preserve"> CITATION Krü21 \l 2057 </w:instrText>
          </w:r>
          <w:r w:rsidR="00A07842">
            <w:fldChar w:fldCharType="separate"/>
          </w:r>
          <w:r w:rsidR="009F0616">
            <w:rPr>
              <w:noProof/>
            </w:rPr>
            <w:t xml:space="preserve"> </w:t>
          </w:r>
          <w:r w:rsidR="009F0616" w:rsidRPr="009F0616">
            <w:rPr>
              <w:noProof/>
            </w:rPr>
            <w:t>[15]</w:t>
          </w:r>
          <w:r w:rsidR="00A07842">
            <w:fldChar w:fldCharType="end"/>
          </w:r>
        </w:sdtContent>
      </w:sdt>
    </w:p>
    <w:p w14:paraId="465007F2" w14:textId="66705D9B" w:rsidR="00ED5784" w:rsidRDefault="009E51DE">
      <w:r w:rsidRPr="009E51DE">
        <w:t xml:space="preserve">NIS2 enhances the management and reporting expectations of cybersecurity risks in the most critical sectors, </w:t>
      </w:r>
      <w:r w:rsidR="00BB790E">
        <w:t xml:space="preserve">thereby </w:t>
      </w:r>
      <w:r w:rsidRPr="009E51DE">
        <w:t>affecting</w:t>
      </w:r>
      <w:r w:rsidR="00BB790E">
        <w:t xml:space="preserve"> </w:t>
      </w:r>
      <w:r w:rsidRPr="009E51DE">
        <w:t>baseline expectations and assurance standards. FCA PS21/3 of the UK is the work guide on expectations of operational resilience</w:t>
      </w:r>
      <w:r w:rsidR="00470595">
        <w:t>, and Basel principles are the guide that offers</w:t>
      </w:r>
      <w:r w:rsidRPr="009E51DE">
        <w:t xml:space="preserve"> international consistency. A DP breach-practice is grounded </w:t>
      </w:r>
      <w:r w:rsidR="00470595">
        <w:t>in</w:t>
      </w:r>
      <w:r w:rsidRPr="009E51DE">
        <w:t xml:space="preserve"> ICO guidance and EDPB breach-notification best practices.</w:t>
      </w:r>
    </w:p>
    <w:p w14:paraId="29DCDE06" w14:textId="6DE494F7" w:rsidR="006A30FD" w:rsidRDefault="00DD1CE7" w:rsidP="00DD1CE7">
      <w:pPr>
        <w:pStyle w:val="Caption"/>
        <w:rPr>
          <w:b/>
          <w:bCs/>
          <w:sz w:val="20"/>
          <w:szCs w:val="20"/>
        </w:rPr>
      </w:pPr>
      <w:bookmarkStart w:id="18" w:name="_Toc226622705"/>
      <w:r w:rsidRPr="00DD1CE7">
        <w:rPr>
          <w:b/>
          <w:bCs/>
          <w:sz w:val="20"/>
          <w:szCs w:val="20"/>
        </w:rPr>
        <w:t xml:space="preserve">Table </w:t>
      </w:r>
      <w:r w:rsidRPr="00DD1CE7">
        <w:rPr>
          <w:b/>
          <w:bCs/>
          <w:sz w:val="20"/>
          <w:szCs w:val="20"/>
        </w:rPr>
        <w:fldChar w:fldCharType="begin"/>
      </w:r>
      <w:r w:rsidRPr="00DD1CE7">
        <w:rPr>
          <w:b/>
          <w:bCs/>
          <w:sz w:val="20"/>
          <w:szCs w:val="20"/>
        </w:rPr>
        <w:instrText xml:space="preserve"> SEQ Table \* ARABIC </w:instrText>
      </w:r>
      <w:r w:rsidRPr="00DD1CE7">
        <w:rPr>
          <w:b/>
          <w:bCs/>
          <w:sz w:val="20"/>
          <w:szCs w:val="20"/>
        </w:rPr>
        <w:fldChar w:fldCharType="separate"/>
      </w:r>
      <w:r w:rsidR="0029509B">
        <w:rPr>
          <w:b/>
          <w:bCs/>
          <w:noProof/>
          <w:sz w:val="20"/>
          <w:szCs w:val="20"/>
        </w:rPr>
        <w:t>1</w:t>
      </w:r>
      <w:r w:rsidRPr="00DD1CE7">
        <w:rPr>
          <w:b/>
          <w:bCs/>
          <w:sz w:val="20"/>
          <w:szCs w:val="20"/>
        </w:rPr>
        <w:fldChar w:fldCharType="end"/>
      </w:r>
      <w:r w:rsidRPr="00DD1CE7">
        <w:rPr>
          <w:b/>
          <w:bCs/>
          <w:sz w:val="20"/>
          <w:szCs w:val="20"/>
        </w:rPr>
        <w:t xml:space="preserve"> Regulatory/standards obligations matrix and required evidence artefacts.</w:t>
      </w:r>
      <w:bookmarkEnd w:id="18"/>
    </w:p>
    <w:tbl>
      <w:tblPr>
        <w:tblStyle w:val="TableGrid"/>
        <w:tblW w:w="0" w:type="auto"/>
        <w:tblLayout w:type="fixed"/>
        <w:tblLook w:val="04A0" w:firstRow="1" w:lastRow="0" w:firstColumn="1" w:lastColumn="0" w:noHBand="0" w:noVBand="1"/>
      </w:tblPr>
      <w:tblGrid>
        <w:gridCol w:w="1296"/>
        <w:gridCol w:w="1008"/>
        <w:gridCol w:w="1584"/>
        <w:gridCol w:w="1728"/>
        <w:gridCol w:w="1008"/>
        <w:gridCol w:w="1008"/>
        <w:gridCol w:w="1008"/>
      </w:tblGrid>
      <w:tr w:rsidR="00994243" w14:paraId="020AA9C2" w14:textId="77777777" w:rsidTr="003B71CA">
        <w:tc>
          <w:tcPr>
            <w:tcW w:w="1296" w:type="dxa"/>
            <w:vAlign w:val="center"/>
          </w:tcPr>
          <w:p w14:paraId="7533C4A2" w14:textId="774E7A22" w:rsidR="00994243" w:rsidRDefault="009E2D17" w:rsidP="003B71CA">
            <w:r>
              <w:rPr>
                <w:b/>
                <w:sz w:val="18"/>
              </w:rPr>
              <w:t>Obligation/standard</w:t>
            </w:r>
          </w:p>
        </w:tc>
        <w:tc>
          <w:tcPr>
            <w:tcW w:w="1008" w:type="dxa"/>
            <w:vAlign w:val="center"/>
          </w:tcPr>
          <w:p w14:paraId="5E0B7343" w14:textId="77777777" w:rsidR="00994243" w:rsidRDefault="00994243" w:rsidP="003B71CA">
            <w:r>
              <w:rPr>
                <w:b/>
                <w:sz w:val="18"/>
              </w:rPr>
              <w:t>Scope (FSB)</w:t>
            </w:r>
          </w:p>
        </w:tc>
        <w:tc>
          <w:tcPr>
            <w:tcW w:w="1584" w:type="dxa"/>
            <w:vAlign w:val="center"/>
          </w:tcPr>
          <w:p w14:paraId="7851A748" w14:textId="77777777" w:rsidR="00994243" w:rsidRDefault="00994243" w:rsidP="003B71CA">
            <w:r>
              <w:rPr>
                <w:b/>
                <w:sz w:val="18"/>
              </w:rPr>
              <w:t>Key security expectations</w:t>
            </w:r>
          </w:p>
        </w:tc>
        <w:tc>
          <w:tcPr>
            <w:tcW w:w="1728" w:type="dxa"/>
            <w:vAlign w:val="center"/>
          </w:tcPr>
          <w:p w14:paraId="6F8B5C1B" w14:textId="77777777" w:rsidR="00994243" w:rsidRDefault="00994243" w:rsidP="003B71CA">
            <w:r>
              <w:rPr>
                <w:b/>
                <w:sz w:val="18"/>
              </w:rPr>
              <w:t>Evidence artefacts (examples)</w:t>
            </w:r>
          </w:p>
        </w:tc>
        <w:tc>
          <w:tcPr>
            <w:tcW w:w="1008" w:type="dxa"/>
            <w:vAlign w:val="center"/>
          </w:tcPr>
          <w:p w14:paraId="505967D3" w14:textId="77777777" w:rsidR="00994243" w:rsidRDefault="00994243" w:rsidP="003B71CA">
            <w:r>
              <w:rPr>
                <w:b/>
                <w:sz w:val="18"/>
              </w:rPr>
              <w:t>Control owner</w:t>
            </w:r>
          </w:p>
        </w:tc>
        <w:tc>
          <w:tcPr>
            <w:tcW w:w="1008" w:type="dxa"/>
            <w:vAlign w:val="center"/>
          </w:tcPr>
          <w:p w14:paraId="10F0F8C6" w14:textId="77777777" w:rsidR="00994243" w:rsidRDefault="00994243" w:rsidP="003B71CA">
            <w:r>
              <w:rPr>
                <w:b/>
                <w:sz w:val="18"/>
              </w:rPr>
              <w:t>Evidence owner</w:t>
            </w:r>
          </w:p>
        </w:tc>
        <w:tc>
          <w:tcPr>
            <w:tcW w:w="1008" w:type="dxa"/>
            <w:vAlign w:val="center"/>
          </w:tcPr>
          <w:p w14:paraId="078485B8" w14:textId="77777777" w:rsidR="00994243" w:rsidRDefault="00994243" w:rsidP="003B71CA">
            <w:r>
              <w:rPr>
                <w:b/>
                <w:sz w:val="18"/>
              </w:rPr>
              <w:t>Assurance frequency</w:t>
            </w:r>
          </w:p>
        </w:tc>
      </w:tr>
      <w:tr w:rsidR="00994243" w14:paraId="6BCA2D89" w14:textId="77777777" w:rsidTr="003B71CA">
        <w:tc>
          <w:tcPr>
            <w:tcW w:w="1296" w:type="dxa"/>
            <w:vAlign w:val="center"/>
          </w:tcPr>
          <w:p w14:paraId="6E1F16A5" w14:textId="5564BAE1" w:rsidR="00994243" w:rsidRDefault="00994243" w:rsidP="003B71CA">
            <w:r>
              <w:rPr>
                <w:sz w:val="18"/>
              </w:rPr>
              <w:t xml:space="preserve">EBA ICT &amp; security risk </w:t>
            </w:r>
            <w:r w:rsidR="009E2D17">
              <w:rPr>
                <w:sz w:val="18"/>
              </w:rPr>
              <w:t>mgmt.</w:t>
            </w:r>
            <w:r>
              <w:rPr>
                <w:sz w:val="18"/>
              </w:rPr>
              <w:t xml:space="preserve"> (EBA/GL/2019/04)</w:t>
            </w:r>
            <w:r w:rsidR="001D53EA">
              <w:rPr>
                <w:sz w:val="18"/>
              </w:rPr>
              <w:t>.</w:t>
            </w:r>
          </w:p>
        </w:tc>
        <w:tc>
          <w:tcPr>
            <w:tcW w:w="1008" w:type="dxa"/>
            <w:vAlign w:val="center"/>
          </w:tcPr>
          <w:p w14:paraId="39B4A75D" w14:textId="4165A19D" w:rsidR="00994243" w:rsidRDefault="00994243" w:rsidP="003B71CA">
            <w:r>
              <w:rPr>
                <w:sz w:val="18"/>
              </w:rPr>
              <w:t xml:space="preserve">ICT/security governance across </w:t>
            </w:r>
            <w:r w:rsidR="009E2D17">
              <w:rPr>
                <w:sz w:val="18"/>
              </w:rPr>
              <w:t xml:space="preserve">the </w:t>
            </w:r>
            <w:r>
              <w:rPr>
                <w:sz w:val="18"/>
              </w:rPr>
              <w:t>bank</w:t>
            </w:r>
          </w:p>
        </w:tc>
        <w:tc>
          <w:tcPr>
            <w:tcW w:w="1584" w:type="dxa"/>
            <w:vAlign w:val="center"/>
          </w:tcPr>
          <w:p w14:paraId="62856915" w14:textId="456E20AC" w:rsidR="00994243" w:rsidRDefault="00994243" w:rsidP="003B71CA">
            <w:r>
              <w:rPr>
                <w:sz w:val="18"/>
              </w:rPr>
              <w:t xml:space="preserve">Governance, risk </w:t>
            </w:r>
            <w:r w:rsidR="009E2D17">
              <w:rPr>
                <w:sz w:val="18"/>
              </w:rPr>
              <w:t>mgmt.</w:t>
            </w:r>
            <w:r>
              <w:rPr>
                <w:sz w:val="18"/>
              </w:rPr>
              <w:t xml:space="preserve"> ICT ops, incident </w:t>
            </w:r>
            <w:r w:rsidR="009E2D17">
              <w:rPr>
                <w:sz w:val="18"/>
              </w:rPr>
              <w:t>mgmt.</w:t>
            </w:r>
            <w:r>
              <w:rPr>
                <w:sz w:val="18"/>
              </w:rPr>
              <w:t>, outsourcing</w:t>
            </w:r>
          </w:p>
        </w:tc>
        <w:tc>
          <w:tcPr>
            <w:tcW w:w="1728" w:type="dxa"/>
            <w:vAlign w:val="center"/>
          </w:tcPr>
          <w:p w14:paraId="331D43B7" w14:textId="3CD573CB" w:rsidR="00994243" w:rsidRDefault="00994243" w:rsidP="003B71CA">
            <w:r>
              <w:rPr>
                <w:sz w:val="18"/>
              </w:rPr>
              <w:t xml:space="preserve">Policies, risk register, access reviews, logging coverage, </w:t>
            </w:r>
            <w:r w:rsidR="009E2D17">
              <w:rPr>
                <w:sz w:val="18"/>
              </w:rPr>
              <w:t xml:space="preserve">and </w:t>
            </w:r>
            <w:r>
              <w:rPr>
                <w:sz w:val="18"/>
              </w:rPr>
              <w:t>incident reports</w:t>
            </w:r>
          </w:p>
        </w:tc>
        <w:tc>
          <w:tcPr>
            <w:tcW w:w="1008" w:type="dxa"/>
            <w:vAlign w:val="center"/>
          </w:tcPr>
          <w:p w14:paraId="04BB8B57" w14:textId="77777777" w:rsidR="00994243" w:rsidRDefault="00994243" w:rsidP="003B71CA">
            <w:r>
              <w:rPr>
                <w:sz w:val="18"/>
              </w:rPr>
              <w:t>CISO + CIO</w:t>
            </w:r>
          </w:p>
        </w:tc>
        <w:tc>
          <w:tcPr>
            <w:tcW w:w="1008" w:type="dxa"/>
            <w:vAlign w:val="center"/>
          </w:tcPr>
          <w:p w14:paraId="29DD4380" w14:textId="77777777" w:rsidR="00994243" w:rsidRDefault="00994243" w:rsidP="003B71CA">
            <w:r>
              <w:rPr>
                <w:sz w:val="18"/>
              </w:rPr>
              <w:t>CISO + CIO</w:t>
            </w:r>
          </w:p>
        </w:tc>
        <w:tc>
          <w:tcPr>
            <w:tcW w:w="1008" w:type="dxa"/>
            <w:vAlign w:val="center"/>
          </w:tcPr>
          <w:p w14:paraId="28735680" w14:textId="77777777" w:rsidR="00994243" w:rsidRDefault="00994243" w:rsidP="003B71CA">
            <w:r>
              <w:rPr>
                <w:sz w:val="18"/>
              </w:rPr>
              <w:t>Quarterly (min)</w:t>
            </w:r>
          </w:p>
        </w:tc>
      </w:tr>
      <w:tr w:rsidR="00994243" w14:paraId="5BD115AD" w14:textId="77777777" w:rsidTr="003B71CA">
        <w:tc>
          <w:tcPr>
            <w:tcW w:w="1296" w:type="dxa"/>
            <w:vAlign w:val="center"/>
          </w:tcPr>
          <w:p w14:paraId="4641D416" w14:textId="3256DA47" w:rsidR="00994243" w:rsidRDefault="00994243" w:rsidP="003B71CA">
            <w:r>
              <w:rPr>
                <w:sz w:val="18"/>
              </w:rPr>
              <w:t>EU DORA (Reg. 2022/2554)</w:t>
            </w:r>
            <w:r w:rsidR="001D53EA">
              <w:rPr>
                <w:sz w:val="18"/>
              </w:rPr>
              <w:t>.</w:t>
            </w:r>
          </w:p>
        </w:tc>
        <w:tc>
          <w:tcPr>
            <w:tcW w:w="1008" w:type="dxa"/>
            <w:vAlign w:val="center"/>
          </w:tcPr>
          <w:p w14:paraId="66721872" w14:textId="2353986D" w:rsidR="00994243" w:rsidRDefault="00994243" w:rsidP="003B71CA">
            <w:r>
              <w:rPr>
                <w:sz w:val="18"/>
              </w:rPr>
              <w:t xml:space="preserve">EU </w:t>
            </w:r>
            <w:r w:rsidR="009E2D17">
              <w:rPr>
                <w:sz w:val="18"/>
              </w:rPr>
              <w:t>operations/counterparties</w:t>
            </w:r>
          </w:p>
        </w:tc>
        <w:tc>
          <w:tcPr>
            <w:tcW w:w="1584" w:type="dxa"/>
            <w:vAlign w:val="center"/>
          </w:tcPr>
          <w:p w14:paraId="4220C00E" w14:textId="548ADD63" w:rsidR="00994243" w:rsidRDefault="00994243" w:rsidP="003B71CA">
            <w:r>
              <w:rPr>
                <w:sz w:val="18"/>
              </w:rPr>
              <w:t xml:space="preserve">ICT risk </w:t>
            </w:r>
            <w:r w:rsidR="009E2D17">
              <w:rPr>
                <w:sz w:val="18"/>
              </w:rPr>
              <w:t>mgmt.</w:t>
            </w:r>
            <w:r>
              <w:rPr>
                <w:sz w:val="18"/>
              </w:rPr>
              <w:t>, incident reporting, resilience testing, third‑party oversight</w:t>
            </w:r>
          </w:p>
        </w:tc>
        <w:tc>
          <w:tcPr>
            <w:tcW w:w="1728" w:type="dxa"/>
            <w:vAlign w:val="center"/>
          </w:tcPr>
          <w:p w14:paraId="7D74AF7A" w14:textId="23498EB7" w:rsidR="00994243" w:rsidRDefault="00994243" w:rsidP="003B71CA">
            <w:r>
              <w:rPr>
                <w:sz w:val="18"/>
              </w:rPr>
              <w:t xml:space="preserve">ICT risk framework, test results, supplier register, exit plans, </w:t>
            </w:r>
            <w:r w:rsidR="009E2D17">
              <w:rPr>
                <w:sz w:val="18"/>
              </w:rPr>
              <w:t xml:space="preserve">and </w:t>
            </w:r>
            <w:r>
              <w:rPr>
                <w:sz w:val="18"/>
              </w:rPr>
              <w:t>incident packs</w:t>
            </w:r>
          </w:p>
        </w:tc>
        <w:tc>
          <w:tcPr>
            <w:tcW w:w="1008" w:type="dxa"/>
            <w:vAlign w:val="center"/>
          </w:tcPr>
          <w:p w14:paraId="007CC5B9" w14:textId="77777777" w:rsidR="00994243" w:rsidRDefault="00994243" w:rsidP="003B71CA">
            <w:r>
              <w:rPr>
                <w:sz w:val="18"/>
              </w:rPr>
              <w:t>CISO + Resilience Lead</w:t>
            </w:r>
          </w:p>
        </w:tc>
        <w:tc>
          <w:tcPr>
            <w:tcW w:w="1008" w:type="dxa"/>
            <w:vAlign w:val="center"/>
          </w:tcPr>
          <w:p w14:paraId="4DB9FAFC" w14:textId="77777777" w:rsidR="00994243" w:rsidRDefault="00994243" w:rsidP="003B71CA">
            <w:r>
              <w:rPr>
                <w:sz w:val="18"/>
              </w:rPr>
              <w:t>CISO + Resilience Lead</w:t>
            </w:r>
          </w:p>
        </w:tc>
        <w:tc>
          <w:tcPr>
            <w:tcW w:w="1008" w:type="dxa"/>
            <w:vAlign w:val="center"/>
          </w:tcPr>
          <w:p w14:paraId="72DE78E6" w14:textId="77777777" w:rsidR="00994243" w:rsidRDefault="00994243" w:rsidP="003B71CA">
            <w:r>
              <w:rPr>
                <w:sz w:val="18"/>
              </w:rPr>
              <w:t>Quarterly (min)</w:t>
            </w:r>
          </w:p>
        </w:tc>
      </w:tr>
      <w:tr w:rsidR="00994243" w14:paraId="3C72C787" w14:textId="77777777" w:rsidTr="003B71CA">
        <w:tc>
          <w:tcPr>
            <w:tcW w:w="1296" w:type="dxa"/>
            <w:vAlign w:val="center"/>
          </w:tcPr>
          <w:p w14:paraId="7F396D14" w14:textId="1E6FC61B" w:rsidR="00994243" w:rsidRDefault="00994243" w:rsidP="003B71CA">
            <w:r>
              <w:rPr>
                <w:sz w:val="18"/>
              </w:rPr>
              <w:t>NIS2 (Dir. 2022/2555) + ENISA guidance</w:t>
            </w:r>
            <w:r w:rsidR="001D53EA">
              <w:rPr>
                <w:sz w:val="18"/>
              </w:rPr>
              <w:t>.</w:t>
            </w:r>
          </w:p>
        </w:tc>
        <w:tc>
          <w:tcPr>
            <w:tcW w:w="1008" w:type="dxa"/>
            <w:vAlign w:val="center"/>
          </w:tcPr>
          <w:p w14:paraId="591A934C" w14:textId="77777777" w:rsidR="00994243" w:rsidRDefault="00994243" w:rsidP="003B71CA">
            <w:r>
              <w:rPr>
                <w:sz w:val="18"/>
              </w:rPr>
              <w:t>Baseline cyber risk measures</w:t>
            </w:r>
          </w:p>
        </w:tc>
        <w:tc>
          <w:tcPr>
            <w:tcW w:w="1584" w:type="dxa"/>
            <w:vAlign w:val="center"/>
          </w:tcPr>
          <w:p w14:paraId="6B91AE56" w14:textId="5C116B2D" w:rsidR="00994243" w:rsidRDefault="00994243" w:rsidP="003B71CA">
            <w:r>
              <w:rPr>
                <w:sz w:val="18"/>
              </w:rPr>
              <w:t xml:space="preserve">Risk </w:t>
            </w:r>
            <w:r w:rsidR="009E2D17">
              <w:rPr>
                <w:sz w:val="18"/>
              </w:rPr>
              <w:t>mgmt.</w:t>
            </w:r>
            <w:r>
              <w:rPr>
                <w:sz w:val="18"/>
              </w:rPr>
              <w:t xml:space="preserve"> measures, governance, reporting readiness</w:t>
            </w:r>
          </w:p>
        </w:tc>
        <w:tc>
          <w:tcPr>
            <w:tcW w:w="1728" w:type="dxa"/>
            <w:vAlign w:val="center"/>
          </w:tcPr>
          <w:p w14:paraId="4EDA1061" w14:textId="39EB2BBA" w:rsidR="00994243" w:rsidRDefault="00994243" w:rsidP="003B71CA">
            <w:r>
              <w:rPr>
                <w:sz w:val="18"/>
              </w:rPr>
              <w:t xml:space="preserve">Security policies, vuln </w:t>
            </w:r>
            <w:r w:rsidR="009E2D17">
              <w:rPr>
                <w:sz w:val="18"/>
              </w:rPr>
              <w:t>mgmt.</w:t>
            </w:r>
            <w:r>
              <w:rPr>
                <w:sz w:val="18"/>
              </w:rPr>
              <w:t xml:space="preserve"> metrics, monitoring evidence, </w:t>
            </w:r>
            <w:r w:rsidR="009E2D17">
              <w:rPr>
                <w:sz w:val="18"/>
              </w:rPr>
              <w:t xml:space="preserve">and </w:t>
            </w:r>
            <w:r>
              <w:rPr>
                <w:sz w:val="18"/>
              </w:rPr>
              <w:t>incident logs</w:t>
            </w:r>
          </w:p>
        </w:tc>
        <w:tc>
          <w:tcPr>
            <w:tcW w:w="1008" w:type="dxa"/>
            <w:vAlign w:val="center"/>
          </w:tcPr>
          <w:p w14:paraId="1EB32BE3" w14:textId="77777777" w:rsidR="00994243" w:rsidRDefault="00994243" w:rsidP="003B71CA">
            <w:r>
              <w:rPr>
                <w:sz w:val="18"/>
              </w:rPr>
              <w:t>CISO</w:t>
            </w:r>
          </w:p>
        </w:tc>
        <w:tc>
          <w:tcPr>
            <w:tcW w:w="1008" w:type="dxa"/>
            <w:vAlign w:val="center"/>
          </w:tcPr>
          <w:p w14:paraId="5AA7645A" w14:textId="77777777" w:rsidR="00994243" w:rsidRDefault="00994243" w:rsidP="003B71CA">
            <w:r>
              <w:rPr>
                <w:sz w:val="18"/>
              </w:rPr>
              <w:t>CISO</w:t>
            </w:r>
          </w:p>
        </w:tc>
        <w:tc>
          <w:tcPr>
            <w:tcW w:w="1008" w:type="dxa"/>
            <w:vAlign w:val="center"/>
          </w:tcPr>
          <w:p w14:paraId="62C1B612" w14:textId="77777777" w:rsidR="00994243" w:rsidRDefault="00994243" w:rsidP="003B71CA">
            <w:r>
              <w:rPr>
                <w:sz w:val="18"/>
              </w:rPr>
              <w:t>Quarterly (min)</w:t>
            </w:r>
          </w:p>
        </w:tc>
      </w:tr>
      <w:tr w:rsidR="00994243" w14:paraId="31D1B287" w14:textId="77777777" w:rsidTr="003B71CA">
        <w:tc>
          <w:tcPr>
            <w:tcW w:w="1296" w:type="dxa"/>
            <w:vAlign w:val="center"/>
          </w:tcPr>
          <w:p w14:paraId="1A5D4A9B" w14:textId="43ECEBDE" w:rsidR="00994243" w:rsidRDefault="00994243" w:rsidP="003B71CA">
            <w:r>
              <w:rPr>
                <w:sz w:val="18"/>
              </w:rPr>
              <w:lastRenderedPageBreak/>
              <w:t>UK GDPR breach practice</w:t>
            </w:r>
            <w:r w:rsidR="001D53EA">
              <w:rPr>
                <w:sz w:val="18"/>
              </w:rPr>
              <w:t>.</w:t>
            </w:r>
          </w:p>
        </w:tc>
        <w:tc>
          <w:tcPr>
            <w:tcW w:w="1008" w:type="dxa"/>
            <w:vAlign w:val="center"/>
          </w:tcPr>
          <w:p w14:paraId="0803D781" w14:textId="77777777" w:rsidR="00994243" w:rsidRDefault="00994243" w:rsidP="003B71CA">
            <w:r>
              <w:rPr>
                <w:sz w:val="18"/>
              </w:rPr>
              <w:t>Customer/employee personal data</w:t>
            </w:r>
          </w:p>
        </w:tc>
        <w:tc>
          <w:tcPr>
            <w:tcW w:w="1584" w:type="dxa"/>
            <w:vAlign w:val="center"/>
          </w:tcPr>
          <w:p w14:paraId="166F3660" w14:textId="77777777" w:rsidR="00994243" w:rsidRDefault="00994243" w:rsidP="003B71CA">
            <w:r>
              <w:rPr>
                <w:sz w:val="18"/>
              </w:rPr>
              <w:t>Security of processing; breach assessment and notification</w:t>
            </w:r>
          </w:p>
        </w:tc>
        <w:tc>
          <w:tcPr>
            <w:tcW w:w="1728" w:type="dxa"/>
            <w:vAlign w:val="center"/>
          </w:tcPr>
          <w:p w14:paraId="4385B16E" w14:textId="77777777" w:rsidR="00994243" w:rsidRDefault="00994243" w:rsidP="003B71CA">
            <w:r>
              <w:rPr>
                <w:sz w:val="18"/>
              </w:rPr>
              <w:t>DPIAs, data flow maps, breach triage notes, notification templates</w:t>
            </w:r>
          </w:p>
        </w:tc>
        <w:tc>
          <w:tcPr>
            <w:tcW w:w="1008" w:type="dxa"/>
            <w:vAlign w:val="center"/>
          </w:tcPr>
          <w:p w14:paraId="7AF49768" w14:textId="77777777" w:rsidR="00994243" w:rsidRDefault="00994243" w:rsidP="003B71CA">
            <w:r>
              <w:rPr>
                <w:sz w:val="18"/>
              </w:rPr>
              <w:t>DPO/Privacy Lead</w:t>
            </w:r>
          </w:p>
        </w:tc>
        <w:tc>
          <w:tcPr>
            <w:tcW w:w="1008" w:type="dxa"/>
            <w:vAlign w:val="center"/>
          </w:tcPr>
          <w:p w14:paraId="146177CE" w14:textId="77777777" w:rsidR="00994243" w:rsidRDefault="00994243" w:rsidP="003B71CA">
            <w:r>
              <w:rPr>
                <w:sz w:val="18"/>
              </w:rPr>
              <w:t>DPO/Privacy Lead</w:t>
            </w:r>
          </w:p>
        </w:tc>
        <w:tc>
          <w:tcPr>
            <w:tcW w:w="1008" w:type="dxa"/>
            <w:vAlign w:val="center"/>
          </w:tcPr>
          <w:p w14:paraId="7A3DD999" w14:textId="77777777" w:rsidR="00994243" w:rsidRDefault="00994243" w:rsidP="003B71CA">
            <w:r>
              <w:rPr>
                <w:sz w:val="18"/>
              </w:rPr>
              <w:t>Quarterly (min)</w:t>
            </w:r>
          </w:p>
        </w:tc>
      </w:tr>
      <w:tr w:rsidR="00994243" w14:paraId="3D916C8D" w14:textId="77777777" w:rsidTr="003B71CA">
        <w:tc>
          <w:tcPr>
            <w:tcW w:w="1296" w:type="dxa"/>
            <w:vAlign w:val="center"/>
          </w:tcPr>
          <w:p w14:paraId="54BAA6E7" w14:textId="342BB8D4" w:rsidR="00994243" w:rsidRDefault="00994243" w:rsidP="003B71CA">
            <w:r>
              <w:rPr>
                <w:sz w:val="18"/>
              </w:rPr>
              <w:t>FCA PS21/3 operational resilience</w:t>
            </w:r>
            <w:r w:rsidR="001D53EA">
              <w:rPr>
                <w:sz w:val="18"/>
              </w:rPr>
              <w:t>.</w:t>
            </w:r>
          </w:p>
        </w:tc>
        <w:tc>
          <w:tcPr>
            <w:tcW w:w="1008" w:type="dxa"/>
            <w:vAlign w:val="center"/>
          </w:tcPr>
          <w:p w14:paraId="17A1DF29" w14:textId="77777777" w:rsidR="00994243" w:rsidRDefault="00994243" w:rsidP="003B71CA">
            <w:r>
              <w:rPr>
                <w:sz w:val="18"/>
              </w:rPr>
              <w:t>Important business services</w:t>
            </w:r>
          </w:p>
        </w:tc>
        <w:tc>
          <w:tcPr>
            <w:tcW w:w="1584" w:type="dxa"/>
            <w:vAlign w:val="center"/>
          </w:tcPr>
          <w:p w14:paraId="37FAE94F" w14:textId="77777777" w:rsidR="00994243" w:rsidRDefault="00994243" w:rsidP="003B71CA">
            <w:r>
              <w:rPr>
                <w:sz w:val="18"/>
              </w:rPr>
              <w:t>Impact tolerances, mapping/testing, remediation</w:t>
            </w:r>
          </w:p>
        </w:tc>
        <w:tc>
          <w:tcPr>
            <w:tcW w:w="1728" w:type="dxa"/>
            <w:vAlign w:val="center"/>
          </w:tcPr>
          <w:p w14:paraId="2FD54521" w14:textId="0C5E78A8" w:rsidR="00994243" w:rsidRDefault="00994243" w:rsidP="003B71CA">
            <w:r>
              <w:rPr>
                <w:sz w:val="18"/>
              </w:rPr>
              <w:t xml:space="preserve">Service maps, scenario tests, MI dashboards, </w:t>
            </w:r>
            <w:r w:rsidR="001D53EA">
              <w:rPr>
                <w:sz w:val="18"/>
              </w:rPr>
              <w:t xml:space="preserve">and </w:t>
            </w:r>
            <w:r>
              <w:rPr>
                <w:sz w:val="18"/>
              </w:rPr>
              <w:t>remediation plans</w:t>
            </w:r>
          </w:p>
        </w:tc>
        <w:tc>
          <w:tcPr>
            <w:tcW w:w="1008" w:type="dxa"/>
            <w:vAlign w:val="center"/>
          </w:tcPr>
          <w:p w14:paraId="23C9DD21" w14:textId="77777777" w:rsidR="00994243" w:rsidRDefault="00994243" w:rsidP="003B71CA">
            <w:r>
              <w:rPr>
                <w:sz w:val="18"/>
              </w:rPr>
              <w:t>Service Owners</w:t>
            </w:r>
          </w:p>
        </w:tc>
        <w:tc>
          <w:tcPr>
            <w:tcW w:w="1008" w:type="dxa"/>
            <w:vAlign w:val="center"/>
          </w:tcPr>
          <w:p w14:paraId="1235022C" w14:textId="77777777" w:rsidR="00994243" w:rsidRDefault="00994243" w:rsidP="003B71CA">
            <w:r>
              <w:rPr>
                <w:sz w:val="18"/>
              </w:rPr>
              <w:t>Service Owners</w:t>
            </w:r>
          </w:p>
        </w:tc>
        <w:tc>
          <w:tcPr>
            <w:tcW w:w="1008" w:type="dxa"/>
            <w:vAlign w:val="center"/>
          </w:tcPr>
          <w:p w14:paraId="16A11AE4" w14:textId="77777777" w:rsidR="00994243" w:rsidRDefault="00994243" w:rsidP="003B71CA">
            <w:r>
              <w:rPr>
                <w:sz w:val="18"/>
              </w:rPr>
              <w:t>Quarterly (min)</w:t>
            </w:r>
          </w:p>
        </w:tc>
      </w:tr>
    </w:tbl>
    <w:p w14:paraId="45830B0D" w14:textId="2ABF6F0F" w:rsidR="00DD1CE7" w:rsidRPr="00DD1CE7" w:rsidRDefault="00DD1CE7" w:rsidP="00DD1CE7"/>
    <w:p w14:paraId="5C6D6BFA" w14:textId="6497571E" w:rsidR="00F00550" w:rsidRPr="002539EA" w:rsidRDefault="002539EA" w:rsidP="00867E2E">
      <w:pPr>
        <w:pStyle w:val="Heading1"/>
        <w:numPr>
          <w:ilvl w:val="0"/>
          <w:numId w:val="6"/>
        </w:numPr>
        <w:jc w:val="center"/>
        <w:rPr>
          <w:rFonts w:ascii="Calibri" w:hAnsi="Calibri" w:cs="Calibri"/>
          <w:b/>
          <w:bCs/>
          <w:sz w:val="44"/>
          <w:szCs w:val="44"/>
          <w:u w:val="single"/>
        </w:rPr>
      </w:pPr>
      <w:bookmarkStart w:id="19" w:name="_Toc226635573"/>
      <w:r>
        <w:rPr>
          <w:rFonts w:ascii="Calibri" w:hAnsi="Calibri" w:cs="Calibri"/>
          <w:b/>
          <w:bCs/>
          <w:sz w:val="44"/>
          <w:szCs w:val="44"/>
          <w:u w:val="single"/>
        </w:rPr>
        <w:t xml:space="preserve">Proposed integrated </w:t>
      </w:r>
      <w:r w:rsidR="000344C2">
        <w:rPr>
          <w:rFonts w:ascii="Calibri" w:hAnsi="Calibri" w:cs="Calibri"/>
          <w:b/>
          <w:bCs/>
          <w:sz w:val="44"/>
          <w:szCs w:val="44"/>
          <w:u w:val="single"/>
        </w:rPr>
        <w:t>approach for FinSure Bank</w:t>
      </w:r>
      <w:bookmarkEnd w:id="19"/>
    </w:p>
    <w:p w14:paraId="23605621" w14:textId="164001E6" w:rsidR="00F00550" w:rsidRPr="0089352F" w:rsidRDefault="00A52364" w:rsidP="00867E2E">
      <w:pPr>
        <w:pStyle w:val="Heading2"/>
        <w:numPr>
          <w:ilvl w:val="1"/>
          <w:numId w:val="6"/>
        </w:numPr>
        <w:rPr>
          <w:rFonts w:ascii="Calibri" w:hAnsi="Calibri" w:cs="Calibri"/>
          <w:b/>
          <w:bCs/>
          <w:sz w:val="28"/>
          <w:szCs w:val="28"/>
          <w:u w:val="single"/>
        </w:rPr>
      </w:pPr>
      <w:r>
        <w:rPr>
          <w:rFonts w:ascii="Calibri" w:hAnsi="Calibri" w:cs="Calibri"/>
          <w:b/>
          <w:bCs/>
          <w:sz w:val="28"/>
          <w:szCs w:val="28"/>
          <w:u w:val="single"/>
        </w:rPr>
        <w:t xml:space="preserve"> </w:t>
      </w:r>
      <w:bookmarkStart w:id="20" w:name="_Toc226635574"/>
      <w:r w:rsidR="0089352F">
        <w:rPr>
          <w:rFonts w:ascii="Calibri" w:hAnsi="Calibri" w:cs="Calibri"/>
          <w:b/>
          <w:bCs/>
          <w:sz w:val="28"/>
          <w:szCs w:val="28"/>
          <w:u w:val="single"/>
        </w:rPr>
        <w:t xml:space="preserve">Design </w:t>
      </w:r>
      <w:r w:rsidR="00EE0237">
        <w:rPr>
          <w:rFonts w:ascii="Calibri" w:hAnsi="Calibri" w:cs="Calibri"/>
          <w:b/>
          <w:bCs/>
          <w:sz w:val="28"/>
          <w:szCs w:val="28"/>
          <w:u w:val="single"/>
        </w:rPr>
        <w:t>principles</w:t>
      </w:r>
      <w:bookmarkEnd w:id="20"/>
    </w:p>
    <w:p w14:paraId="098AD3C1" w14:textId="77777777" w:rsidR="003C2237" w:rsidRDefault="003C2237">
      <w:r w:rsidRPr="003C2237">
        <w:t xml:space="preserve">This combination of principles that will guide the implied integrated approach has </w:t>
      </w:r>
      <w:proofErr w:type="gramStart"/>
      <w:r w:rsidRPr="003C2237">
        <w:t>a number of</w:t>
      </w:r>
      <w:proofErr w:type="gramEnd"/>
      <w:r w:rsidRPr="003C2237">
        <w:t xml:space="preserve"> clear design principles that are supposed to achieve coherence amongst governance, implementation of control and assurance of regulation. </w:t>
      </w:r>
    </w:p>
    <w:p w14:paraId="1204451D" w14:textId="25677DDC" w:rsidR="003C2237" w:rsidRDefault="003C2237">
      <w:r w:rsidRPr="003C2237">
        <w:t>P1. Governance</w:t>
      </w:r>
      <w:r w:rsidRPr="003C2237">
        <w:noBreakHyphen/>
        <w:t xml:space="preserve">led control design. The definition and deployment of security controls are preceded by the establishment of governance structures involving accountability, risk appetite, </w:t>
      </w:r>
      <w:r>
        <w:t>and</w:t>
      </w:r>
      <w:r w:rsidRPr="003C2237">
        <w:t xml:space="preserve"> decision rights. This is to be sure that both technical and organisational measures are aligned with enterprise aims, and that they have the official risk tolerance endorsed</w:t>
      </w:r>
      <w:r w:rsidR="00742DD9">
        <w:t>.</w:t>
      </w:r>
      <w:r w:rsidRPr="003C2237">
        <w:t xml:space="preserve"> </w:t>
      </w:r>
    </w:p>
    <w:p w14:paraId="408DFF89" w14:textId="2029636A" w:rsidR="003C2237" w:rsidRDefault="003C2237">
      <w:r w:rsidRPr="003C2237">
        <w:t xml:space="preserve">P2. Single control base involving various control regulatory mappings. Only one internally consistent control baseline is described and then mapped into various regulatory and </w:t>
      </w:r>
      <w:r>
        <w:t>standards-based</w:t>
      </w:r>
      <w:r w:rsidRPr="003C2237">
        <w:t xml:space="preserve"> obligations. This principle will decrease redundant compliance work, help reduce control fragmentation, and allow proportional levels of supervisory engagement. </w:t>
      </w:r>
    </w:p>
    <w:p w14:paraId="0D6BC47E" w14:textId="7ABA1F14" w:rsidR="003C2237" w:rsidRDefault="003C2237">
      <w:r w:rsidRPr="003C2237">
        <w:t>P3. Evidence</w:t>
      </w:r>
      <w:r w:rsidRPr="003C2237">
        <w:noBreakHyphen/>
        <w:t xml:space="preserve">driven assurance. Each material control has a clearly identified owner and is accompanied by key performance and risk indicators (KPIs/ KRIs) that are measurable as well as an explicit assurance mechanism. This facilitates </w:t>
      </w:r>
      <w:r>
        <w:t>ongoing</w:t>
      </w:r>
      <w:r w:rsidRPr="003C2237">
        <w:t xml:space="preserve"> monitoring, auditability, and regulating defensible reporting</w:t>
      </w:r>
      <w:r w:rsidR="00742DD9">
        <w:t>.</w:t>
      </w:r>
      <w:r w:rsidRPr="003C2237">
        <w:t xml:space="preserve"> </w:t>
      </w:r>
    </w:p>
    <w:p w14:paraId="2154C4D1" w14:textId="712C13DC" w:rsidR="00F00550" w:rsidRDefault="003C2237">
      <w:r w:rsidRPr="003C2237">
        <w:t>P4. Security outcome, resilience. The idea of security incidents is not just a technical failure but also a potential operation resilience disruptor, with impact tolerances and recovery goals examined. This framing links together management of cybersecurity issues and operational resilience, and supervisory expectations</w:t>
      </w:r>
      <w:r w:rsidR="00742DD9">
        <w:t>.</w:t>
      </w:r>
    </w:p>
    <w:p w14:paraId="60E376BE" w14:textId="3B005169" w:rsidR="00537042" w:rsidRPr="00537042" w:rsidRDefault="00A52364" w:rsidP="00417C93">
      <w:pPr>
        <w:pStyle w:val="Heading2"/>
        <w:numPr>
          <w:ilvl w:val="1"/>
          <w:numId w:val="6"/>
        </w:numPr>
        <w:rPr>
          <w:rFonts w:ascii="Calibri" w:hAnsi="Calibri" w:cs="Calibri"/>
          <w:b/>
          <w:bCs/>
          <w:sz w:val="28"/>
          <w:szCs w:val="28"/>
          <w:u w:val="single"/>
        </w:rPr>
      </w:pPr>
      <w:r>
        <w:rPr>
          <w:rFonts w:ascii="Calibri" w:hAnsi="Calibri" w:cs="Calibri"/>
          <w:b/>
          <w:bCs/>
          <w:sz w:val="28"/>
          <w:szCs w:val="28"/>
          <w:u w:val="single"/>
        </w:rPr>
        <w:t xml:space="preserve"> </w:t>
      </w:r>
      <w:bookmarkStart w:id="21" w:name="_Toc226635575"/>
      <w:r w:rsidR="00537042" w:rsidRPr="00537042">
        <w:rPr>
          <w:rFonts w:ascii="Calibri" w:hAnsi="Calibri" w:cs="Calibri"/>
          <w:b/>
          <w:bCs/>
          <w:sz w:val="28"/>
          <w:szCs w:val="28"/>
          <w:u w:val="single"/>
        </w:rPr>
        <w:t>Governance: Board, committees, accountability.</w:t>
      </w:r>
      <w:bookmarkEnd w:id="21"/>
      <w:r w:rsidR="00537042" w:rsidRPr="00537042">
        <w:rPr>
          <w:rFonts w:ascii="Calibri" w:hAnsi="Calibri" w:cs="Calibri"/>
          <w:b/>
          <w:bCs/>
          <w:sz w:val="28"/>
          <w:szCs w:val="28"/>
          <w:u w:val="single"/>
        </w:rPr>
        <w:t xml:space="preserve"> </w:t>
      </w:r>
    </w:p>
    <w:p w14:paraId="11C83E7C" w14:textId="3D0E93F1" w:rsidR="00950D8A" w:rsidRDefault="00537042">
      <w:r w:rsidRPr="00537042">
        <w:t xml:space="preserve">A multi-layered governance framework (with explicit accountability) is suggested </w:t>
      </w:r>
      <w:proofErr w:type="gramStart"/>
      <w:r w:rsidRPr="00537042">
        <w:t>in order to</w:t>
      </w:r>
      <w:proofErr w:type="gramEnd"/>
      <w:r w:rsidRPr="00537042">
        <w:t xml:space="preserve"> guarantee that cybersecurity and data risk </w:t>
      </w:r>
      <w:r w:rsidR="00950D8A">
        <w:t>are</w:t>
      </w:r>
      <w:r w:rsidRPr="00537042">
        <w:t xml:space="preserve"> integrated into the enterprise-level decision-making process (see Figure 1). At the very top, the Board Risk Committee still has the issue of approving the cyber risk appetite and ratifying the material risk acceptances in the organisation</w:t>
      </w:r>
      <w:r>
        <w:t>,</w:t>
      </w:r>
      <w:r w:rsidRPr="00537042">
        <w:t xml:space="preserve"> thus entrenching the decision-making process of security into formal board-level governance.</w:t>
      </w:r>
    </w:p>
    <w:p w14:paraId="14603F88" w14:textId="77777777" w:rsidR="00026B92" w:rsidRDefault="00537042">
      <w:r w:rsidRPr="00537042">
        <w:t xml:space="preserve"> Under the board, the Executive Risk Committee has the role of incorporating the risks associated with cybersecurity and data-related risks into the broader enterprise risk management (ERM) and aligning it with the strategic goals and the risk-taking capacity of the </w:t>
      </w:r>
      <w:r>
        <w:t>organisation</w:t>
      </w:r>
      <w:r w:rsidRPr="00537042">
        <w:t xml:space="preserve">. At the management level, an Information Security Steering Committee is used to manage the health of the control environment, monitor key risk and performance </w:t>
      </w:r>
      <w:r>
        <w:t>indicators</w:t>
      </w:r>
      <w:r w:rsidRPr="00537042">
        <w:t>, and assign remediation actions a priority.</w:t>
      </w:r>
    </w:p>
    <w:p w14:paraId="7FF46C42" w14:textId="1ECF5E45" w:rsidR="00F00550" w:rsidRDefault="00537042">
      <w:r w:rsidRPr="00537042">
        <w:lastRenderedPageBreak/>
        <w:t xml:space="preserve"> </w:t>
      </w:r>
      <w:r>
        <w:t xml:space="preserve">In parallel, a specific Data Governance Council is created to provide expert oversight of data classification, data retention, and data privacy controls, and to </w:t>
      </w:r>
      <w:r w:rsidRPr="00537042">
        <w:t>adhere to regulatory requirements and internal information-management guidelines. This tiered committee design will assist in achieving segregation of duties, the three lines of defence, and will allow non-traceable escalation of issues with operational control to executive and board-level.</w:t>
      </w:r>
    </w:p>
    <w:p w14:paraId="5CA26D40" w14:textId="72F60C30" w:rsidR="00206D7F" w:rsidRDefault="00206D7F" w:rsidP="00206D7F">
      <w:pPr>
        <w:pStyle w:val="Caption"/>
        <w:rPr>
          <w:b/>
          <w:bCs/>
          <w:sz w:val="20"/>
          <w:szCs w:val="20"/>
        </w:rPr>
      </w:pPr>
      <w:bookmarkStart w:id="22" w:name="_Toc226622700"/>
      <w:r w:rsidRPr="00206D7F">
        <w:rPr>
          <w:b/>
          <w:bCs/>
          <w:sz w:val="20"/>
          <w:szCs w:val="20"/>
        </w:rPr>
        <w:t xml:space="preserve">Figure </w:t>
      </w:r>
      <w:r w:rsidRPr="00206D7F">
        <w:rPr>
          <w:b/>
          <w:bCs/>
          <w:sz w:val="20"/>
          <w:szCs w:val="20"/>
        </w:rPr>
        <w:fldChar w:fldCharType="begin"/>
      </w:r>
      <w:r w:rsidRPr="00206D7F">
        <w:rPr>
          <w:b/>
          <w:bCs/>
          <w:sz w:val="20"/>
          <w:szCs w:val="20"/>
        </w:rPr>
        <w:instrText xml:space="preserve"> SEQ Figure \* ARABIC </w:instrText>
      </w:r>
      <w:r w:rsidRPr="00206D7F">
        <w:rPr>
          <w:b/>
          <w:bCs/>
          <w:sz w:val="20"/>
          <w:szCs w:val="20"/>
        </w:rPr>
        <w:fldChar w:fldCharType="separate"/>
      </w:r>
      <w:r w:rsidR="0074752F">
        <w:rPr>
          <w:b/>
          <w:bCs/>
          <w:noProof/>
          <w:sz w:val="20"/>
          <w:szCs w:val="20"/>
        </w:rPr>
        <w:t>1</w:t>
      </w:r>
      <w:r w:rsidRPr="00206D7F">
        <w:rPr>
          <w:b/>
          <w:bCs/>
          <w:sz w:val="20"/>
          <w:szCs w:val="20"/>
        </w:rPr>
        <w:fldChar w:fldCharType="end"/>
      </w:r>
      <w:r w:rsidRPr="00206D7F">
        <w:rPr>
          <w:b/>
          <w:bCs/>
          <w:sz w:val="20"/>
          <w:szCs w:val="20"/>
        </w:rPr>
        <w:t xml:space="preserve"> Integrated governance stack and accountability flow</w:t>
      </w:r>
      <w:bookmarkEnd w:id="22"/>
    </w:p>
    <w:p w14:paraId="30193C12" w14:textId="74242C2B" w:rsidR="00206D7F" w:rsidRPr="00206D7F" w:rsidRDefault="00255AC5" w:rsidP="00206D7F">
      <w:r w:rsidRPr="00255AC5">
        <w:rPr>
          <w:noProof/>
        </w:rPr>
        <w:drawing>
          <wp:inline distT="0" distB="0" distL="0" distR="0" wp14:anchorId="2ABF72C5" wp14:editId="2A58FBF0">
            <wp:extent cx="1836362" cy="5806440"/>
            <wp:effectExtent l="0" t="0" r="0" b="3810"/>
            <wp:docPr id="1772457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457891" name=""/>
                    <pic:cNvPicPr/>
                  </pic:nvPicPr>
                  <pic:blipFill>
                    <a:blip r:embed="rId11"/>
                    <a:stretch>
                      <a:fillRect/>
                    </a:stretch>
                  </pic:blipFill>
                  <pic:spPr>
                    <a:xfrm>
                      <a:off x="0" y="0"/>
                      <a:ext cx="1848982" cy="5846343"/>
                    </a:xfrm>
                    <a:prstGeom prst="rect">
                      <a:avLst/>
                    </a:prstGeom>
                  </pic:spPr>
                </pic:pic>
              </a:graphicData>
            </a:graphic>
          </wp:inline>
        </w:drawing>
      </w:r>
    </w:p>
    <w:p w14:paraId="5692A03A" w14:textId="2A87E8F2" w:rsidR="00BF7A7A" w:rsidRPr="00BF7A7A" w:rsidRDefault="00A52364" w:rsidP="00417C93">
      <w:pPr>
        <w:pStyle w:val="Heading2"/>
        <w:numPr>
          <w:ilvl w:val="1"/>
          <w:numId w:val="6"/>
        </w:numPr>
        <w:rPr>
          <w:rFonts w:ascii="Calibri" w:hAnsi="Calibri" w:cs="Calibri"/>
          <w:b/>
          <w:bCs/>
          <w:sz w:val="28"/>
          <w:szCs w:val="28"/>
          <w:u w:val="single"/>
        </w:rPr>
      </w:pPr>
      <w:r>
        <w:rPr>
          <w:rFonts w:ascii="Calibri" w:hAnsi="Calibri" w:cs="Calibri"/>
          <w:b/>
          <w:bCs/>
          <w:sz w:val="28"/>
          <w:szCs w:val="28"/>
          <w:u w:val="single"/>
        </w:rPr>
        <w:t xml:space="preserve"> </w:t>
      </w:r>
      <w:bookmarkStart w:id="23" w:name="_Toc226635576"/>
      <w:r w:rsidR="00BF7A7A" w:rsidRPr="00BF7A7A">
        <w:rPr>
          <w:rFonts w:ascii="Calibri" w:hAnsi="Calibri" w:cs="Calibri"/>
          <w:b/>
          <w:bCs/>
          <w:sz w:val="28"/>
          <w:szCs w:val="28"/>
          <w:u w:val="single"/>
        </w:rPr>
        <w:t>Operating Model (Three Lines of Defence) Target.</w:t>
      </w:r>
      <w:bookmarkEnd w:id="23"/>
      <w:r w:rsidR="00BF7A7A" w:rsidRPr="00BF7A7A">
        <w:rPr>
          <w:rFonts w:ascii="Calibri" w:hAnsi="Calibri" w:cs="Calibri"/>
          <w:b/>
          <w:bCs/>
          <w:sz w:val="28"/>
          <w:szCs w:val="28"/>
          <w:u w:val="single"/>
        </w:rPr>
        <w:t xml:space="preserve"> </w:t>
      </w:r>
    </w:p>
    <w:p w14:paraId="5C4C2D36" w14:textId="42A264EF" w:rsidR="00102257" w:rsidRDefault="00BF7A7A">
      <w:r w:rsidRPr="00BF7A7A">
        <w:t>The operation model that FinSure should implement has three lines of defence operation</w:t>
      </w:r>
      <w:r w:rsidR="00CF56DA">
        <w:t>, where first-line business and technology teams operate the security controls, second-line risk, compliance, and security functions are policy-definition, KPI-monitoring, and control-testing functions,</w:t>
      </w:r>
      <w:r w:rsidRPr="00BF7A7A">
        <w:t xml:space="preserve"> and the third-line internal audit is an independent assurance that reports to the Board. This operating model will facilitate supervisory and operational resilience expectations and </w:t>
      </w:r>
      <w:r w:rsidR="00CF56DA">
        <w:t>allow</w:t>
      </w:r>
      <w:r w:rsidRPr="00BF7A7A">
        <w:t xml:space="preserve"> a consistent, evidence-based oversight.</w:t>
      </w:r>
    </w:p>
    <w:p w14:paraId="76E52BE4" w14:textId="7D88EF01" w:rsidR="00D7643C" w:rsidRDefault="00D7643C" w:rsidP="00D7643C">
      <w:pPr>
        <w:pStyle w:val="Caption"/>
        <w:rPr>
          <w:b/>
          <w:bCs/>
          <w:sz w:val="20"/>
          <w:szCs w:val="20"/>
        </w:rPr>
      </w:pPr>
      <w:bookmarkStart w:id="24" w:name="_Toc226622701"/>
      <w:r w:rsidRPr="00D7643C">
        <w:rPr>
          <w:b/>
          <w:bCs/>
          <w:sz w:val="20"/>
          <w:szCs w:val="20"/>
        </w:rPr>
        <w:lastRenderedPageBreak/>
        <w:t xml:space="preserve">Figure </w:t>
      </w:r>
      <w:r w:rsidRPr="00D7643C">
        <w:rPr>
          <w:b/>
          <w:bCs/>
          <w:sz w:val="20"/>
          <w:szCs w:val="20"/>
        </w:rPr>
        <w:fldChar w:fldCharType="begin"/>
      </w:r>
      <w:r w:rsidRPr="00D7643C">
        <w:rPr>
          <w:b/>
          <w:bCs/>
          <w:sz w:val="20"/>
          <w:szCs w:val="20"/>
        </w:rPr>
        <w:instrText xml:space="preserve"> SEQ Figure \* ARABIC </w:instrText>
      </w:r>
      <w:r w:rsidRPr="00D7643C">
        <w:rPr>
          <w:b/>
          <w:bCs/>
          <w:sz w:val="20"/>
          <w:szCs w:val="20"/>
        </w:rPr>
        <w:fldChar w:fldCharType="separate"/>
      </w:r>
      <w:r w:rsidR="0074752F">
        <w:rPr>
          <w:b/>
          <w:bCs/>
          <w:noProof/>
          <w:sz w:val="20"/>
          <w:szCs w:val="20"/>
        </w:rPr>
        <w:t>2</w:t>
      </w:r>
      <w:r w:rsidRPr="00D7643C">
        <w:rPr>
          <w:b/>
          <w:bCs/>
          <w:sz w:val="20"/>
          <w:szCs w:val="20"/>
        </w:rPr>
        <w:fldChar w:fldCharType="end"/>
      </w:r>
      <w:r w:rsidRPr="00D7643C">
        <w:rPr>
          <w:b/>
          <w:bCs/>
          <w:sz w:val="20"/>
          <w:szCs w:val="20"/>
        </w:rPr>
        <w:t xml:space="preserve"> Three Lines of Defence target operating model for security and compliance</w:t>
      </w:r>
      <w:bookmarkEnd w:id="24"/>
    </w:p>
    <w:p w14:paraId="69B50EEE" w14:textId="09DC845C" w:rsidR="00D7643C" w:rsidRDefault="00E67007" w:rsidP="00D7643C">
      <w:pPr>
        <w:rPr>
          <w:noProof/>
        </w:rPr>
      </w:pPr>
      <w:r w:rsidRPr="00E67007">
        <w:rPr>
          <w:noProof/>
        </w:rPr>
        <w:drawing>
          <wp:inline distT="0" distB="0" distL="0" distR="0" wp14:anchorId="6BCE7CE2" wp14:editId="57EAE5F3">
            <wp:extent cx="2986903" cy="6324600"/>
            <wp:effectExtent l="0" t="0" r="4445" b="0"/>
            <wp:docPr id="810349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349066" name=""/>
                    <pic:cNvPicPr/>
                  </pic:nvPicPr>
                  <pic:blipFill>
                    <a:blip r:embed="rId12"/>
                    <a:stretch>
                      <a:fillRect/>
                    </a:stretch>
                  </pic:blipFill>
                  <pic:spPr>
                    <a:xfrm>
                      <a:off x="0" y="0"/>
                      <a:ext cx="3008268" cy="6369838"/>
                    </a:xfrm>
                    <a:prstGeom prst="rect">
                      <a:avLst/>
                    </a:prstGeom>
                  </pic:spPr>
                </pic:pic>
              </a:graphicData>
            </a:graphic>
          </wp:inline>
        </w:drawing>
      </w:r>
    </w:p>
    <w:p w14:paraId="6ABA9DEC" w14:textId="77777777" w:rsidR="005C0119" w:rsidRPr="00D7643C" w:rsidRDefault="005C0119" w:rsidP="00D7643C"/>
    <w:p w14:paraId="0071832F" w14:textId="2CC55CDA" w:rsidR="00B401DE" w:rsidRPr="00B401DE" w:rsidRDefault="00A52364" w:rsidP="00A52364">
      <w:pPr>
        <w:pStyle w:val="Heading2"/>
        <w:numPr>
          <w:ilvl w:val="1"/>
          <w:numId w:val="6"/>
        </w:numPr>
        <w:rPr>
          <w:rFonts w:ascii="Calibri" w:hAnsi="Calibri" w:cs="Calibri"/>
          <w:b/>
          <w:bCs/>
          <w:sz w:val="28"/>
          <w:szCs w:val="28"/>
          <w:u w:val="single"/>
        </w:rPr>
      </w:pPr>
      <w:r>
        <w:rPr>
          <w:rFonts w:ascii="Calibri" w:hAnsi="Calibri" w:cs="Calibri"/>
          <w:b/>
          <w:bCs/>
          <w:sz w:val="28"/>
          <w:szCs w:val="28"/>
          <w:u w:val="single"/>
        </w:rPr>
        <w:t xml:space="preserve"> </w:t>
      </w:r>
      <w:bookmarkStart w:id="25" w:name="_Toc226635577"/>
      <w:r w:rsidR="00B401DE" w:rsidRPr="00B401DE">
        <w:rPr>
          <w:rFonts w:ascii="Calibri" w:hAnsi="Calibri" w:cs="Calibri"/>
          <w:b/>
          <w:bCs/>
          <w:sz w:val="28"/>
          <w:szCs w:val="28"/>
          <w:u w:val="single"/>
        </w:rPr>
        <w:t>Core</w:t>
      </w:r>
      <w:r w:rsidR="002F33C6" w:rsidRPr="00B401DE">
        <w:rPr>
          <w:rFonts w:ascii="Calibri" w:hAnsi="Calibri" w:cs="Calibri"/>
          <w:b/>
          <w:bCs/>
          <w:sz w:val="28"/>
          <w:szCs w:val="28"/>
          <w:u w:val="single"/>
        </w:rPr>
        <w:t xml:space="preserve"> management system: ISO 27001 ISMS and NIST CSF 2.0 overlay.</w:t>
      </w:r>
      <w:bookmarkEnd w:id="25"/>
      <w:r w:rsidR="002F33C6" w:rsidRPr="00B401DE">
        <w:rPr>
          <w:rFonts w:ascii="Calibri" w:hAnsi="Calibri" w:cs="Calibri"/>
          <w:b/>
          <w:bCs/>
          <w:sz w:val="28"/>
          <w:szCs w:val="28"/>
          <w:u w:val="single"/>
        </w:rPr>
        <w:t xml:space="preserve"> </w:t>
      </w:r>
    </w:p>
    <w:p w14:paraId="0D400425" w14:textId="1D23CBB1" w:rsidR="00F00550" w:rsidRDefault="002F33C6">
      <w:r w:rsidRPr="002F33C6">
        <w:t>FinSure is strongly advised to use ISO/IEC 27001 as part of a building block of the core management system and include the scope definition and risk evaluation, Statement of Applicability, internal audit, and management review procedures, and complement with NIST CSF 2.0 as a view of executive-level reporting and communications (Figure 3).</w:t>
      </w:r>
    </w:p>
    <w:p w14:paraId="4F7279F0" w14:textId="77777777" w:rsidR="00432CCE" w:rsidRDefault="00432CCE"/>
    <w:p w14:paraId="001A896E" w14:textId="77777777" w:rsidR="00525D3A" w:rsidRDefault="00525D3A"/>
    <w:p w14:paraId="7A2BA68F" w14:textId="77777777" w:rsidR="006C2BEF" w:rsidRDefault="006C2BEF"/>
    <w:p w14:paraId="794F94CE" w14:textId="54FF58AD" w:rsidR="00471112" w:rsidRDefault="000F167A" w:rsidP="000F167A">
      <w:pPr>
        <w:pStyle w:val="Caption"/>
        <w:rPr>
          <w:b/>
          <w:bCs/>
          <w:sz w:val="20"/>
          <w:szCs w:val="20"/>
        </w:rPr>
      </w:pPr>
      <w:bookmarkStart w:id="26" w:name="_Toc226622702"/>
      <w:r w:rsidRPr="000F167A">
        <w:rPr>
          <w:b/>
          <w:bCs/>
          <w:sz w:val="20"/>
          <w:szCs w:val="20"/>
        </w:rPr>
        <w:t xml:space="preserve">Figure </w:t>
      </w:r>
      <w:r w:rsidRPr="000F167A">
        <w:rPr>
          <w:b/>
          <w:bCs/>
          <w:sz w:val="20"/>
          <w:szCs w:val="20"/>
        </w:rPr>
        <w:fldChar w:fldCharType="begin"/>
      </w:r>
      <w:r w:rsidRPr="000F167A">
        <w:rPr>
          <w:b/>
          <w:bCs/>
          <w:sz w:val="20"/>
          <w:szCs w:val="20"/>
        </w:rPr>
        <w:instrText xml:space="preserve"> SEQ Figure \* ARABIC </w:instrText>
      </w:r>
      <w:r w:rsidRPr="000F167A">
        <w:rPr>
          <w:b/>
          <w:bCs/>
          <w:sz w:val="20"/>
          <w:szCs w:val="20"/>
        </w:rPr>
        <w:fldChar w:fldCharType="separate"/>
      </w:r>
      <w:r w:rsidR="0074752F">
        <w:rPr>
          <w:b/>
          <w:bCs/>
          <w:noProof/>
          <w:sz w:val="20"/>
          <w:szCs w:val="20"/>
        </w:rPr>
        <w:t>3</w:t>
      </w:r>
      <w:r w:rsidRPr="000F167A">
        <w:rPr>
          <w:b/>
          <w:bCs/>
          <w:sz w:val="20"/>
          <w:szCs w:val="20"/>
        </w:rPr>
        <w:fldChar w:fldCharType="end"/>
      </w:r>
      <w:r w:rsidRPr="000F167A">
        <w:rPr>
          <w:b/>
          <w:bCs/>
          <w:sz w:val="20"/>
          <w:szCs w:val="20"/>
        </w:rPr>
        <w:t xml:space="preserve"> Framework mapping (COBIT 2019 ↔ ISO 27001/27002 ↔ NIST CSF 2.0)</w:t>
      </w:r>
      <w:bookmarkEnd w:id="26"/>
    </w:p>
    <w:p w14:paraId="344715F6" w14:textId="654811B9" w:rsidR="00525D3A" w:rsidRPr="00432CCE" w:rsidRDefault="00606ACA" w:rsidP="00432CCE">
      <w:pPr>
        <w:rPr>
          <w:noProof/>
        </w:rPr>
      </w:pPr>
      <w:r w:rsidRPr="00606ACA">
        <w:rPr>
          <w:noProof/>
        </w:rPr>
        <w:drawing>
          <wp:inline distT="0" distB="0" distL="0" distR="0" wp14:anchorId="5D1F58A0" wp14:editId="006C0F41">
            <wp:extent cx="6504305" cy="6827520"/>
            <wp:effectExtent l="0" t="0" r="0" b="0"/>
            <wp:docPr id="351086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086772" name=""/>
                    <pic:cNvPicPr/>
                  </pic:nvPicPr>
                  <pic:blipFill>
                    <a:blip r:embed="rId13"/>
                    <a:stretch>
                      <a:fillRect/>
                    </a:stretch>
                  </pic:blipFill>
                  <pic:spPr>
                    <a:xfrm>
                      <a:off x="0" y="0"/>
                      <a:ext cx="6510354" cy="6833870"/>
                    </a:xfrm>
                    <a:prstGeom prst="rect">
                      <a:avLst/>
                    </a:prstGeom>
                  </pic:spPr>
                </pic:pic>
              </a:graphicData>
            </a:graphic>
          </wp:inline>
        </w:drawing>
      </w:r>
    </w:p>
    <w:p w14:paraId="295D48E4" w14:textId="007BE9CF" w:rsidR="006F05D7" w:rsidRPr="006F05D7" w:rsidRDefault="00A52364" w:rsidP="00A52364">
      <w:pPr>
        <w:pStyle w:val="Heading2"/>
        <w:numPr>
          <w:ilvl w:val="1"/>
          <w:numId w:val="6"/>
        </w:numPr>
        <w:rPr>
          <w:rFonts w:ascii="Calibri" w:hAnsi="Calibri" w:cs="Calibri"/>
          <w:b/>
          <w:bCs/>
          <w:sz w:val="28"/>
          <w:szCs w:val="28"/>
          <w:u w:val="single"/>
        </w:rPr>
      </w:pPr>
      <w:r w:rsidRPr="004C2062">
        <w:rPr>
          <w:rFonts w:ascii="Calibri" w:hAnsi="Calibri" w:cs="Calibri"/>
          <w:b/>
          <w:bCs/>
          <w:sz w:val="28"/>
          <w:szCs w:val="28"/>
        </w:rPr>
        <w:t xml:space="preserve"> </w:t>
      </w:r>
      <w:bookmarkStart w:id="27" w:name="_Toc226635578"/>
      <w:r w:rsidR="00124CCA" w:rsidRPr="006F05D7">
        <w:rPr>
          <w:rFonts w:ascii="Calibri" w:hAnsi="Calibri" w:cs="Calibri"/>
          <w:b/>
          <w:bCs/>
          <w:sz w:val="28"/>
          <w:szCs w:val="28"/>
          <w:u w:val="single"/>
        </w:rPr>
        <w:t>Control baseline</w:t>
      </w:r>
      <w:bookmarkEnd w:id="27"/>
      <w:r w:rsidR="00124CCA" w:rsidRPr="006F05D7">
        <w:rPr>
          <w:rFonts w:ascii="Calibri" w:hAnsi="Calibri" w:cs="Calibri"/>
          <w:b/>
          <w:bCs/>
          <w:sz w:val="28"/>
          <w:szCs w:val="28"/>
          <w:u w:val="single"/>
        </w:rPr>
        <w:t xml:space="preserve"> </w:t>
      </w:r>
    </w:p>
    <w:p w14:paraId="0BE16678" w14:textId="65163A35" w:rsidR="0007223F" w:rsidRDefault="00124CCA">
      <w:r w:rsidRPr="00124CCA">
        <w:t>FinSure is advised to implement one, consistent, control baseline, set to ISO/IEC 27002, prioritised with CIS Critical Security Controls v8, and to map systematically to the financial-sector requirements (Table 2). Specific attention to the identity and access management, cloud security posture, logging and monitoring, secure software development, incident response capability, and third-party governance should be considered in the baseline.</w:t>
      </w:r>
    </w:p>
    <w:p w14:paraId="7C1CC360" w14:textId="78A84A5B" w:rsidR="00BC0FD2" w:rsidRDefault="00BC0FD2" w:rsidP="00BC0FD2">
      <w:pPr>
        <w:pStyle w:val="Caption"/>
        <w:rPr>
          <w:rFonts w:cs="Calibri"/>
          <w:b/>
          <w:bCs/>
          <w:sz w:val="20"/>
          <w:szCs w:val="20"/>
        </w:rPr>
      </w:pPr>
      <w:bookmarkStart w:id="28" w:name="_Toc226622706"/>
      <w:r w:rsidRPr="00BC0FD2">
        <w:rPr>
          <w:rFonts w:cs="Calibri"/>
          <w:b/>
          <w:bCs/>
          <w:sz w:val="20"/>
          <w:szCs w:val="20"/>
        </w:rPr>
        <w:lastRenderedPageBreak/>
        <w:t xml:space="preserve">Table </w:t>
      </w:r>
      <w:r w:rsidRPr="00BC0FD2">
        <w:rPr>
          <w:rFonts w:cs="Calibri"/>
          <w:b/>
          <w:bCs/>
          <w:sz w:val="20"/>
          <w:szCs w:val="20"/>
        </w:rPr>
        <w:fldChar w:fldCharType="begin"/>
      </w:r>
      <w:r w:rsidRPr="00BC0FD2">
        <w:rPr>
          <w:rFonts w:cs="Calibri"/>
          <w:b/>
          <w:bCs/>
          <w:sz w:val="20"/>
          <w:szCs w:val="20"/>
        </w:rPr>
        <w:instrText xml:space="preserve"> SEQ Table \* ARABIC </w:instrText>
      </w:r>
      <w:r w:rsidRPr="00BC0FD2">
        <w:rPr>
          <w:rFonts w:cs="Calibri"/>
          <w:b/>
          <w:bCs/>
          <w:sz w:val="20"/>
          <w:szCs w:val="20"/>
        </w:rPr>
        <w:fldChar w:fldCharType="separate"/>
      </w:r>
      <w:r w:rsidR="0029509B">
        <w:rPr>
          <w:rFonts w:cs="Calibri"/>
          <w:b/>
          <w:bCs/>
          <w:noProof/>
          <w:sz w:val="20"/>
          <w:szCs w:val="20"/>
        </w:rPr>
        <w:t>2</w:t>
      </w:r>
      <w:r w:rsidRPr="00BC0FD2">
        <w:rPr>
          <w:rFonts w:cs="Calibri"/>
          <w:b/>
          <w:bCs/>
          <w:sz w:val="20"/>
          <w:szCs w:val="20"/>
        </w:rPr>
        <w:fldChar w:fldCharType="end"/>
      </w:r>
      <w:r w:rsidRPr="00BC0FD2">
        <w:rPr>
          <w:rFonts w:cs="Calibri"/>
          <w:b/>
          <w:bCs/>
          <w:sz w:val="20"/>
          <w:szCs w:val="20"/>
        </w:rPr>
        <w:t xml:space="preserve"> FinSure Bank Top</w:t>
      </w:r>
      <w:r w:rsidRPr="00BC0FD2">
        <w:rPr>
          <w:rFonts w:ascii="Cambria Math" w:hAnsi="Cambria Math" w:cs="Cambria Math"/>
          <w:b/>
          <w:bCs/>
          <w:sz w:val="20"/>
          <w:szCs w:val="20"/>
        </w:rPr>
        <w:t>‑</w:t>
      </w:r>
      <w:r w:rsidRPr="00BC0FD2">
        <w:rPr>
          <w:rFonts w:cs="Calibri"/>
          <w:b/>
          <w:bCs/>
          <w:sz w:val="20"/>
          <w:szCs w:val="20"/>
        </w:rPr>
        <w:t>25 control baseline with KPIs/KRIs and assurance method</w:t>
      </w:r>
      <w:bookmarkEnd w:id="28"/>
    </w:p>
    <w:tbl>
      <w:tblPr>
        <w:tblStyle w:val="TableGrid"/>
        <w:tblW w:w="0" w:type="auto"/>
        <w:tblLayout w:type="fixed"/>
        <w:tblLook w:val="04A0" w:firstRow="1" w:lastRow="0" w:firstColumn="1" w:lastColumn="0" w:noHBand="0" w:noVBand="1"/>
      </w:tblPr>
      <w:tblGrid>
        <w:gridCol w:w="1440"/>
        <w:gridCol w:w="1296"/>
        <w:gridCol w:w="1008"/>
        <w:gridCol w:w="1440"/>
        <w:gridCol w:w="1296"/>
        <w:gridCol w:w="1152"/>
        <w:gridCol w:w="1407"/>
      </w:tblGrid>
      <w:tr w:rsidR="001C3840" w14:paraId="1AC15EFE" w14:textId="77777777" w:rsidTr="003B71CA">
        <w:tc>
          <w:tcPr>
            <w:tcW w:w="1440" w:type="dxa"/>
            <w:vAlign w:val="center"/>
          </w:tcPr>
          <w:p w14:paraId="0DFE76AE" w14:textId="77777777" w:rsidR="001C3840" w:rsidRDefault="001C3840" w:rsidP="003B71CA">
            <w:r>
              <w:rPr>
                <w:b/>
                <w:sz w:val="17"/>
              </w:rPr>
              <w:t>Control</w:t>
            </w:r>
          </w:p>
        </w:tc>
        <w:tc>
          <w:tcPr>
            <w:tcW w:w="1296" w:type="dxa"/>
            <w:vAlign w:val="center"/>
          </w:tcPr>
          <w:p w14:paraId="761B9BD8" w14:textId="77777777" w:rsidR="001C3840" w:rsidRDefault="001C3840" w:rsidP="003B71CA">
            <w:r>
              <w:rPr>
                <w:b/>
                <w:sz w:val="17"/>
              </w:rPr>
              <w:t>Purpose</w:t>
            </w:r>
          </w:p>
        </w:tc>
        <w:tc>
          <w:tcPr>
            <w:tcW w:w="1008" w:type="dxa"/>
            <w:vAlign w:val="center"/>
          </w:tcPr>
          <w:p w14:paraId="1C3694DF" w14:textId="77777777" w:rsidR="001C3840" w:rsidRDefault="001C3840" w:rsidP="003B71CA">
            <w:r>
              <w:rPr>
                <w:b/>
                <w:sz w:val="17"/>
              </w:rPr>
              <w:t>Owner</w:t>
            </w:r>
          </w:p>
        </w:tc>
        <w:tc>
          <w:tcPr>
            <w:tcW w:w="1440" w:type="dxa"/>
            <w:vAlign w:val="center"/>
          </w:tcPr>
          <w:p w14:paraId="74F9FBF6" w14:textId="77777777" w:rsidR="001C3840" w:rsidRDefault="001C3840" w:rsidP="003B71CA">
            <w:r>
              <w:rPr>
                <w:b/>
                <w:sz w:val="17"/>
              </w:rPr>
              <w:t>KPI/KRI (examples)</w:t>
            </w:r>
          </w:p>
        </w:tc>
        <w:tc>
          <w:tcPr>
            <w:tcW w:w="1296" w:type="dxa"/>
            <w:vAlign w:val="center"/>
          </w:tcPr>
          <w:p w14:paraId="3543FB1D" w14:textId="77777777" w:rsidR="001C3840" w:rsidRDefault="001C3840" w:rsidP="003B71CA">
            <w:r>
              <w:rPr>
                <w:b/>
                <w:sz w:val="17"/>
              </w:rPr>
              <w:t>Evidence source</w:t>
            </w:r>
          </w:p>
        </w:tc>
        <w:tc>
          <w:tcPr>
            <w:tcW w:w="1152" w:type="dxa"/>
            <w:vAlign w:val="center"/>
          </w:tcPr>
          <w:p w14:paraId="0C054CFF" w14:textId="77777777" w:rsidR="001C3840" w:rsidRDefault="001C3840" w:rsidP="003B71CA">
            <w:r>
              <w:rPr>
                <w:b/>
                <w:sz w:val="17"/>
              </w:rPr>
              <w:t>Assurance method</w:t>
            </w:r>
          </w:p>
        </w:tc>
        <w:tc>
          <w:tcPr>
            <w:tcW w:w="1407" w:type="dxa"/>
            <w:vAlign w:val="center"/>
          </w:tcPr>
          <w:p w14:paraId="426794B9" w14:textId="77777777" w:rsidR="001C3840" w:rsidRDefault="001C3840" w:rsidP="003B71CA">
            <w:r>
              <w:rPr>
                <w:b/>
                <w:sz w:val="17"/>
              </w:rPr>
              <w:t>Maturity target (baseline → target)</w:t>
            </w:r>
          </w:p>
        </w:tc>
      </w:tr>
      <w:tr w:rsidR="001C3840" w14:paraId="3DF97848" w14:textId="77777777" w:rsidTr="003B71CA">
        <w:tc>
          <w:tcPr>
            <w:tcW w:w="1440" w:type="dxa"/>
            <w:vAlign w:val="center"/>
          </w:tcPr>
          <w:p w14:paraId="0765EB54" w14:textId="77777777" w:rsidR="001C3840" w:rsidRDefault="001C3840" w:rsidP="003B71CA">
            <w:r>
              <w:rPr>
                <w:sz w:val="17"/>
              </w:rPr>
              <w:t>Phishing‑resistant MFA for privileged access [20]</w:t>
            </w:r>
          </w:p>
        </w:tc>
        <w:tc>
          <w:tcPr>
            <w:tcW w:w="1296" w:type="dxa"/>
            <w:vAlign w:val="center"/>
          </w:tcPr>
          <w:p w14:paraId="6C0199B4" w14:textId="77777777" w:rsidR="001C3840" w:rsidRDefault="001C3840" w:rsidP="003B71CA">
            <w:r>
              <w:rPr>
                <w:sz w:val="17"/>
              </w:rPr>
              <w:t>Reduce credential compromise</w:t>
            </w:r>
          </w:p>
        </w:tc>
        <w:tc>
          <w:tcPr>
            <w:tcW w:w="1008" w:type="dxa"/>
            <w:vAlign w:val="center"/>
          </w:tcPr>
          <w:p w14:paraId="14728455" w14:textId="77777777" w:rsidR="001C3840" w:rsidRDefault="001C3840" w:rsidP="003B71CA">
            <w:r>
              <w:rPr>
                <w:sz w:val="17"/>
              </w:rPr>
              <w:t>IAM Lead</w:t>
            </w:r>
          </w:p>
        </w:tc>
        <w:tc>
          <w:tcPr>
            <w:tcW w:w="1440" w:type="dxa"/>
            <w:vAlign w:val="center"/>
          </w:tcPr>
          <w:p w14:paraId="084B60C3" w14:textId="77777777" w:rsidR="001C3840" w:rsidRDefault="001C3840" w:rsidP="003B71CA">
            <w:r>
              <w:rPr>
                <w:sz w:val="17"/>
              </w:rPr>
              <w:t>% privileged with MFA; bypass attempts</w:t>
            </w:r>
          </w:p>
        </w:tc>
        <w:tc>
          <w:tcPr>
            <w:tcW w:w="1296" w:type="dxa"/>
            <w:vAlign w:val="center"/>
          </w:tcPr>
          <w:p w14:paraId="4ECBCEF0" w14:textId="77777777" w:rsidR="001C3840" w:rsidRDefault="001C3840" w:rsidP="003B71CA">
            <w:r>
              <w:rPr>
                <w:sz w:val="17"/>
              </w:rPr>
              <w:t>IdP logs</w:t>
            </w:r>
          </w:p>
        </w:tc>
        <w:tc>
          <w:tcPr>
            <w:tcW w:w="1152" w:type="dxa"/>
            <w:vAlign w:val="center"/>
          </w:tcPr>
          <w:p w14:paraId="7BCEAC91" w14:textId="77777777" w:rsidR="001C3840" w:rsidRDefault="001C3840" w:rsidP="003B71CA">
            <w:r>
              <w:rPr>
                <w:sz w:val="17"/>
              </w:rPr>
              <w:t>Quarterly test</w:t>
            </w:r>
          </w:p>
        </w:tc>
        <w:tc>
          <w:tcPr>
            <w:tcW w:w="1407" w:type="dxa"/>
            <w:vAlign w:val="center"/>
          </w:tcPr>
          <w:p w14:paraId="42BF3FA5" w14:textId="77777777" w:rsidR="001C3840" w:rsidRDefault="001C3840" w:rsidP="003B71CA">
            <w:r>
              <w:rPr>
                <w:sz w:val="17"/>
              </w:rPr>
              <w:t>Baseline: Initial → Target: Defined/Managed</w:t>
            </w:r>
          </w:p>
        </w:tc>
      </w:tr>
      <w:tr w:rsidR="001C3840" w14:paraId="523D7C5D" w14:textId="77777777" w:rsidTr="003B71CA">
        <w:tc>
          <w:tcPr>
            <w:tcW w:w="1440" w:type="dxa"/>
            <w:vAlign w:val="center"/>
          </w:tcPr>
          <w:p w14:paraId="268825BE" w14:textId="77777777" w:rsidR="001C3840" w:rsidRDefault="001C3840" w:rsidP="003B71CA">
            <w:r>
              <w:rPr>
                <w:sz w:val="17"/>
              </w:rPr>
              <w:t>PAM with JIT + session recording [21]</w:t>
            </w:r>
          </w:p>
        </w:tc>
        <w:tc>
          <w:tcPr>
            <w:tcW w:w="1296" w:type="dxa"/>
            <w:vAlign w:val="center"/>
          </w:tcPr>
          <w:p w14:paraId="501CBDB8" w14:textId="77777777" w:rsidR="001C3840" w:rsidRDefault="001C3840" w:rsidP="003B71CA">
            <w:r>
              <w:rPr>
                <w:sz w:val="17"/>
              </w:rPr>
              <w:t>Constrain/admin actions</w:t>
            </w:r>
          </w:p>
        </w:tc>
        <w:tc>
          <w:tcPr>
            <w:tcW w:w="1008" w:type="dxa"/>
            <w:vAlign w:val="center"/>
          </w:tcPr>
          <w:p w14:paraId="79A7118F" w14:textId="77777777" w:rsidR="001C3840" w:rsidRDefault="001C3840" w:rsidP="003B71CA">
            <w:r>
              <w:rPr>
                <w:sz w:val="17"/>
              </w:rPr>
              <w:t>Security Eng</w:t>
            </w:r>
          </w:p>
        </w:tc>
        <w:tc>
          <w:tcPr>
            <w:tcW w:w="1440" w:type="dxa"/>
            <w:vAlign w:val="center"/>
          </w:tcPr>
          <w:p w14:paraId="1959935D" w14:textId="77777777" w:rsidR="001C3840" w:rsidRDefault="001C3840" w:rsidP="003B71CA">
            <w:r>
              <w:rPr>
                <w:sz w:val="17"/>
              </w:rPr>
              <w:t>% JIT sessions; % recorded</w:t>
            </w:r>
          </w:p>
        </w:tc>
        <w:tc>
          <w:tcPr>
            <w:tcW w:w="1296" w:type="dxa"/>
            <w:vAlign w:val="center"/>
          </w:tcPr>
          <w:p w14:paraId="1C77065E" w14:textId="77777777" w:rsidR="001C3840" w:rsidRDefault="001C3840" w:rsidP="003B71CA">
            <w:r>
              <w:rPr>
                <w:sz w:val="17"/>
              </w:rPr>
              <w:t>PAM reports</w:t>
            </w:r>
          </w:p>
        </w:tc>
        <w:tc>
          <w:tcPr>
            <w:tcW w:w="1152" w:type="dxa"/>
            <w:vAlign w:val="center"/>
          </w:tcPr>
          <w:p w14:paraId="1D3C04BD" w14:textId="77777777" w:rsidR="001C3840" w:rsidRDefault="001C3840" w:rsidP="003B71CA">
            <w:r>
              <w:rPr>
                <w:sz w:val="17"/>
              </w:rPr>
              <w:t>Audit sampling</w:t>
            </w:r>
          </w:p>
        </w:tc>
        <w:tc>
          <w:tcPr>
            <w:tcW w:w="1407" w:type="dxa"/>
            <w:vAlign w:val="center"/>
          </w:tcPr>
          <w:p w14:paraId="228E902B" w14:textId="77777777" w:rsidR="001C3840" w:rsidRDefault="001C3840" w:rsidP="003B71CA">
            <w:r>
              <w:rPr>
                <w:sz w:val="17"/>
              </w:rPr>
              <w:t>Baseline: Initial → Target: Defined/Managed</w:t>
            </w:r>
          </w:p>
        </w:tc>
      </w:tr>
      <w:tr w:rsidR="001C3840" w14:paraId="00037673" w14:textId="77777777" w:rsidTr="003B71CA">
        <w:tc>
          <w:tcPr>
            <w:tcW w:w="1440" w:type="dxa"/>
            <w:vAlign w:val="center"/>
          </w:tcPr>
          <w:p w14:paraId="1BD8E536" w14:textId="77777777" w:rsidR="001C3840" w:rsidRDefault="001C3840" w:rsidP="003B71CA">
            <w:r>
              <w:rPr>
                <w:sz w:val="17"/>
              </w:rPr>
              <w:t>Joiner–Mover–Leaver automation</w:t>
            </w:r>
          </w:p>
        </w:tc>
        <w:tc>
          <w:tcPr>
            <w:tcW w:w="1296" w:type="dxa"/>
            <w:vAlign w:val="center"/>
          </w:tcPr>
          <w:p w14:paraId="6ADE11E5" w14:textId="77777777" w:rsidR="001C3840" w:rsidRDefault="001C3840" w:rsidP="003B71CA">
            <w:r>
              <w:rPr>
                <w:sz w:val="17"/>
              </w:rPr>
              <w:t>Prevent orphan access</w:t>
            </w:r>
          </w:p>
        </w:tc>
        <w:tc>
          <w:tcPr>
            <w:tcW w:w="1008" w:type="dxa"/>
            <w:vAlign w:val="center"/>
          </w:tcPr>
          <w:p w14:paraId="646170C1" w14:textId="77777777" w:rsidR="001C3840" w:rsidRDefault="001C3840" w:rsidP="003B71CA">
            <w:r>
              <w:rPr>
                <w:sz w:val="17"/>
              </w:rPr>
              <w:t>IT Ops</w:t>
            </w:r>
          </w:p>
        </w:tc>
        <w:tc>
          <w:tcPr>
            <w:tcW w:w="1440" w:type="dxa"/>
            <w:vAlign w:val="center"/>
          </w:tcPr>
          <w:p w14:paraId="092F91FB" w14:textId="77777777" w:rsidR="001C3840" w:rsidRDefault="001C3840" w:rsidP="003B71CA">
            <w:r>
              <w:rPr>
                <w:sz w:val="17"/>
              </w:rPr>
              <w:t>Deprovision time; orphan count</w:t>
            </w:r>
          </w:p>
        </w:tc>
        <w:tc>
          <w:tcPr>
            <w:tcW w:w="1296" w:type="dxa"/>
            <w:vAlign w:val="center"/>
          </w:tcPr>
          <w:p w14:paraId="00FFF2F3" w14:textId="77777777" w:rsidR="001C3840" w:rsidRDefault="001C3840" w:rsidP="003B71CA">
            <w:r>
              <w:rPr>
                <w:sz w:val="17"/>
              </w:rPr>
              <w:t>HR/IdP</w:t>
            </w:r>
          </w:p>
        </w:tc>
        <w:tc>
          <w:tcPr>
            <w:tcW w:w="1152" w:type="dxa"/>
            <w:vAlign w:val="center"/>
          </w:tcPr>
          <w:p w14:paraId="7618008F" w14:textId="77777777" w:rsidR="001C3840" w:rsidRDefault="001C3840" w:rsidP="003B71CA">
            <w:r>
              <w:rPr>
                <w:sz w:val="17"/>
              </w:rPr>
              <w:t>Monthly reconciliation</w:t>
            </w:r>
          </w:p>
        </w:tc>
        <w:tc>
          <w:tcPr>
            <w:tcW w:w="1407" w:type="dxa"/>
            <w:vAlign w:val="center"/>
          </w:tcPr>
          <w:p w14:paraId="11DA5534" w14:textId="77777777" w:rsidR="001C3840" w:rsidRDefault="001C3840" w:rsidP="003B71CA">
            <w:r>
              <w:rPr>
                <w:sz w:val="17"/>
              </w:rPr>
              <w:t>Baseline: Initial → Target: Defined/Managed</w:t>
            </w:r>
          </w:p>
        </w:tc>
      </w:tr>
      <w:tr w:rsidR="001C3840" w14:paraId="5D0453C4" w14:textId="77777777" w:rsidTr="003B71CA">
        <w:tc>
          <w:tcPr>
            <w:tcW w:w="1440" w:type="dxa"/>
            <w:vAlign w:val="center"/>
          </w:tcPr>
          <w:p w14:paraId="1FE3C2FD" w14:textId="77777777" w:rsidR="001C3840" w:rsidRDefault="001C3840" w:rsidP="003B71CA">
            <w:r>
              <w:rPr>
                <w:sz w:val="17"/>
              </w:rPr>
              <w:t>Quarterly access recertification</w:t>
            </w:r>
          </w:p>
        </w:tc>
        <w:tc>
          <w:tcPr>
            <w:tcW w:w="1296" w:type="dxa"/>
            <w:vAlign w:val="center"/>
          </w:tcPr>
          <w:p w14:paraId="7FBC3A00" w14:textId="77777777" w:rsidR="001C3840" w:rsidRDefault="001C3840" w:rsidP="003B71CA">
            <w:r>
              <w:rPr>
                <w:sz w:val="17"/>
              </w:rPr>
              <w:t>Maintain least privilege</w:t>
            </w:r>
          </w:p>
        </w:tc>
        <w:tc>
          <w:tcPr>
            <w:tcW w:w="1008" w:type="dxa"/>
            <w:vAlign w:val="center"/>
          </w:tcPr>
          <w:p w14:paraId="730A14B6" w14:textId="77777777" w:rsidR="001C3840" w:rsidRDefault="001C3840" w:rsidP="003B71CA">
            <w:r>
              <w:rPr>
                <w:sz w:val="17"/>
              </w:rPr>
              <w:t>App Owners</w:t>
            </w:r>
          </w:p>
        </w:tc>
        <w:tc>
          <w:tcPr>
            <w:tcW w:w="1440" w:type="dxa"/>
            <w:vAlign w:val="center"/>
          </w:tcPr>
          <w:p w14:paraId="64C97257" w14:textId="77777777" w:rsidR="001C3840" w:rsidRDefault="001C3840" w:rsidP="003B71CA">
            <w:r>
              <w:rPr>
                <w:sz w:val="17"/>
              </w:rPr>
              <w:t>% completed on time</w:t>
            </w:r>
          </w:p>
        </w:tc>
        <w:tc>
          <w:tcPr>
            <w:tcW w:w="1296" w:type="dxa"/>
            <w:vAlign w:val="center"/>
          </w:tcPr>
          <w:p w14:paraId="1F3466EC" w14:textId="77777777" w:rsidR="001C3840" w:rsidRDefault="001C3840" w:rsidP="003B71CA">
            <w:r>
              <w:rPr>
                <w:sz w:val="17"/>
              </w:rPr>
              <w:t>Review records</w:t>
            </w:r>
          </w:p>
        </w:tc>
        <w:tc>
          <w:tcPr>
            <w:tcW w:w="1152" w:type="dxa"/>
            <w:vAlign w:val="center"/>
          </w:tcPr>
          <w:p w14:paraId="385D341E" w14:textId="77777777" w:rsidR="001C3840" w:rsidRDefault="001C3840" w:rsidP="003B71CA">
            <w:r>
              <w:rPr>
                <w:sz w:val="17"/>
              </w:rPr>
              <w:t>2nd line review</w:t>
            </w:r>
          </w:p>
        </w:tc>
        <w:tc>
          <w:tcPr>
            <w:tcW w:w="1407" w:type="dxa"/>
            <w:vAlign w:val="center"/>
          </w:tcPr>
          <w:p w14:paraId="6AA52834" w14:textId="77777777" w:rsidR="001C3840" w:rsidRDefault="001C3840" w:rsidP="003B71CA">
            <w:r>
              <w:rPr>
                <w:sz w:val="17"/>
              </w:rPr>
              <w:t>Baseline: Initial → Target: Defined/Managed</w:t>
            </w:r>
          </w:p>
        </w:tc>
      </w:tr>
      <w:tr w:rsidR="001C3840" w14:paraId="3A7B5AB3" w14:textId="77777777" w:rsidTr="003B71CA">
        <w:tc>
          <w:tcPr>
            <w:tcW w:w="1440" w:type="dxa"/>
            <w:vAlign w:val="center"/>
          </w:tcPr>
          <w:p w14:paraId="0A0E703B" w14:textId="77777777" w:rsidR="001C3840" w:rsidRDefault="001C3840" w:rsidP="003B71CA">
            <w:r>
              <w:rPr>
                <w:sz w:val="17"/>
              </w:rPr>
              <w:t>Authoritative asset inventory [7]</w:t>
            </w:r>
          </w:p>
        </w:tc>
        <w:tc>
          <w:tcPr>
            <w:tcW w:w="1296" w:type="dxa"/>
            <w:vAlign w:val="center"/>
          </w:tcPr>
          <w:p w14:paraId="66F43BBB" w14:textId="77777777" w:rsidR="001C3840" w:rsidRDefault="001C3840" w:rsidP="003B71CA">
            <w:r>
              <w:rPr>
                <w:sz w:val="17"/>
              </w:rPr>
              <w:t>Know assets in scope</w:t>
            </w:r>
          </w:p>
        </w:tc>
        <w:tc>
          <w:tcPr>
            <w:tcW w:w="1008" w:type="dxa"/>
            <w:vAlign w:val="center"/>
          </w:tcPr>
          <w:p w14:paraId="42A46CE5" w14:textId="77777777" w:rsidR="001C3840" w:rsidRDefault="001C3840" w:rsidP="003B71CA">
            <w:r>
              <w:rPr>
                <w:sz w:val="17"/>
              </w:rPr>
              <w:t>IT Ops</w:t>
            </w:r>
          </w:p>
        </w:tc>
        <w:tc>
          <w:tcPr>
            <w:tcW w:w="1440" w:type="dxa"/>
            <w:vAlign w:val="center"/>
          </w:tcPr>
          <w:p w14:paraId="38F25F9D" w14:textId="77777777" w:rsidR="001C3840" w:rsidRDefault="001C3840" w:rsidP="003B71CA">
            <w:r>
              <w:rPr>
                <w:sz w:val="17"/>
              </w:rPr>
              <w:t>% discovered vs expected</w:t>
            </w:r>
          </w:p>
        </w:tc>
        <w:tc>
          <w:tcPr>
            <w:tcW w:w="1296" w:type="dxa"/>
            <w:vAlign w:val="center"/>
          </w:tcPr>
          <w:p w14:paraId="454ADC62" w14:textId="77777777" w:rsidR="001C3840" w:rsidRDefault="001C3840" w:rsidP="003B71CA">
            <w:r>
              <w:rPr>
                <w:sz w:val="17"/>
              </w:rPr>
              <w:t>CMDB/CSPM</w:t>
            </w:r>
          </w:p>
        </w:tc>
        <w:tc>
          <w:tcPr>
            <w:tcW w:w="1152" w:type="dxa"/>
            <w:vAlign w:val="center"/>
          </w:tcPr>
          <w:p w14:paraId="63F566FA" w14:textId="77777777" w:rsidR="001C3840" w:rsidRDefault="001C3840" w:rsidP="003B71CA">
            <w:r>
              <w:rPr>
                <w:sz w:val="17"/>
              </w:rPr>
              <w:t>Quarterly audit</w:t>
            </w:r>
          </w:p>
        </w:tc>
        <w:tc>
          <w:tcPr>
            <w:tcW w:w="1407" w:type="dxa"/>
            <w:vAlign w:val="center"/>
          </w:tcPr>
          <w:p w14:paraId="587C7AAE" w14:textId="77777777" w:rsidR="001C3840" w:rsidRDefault="001C3840" w:rsidP="003B71CA">
            <w:r>
              <w:rPr>
                <w:sz w:val="17"/>
              </w:rPr>
              <w:t>Baseline: Initial → Target: Defined/Managed</w:t>
            </w:r>
          </w:p>
        </w:tc>
      </w:tr>
      <w:tr w:rsidR="001C3840" w14:paraId="55CD7684" w14:textId="77777777" w:rsidTr="003B71CA">
        <w:tc>
          <w:tcPr>
            <w:tcW w:w="1440" w:type="dxa"/>
            <w:vAlign w:val="center"/>
          </w:tcPr>
          <w:p w14:paraId="295357AD" w14:textId="77777777" w:rsidR="001C3840" w:rsidRDefault="001C3840" w:rsidP="003B71CA">
            <w:r>
              <w:rPr>
                <w:sz w:val="17"/>
              </w:rPr>
              <w:t>Secure config baselines + drift [22]</w:t>
            </w:r>
          </w:p>
        </w:tc>
        <w:tc>
          <w:tcPr>
            <w:tcW w:w="1296" w:type="dxa"/>
            <w:vAlign w:val="center"/>
          </w:tcPr>
          <w:p w14:paraId="7D5748BB" w14:textId="4483D62D" w:rsidR="001C3840" w:rsidRDefault="001C3840" w:rsidP="003B71CA">
            <w:r>
              <w:rPr>
                <w:sz w:val="17"/>
              </w:rPr>
              <w:t xml:space="preserve">Reduce </w:t>
            </w:r>
            <w:r w:rsidR="00C75073">
              <w:rPr>
                <w:sz w:val="17"/>
              </w:rPr>
              <w:t>misconfiguration</w:t>
            </w:r>
            <w:r>
              <w:rPr>
                <w:sz w:val="17"/>
              </w:rPr>
              <w:t xml:space="preserve"> risk</w:t>
            </w:r>
          </w:p>
        </w:tc>
        <w:tc>
          <w:tcPr>
            <w:tcW w:w="1008" w:type="dxa"/>
            <w:vAlign w:val="center"/>
          </w:tcPr>
          <w:p w14:paraId="188E39AD" w14:textId="77777777" w:rsidR="001C3840" w:rsidRDefault="001C3840" w:rsidP="003B71CA">
            <w:r>
              <w:rPr>
                <w:sz w:val="17"/>
              </w:rPr>
              <w:t>Platform Eng</w:t>
            </w:r>
          </w:p>
        </w:tc>
        <w:tc>
          <w:tcPr>
            <w:tcW w:w="1440" w:type="dxa"/>
            <w:vAlign w:val="center"/>
          </w:tcPr>
          <w:p w14:paraId="2347728C" w14:textId="77777777" w:rsidR="001C3840" w:rsidRDefault="001C3840" w:rsidP="003B71CA">
            <w:r>
              <w:rPr>
                <w:sz w:val="17"/>
              </w:rPr>
              <w:t>% compliant; drift events</w:t>
            </w:r>
          </w:p>
        </w:tc>
        <w:tc>
          <w:tcPr>
            <w:tcW w:w="1296" w:type="dxa"/>
            <w:vAlign w:val="center"/>
          </w:tcPr>
          <w:p w14:paraId="07023064" w14:textId="5E80D018" w:rsidR="001C3840" w:rsidRDefault="001C3840" w:rsidP="003B71CA">
            <w:r>
              <w:rPr>
                <w:sz w:val="17"/>
              </w:rPr>
              <w:t xml:space="preserve">CSPM/Config </w:t>
            </w:r>
            <w:r w:rsidR="00C75073">
              <w:rPr>
                <w:sz w:val="17"/>
              </w:rPr>
              <w:t>mgmt.</w:t>
            </w:r>
          </w:p>
        </w:tc>
        <w:tc>
          <w:tcPr>
            <w:tcW w:w="1152" w:type="dxa"/>
            <w:vAlign w:val="center"/>
          </w:tcPr>
          <w:p w14:paraId="7A072366" w14:textId="77777777" w:rsidR="001C3840" w:rsidRDefault="001C3840" w:rsidP="003B71CA">
            <w:r>
              <w:rPr>
                <w:sz w:val="17"/>
              </w:rPr>
              <w:t>Continuous</w:t>
            </w:r>
          </w:p>
        </w:tc>
        <w:tc>
          <w:tcPr>
            <w:tcW w:w="1407" w:type="dxa"/>
            <w:vAlign w:val="center"/>
          </w:tcPr>
          <w:p w14:paraId="7EE5ED4C" w14:textId="77777777" w:rsidR="001C3840" w:rsidRDefault="001C3840" w:rsidP="003B71CA">
            <w:r>
              <w:rPr>
                <w:sz w:val="17"/>
              </w:rPr>
              <w:t>Baseline: Initial → Target: Defined/Managed</w:t>
            </w:r>
          </w:p>
        </w:tc>
      </w:tr>
      <w:tr w:rsidR="001C3840" w14:paraId="267A0938" w14:textId="77777777" w:rsidTr="003B71CA">
        <w:tc>
          <w:tcPr>
            <w:tcW w:w="1440" w:type="dxa"/>
            <w:vAlign w:val="center"/>
          </w:tcPr>
          <w:p w14:paraId="4648942C" w14:textId="55DA46A2" w:rsidR="001C3840" w:rsidRDefault="001C3840" w:rsidP="003B71CA">
            <w:r>
              <w:rPr>
                <w:sz w:val="17"/>
              </w:rPr>
              <w:t xml:space="preserve">Vulnerability </w:t>
            </w:r>
            <w:r w:rsidR="00C75073">
              <w:rPr>
                <w:sz w:val="17"/>
              </w:rPr>
              <w:t>mgmt.</w:t>
            </w:r>
            <w:r>
              <w:rPr>
                <w:sz w:val="17"/>
              </w:rPr>
              <w:t xml:space="preserve"> with SLAs</w:t>
            </w:r>
          </w:p>
        </w:tc>
        <w:tc>
          <w:tcPr>
            <w:tcW w:w="1296" w:type="dxa"/>
            <w:vAlign w:val="center"/>
          </w:tcPr>
          <w:p w14:paraId="69693D3D" w14:textId="77777777" w:rsidR="001C3840" w:rsidRDefault="001C3840" w:rsidP="003B71CA">
            <w:r>
              <w:rPr>
                <w:sz w:val="17"/>
              </w:rPr>
              <w:t>Reduce exploitability</w:t>
            </w:r>
          </w:p>
        </w:tc>
        <w:tc>
          <w:tcPr>
            <w:tcW w:w="1008" w:type="dxa"/>
            <w:vAlign w:val="center"/>
          </w:tcPr>
          <w:p w14:paraId="055F4486" w14:textId="77777777" w:rsidR="001C3840" w:rsidRDefault="001C3840" w:rsidP="003B71CA">
            <w:r>
              <w:rPr>
                <w:sz w:val="17"/>
              </w:rPr>
              <w:t>SecOps</w:t>
            </w:r>
          </w:p>
        </w:tc>
        <w:tc>
          <w:tcPr>
            <w:tcW w:w="1440" w:type="dxa"/>
            <w:vAlign w:val="center"/>
          </w:tcPr>
          <w:p w14:paraId="32D489B8" w14:textId="77777777" w:rsidR="001C3840" w:rsidRDefault="001C3840" w:rsidP="003B71CA">
            <w:r>
              <w:rPr>
                <w:sz w:val="17"/>
              </w:rPr>
              <w:t>MTTR critical vulns</w:t>
            </w:r>
          </w:p>
        </w:tc>
        <w:tc>
          <w:tcPr>
            <w:tcW w:w="1296" w:type="dxa"/>
            <w:vAlign w:val="center"/>
          </w:tcPr>
          <w:p w14:paraId="1EB424CC" w14:textId="77777777" w:rsidR="001C3840" w:rsidRDefault="001C3840" w:rsidP="003B71CA">
            <w:r>
              <w:rPr>
                <w:sz w:val="17"/>
              </w:rPr>
              <w:t>Scanner</w:t>
            </w:r>
          </w:p>
        </w:tc>
        <w:tc>
          <w:tcPr>
            <w:tcW w:w="1152" w:type="dxa"/>
            <w:vAlign w:val="center"/>
          </w:tcPr>
          <w:p w14:paraId="7FF46E7D" w14:textId="77777777" w:rsidR="001C3840" w:rsidRDefault="001C3840" w:rsidP="003B71CA">
            <w:r>
              <w:rPr>
                <w:sz w:val="17"/>
              </w:rPr>
              <w:t>Monthly report</w:t>
            </w:r>
          </w:p>
        </w:tc>
        <w:tc>
          <w:tcPr>
            <w:tcW w:w="1407" w:type="dxa"/>
            <w:vAlign w:val="center"/>
          </w:tcPr>
          <w:p w14:paraId="5F3F9D15" w14:textId="77777777" w:rsidR="001C3840" w:rsidRDefault="001C3840" w:rsidP="003B71CA">
            <w:r>
              <w:rPr>
                <w:sz w:val="17"/>
              </w:rPr>
              <w:t>Baseline: Initial → Target: Defined/Managed</w:t>
            </w:r>
          </w:p>
        </w:tc>
      </w:tr>
      <w:tr w:rsidR="001C3840" w14:paraId="054851E0" w14:textId="77777777" w:rsidTr="003B71CA">
        <w:tc>
          <w:tcPr>
            <w:tcW w:w="1440" w:type="dxa"/>
            <w:vAlign w:val="center"/>
          </w:tcPr>
          <w:p w14:paraId="32C073F9" w14:textId="2D2CCAC7" w:rsidR="001C3840" w:rsidRDefault="001C3840" w:rsidP="003B71CA">
            <w:r>
              <w:rPr>
                <w:sz w:val="17"/>
              </w:rPr>
              <w:t xml:space="preserve">Patch </w:t>
            </w:r>
            <w:r w:rsidR="00C75073">
              <w:rPr>
                <w:sz w:val="17"/>
              </w:rPr>
              <w:t>mgmt.</w:t>
            </w:r>
            <w:r>
              <w:rPr>
                <w:sz w:val="17"/>
              </w:rPr>
              <w:t xml:space="preserve"> coverage</w:t>
            </w:r>
          </w:p>
        </w:tc>
        <w:tc>
          <w:tcPr>
            <w:tcW w:w="1296" w:type="dxa"/>
            <w:vAlign w:val="center"/>
          </w:tcPr>
          <w:p w14:paraId="1C2DEE00" w14:textId="77777777" w:rsidR="001C3840" w:rsidRDefault="001C3840" w:rsidP="003B71CA">
            <w:r>
              <w:rPr>
                <w:sz w:val="17"/>
              </w:rPr>
              <w:t>Maintain posture</w:t>
            </w:r>
          </w:p>
        </w:tc>
        <w:tc>
          <w:tcPr>
            <w:tcW w:w="1008" w:type="dxa"/>
            <w:vAlign w:val="center"/>
          </w:tcPr>
          <w:p w14:paraId="291047F9" w14:textId="77777777" w:rsidR="001C3840" w:rsidRDefault="001C3840" w:rsidP="003B71CA">
            <w:r>
              <w:rPr>
                <w:sz w:val="17"/>
              </w:rPr>
              <w:t>IT Ops</w:t>
            </w:r>
          </w:p>
        </w:tc>
        <w:tc>
          <w:tcPr>
            <w:tcW w:w="1440" w:type="dxa"/>
            <w:vAlign w:val="center"/>
          </w:tcPr>
          <w:p w14:paraId="70A5EA5B" w14:textId="77777777" w:rsidR="001C3840" w:rsidRDefault="001C3840" w:rsidP="003B71CA">
            <w:r>
              <w:rPr>
                <w:sz w:val="17"/>
              </w:rPr>
              <w:t>% patched within SLA</w:t>
            </w:r>
          </w:p>
        </w:tc>
        <w:tc>
          <w:tcPr>
            <w:tcW w:w="1296" w:type="dxa"/>
            <w:vAlign w:val="center"/>
          </w:tcPr>
          <w:p w14:paraId="281C892A" w14:textId="77777777" w:rsidR="001C3840" w:rsidRDefault="001C3840" w:rsidP="003B71CA">
            <w:r>
              <w:rPr>
                <w:sz w:val="17"/>
              </w:rPr>
              <w:t>Patch tooling</w:t>
            </w:r>
          </w:p>
        </w:tc>
        <w:tc>
          <w:tcPr>
            <w:tcW w:w="1152" w:type="dxa"/>
            <w:vAlign w:val="center"/>
          </w:tcPr>
          <w:p w14:paraId="69C6DD82" w14:textId="77777777" w:rsidR="001C3840" w:rsidRDefault="001C3840" w:rsidP="003B71CA">
            <w:r>
              <w:rPr>
                <w:sz w:val="17"/>
              </w:rPr>
              <w:t>Quarterly</w:t>
            </w:r>
          </w:p>
        </w:tc>
        <w:tc>
          <w:tcPr>
            <w:tcW w:w="1407" w:type="dxa"/>
            <w:vAlign w:val="center"/>
          </w:tcPr>
          <w:p w14:paraId="0D2CA87C" w14:textId="77777777" w:rsidR="001C3840" w:rsidRDefault="001C3840" w:rsidP="003B71CA">
            <w:r>
              <w:rPr>
                <w:sz w:val="17"/>
              </w:rPr>
              <w:t>Baseline: Initial → Target: Defined/Managed</w:t>
            </w:r>
          </w:p>
        </w:tc>
      </w:tr>
      <w:tr w:rsidR="001C3840" w14:paraId="3394A10F" w14:textId="77777777" w:rsidTr="003B71CA">
        <w:tc>
          <w:tcPr>
            <w:tcW w:w="1440" w:type="dxa"/>
            <w:vAlign w:val="center"/>
          </w:tcPr>
          <w:p w14:paraId="4279B406" w14:textId="77777777" w:rsidR="001C3840" w:rsidRDefault="001C3840" w:rsidP="003B71CA">
            <w:r>
              <w:rPr>
                <w:sz w:val="17"/>
              </w:rPr>
              <w:t>Data classification &amp; handling</w:t>
            </w:r>
          </w:p>
        </w:tc>
        <w:tc>
          <w:tcPr>
            <w:tcW w:w="1296" w:type="dxa"/>
            <w:vAlign w:val="center"/>
          </w:tcPr>
          <w:p w14:paraId="51FC261E" w14:textId="77777777" w:rsidR="001C3840" w:rsidRDefault="001C3840" w:rsidP="003B71CA">
            <w:r>
              <w:rPr>
                <w:sz w:val="17"/>
              </w:rPr>
              <w:t>Prevent mishandling</w:t>
            </w:r>
          </w:p>
        </w:tc>
        <w:tc>
          <w:tcPr>
            <w:tcW w:w="1008" w:type="dxa"/>
            <w:vAlign w:val="center"/>
          </w:tcPr>
          <w:p w14:paraId="514F21DE" w14:textId="77777777" w:rsidR="001C3840" w:rsidRDefault="001C3840" w:rsidP="003B71CA">
            <w:r>
              <w:rPr>
                <w:sz w:val="17"/>
              </w:rPr>
              <w:t>Data Gov</w:t>
            </w:r>
          </w:p>
        </w:tc>
        <w:tc>
          <w:tcPr>
            <w:tcW w:w="1440" w:type="dxa"/>
            <w:vAlign w:val="center"/>
          </w:tcPr>
          <w:p w14:paraId="63D31ABC" w14:textId="77777777" w:rsidR="001C3840" w:rsidRDefault="001C3840" w:rsidP="003B71CA">
            <w:r>
              <w:rPr>
                <w:sz w:val="17"/>
              </w:rPr>
              <w:t>% datasets classified</w:t>
            </w:r>
          </w:p>
        </w:tc>
        <w:tc>
          <w:tcPr>
            <w:tcW w:w="1296" w:type="dxa"/>
            <w:vAlign w:val="center"/>
          </w:tcPr>
          <w:p w14:paraId="34B59D60" w14:textId="77777777" w:rsidR="001C3840" w:rsidRDefault="001C3840" w:rsidP="003B71CA">
            <w:r>
              <w:rPr>
                <w:sz w:val="17"/>
              </w:rPr>
              <w:t>Catalogue</w:t>
            </w:r>
          </w:p>
        </w:tc>
        <w:tc>
          <w:tcPr>
            <w:tcW w:w="1152" w:type="dxa"/>
            <w:vAlign w:val="center"/>
          </w:tcPr>
          <w:p w14:paraId="3663481D" w14:textId="77777777" w:rsidR="001C3840" w:rsidRDefault="001C3840" w:rsidP="003B71CA">
            <w:r>
              <w:rPr>
                <w:sz w:val="17"/>
              </w:rPr>
              <w:t>Annual audit</w:t>
            </w:r>
          </w:p>
        </w:tc>
        <w:tc>
          <w:tcPr>
            <w:tcW w:w="1407" w:type="dxa"/>
            <w:vAlign w:val="center"/>
          </w:tcPr>
          <w:p w14:paraId="19D24B04" w14:textId="77777777" w:rsidR="001C3840" w:rsidRDefault="001C3840" w:rsidP="003B71CA">
            <w:r>
              <w:rPr>
                <w:sz w:val="17"/>
              </w:rPr>
              <w:t>Baseline: Initial → Target: Defined/Managed</w:t>
            </w:r>
          </w:p>
        </w:tc>
      </w:tr>
      <w:tr w:rsidR="001C3840" w14:paraId="029D97F7" w14:textId="77777777" w:rsidTr="003B71CA">
        <w:tc>
          <w:tcPr>
            <w:tcW w:w="1440" w:type="dxa"/>
            <w:vAlign w:val="center"/>
          </w:tcPr>
          <w:p w14:paraId="67F396A9" w14:textId="77777777" w:rsidR="001C3840" w:rsidRDefault="001C3840" w:rsidP="003B71CA">
            <w:r>
              <w:rPr>
                <w:sz w:val="17"/>
              </w:rPr>
              <w:t>Encryption in transit/at rest</w:t>
            </w:r>
          </w:p>
        </w:tc>
        <w:tc>
          <w:tcPr>
            <w:tcW w:w="1296" w:type="dxa"/>
            <w:vAlign w:val="center"/>
          </w:tcPr>
          <w:p w14:paraId="06E7C5E9" w14:textId="77777777" w:rsidR="001C3840" w:rsidRDefault="001C3840" w:rsidP="003B71CA">
            <w:r>
              <w:rPr>
                <w:sz w:val="17"/>
              </w:rPr>
              <w:t>Protect confidentiality</w:t>
            </w:r>
          </w:p>
        </w:tc>
        <w:tc>
          <w:tcPr>
            <w:tcW w:w="1008" w:type="dxa"/>
            <w:vAlign w:val="center"/>
          </w:tcPr>
          <w:p w14:paraId="04A0406F" w14:textId="77777777" w:rsidR="001C3840" w:rsidRDefault="001C3840" w:rsidP="003B71CA">
            <w:r>
              <w:rPr>
                <w:sz w:val="17"/>
              </w:rPr>
              <w:t>Platform Eng</w:t>
            </w:r>
          </w:p>
        </w:tc>
        <w:tc>
          <w:tcPr>
            <w:tcW w:w="1440" w:type="dxa"/>
            <w:vAlign w:val="center"/>
          </w:tcPr>
          <w:p w14:paraId="12D48C10" w14:textId="77777777" w:rsidR="001C3840" w:rsidRDefault="001C3840" w:rsidP="003B71CA">
            <w:r>
              <w:rPr>
                <w:sz w:val="17"/>
              </w:rPr>
              <w:t>% encrypted stores</w:t>
            </w:r>
          </w:p>
        </w:tc>
        <w:tc>
          <w:tcPr>
            <w:tcW w:w="1296" w:type="dxa"/>
            <w:vAlign w:val="center"/>
          </w:tcPr>
          <w:p w14:paraId="7F0DFBF4" w14:textId="77777777" w:rsidR="001C3840" w:rsidRDefault="001C3840" w:rsidP="003B71CA">
            <w:r>
              <w:rPr>
                <w:sz w:val="17"/>
              </w:rPr>
              <w:t>Cloud reports</w:t>
            </w:r>
          </w:p>
        </w:tc>
        <w:tc>
          <w:tcPr>
            <w:tcW w:w="1152" w:type="dxa"/>
            <w:vAlign w:val="center"/>
          </w:tcPr>
          <w:p w14:paraId="5687BE0B" w14:textId="77777777" w:rsidR="001C3840" w:rsidRDefault="001C3840" w:rsidP="003B71CA">
            <w:r>
              <w:rPr>
                <w:sz w:val="17"/>
              </w:rPr>
              <w:t>Continuous</w:t>
            </w:r>
          </w:p>
        </w:tc>
        <w:tc>
          <w:tcPr>
            <w:tcW w:w="1407" w:type="dxa"/>
            <w:vAlign w:val="center"/>
          </w:tcPr>
          <w:p w14:paraId="30929652" w14:textId="77777777" w:rsidR="001C3840" w:rsidRDefault="001C3840" w:rsidP="003B71CA">
            <w:r>
              <w:rPr>
                <w:sz w:val="17"/>
              </w:rPr>
              <w:t>Baseline: Initial → Target: Defined/Managed</w:t>
            </w:r>
          </w:p>
        </w:tc>
      </w:tr>
      <w:tr w:rsidR="001C3840" w14:paraId="7AEF80F6" w14:textId="77777777" w:rsidTr="003B71CA">
        <w:tc>
          <w:tcPr>
            <w:tcW w:w="1440" w:type="dxa"/>
            <w:vAlign w:val="center"/>
          </w:tcPr>
          <w:p w14:paraId="72DB9FD7" w14:textId="77777777" w:rsidR="001C3840" w:rsidRDefault="001C3840" w:rsidP="003B71CA">
            <w:r>
              <w:rPr>
                <w:sz w:val="17"/>
              </w:rPr>
              <w:t>Key management governance</w:t>
            </w:r>
          </w:p>
        </w:tc>
        <w:tc>
          <w:tcPr>
            <w:tcW w:w="1296" w:type="dxa"/>
            <w:vAlign w:val="center"/>
          </w:tcPr>
          <w:p w14:paraId="6E8FF563" w14:textId="77777777" w:rsidR="001C3840" w:rsidRDefault="001C3840" w:rsidP="003B71CA">
            <w:r>
              <w:rPr>
                <w:sz w:val="17"/>
              </w:rPr>
              <w:t>Protect keys</w:t>
            </w:r>
          </w:p>
        </w:tc>
        <w:tc>
          <w:tcPr>
            <w:tcW w:w="1008" w:type="dxa"/>
            <w:vAlign w:val="center"/>
          </w:tcPr>
          <w:p w14:paraId="23C5D8AB" w14:textId="77777777" w:rsidR="001C3840" w:rsidRDefault="001C3840" w:rsidP="003B71CA">
            <w:r>
              <w:rPr>
                <w:sz w:val="17"/>
              </w:rPr>
              <w:t>Platform Eng</w:t>
            </w:r>
          </w:p>
        </w:tc>
        <w:tc>
          <w:tcPr>
            <w:tcW w:w="1440" w:type="dxa"/>
            <w:vAlign w:val="center"/>
          </w:tcPr>
          <w:p w14:paraId="7815DBC7" w14:textId="77777777" w:rsidR="001C3840" w:rsidRDefault="001C3840" w:rsidP="003B71CA">
            <w:r>
              <w:rPr>
                <w:sz w:val="17"/>
              </w:rPr>
              <w:t>Rotation compliance</w:t>
            </w:r>
          </w:p>
        </w:tc>
        <w:tc>
          <w:tcPr>
            <w:tcW w:w="1296" w:type="dxa"/>
            <w:vAlign w:val="center"/>
          </w:tcPr>
          <w:p w14:paraId="799D6251" w14:textId="77777777" w:rsidR="001C3840" w:rsidRDefault="001C3840" w:rsidP="003B71CA">
            <w:r>
              <w:rPr>
                <w:sz w:val="17"/>
              </w:rPr>
              <w:t>KMS logs</w:t>
            </w:r>
          </w:p>
        </w:tc>
        <w:tc>
          <w:tcPr>
            <w:tcW w:w="1152" w:type="dxa"/>
            <w:vAlign w:val="center"/>
          </w:tcPr>
          <w:p w14:paraId="25D1B58A" w14:textId="77777777" w:rsidR="001C3840" w:rsidRDefault="001C3840" w:rsidP="003B71CA">
            <w:r>
              <w:rPr>
                <w:sz w:val="17"/>
              </w:rPr>
              <w:t>Quarterly</w:t>
            </w:r>
          </w:p>
        </w:tc>
        <w:tc>
          <w:tcPr>
            <w:tcW w:w="1407" w:type="dxa"/>
            <w:vAlign w:val="center"/>
          </w:tcPr>
          <w:p w14:paraId="792E2933" w14:textId="77777777" w:rsidR="001C3840" w:rsidRDefault="001C3840" w:rsidP="003B71CA">
            <w:r>
              <w:rPr>
                <w:sz w:val="17"/>
              </w:rPr>
              <w:t>Baseline: Initial → Target: Defined/Managed</w:t>
            </w:r>
          </w:p>
        </w:tc>
      </w:tr>
      <w:tr w:rsidR="001C3840" w14:paraId="50A83EAF" w14:textId="77777777" w:rsidTr="003B71CA">
        <w:tc>
          <w:tcPr>
            <w:tcW w:w="1440" w:type="dxa"/>
            <w:vAlign w:val="center"/>
          </w:tcPr>
          <w:p w14:paraId="51334BE3" w14:textId="77777777" w:rsidR="001C3840" w:rsidRDefault="001C3840" w:rsidP="003B71CA">
            <w:r>
              <w:rPr>
                <w:sz w:val="17"/>
              </w:rPr>
              <w:t>CSPM continuous monitoring</w:t>
            </w:r>
          </w:p>
        </w:tc>
        <w:tc>
          <w:tcPr>
            <w:tcW w:w="1296" w:type="dxa"/>
            <w:vAlign w:val="center"/>
          </w:tcPr>
          <w:p w14:paraId="37F31A4F" w14:textId="77777777" w:rsidR="001C3840" w:rsidRDefault="001C3840" w:rsidP="003B71CA">
            <w:r>
              <w:rPr>
                <w:sz w:val="17"/>
              </w:rPr>
              <w:t>Detect cloud exposure</w:t>
            </w:r>
          </w:p>
        </w:tc>
        <w:tc>
          <w:tcPr>
            <w:tcW w:w="1008" w:type="dxa"/>
            <w:vAlign w:val="center"/>
          </w:tcPr>
          <w:p w14:paraId="0445102F" w14:textId="77777777" w:rsidR="001C3840" w:rsidRDefault="001C3840" w:rsidP="003B71CA">
            <w:r>
              <w:rPr>
                <w:sz w:val="17"/>
              </w:rPr>
              <w:t>Cloud Sec</w:t>
            </w:r>
          </w:p>
        </w:tc>
        <w:tc>
          <w:tcPr>
            <w:tcW w:w="1440" w:type="dxa"/>
            <w:vAlign w:val="center"/>
          </w:tcPr>
          <w:p w14:paraId="688A997D" w14:textId="77777777" w:rsidR="001C3840" w:rsidRDefault="001C3840" w:rsidP="003B71CA">
            <w:r>
              <w:rPr>
                <w:sz w:val="17"/>
              </w:rPr>
              <w:t># high findings open</w:t>
            </w:r>
          </w:p>
        </w:tc>
        <w:tc>
          <w:tcPr>
            <w:tcW w:w="1296" w:type="dxa"/>
            <w:vAlign w:val="center"/>
          </w:tcPr>
          <w:p w14:paraId="282F3604" w14:textId="77777777" w:rsidR="001C3840" w:rsidRDefault="001C3840" w:rsidP="003B71CA">
            <w:r>
              <w:rPr>
                <w:sz w:val="17"/>
              </w:rPr>
              <w:t>CSPM</w:t>
            </w:r>
          </w:p>
        </w:tc>
        <w:tc>
          <w:tcPr>
            <w:tcW w:w="1152" w:type="dxa"/>
            <w:vAlign w:val="center"/>
          </w:tcPr>
          <w:p w14:paraId="3637F69E" w14:textId="77777777" w:rsidR="001C3840" w:rsidRDefault="001C3840" w:rsidP="003B71CA">
            <w:r>
              <w:rPr>
                <w:sz w:val="17"/>
              </w:rPr>
              <w:t>Weekly triage</w:t>
            </w:r>
          </w:p>
        </w:tc>
        <w:tc>
          <w:tcPr>
            <w:tcW w:w="1407" w:type="dxa"/>
            <w:vAlign w:val="center"/>
          </w:tcPr>
          <w:p w14:paraId="1BFCE9F6" w14:textId="77777777" w:rsidR="001C3840" w:rsidRDefault="001C3840" w:rsidP="003B71CA">
            <w:r>
              <w:rPr>
                <w:sz w:val="17"/>
              </w:rPr>
              <w:t>Baseline: Initial → Target: Defined/Managed</w:t>
            </w:r>
          </w:p>
        </w:tc>
      </w:tr>
      <w:tr w:rsidR="001C3840" w14:paraId="302CCD6A" w14:textId="77777777" w:rsidTr="003B71CA">
        <w:tc>
          <w:tcPr>
            <w:tcW w:w="1440" w:type="dxa"/>
            <w:vAlign w:val="center"/>
          </w:tcPr>
          <w:p w14:paraId="6179A1E1" w14:textId="77777777" w:rsidR="001C3840" w:rsidRDefault="001C3840" w:rsidP="003B71CA">
            <w:r>
              <w:rPr>
                <w:sz w:val="17"/>
              </w:rPr>
              <w:t>Central logging + SIEM</w:t>
            </w:r>
          </w:p>
        </w:tc>
        <w:tc>
          <w:tcPr>
            <w:tcW w:w="1296" w:type="dxa"/>
            <w:vAlign w:val="center"/>
          </w:tcPr>
          <w:p w14:paraId="12441A92" w14:textId="77777777" w:rsidR="001C3840" w:rsidRDefault="001C3840" w:rsidP="003B71CA">
            <w:r>
              <w:rPr>
                <w:sz w:val="17"/>
              </w:rPr>
              <w:t>Detect/forensics</w:t>
            </w:r>
          </w:p>
        </w:tc>
        <w:tc>
          <w:tcPr>
            <w:tcW w:w="1008" w:type="dxa"/>
            <w:vAlign w:val="center"/>
          </w:tcPr>
          <w:p w14:paraId="59BC00BE" w14:textId="77777777" w:rsidR="001C3840" w:rsidRDefault="001C3840" w:rsidP="003B71CA">
            <w:r>
              <w:rPr>
                <w:sz w:val="17"/>
              </w:rPr>
              <w:t>SecOps</w:t>
            </w:r>
          </w:p>
        </w:tc>
        <w:tc>
          <w:tcPr>
            <w:tcW w:w="1440" w:type="dxa"/>
            <w:vAlign w:val="center"/>
          </w:tcPr>
          <w:p w14:paraId="1C757196" w14:textId="77777777" w:rsidR="001C3840" w:rsidRDefault="001C3840" w:rsidP="003B71CA">
            <w:r>
              <w:rPr>
                <w:sz w:val="17"/>
              </w:rPr>
              <w:t>% log sources onboarded</w:t>
            </w:r>
          </w:p>
        </w:tc>
        <w:tc>
          <w:tcPr>
            <w:tcW w:w="1296" w:type="dxa"/>
            <w:vAlign w:val="center"/>
          </w:tcPr>
          <w:p w14:paraId="609344EF" w14:textId="77777777" w:rsidR="001C3840" w:rsidRDefault="001C3840" w:rsidP="003B71CA">
            <w:r>
              <w:rPr>
                <w:sz w:val="17"/>
              </w:rPr>
              <w:t>SIEM</w:t>
            </w:r>
          </w:p>
        </w:tc>
        <w:tc>
          <w:tcPr>
            <w:tcW w:w="1152" w:type="dxa"/>
            <w:vAlign w:val="center"/>
          </w:tcPr>
          <w:p w14:paraId="0CC85C92" w14:textId="77777777" w:rsidR="001C3840" w:rsidRDefault="001C3840" w:rsidP="003B71CA">
            <w:r>
              <w:rPr>
                <w:sz w:val="17"/>
              </w:rPr>
              <w:t>Monthly dashboard</w:t>
            </w:r>
          </w:p>
        </w:tc>
        <w:tc>
          <w:tcPr>
            <w:tcW w:w="1407" w:type="dxa"/>
            <w:vAlign w:val="center"/>
          </w:tcPr>
          <w:p w14:paraId="7D93F50C" w14:textId="77777777" w:rsidR="001C3840" w:rsidRDefault="001C3840" w:rsidP="003B71CA">
            <w:r>
              <w:rPr>
                <w:sz w:val="17"/>
              </w:rPr>
              <w:t>Baseline: Initial → Target: Defined/Managed</w:t>
            </w:r>
          </w:p>
        </w:tc>
      </w:tr>
      <w:tr w:rsidR="001C3840" w14:paraId="7755D734" w14:textId="77777777" w:rsidTr="003B71CA">
        <w:tc>
          <w:tcPr>
            <w:tcW w:w="1440" w:type="dxa"/>
            <w:vAlign w:val="center"/>
          </w:tcPr>
          <w:p w14:paraId="41D11F51" w14:textId="77777777" w:rsidR="001C3840" w:rsidRDefault="001C3840" w:rsidP="003B71CA">
            <w:r>
              <w:rPr>
                <w:sz w:val="17"/>
              </w:rPr>
              <w:t>Detection use cases</w:t>
            </w:r>
          </w:p>
        </w:tc>
        <w:tc>
          <w:tcPr>
            <w:tcW w:w="1296" w:type="dxa"/>
            <w:vAlign w:val="center"/>
          </w:tcPr>
          <w:p w14:paraId="0EAB4F07" w14:textId="77777777" w:rsidR="001C3840" w:rsidRDefault="001C3840" w:rsidP="003B71CA">
            <w:r>
              <w:rPr>
                <w:sz w:val="17"/>
              </w:rPr>
              <w:t>Detect priority threats</w:t>
            </w:r>
          </w:p>
        </w:tc>
        <w:tc>
          <w:tcPr>
            <w:tcW w:w="1008" w:type="dxa"/>
            <w:vAlign w:val="center"/>
          </w:tcPr>
          <w:p w14:paraId="5D0388E5" w14:textId="77777777" w:rsidR="001C3840" w:rsidRDefault="001C3840" w:rsidP="003B71CA">
            <w:r>
              <w:rPr>
                <w:sz w:val="17"/>
              </w:rPr>
              <w:t>SOC</w:t>
            </w:r>
          </w:p>
        </w:tc>
        <w:tc>
          <w:tcPr>
            <w:tcW w:w="1440" w:type="dxa"/>
            <w:vAlign w:val="center"/>
          </w:tcPr>
          <w:p w14:paraId="6BA7B2B9" w14:textId="77777777" w:rsidR="001C3840" w:rsidRDefault="001C3840" w:rsidP="003B71CA">
            <w:r>
              <w:rPr>
                <w:sz w:val="17"/>
              </w:rPr>
              <w:t>Coverage; FP rate</w:t>
            </w:r>
          </w:p>
        </w:tc>
        <w:tc>
          <w:tcPr>
            <w:tcW w:w="1296" w:type="dxa"/>
            <w:vAlign w:val="center"/>
          </w:tcPr>
          <w:p w14:paraId="1B8054E0" w14:textId="77777777" w:rsidR="001C3840" w:rsidRDefault="001C3840" w:rsidP="003B71CA">
            <w:r>
              <w:rPr>
                <w:sz w:val="17"/>
              </w:rPr>
              <w:t>SIEM rules</w:t>
            </w:r>
          </w:p>
        </w:tc>
        <w:tc>
          <w:tcPr>
            <w:tcW w:w="1152" w:type="dxa"/>
            <w:vAlign w:val="center"/>
          </w:tcPr>
          <w:p w14:paraId="2544DDFC" w14:textId="77777777" w:rsidR="001C3840" w:rsidRDefault="001C3840" w:rsidP="003B71CA">
            <w:r>
              <w:rPr>
                <w:sz w:val="17"/>
              </w:rPr>
              <w:t>Tuning cadence</w:t>
            </w:r>
          </w:p>
        </w:tc>
        <w:tc>
          <w:tcPr>
            <w:tcW w:w="1407" w:type="dxa"/>
            <w:vAlign w:val="center"/>
          </w:tcPr>
          <w:p w14:paraId="5E04C065" w14:textId="77777777" w:rsidR="001C3840" w:rsidRDefault="001C3840" w:rsidP="003B71CA">
            <w:r>
              <w:rPr>
                <w:sz w:val="17"/>
              </w:rPr>
              <w:t>Baseline: Initial → Target: Defined/Managed</w:t>
            </w:r>
          </w:p>
        </w:tc>
      </w:tr>
      <w:tr w:rsidR="001C3840" w14:paraId="6EBB4009" w14:textId="77777777" w:rsidTr="003B71CA">
        <w:tc>
          <w:tcPr>
            <w:tcW w:w="1440" w:type="dxa"/>
            <w:vAlign w:val="center"/>
          </w:tcPr>
          <w:p w14:paraId="332DD10A" w14:textId="77777777" w:rsidR="001C3840" w:rsidRDefault="001C3840" w:rsidP="003B71CA">
            <w:r>
              <w:rPr>
                <w:sz w:val="17"/>
              </w:rPr>
              <w:t>IR playbooks + exercises [26]</w:t>
            </w:r>
          </w:p>
        </w:tc>
        <w:tc>
          <w:tcPr>
            <w:tcW w:w="1296" w:type="dxa"/>
            <w:vAlign w:val="center"/>
          </w:tcPr>
          <w:p w14:paraId="7FB93CE1" w14:textId="77777777" w:rsidR="001C3840" w:rsidRDefault="001C3840" w:rsidP="003B71CA">
            <w:r>
              <w:rPr>
                <w:sz w:val="17"/>
              </w:rPr>
              <w:t>Reduce impact</w:t>
            </w:r>
          </w:p>
        </w:tc>
        <w:tc>
          <w:tcPr>
            <w:tcW w:w="1008" w:type="dxa"/>
            <w:vAlign w:val="center"/>
          </w:tcPr>
          <w:p w14:paraId="00617230" w14:textId="77777777" w:rsidR="001C3840" w:rsidRDefault="001C3840" w:rsidP="003B71CA">
            <w:r>
              <w:rPr>
                <w:sz w:val="17"/>
              </w:rPr>
              <w:t xml:space="preserve">IR </w:t>
            </w:r>
            <w:proofErr w:type="gramStart"/>
            <w:r>
              <w:rPr>
                <w:sz w:val="17"/>
              </w:rPr>
              <w:t>Lead</w:t>
            </w:r>
            <w:proofErr w:type="gramEnd"/>
          </w:p>
        </w:tc>
        <w:tc>
          <w:tcPr>
            <w:tcW w:w="1440" w:type="dxa"/>
            <w:vAlign w:val="center"/>
          </w:tcPr>
          <w:p w14:paraId="35664506" w14:textId="77777777" w:rsidR="001C3840" w:rsidRDefault="001C3840" w:rsidP="003B71CA">
            <w:r>
              <w:rPr>
                <w:sz w:val="17"/>
              </w:rPr>
              <w:t>MTTD/MTTR</w:t>
            </w:r>
          </w:p>
        </w:tc>
        <w:tc>
          <w:tcPr>
            <w:tcW w:w="1296" w:type="dxa"/>
            <w:vAlign w:val="center"/>
          </w:tcPr>
          <w:p w14:paraId="2F72C9C1" w14:textId="77777777" w:rsidR="001C3840" w:rsidRDefault="001C3840" w:rsidP="003B71CA">
            <w:r>
              <w:rPr>
                <w:sz w:val="17"/>
              </w:rPr>
              <w:t>IR tickets</w:t>
            </w:r>
          </w:p>
        </w:tc>
        <w:tc>
          <w:tcPr>
            <w:tcW w:w="1152" w:type="dxa"/>
            <w:vAlign w:val="center"/>
          </w:tcPr>
          <w:p w14:paraId="61B2B96B" w14:textId="77777777" w:rsidR="001C3840" w:rsidRDefault="001C3840" w:rsidP="003B71CA">
            <w:r>
              <w:rPr>
                <w:sz w:val="17"/>
              </w:rPr>
              <w:t>Biannual exercise</w:t>
            </w:r>
          </w:p>
        </w:tc>
        <w:tc>
          <w:tcPr>
            <w:tcW w:w="1407" w:type="dxa"/>
            <w:vAlign w:val="center"/>
          </w:tcPr>
          <w:p w14:paraId="20802294" w14:textId="77777777" w:rsidR="001C3840" w:rsidRDefault="001C3840" w:rsidP="003B71CA">
            <w:r>
              <w:rPr>
                <w:sz w:val="17"/>
              </w:rPr>
              <w:t>Baseline: Initial → Target: Defined/Managed</w:t>
            </w:r>
          </w:p>
        </w:tc>
      </w:tr>
      <w:tr w:rsidR="001C3840" w14:paraId="40FA0F9A" w14:textId="77777777" w:rsidTr="003B71CA">
        <w:tc>
          <w:tcPr>
            <w:tcW w:w="1440" w:type="dxa"/>
            <w:vAlign w:val="center"/>
          </w:tcPr>
          <w:p w14:paraId="209482EC" w14:textId="77777777" w:rsidR="001C3840" w:rsidRDefault="001C3840" w:rsidP="003B71CA">
            <w:r>
              <w:rPr>
                <w:sz w:val="17"/>
              </w:rPr>
              <w:lastRenderedPageBreak/>
              <w:t>Immutable backups + restore tests</w:t>
            </w:r>
          </w:p>
        </w:tc>
        <w:tc>
          <w:tcPr>
            <w:tcW w:w="1296" w:type="dxa"/>
            <w:vAlign w:val="center"/>
          </w:tcPr>
          <w:p w14:paraId="7C6F4FB4" w14:textId="77777777" w:rsidR="001C3840" w:rsidRDefault="001C3840" w:rsidP="003B71CA">
            <w:r>
              <w:rPr>
                <w:sz w:val="17"/>
              </w:rPr>
              <w:t>Ransomware resilience</w:t>
            </w:r>
          </w:p>
        </w:tc>
        <w:tc>
          <w:tcPr>
            <w:tcW w:w="1008" w:type="dxa"/>
            <w:vAlign w:val="center"/>
          </w:tcPr>
          <w:p w14:paraId="5551A087" w14:textId="77777777" w:rsidR="001C3840" w:rsidRDefault="001C3840" w:rsidP="003B71CA">
            <w:r>
              <w:rPr>
                <w:sz w:val="17"/>
              </w:rPr>
              <w:t>IT Ops</w:t>
            </w:r>
          </w:p>
        </w:tc>
        <w:tc>
          <w:tcPr>
            <w:tcW w:w="1440" w:type="dxa"/>
            <w:vAlign w:val="center"/>
          </w:tcPr>
          <w:p w14:paraId="378849DD" w14:textId="2A6C048B" w:rsidR="001C3840" w:rsidRDefault="001C3840" w:rsidP="003B71CA">
            <w:r>
              <w:rPr>
                <w:sz w:val="17"/>
              </w:rPr>
              <w:t xml:space="preserve">Restore </w:t>
            </w:r>
            <w:r w:rsidR="00C75073">
              <w:rPr>
                <w:sz w:val="17"/>
              </w:rPr>
              <w:t xml:space="preserve">the </w:t>
            </w:r>
            <w:r>
              <w:rPr>
                <w:sz w:val="17"/>
              </w:rPr>
              <w:t>success rate</w:t>
            </w:r>
          </w:p>
        </w:tc>
        <w:tc>
          <w:tcPr>
            <w:tcW w:w="1296" w:type="dxa"/>
            <w:vAlign w:val="center"/>
          </w:tcPr>
          <w:p w14:paraId="02866F91" w14:textId="77777777" w:rsidR="001C3840" w:rsidRDefault="001C3840" w:rsidP="003B71CA">
            <w:r>
              <w:rPr>
                <w:sz w:val="17"/>
              </w:rPr>
              <w:t>DR reports</w:t>
            </w:r>
          </w:p>
        </w:tc>
        <w:tc>
          <w:tcPr>
            <w:tcW w:w="1152" w:type="dxa"/>
            <w:vAlign w:val="center"/>
          </w:tcPr>
          <w:p w14:paraId="7A72BDB4" w14:textId="77777777" w:rsidR="001C3840" w:rsidRDefault="001C3840" w:rsidP="003B71CA">
            <w:r>
              <w:rPr>
                <w:sz w:val="17"/>
              </w:rPr>
              <w:t>Biannual</w:t>
            </w:r>
          </w:p>
        </w:tc>
        <w:tc>
          <w:tcPr>
            <w:tcW w:w="1407" w:type="dxa"/>
            <w:vAlign w:val="center"/>
          </w:tcPr>
          <w:p w14:paraId="1EE48CCB" w14:textId="77777777" w:rsidR="001C3840" w:rsidRDefault="001C3840" w:rsidP="003B71CA">
            <w:r>
              <w:rPr>
                <w:sz w:val="17"/>
              </w:rPr>
              <w:t>Baseline: Initial → Target: Defined/Managed</w:t>
            </w:r>
          </w:p>
        </w:tc>
      </w:tr>
      <w:tr w:rsidR="001C3840" w14:paraId="57BF0448" w14:textId="77777777" w:rsidTr="003B71CA">
        <w:tc>
          <w:tcPr>
            <w:tcW w:w="1440" w:type="dxa"/>
            <w:vAlign w:val="center"/>
          </w:tcPr>
          <w:p w14:paraId="54356834" w14:textId="77777777" w:rsidR="001C3840" w:rsidRDefault="001C3840" w:rsidP="003B71CA">
            <w:r>
              <w:rPr>
                <w:sz w:val="17"/>
              </w:rPr>
              <w:t>BCMS aligned to ISO 22301 [27]</w:t>
            </w:r>
          </w:p>
        </w:tc>
        <w:tc>
          <w:tcPr>
            <w:tcW w:w="1296" w:type="dxa"/>
            <w:vAlign w:val="center"/>
          </w:tcPr>
          <w:p w14:paraId="1FEB63E4" w14:textId="77777777" w:rsidR="001C3840" w:rsidRDefault="001C3840" w:rsidP="003B71CA">
            <w:r>
              <w:rPr>
                <w:sz w:val="17"/>
              </w:rPr>
              <w:t>Service continuity</w:t>
            </w:r>
          </w:p>
        </w:tc>
        <w:tc>
          <w:tcPr>
            <w:tcW w:w="1008" w:type="dxa"/>
            <w:vAlign w:val="center"/>
          </w:tcPr>
          <w:p w14:paraId="2463E2DE" w14:textId="77777777" w:rsidR="001C3840" w:rsidRDefault="001C3840" w:rsidP="003B71CA">
            <w:r>
              <w:rPr>
                <w:sz w:val="17"/>
              </w:rPr>
              <w:t>Resilience Lead</w:t>
            </w:r>
          </w:p>
        </w:tc>
        <w:tc>
          <w:tcPr>
            <w:tcW w:w="1440" w:type="dxa"/>
            <w:vAlign w:val="center"/>
          </w:tcPr>
          <w:p w14:paraId="27032B9A" w14:textId="77777777" w:rsidR="001C3840" w:rsidRDefault="001C3840" w:rsidP="003B71CA">
            <w:r>
              <w:rPr>
                <w:sz w:val="17"/>
              </w:rPr>
              <w:t>% services tested</w:t>
            </w:r>
          </w:p>
        </w:tc>
        <w:tc>
          <w:tcPr>
            <w:tcW w:w="1296" w:type="dxa"/>
            <w:vAlign w:val="center"/>
          </w:tcPr>
          <w:p w14:paraId="3FAC7B54" w14:textId="77777777" w:rsidR="001C3840" w:rsidRDefault="001C3840" w:rsidP="003B71CA">
            <w:r>
              <w:rPr>
                <w:sz w:val="17"/>
              </w:rPr>
              <w:t>BC docs</w:t>
            </w:r>
          </w:p>
        </w:tc>
        <w:tc>
          <w:tcPr>
            <w:tcW w:w="1152" w:type="dxa"/>
            <w:vAlign w:val="center"/>
          </w:tcPr>
          <w:p w14:paraId="57040AD3" w14:textId="77777777" w:rsidR="001C3840" w:rsidRDefault="001C3840" w:rsidP="003B71CA">
            <w:r>
              <w:rPr>
                <w:sz w:val="17"/>
              </w:rPr>
              <w:t>Annual</w:t>
            </w:r>
          </w:p>
        </w:tc>
        <w:tc>
          <w:tcPr>
            <w:tcW w:w="1407" w:type="dxa"/>
            <w:vAlign w:val="center"/>
          </w:tcPr>
          <w:p w14:paraId="51201B2A" w14:textId="77777777" w:rsidR="001C3840" w:rsidRDefault="001C3840" w:rsidP="003B71CA">
            <w:r>
              <w:rPr>
                <w:sz w:val="17"/>
              </w:rPr>
              <w:t>Baseline: Initial → Target: Defined/Managed</w:t>
            </w:r>
          </w:p>
        </w:tc>
      </w:tr>
      <w:tr w:rsidR="001C3840" w14:paraId="2D2A447B" w14:textId="77777777" w:rsidTr="003B71CA">
        <w:tc>
          <w:tcPr>
            <w:tcW w:w="1440" w:type="dxa"/>
            <w:vAlign w:val="center"/>
          </w:tcPr>
          <w:p w14:paraId="561418D2" w14:textId="77777777" w:rsidR="001C3840" w:rsidRDefault="001C3840" w:rsidP="003B71CA">
            <w:r>
              <w:rPr>
                <w:sz w:val="17"/>
              </w:rPr>
              <w:t>Secure SDLC</w:t>
            </w:r>
          </w:p>
        </w:tc>
        <w:tc>
          <w:tcPr>
            <w:tcW w:w="1296" w:type="dxa"/>
            <w:vAlign w:val="center"/>
          </w:tcPr>
          <w:p w14:paraId="5C0901E2" w14:textId="77777777" w:rsidR="001C3840" w:rsidRDefault="001C3840" w:rsidP="003B71CA">
            <w:r>
              <w:rPr>
                <w:sz w:val="17"/>
              </w:rPr>
              <w:t>Reduce defects</w:t>
            </w:r>
          </w:p>
        </w:tc>
        <w:tc>
          <w:tcPr>
            <w:tcW w:w="1008" w:type="dxa"/>
            <w:vAlign w:val="center"/>
          </w:tcPr>
          <w:p w14:paraId="609A33E2" w14:textId="77777777" w:rsidR="001C3840" w:rsidRDefault="001C3840" w:rsidP="003B71CA">
            <w:r>
              <w:rPr>
                <w:sz w:val="17"/>
              </w:rPr>
              <w:t>AppSec</w:t>
            </w:r>
          </w:p>
        </w:tc>
        <w:tc>
          <w:tcPr>
            <w:tcW w:w="1440" w:type="dxa"/>
            <w:vAlign w:val="center"/>
          </w:tcPr>
          <w:p w14:paraId="16C55DD0" w14:textId="77777777" w:rsidR="001C3840" w:rsidRDefault="001C3840" w:rsidP="003B71CA">
            <w:r>
              <w:rPr>
                <w:sz w:val="17"/>
              </w:rPr>
              <w:t>% builds scanned</w:t>
            </w:r>
          </w:p>
        </w:tc>
        <w:tc>
          <w:tcPr>
            <w:tcW w:w="1296" w:type="dxa"/>
            <w:vAlign w:val="center"/>
          </w:tcPr>
          <w:p w14:paraId="2CACBFF1" w14:textId="77777777" w:rsidR="001C3840" w:rsidRDefault="001C3840" w:rsidP="003B71CA">
            <w:r>
              <w:rPr>
                <w:sz w:val="17"/>
              </w:rPr>
              <w:t>CI/CD logs</w:t>
            </w:r>
          </w:p>
        </w:tc>
        <w:tc>
          <w:tcPr>
            <w:tcW w:w="1152" w:type="dxa"/>
            <w:vAlign w:val="center"/>
          </w:tcPr>
          <w:p w14:paraId="7A4C500C" w14:textId="77777777" w:rsidR="001C3840" w:rsidRDefault="001C3840" w:rsidP="003B71CA">
            <w:r>
              <w:rPr>
                <w:sz w:val="17"/>
              </w:rPr>
              <w:t>Quarterly</w:t>
            </w:r>
          </w:p>
        </w:tc>
        <w:tc>
          <w:tcPr>
            <w:tcW w:w="1407" w:type="dxa"/>
            <w:vAlign w:val="center"/>
          </w:tcPr>
          <w:p w14:paraId="5CA7D1D8" w14:textId="77777777" w:rsidR="001C3840" w:rsidRDefault="001C3840" w:rsidP="003B71CA">
            <w:r>
              <w:rPr>
                <w:sz w:val="17"/>
              </w:rPr>
              <w:t>Baseline: Initial → Target: Defined/Managed</w:t>
            </w:r>
          </w:p>
        </w:tc>
      </w:tr>
      <w:tr w:rsidR="001C3840" w14:paraId="77060918" w14:textId="77777777" w:rsidTr="003B71CA">
        <w:tc>
          <w:tcPr>
            <w:tcW w:w="1440" w:type="dxa"/>
            <w:vAlign w:val="center"/>
          </w:tcPr>
          <w:p w14:paraId="4991E392" w14:textId="07C08E76" w:rsidR="001C3840" w:rsidRDefault="001C3840" w:rsidP="003B71CA">
            <w:r>
              <w:rPr>
                <w:sz w:val="17"/>
              </w:rPr>
              <w:t>OWASP ASVS verification</w:t>
            </w:r>
          </w:p>
        </w:tc>
        <w:tc>
          <w:tcPr>
            <w:tcW w:w="1296" w:type="dxa"/>
            <w:vAlign w:val="center"/>
          </w:tcPr>
          <w:p w14:paraId="7CD43D6A" w14:textId="77777777" w:rsidR="001C3840" w:rsidRDefault="001C3840" w:rsidP="003B71CA">
            <w:r>
              <w:rPr>
                <w:sz w:val="17"/>
              </w:rPr>
              <w:t>Assure app security</w:t>
            </w:r>
          </w:p>
        </w:tc>
        <w:tc>
          <w:tcPr>
            <w:tcW w:w="1008" w:type="dxa"/>
            <w:vAlign w:val="center"/>
          </w:tcPr>
          <w:p w14:paraId="7545027E" w14:textId="77777777" w:rsidR="001C3840" w:rsidRDefault="001C3840" w:rsidP="003B71CA">
            <w:r>
              <w:rPr>
                <w:sz w:val="17"/>
              </w:rPr>
              <w:t>AppSec</w:t>
            </w:r>
          </w:p>
        </w:tc>
        <w:tc>
          <w:tcPr>
            <w:tcW w:w="1440" w:type="dxa"/>
            <w:vAlign w:val="center"/>
          </w:tcPr>
          <w:p w14:paraId="737D86B1" w14:textId="77777777" w:rsidR="001C3840" w:rsidRDefault="001C3840" w:rsidP="003B71CA">
            <w:r>
              <w:rPr>
                <w:sz w:val="17"/>
              </w:rPr>
              <w:t>% critical apps assessed</w:t>
            </w:r>
          </w:p>
        </w:tc>
        <w:tc>
          <w:tcPr>
            <w:tcW w:w="1296" w:type="dxa"/>
            <w:vAlign w:val="center"/>
          </w:tcPr>
          <w:p w14:paraId="31A53C4C" w14:textId="77777777" w:rsidR="001C3840" w:rsidRDefault="001C3840" w:rsidP="003B71CA">
            <w:r>
              <w:rPr>
                <w:sz w:val="17"/>
              </w:rPr>
              <w:t>Reports</w:t>
            </w:r>
          </w:p>
        </w:tc>
        <w:tc>
          <w:tcPr>
            <w:tcW w:w="1152" w:type="dxa"/>
            <w:vAlign w:val="center"/>
          </w:tcPr>
          <w:p w14:paraId="2B06FD29" w14:textId="77777777" w:rsidR="001C3840" w:rsidRDefault="001C3840" w:rsidP="003B71CA">
            <w:r>
              <w:rPr>
                <w:sz w:val="17"/>
              </w:rPr>
              <w:t>Annual</w:t>
            </w:r>
          </w:p>
        </w:tc>
        <w:tc>
          <w:tcPr>
            <w:tcW w:w="1407" w:type="dxa"/>
            <w:vAlign w:val="center"/>
          </w:tcPr>
          <w:p w14:paraId="462AE7A9" w14:textId="77777777" w:rsidR="001C3840" w:rsidRDefault="001C3840" w:rsidP="003B71CA">
            <w:r>
              <w:rPr>
                <w:sz w:val="17"/>
              </w:rPr>
              <w:t>Baseline: Initial → Target: Defined/Managed</w:t>
            </w:r>
          </w:p>
        </w:tc>
      </w:tr>
      <w:tr w:rsidR="001C3840" w14:paraId="64E14EFF" w14:textId="77777777" w:rsidTr="003B71CA">
        <w:tc>
          <w:tcPr>
            <w:tcW w:w="1440" w:type="dxa"/>
            <w:vAlign w:val="center"/>
          </w:tcPr>
          <w:p w14:paraId="3D97E198" w14:textId="01A5BE29" w:rsidR="001C3840" w:rsidRDefault="001C3840" w:rsidP="003B71CA">
            <w:r>
              <w:rPr>
                <w:sz w:val="17"/>
              </w:rPr>
              <w:t>Third‑party due diligence</w:t>
            </w:r>
          </w:p>
        </w:tc>
        <w:tc>
          <w:tcPr>
            <w:tcW w:w="1296" w:type="dxa"/>
            <w:vAlign w:val="center"/>
          </w:tcPr>
          <w:p w14:paraId="06B65213" w14:textId="77777777" w:rsidR="001C3840" w:rsidRDefault="001C3840" w:rsidP="003B71CA">
            <w:r>
              <w:rPr>
                <w:sz w:val="17"/>
              </w:rPr>
              <w:t>Reduce supplier risk</w:t>
            </w:r>
          </w:p>
        </w:tc>
        <w:tc>
          <w:tcPr>
            <w:tcW w:w="1008" w:type="dxa"/>
            <w:vAlign w:val="center"/>
          </w:tcPr>
          <w:p w14:paraId="1B774BD1" w14:textId="77777777" w:rsidR="001C3840" w:rsidRDefault="001C3840" w:rsidP="003B71CA">
            <w:r>
              <w:rPr>
                <w:sz w:val="17"/>
              </w:rPr>
              <w:t>Vendor Risk</w:t>
            </w:r>
          </w:p>
        </w:tc>
        <w:tc>
          <w:tcPr>
            <w:tcW w:w="1440" w:type="dxa"/>
            <w:vAlign w:val="center"/>
          </w:tcPr>
          <w:p w14:paraId="4AA44B25" w14:textId="77777777" w:rsidR="001C3840" w:rsidRDefault="001C3840" w:rsidP="003B71CA">
            <w:r>
              <w:rPr>
                <w:sz w:val="17"/>
              </w:rPr>
              <w:t>% critical vendors assessed</w:t>
            </w:r>
          </w:p>
        </w:tc>
        <w:tc>
          <w:tcPr>
            <w:tcW w:w="1296" w:type="dxa"/>
            <w:vAlign w:val="center"/>
          </w:tcPr>
          <w:p w14:paraId="1BE3A974" w14:textId="77777777" w:rsidR="001C3840" w:rsidRDefault="001C3840" w:rsidP="003B71CA">
            <w:r>
              <w:rPr>
                <w:sz w:val="17"/>
              </w:rPr>
              <w:t>TPRM</w:t>
            </w:r>
          </w:p>
        </w:tc>
        <w:tc>
          <w:tcPr>
            <w:tcW w:w="1152" w:type="dxa"/>
            <w:vAlign w:val="center"/>
          </w:tcPr>
          <w:p w14:paraId="07E886E9" w14:textId="77777777" w:rsidR="001C3840" w:rsidRDefault="001C3840" w:rsidP="003B71CA">
            <w:r>
              <w:rPr>
                <w:sz w:val="17"/>
              </w:rPr>
              <w:t>Quarterly</w:t>
            </w:r>
          </w:p>
        </w:tc>
        <w:tc>
          <w:tcPr>
            <w:tcW w:w="1407" w:type="dxa"/>
            <w:vAlign w:val="center"/>
          </w:tcPr>
          <w:p w14:paraId="7E8C3BDB" w14:textId="77777777" w:rsidR="001C3840" w:rsidRDefault="001C3840" w:rsidP="003B71CA">
            <w:r>
              <w:rPr>
                <w:sz w:val="17"/>
              </w:rPr>
              <w:t>Baseline: Initial → Target: Defined/Managed</w:t>
            </w:r>
          </w:p>
        </w:tc>
      </w:tr>
      <w:tr w:rsidR="001C3840" w14:paraId="6F264192" w14:textId="77777777" w:rsidTr="003B71CA">
        <w:tc>
          <w:tcPr>
            <w:tcW w:w="1440" w:type="dxa"/>
            <w:vAlign w:val="center"/>
          </w:tcPr>
          <w:p w14:paraId="32A07204" w14:textId="77777777" w:rsidR="001C3840" w:rsidRDefault="001C3840" w:rsidP="003B71CA">
            <w:r>
              <w:rPr>
                <w:sz w:val="17"/>
              </w:rPr>
              <w:t>Contract security clauses</w:t>
            </w:r>
          </w:p>
        </w:tc>
        <w:tc>
          <w:tcPr>
            <w:tcW w:w="1296" w:type="dxa"/>
            <w:vAlign w:val="center"/>
          </w:tcPr>
          <w:p w14:paraId="5042D413" w14:textId="77777777" w:rsidR="001C3840" w:rsidRDefault="001C3840" w:rsidP="003B71CA">
            <w:r>
              <w:rPr>
                <w:sz w:val="17"/>
              </w:rPr>
              <w:t>Enforce controls</w:t>
            </w:r>
          </w:p>
        </w:tc>
        <w:tc>
          <w:tcPr>
            <w:tcW w:w="1008" w:type="dxa"/>
            <w:vAlign w:val="center"/>
          </w:tcPr>
          <w:p w14:paraId="2ECEC7D4" w14:textId="77777777" w:rsidR="001C3840" w:rsidRDefault="001C3840" w:rsidP="003B71CA">
            <w:r>
              <w:rPr>
                <w:sz w:val="17"/>
              </w:rPr>
              <w:t>Legal/Proc</w:t>
            </w:r>
          </w:p>
        </w:tc>
        <w:tc>
          <w:tcPr>
            <w:tcW w:w="1440" w:type="dxa"/>
            <w:vAlign w:val="center"/>
          </w:tcPr>
          <w:p w14:paraId="4DD4CB35" w14:textId="77777777" w:rsidR="001C3840" w:rsidRDefault="001C3840" w:rsidP="003B71CA">
            <w:r>
              <w:rPr>
                <w:sz w:val="17"/>
              </w:rPr>
              <w:t>% contracts compliant</w:t>
            </w:r>
          </w:p>
        </w:tc>
        <w:tc>
          <w:tcPr>
            <w:tcW w:w="1296" w:type="dxa"/>
            <w:vAlign w:val="center"/>
          </w:tcPr>
          <w:p w14:paraId="77849D1F" w14:textId="77777777" w:rsidR="001C3840" w:rsidRDefault="001C3840" w:rsidP="003B71CA">
            <w:r>
              <w:rPr>
                <w:sz w:val="17"/>
              </w:rPr>
              <w:t>Repo</w:t>
            </w:r>
          </w:p>
        </w:tc>
        <w:tc>
          <w:tcPr>
            <w:tcW w:w="1152" w:type="dxa"/>
            <w:vAlign w:val="center"/>
          </w:tcPr>
          <w:p w14:paraId="358CAB8B" w14:textId="77777777" w:rsidR="001C3840" w:rsidRDefault="001C3840" w:rsidP="003B71CA">
            <w:r>
              <w:rPr>
                <w:sz w:val="17"/>
              </w:rPr>
              <w:t>Spot checks</w:t>
            </w:r>
          </w:p>
        </w:tc>
        <w:tc>
          <w:tcPr>
            <w:tcW w:w="1407" w:type="dxa"/>
            <w:vAlign w:val="center"/>
          </w:tcPr>
          <w:p w14:paraId="709DC1F2" w14:textId="77777777" w:rsidR="001C3840" w:rsidRDefault="001C3840" w:rsidP="003B71CA">
            <w:r>
              <w:rPr>
                <w:sz w:val="17"/>
              </w:rPr>
              <w:t>Baseline: Initial → Target: Defined/Managed</w:t>
            </w:r>
          </w:p>
        </w:tc>
      </w:tr>
      <w:tr w:rsidR="001C3840" w14:paraId="1CFB5969" w14:textId="77777777" w:rsidTr="003B71CA">
        <w:tc>
          <w:tcPr>
            <w:tcW w:w="1440" w:type="dxa"/>
            <w:vAlign w:val="center"/>
          </w:tcPr>
          <w:p w14:paraId="29AE642B" w14:textId="77777777" w:rsidR="001C3840" w:rsidRDefault="001C3840" w:rsidP="003B71CA">
            <w:r>
              <w:rPr>
                <w:sz w:val="17"/>
              </w:rPr>
              <w:t>Exit plans for critical vendors</w:t>
            </w:r>
          </w:p>
        </w:tc>
        <w:tc>
          <w:tcPr>
            <w:tcW w:w="1296" w:type="dxa"/>
            <w:vAlign w:val="center"/>
          </w:tcPr>
          <w:p w14:paraId="22458F47" w14:textId="77777777" w:rsidR="001C3840" w:rsidRDefault="001C3840" w:rsidP="003B71CA">
            <w:r>
              <w:rPr>
                <w:sz w:val="17"/>
              </w:rPr>
              <w:t>Reduce lock‑in</w:t>
            </w:r>
          </w:p>
        </w:tc>
        <w:tc>
          <w:tcPr>
            <w:tcW w:w="1008" w:type="dxa"/>
            <w:vAlign w:val="center"/>
          </w:tcPr>
          <w:p w14:paraId="61965F79" w14:textId="77777777" w:rsidR="001C3840" w:rsidRDefault="001C3840" w:rsidP="003B71CA">
            <w:r>
              <w:rPr>
                <w:sz w:val="17"/>
              </w:rPr>
              <w:t>Vendor Risk</w:t>
            </w:r>
          </w:p>
        </w:tc>
        <w:tc>
          <w:tcPr>
            <w:tcW w:w="1440" w:type="dxa"/>
            <w:vAlign w:val="center"/>
          </w:tcPr>
          <w:p w14:paraId="60D98623" w14:textId="77777777" w:rsidR="001C3840" w:rsidRDefault="001C3840" w:rsidP="003B71CA">
            <w:r>
              <w:rPr>
                <w:sz w:val="17"/>
              </w:rPr>
              <w:t>% tested exits</w:t>
            </w:r>
          </w:p>
        </w:tc>
        <w:tc>
          <w:tcPr>
            <w:tcW w:w="1296" w:type="dxa"/>
            <w:vAlign w:val="center"/>
          </w:tcPr>
          <w:p w14:paraId="13FBDD1C" w14:textId="77777777" w:rsidR="001C3840" w:rsidRDefault="001C3840" w:rsidP="003B71CA">
            <w:r>
              <w:rPr>
                <w:sz w:val="17"/>
              </w:rPr>
              <w:t>Exit docs</w:t>
            </w:r>
          </w:p>
        </w:tc>
        <w:tc>
          <w:tcPr>
            <w:tcW w:w="1152" w:type="dxa"/>
            <w:vAlign w:val="center"/>
          </w:tcPr>
          <w:p w14:paraId="405E4055" w14:textId="77777777" w:rsidR="001C3840" w:rsidRDefault="001C3840" w:rsidP="003B71CA">
            <w:r>
              <w:rPr>
                <w:sz w:val="17"/>
              </w:rPr>
              <w:t>Annual test</w:t>
            </w:r>
          </w:p>
        </w:tc>
        <w:tc>
          <w:tcPr>
            <w:tcW w:w="1407" w:type="dxa"/>
            <w:vAlign w:val="center"/>
          </w:tcPr>
          <w:p w14:paraId="7AD6C974" w14:textId="77777777" w:rsidR="001C3840" w:rsidRDefault="001C3840" w:rsidP="003B71CA">
            <w:r>
              <w:rPr>
                <w:sz w:val="17"/>
              </w:rPr>
              <w:t>Baseline: Initial → Target: Defined/Managed</w:t>
            </w:r>
          </w:p>
        </w:tc>
      </w:tr>
      <w:tr w:rsidR="001C3840" w14:paraId="62C8232F" w14:textId="77777777" w:rsidTr="003B71CA">
        <w:tc>
          <w:tcPr>
            <w:tcW w:w="1440" w:type="dxa"/>
            <w:vAlign w:val="center"/>
          </w:tcPr>
          <w:p w14:paraId="71A1C4C4" w14:textId="77777777" w:rsidR="001C3840" w:rsidRDefault="001C3840" w:rsidP="003B71CA">
            <w:r>
              <w:rPr>
                <w:sz w:val="17"/>
              </w:rPr>
              <w:t>Role-based training</w:t>
            </w:r>
          </w:p>
        </w:tc>
        <w:tc>
          <w:tcPr>
            <w:tcW w:w="1296" w:type="dxa"/>
            <w:vAlign w:val="center"/>
          </w:tcPr>
          <w:p w14:paraId="6606992C" w14:textId="77777777" w:rsidR="001C3840" w:rsidRDefault="001C3840" w:rsidP="003B71CA">
            <w:r>
              <w:rPr>
                <w:sz w:val="17"/>
              </w:rPr>
              <w:t>Reduce human risk</w:t>
            </w:r>
          </w:p>
        </w:tc>
        <w:tc>
          <w:tcPr>
            <w:tcW w:w="1008" w:type="dxa"/>
            <w:vAlign w:val="center"/>
          </w:tcPr>
          <w:p w14:paraId="262F247F" w14:textId="77777777" w:rsidR="001C3840" w:rsidRDefault="001C3840" w:rsidP="003B71CA">
            <w:r>
              <w:rPr>
                <w:sz w:val="17"/>
              </w:rPr>
              <w:t>HR/Sec</w:t>
            </w:r>
          </w:p>
        </w:tc>
        <w:tc>
          <w:tcPr>
            <w:tcW w:w="1440" w:type="dxa"/>
            <w:vAlign w:val="center"/>
          </w:tcPr>
          <w:p w14:paraId="7997EB1C" w14:textId="77777777" w:rsidR="001C3840" w:rsidRDefault="001C3840" w:rsidP="003B71CA">
            <w:r>
              <w:rPr>
                <w:sz w:val="17"/>
              </w:rPr>
              <w:t>Completion; phishing rate</w:t>
            </w:r>
          </w:p>
        </w:tc>
        <w:tc>
          <w:tcPr>
            <w:tcW w:w="1296" w:type="dxa"/>
            <w:vAlign w:val="center"/>
          </w:tcPr>
          <w:p w14:paraId="54237C3E" w14:textId="77777777" w:rsidR="001C3840" w:rsidRDefault="001C3840" w:rsidP="003B71CA">
            <w:r>
              <w:rPr>
                <w:sz w:val="17"/>
              </w:rPr>
              <w:t>LMS</w:t>
            </w:r>
          </w:p>
        </w:tc>
        <w:tc>
          <w:tcPr>
            <w:tcW w:w="1152" w:type="dxa"/>
            <w:vAlign w:val="center"/>
          </w:tcPr>
          <w:p w14:paraId="70624617" w14:textId="77777777" w:rsidR="001C3840" w:rsidRDefault="001C3840" w:rsidP="003B71CA">
            <w:r>
              <w:rPr>
                <w:sz w:val="17"/>
              </w:rPr>
              <w:t>Quarterly</w:t>
            </w:r>
          </w:p>
        </w:tc>
        <w:tc>
          <w:tcPr>
            <w:tcW w:w="1407" w:type="dxa"/>
            <w:vAlign w:val="center"/>
          </w:tcPr>
          <w:p w14:paraId="0527CBF5" w14:textId="77777777" w:rsidR="001C3840" w:rsidRDefault="001C3840" w:rsidP="003B71CA">
            <w:r>
              <w:rPr>
                <w:sz w:val="17"/>
              </w:rPr>
              <w:t>Baseline: Initial → Target: Defined/Managed</w:t>
            </w:r>
          </w:p>
        </w:tc>
      </w:tr>
      <w:tr w:rsidR="001C3840" w14:paraId="43371BA2" w14:textId="77777777" w:rsidTr="003B71CA">
        <w:tc>
          <w:tcPr>
            <w:tcW w:w="1440" w:type="dxa"/>
            <w:vAlign w:val="center"/>
          </w:tcPr>
          <w:p w14:paraId="32FAB038" w14:textId="77777777" w:rsidR="001C3840" w:rsidRDefault="001C3840" w:rsidP="003B71CA">
            <w:r>
              <w:rPr>
                <w:sz w:val="17"/>
              </w:rPr>
              <w:t>DLP for sensitive identifiers</w:t>
            </w:r>
          </w:p>
        </w:tc>
        <w:tc>
          <w:tcPr>
            <w:tcW w:w="1296" w:type="dxa"/>
            <w:vAlign w:val="center"/>
          </w:tcPr>
          <w:p w14:paraId="56472EA2" w14:textId="77777777" w:rsidR="001C3840" w:rsidRDefault="001C3840" w:rsidP="003B71CA">
            <w:r>
              <w:rPr>
                <w:sz w:val="17"/>
              </w:rPr>
              <w:t>Reduce leakage</w:t>
            </w:r>
          </w:p>
        </w:tc>
        <w:tc>
          <w:tcPr>
            <w:tcW w:w="1008" w:type="dxa"/>
            <w:vAlign w:val="center"/>
          </w:tcPr>
          <w:p w14:paraId="03D4D1F9" w14:textId="77777777" w:rsidR="001C3840" w:rsidRDefault="001C3840" w:rsidP="003B71CA">
            <w:r>
              <w:rPr>
                <w:sz w:val="17"/>
              </w:rPr>
              <w:t>SecOps</w:t>
            </w:r>
          </w:p>
        </w:tc>
        <w:tc>
          <w:tcPr>
            <w:tcW w:w="1440" w:type="dxa"/>
            <w:vAlign w:val="center"/>
          </w:tcPr>
          <w:p w14:paraId="1687FE1F" w14:textId="77777777" w:rsidR="001C3840" w:rsidRDefault="001C3840" w:rsidP="003B71CA">
            <w:r>
              <w:rPr>
                <w:sz w:val="17"/>
              </w:rPr>
              <w:t>Incidents trend</w:t>
            </w:r>
          </w:p>
        </w:tc>
        <w:tc>
          <w:tcPr>
            <w:tcW w:w="1296" w:type="dxa"/>
            <w:vAlign w:val="center"/>
          </w:tcPr>
          <w:p w14:paraId="7A2CBBBB" w14:textId="77777777" w:rsidR="001C3840" w:rsidRDefault="001C3840" w:rsidP="003B71CA">
            <w:r>
              <w:rPr>
                <w:sz w:val="17"/>
              </w:rPr>
              <w:t>DLP console</w:t>
            </w:r>
          </w:p>
        </w:tc>
        <w:tc>
          <w:tcPr>
            <w:tcW w:w="1152" w:type="dxa"/>
            <w:vAlign w:val="center"/>
          </w:tcPr>
          <w:p w14:paraId="212AF849" w14:textId="77777777" w:rsidR="001C3840" w:rsidRDefault="001C3840" w:rsidP="003B71CA">
            <w:r>
              <w:rPr>
                <w:sz w:val="17"/>
              </w:rPr>
              <w:t>Monthly</w:t>
            </w:r>
          </w:p>
        </w:tc>
        <w:tc>
          <w:tcPr>
            <w:tcW w:w="1407" w:type="dxa"/>
            <w:vAlign w:val="center"/>
          </w:tcPr>
          <w:p w14:paraId="0883CC09" w14:textId="77777777" w:rsidR="001C3840" w:rsidRDefault="001C3840" w:rsidP="003B71CA">
            <w:r>
              <w:rPr>
                <w:sz w:val="17"/>
              </w:rPr>
              <w:t>Baseline: Initial → Target: Defined/Managed</w:t>
            </w:r>
          </w:p>
        </w:tc>
      </w:tr>
    </w:tbl>
    <w:p w14:paraId="41CF227B" w14:textId="77777777" w:rsidR="00BC0FD2" w:rsidRPr="00BC0FD2" w:rsidRDefault="00BC0FD2" w:rsidP="00BC0FD2"/>
    <w:p w14:paraId="61BE356B" w14:textId="43DD0C9D" w:rsidR="0007223F" w:rsidRPr="00374B64" w:rsidRDefault="004C2062" w:rsidP="004C2062">
      <w:pPr>
        <w:pStyle w:val="Heading2"/>
        <w:numPr>
          <w:ilvl w:val="1"/>
          <w:numId w:val="6"/>
        </w:numPr>
        <w:rPr>
          <w:rFonts w:ascii="Calibri" w:hAnsi="Calibri" w:cs="Calibri"/>
          <w:b/>
          <w:bCs/>
          <w:sz w:val="28"/>
          <w:szCs w:val="28"/>
          <w:u w:val="single"/>
        </w:rPr>
      </w:pPr>
      <w:r w:rsidRPr="004C2062">
        <w:rPr>
          <w:rFonts w:ascii="Calibri" w:hAnsi="Calibri" w:cs="Calibri"/>
          <w:b/>
          <w:bCs/>
          <w:sz w:val="28"/>
          <w:szCs w:val="28"/>
        </w:rPr>
        <w:t xml:space="preserve"> </w:t>
      </w:r>
      <w:bookmarkStart w:id="29" w:name="_Toc226635579"/>
      <w:r>
        <w:rPr>
          <w:rFonts w:ascii="Calibri" w:hAnsi="Calibri" w:cs="Calibri"/>
          <w:b/>
          <w:bCs/>
          <w:sz w:val="28"/>
          <w:szCs w:val="28"/>
          <w:u w:val="single"/>
        </w:rPr>
        <w:t>T</w:t>
      </w:r>
      <w:r w:rsidR="009722E9">
        <w:rPr>
          <w:rFonts w:ascii="Calibri" w:hAnsi="Calibri" w:cs="Calibri"/>
          <w:b/>
          <w:bCs/>
          <w:sz w:val="28"/>
          <w:szCs w:val="28"/>
          <w:u w:val="single"/>
        </w:rPr>
        <w:t>hird-party</w:t>
      </w:r>
      <w:r>
        <w:rPr>
          <w:rFonts w:ascii="Calibri" w:hAnsi="Calibri" w:cs="Calibri"/>
          <w:b/>
          <w:bCs/>
          <w:sz w:val="28"/>
          <w:szCs w:val="28"/>
          <w:u w:val="single"/>
        </w:rPr>
        <w:t>, outsourcing and Cloud Governance</w:t>
      </w:r>
      <w:bookmarkEnd w:id="29"/>
    </w:p>
    <w:p w14:paraId="6FA7D81F" w14:textId="39C2D35C" w:rsidR="00F00550" w:rsidRDefault="0007223F">
      <w:r w:rsidRPr="0007223F">
        <w:t xml:space="preserve">FinSure orchestrates a formal supplier lifecycle that involves pre-contract due diligence, binding security conditions in the contract terms, ongoing risk and performance management, </w:t>
      </w:r>
      <w:r w:rsidR="00374B64">
        <w:t>and</w:t>
      </w:r>
      <w:r w:rsidRPr="0007223F">
        <w:t xml:space="preserve"> formal exit and substitution planning. State of critical </w:t>
      </w:r>
      <w:r w:rsidR="00374B64" w:rsidRPr="0007223F">
        <w:t>suppliers’</w:t>
      </w:r>
      <w:r w:rsidRPr="0007223F">
        <w:t xml:space="preserve"> governance must be in line with the European Banking Authority (EBA) ICT risk guidelines, and </w:t>
      </w:r>
      <w:r w:rsidR="00374B64">
        <w:t>the Digital Operations Resilience Act</w:t>
      </w:r>
      <w:r w:rsidRPr="0007223F">
        <w:t xml:space="preserve"> (DORA) third-party oversight expectations.</w:t>
      </w:r>
    </w:p>
    <w:p w14:paraId="1EF03FA7" w14:textId="2000495B" w:rsidR="00DC23F3" w:rsidRDefault="00AD3FF2" w:rsidP="00AD3FF2">
      <w:pPr>
        <w:pStyle w:val="Caption"/>
        <w:rPr>
          <w:b/>
          <w:bCs/>
          <w:sz w:val="20"/>
          <w:szCs w:val="20"/>
        </w:rPr>
      </w:pPr>
      <w:bookmarkStart w:id="30" w:name="_Toc226622703"/>
      <w:r w:rsidRPr="00AD3FF2">
        <w:rPr>
          <w:b/>
          <w:bCs/>
          <w:sz w:val="20"/>
          <w:szCs w:val="20"/>
        </w:rPr>
        <w:t xml:space="preserve">Figure </w:t>
      </w:r>
      <w:r w:rsidRPr="00AD3FF2">
        <w:rPr>
          <w:b/>
          <w:bCs/>
          <w:sz w:val="20"/>
          <w:szCs w:val="20"/>
        </w:rPr>
        <w:fldChar w:fldCharType="begin"/>
      </w:r>
      <w:r w:rsidRPr="00AD3FF2">
        <w:rPr>
          <w:b/>
          <w:bCs/>
          <w:sz w:val="20"/>
          <w:szCs w:val="20"/>
        </w:rPr>
        <w:instrText xml:space="preserve"> SEQ Figure \* ARABIC </w:instrText>
      </w:r>
      <w:r w:rsidRPr="00AD3FF2">
        <w:rPr>
          <w:b/>
          <w:bCs/>
          <w:sz w:val="20"/>
          <w:szCs w:val="20"/>
        </w:rPr>
        <w:fldChar w:fldCharType="separate"/>
      </w:r>
      <w:r w:rsidR="0074752F">
        <w:rPr>
          <w:b/>
          <w:bCs/>
          <w:noProof/>
          <w:sz w:val="20"/>
          <w:szCs w:val="20"/>
        </w:rPr>
        <w:t>4</w:t>
      </w:r>
      <w:r w:rsidRPr="00AD3FF2">
        <w:rPr>
          <w:b/>
          <w:bCs/>
          <w:sz w:val="20"/>
          <w:szCs w:val="20"/>
        </w:rPr>
        <w:fldChar w:fldCharType="end"/>
      </w:r>
      <w:r w:rsidRPr="00AD3FF2">
        <w:rPr>
          <w:b/>
          <w:bCs/>
          <w:sz w:val="20"/>
          <w:szCs w:val="20"/>
        </w:rPr>
        <w:t xml:space="preserve"> Third</w:t>
      </w:r>
      <w:r w:rsidRPr="00AD3FF2">
        <w:rPr>
          <w:rFonts w:ascii="Cambria Math" w:hAnsi="Cambria Math" w:cs="Cambria Math"/>
          <w:b/>
          <w:bCs/>
          <w:sz w:val="20"/>
          <w:szCs w:val="20"/>
        </w:rPr>
        <w:t>‑</w:t>
      </w:r>
      <w:r w:rsidRPr="00AD3FF2">
        <w:rPr>
          <w:b/>
          <w:bCs/>
          <w:sz w:val="20"/>
          <w:szCs w:val="20"/>
        </w:rPr>
        <w:t xml:space="preserve">party and outsourcing risk lifecycle (due diligence </w:t>
      </w:r>
      <w:r w:rsidRPr="00AD3FF2">
        <w:rPr>
          <w:rFonts w:cs="Calibri"/>
          <w:b/>
          <w:bCs/>
          <w:sz w:val="20"/>
          <w:szCs w:val="20"/>
        </w:rPr>
        <w:t>→</w:t>
      </w:r>
      <w:r w:rsidRPr="00AD3FF2">
        <w:rPr>
          <w:b/>
          <w:bCs/>
          <w:sz w:val="20"/>
          <w:szCs w:val="20"/>
        </w:rPr>
        <w:t xml:space="preserve"> contracting </w:t>
      </w:r>
      <w:r w:rsidRPr="00AD3FF2">
        <w:rPr>
          <w:rFonts w:cs="Calibri"/>
          <w:b/>
          <w:bCs/>
          <w:sz w:val="20"/>
          <w:szCs w:val="20"/>
        </w:rPr>
        <w:t>→</w:t>
      </w:r>
      <w:r w:rsidRPr="00AD3FF2">
        <w:rPr>
          <w:b/>
          <w:bCs/>
          <w:sz w:val="20"/>
          <w:szCs w:val="20"/>
        </w:rPr>
        <w:t xml:space="preserve"> monitoring </w:t>
      </w:r>
      <w:r w:rsidRPr="00AD3FF2">
        <w:rPr>
          <w:rFonts w:cs="Calibri"/>
          <w:b/>
          <w:bCs/>
          <w:sz w:val="20"/>
          <w:szCs w:val="20"/>
        </w:rPr>
        <w:t>→</w:t>
      </w:r>
      <w:r w:rsidRPr="00AD3FF2">
        <w:rPr>
          <w:b/>
          <w:bCs/>
          <w:sz w:val="20"/>
          <w:szCs w:val="20"/>
        </w:rPr>
        <w:t xml:space="preserve"> exit)</w:t>
      </w:r>
      <w:bookmarkEnd w:id="30"/>
    </w:p>
    <w:p w14:paraId="35E58377" w14:textId="22E64FED" w:rsidR="00AD3FF2" w:rsidRPr="00AD3FF2" w:rsidRDefault="00525D3A" w:rsidP="00AD3FF2">
      <w:r w:rsidRPr="00525D3A">
        <w:rPr>
          <w:noProof/>
        </w:rPr>
        <w:drawing>
          <wp:inline distT="0" distB="0" distL="0" distR="0" wp14:anchorId="7894F476" wp14:editId="56870F5D">
            <wp:extent cx="6210300" cy="1737360"/>
            <wp:effectExtent l="0" t="0" r="0" b="0"/>
            <wp:docPr id="1376513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513737" name=""/>
                    <pic:cNvPicPr/>
                  </pic:nvPicPr>
                  <pic:blipFill>
                    <a:blip r:embed="rId14"/>
                    <a:stretch>
                      <a:fillRect/>
                    </a:stretch>
                  </pic:blipFill>
                  <pic:spPr>
                    <a:xfrm>
                      <a:off x="0" y="0"/>
                      <a:ext cx="6210300" cy="1737360"/>
                    </a:xfrm>
                    <a:prstGeom prst="rect">
                      <a:avLst/>
                    </a:prstGeom>
                  </pic:spPr>
                </pic:pic>
              </a:graphicData>
            </a:graphic>
          </wp:inline>
        </w:drawing>
      </w:r>
    </w:p>
    <w:p w14:paraId="44F3A17D" w14:textId="7FED8BFD" w:rsidR="002A7E04" w:rsidRPr="002A7E04" w:rsidRDefault="002A7E04" w:rsidP="002A7E04">
      <w:pPr>
        <w:pStyle w:val="Heading2"/>
        <w:numPr>
          <w:ilvl w:val="1"/>
          <w:numId w:val="6"/>
        </w:numPr>
        <w:rPr>
          <w:rFonts w:ascii="Calibri" w:hAnsi="Calibri" w:cs="Calibri"/>
          <w:b/>
          <w:bCs/>
          <w:sz w:val="28"/>
          <w:szCs w:val="28"/>
          <w:u w:val="single"/>
        </w:rPr>
      </w:pPr>
      <w:r>
        <w:rPr>
          <w:rFonts w:ascii="Calibri" w:hAnsi="Calibri" w:cs="Calibri"/>
          <w:sz w:val="28"/>
          <w:szCs w:val="28"/>
        </w:rPr>
        <w:lastRenderedPageBreak/>
        <w:t xml:space="preserve"> </w:t>
      </w:r>
      <w:bookmarkStart w:id="31" w:name="_Toc226635580"/>
      <w:r w:rsidRPr="002A7E04">
        <w:rPr>
          <w:rFonts w:ascii="Calibri" w:hAnsi="Calibri" w:cs="Calibri"/>
          <w:b/>
          <w:bCs/>
          <w:sz w:val="28"/>
          <w:szCs w:val="28"/>
          <w:u w:val="single"/>
        </w:rPr>
        <w:t>BYOD and mobile/ device security</w:t>
      </w:r>
      <w:bookmarkEnd w:id="31"/>
    </w:p>
    <w:p w14:paraId="29841DB1" w14:textId="4E28414F" w:rsidR="00525D3A" w:rsidRDefault="002A7E04" w:rsidP="002A7E04">
      <w:r w:rsidRPr="002A7E04">
        <w:t xml:space="preserve">FinSure must implement a managed-access strategy to BYOD, which means mobile device and application management (MDM/MAM) is required to access corporate information, </w:t>
      </w:r>
      <w:r w:rsidR="008C4B4B">
        <w:t>implement device posture checking and conditional access control, and ensure</w:t>
      </w:r>
      <w:r w:rsidRPr="002A7E04">
        <w:t xml:space="preserve"> there is a clear distinction between customer mobile application security and employee or administrative access security. This practice must be in accordance with the NIST guidance on mobile </w:t>
      </w:r>
      <w:r w:rsidR="008C4B4B">
        <w:t>device</w:t>
      </w:r>
      <w:r w:rsidRPr="002A7E04">
        <w:t xml:space="preserve"> security and Zero Trust architectural principles</w:t>
      </w:r>
      <w:r w:rsidR="00C75073">
        <w:t>.</w:t>
      </w:r>
    </w:p>
    <w:p w14:paraId="4DDF6066" w14:textId="38116801" w:rsidR="00BF1C71" w:rsidRPr="0074752F" w:rsidRDefault="0074752F" w:rsidP="0074752F">
      <w:pPr>
        <w:pStyle w:val="Caption"/>
        <w:rPr>
          <w:b/>
          <w:bCs/>
          <w:sz w:val="20"/>
          <w:szCs w:val="20"/>
        </w:rPr>
      </w:pPr>
      <w:bookmarkStart w:id="32" w:name="_Toc226622704"/>
      <w:r w:rsidRPr="0074752F">
        <w:rPr>
          <w:b/>
          <w:bCs/>
          <w:sz w:val="20"/>
          <w:szCs w:val="20"/>
        </w:rPr>
        <w:t xml:space="preserve">Figure </w:t>
      </w:r>
      <w:r w:rsidRPr="0074752F">
        <w:rPr>
          <w:b/>
          <w:bCs/>
          <w:sz w:val="20"/>
          <w:szCs w:val="20"/>
        </w:rPr>
        <w:fldChar w:fldCharType="begin"/>
      </w:r>
      <w:r w:rsidRPr="0074752F">
        <w:rPr>
          <w:b/>
          <w:bCs/>
          <w:sz w:val="20"/>
          <w:szCs w:val="20"/>
        </w:rPr>
        <w:instrText xml:space="preserve"> SEQ Figure \* ARABIC </w:instrText>
      </w:r>
      <w:r w:rsidRPr="0074752F">
        <w:rPr>
          <w:b/>
          <w:bCs/>
          <w:sz w:val="20"/>
          <w:szCs w:val="20"/>
        </w:rPr>
        <w:fldChar w:fldCharType="separate"/>
      </w:r>
      <w:r w:rsidRPr="0074752F">
        <w:rPr>
          <w:b/>
          <w:bCs/>
          <w:noProof/>
          <w:sz w:val="20"/>
          <w:szCs w:val="20"/>
        </w:rPr>
        <w:t>5</w:t>
      </w:r>
      <w:r w:rsidRPr="0074752F">
        <w:rPr>
          <w:b/>
          <w:bCs/>
          <w:sz w:val="20"/>
          <w:szCs w:val="20"/>
        </w:rPr>
        <w:fldChar w:fldCharType="end"/>
      </w:r>
      <w:r w:rsidRPr="0074752F">
        <w:rPr>
          <w:b/>
          <w:bCs/>
          <w:sz w:val="20"/>
          <w:szCs w:val="20"/>
        </w:rPr>
        <w:t xml:space="preserve"> Zero Trust access model for BYOD and mobile administration access</w:t>
      </w:r>
      <w:bookmarkEnd w:id="32"/>
    </w:p>
    <w:p w14:paraId="24290F77" w14:textId="65D98B63" w:rsidR="00BF1C71" w:rsidRPr="004F3819" w:rsidRDefault="008A70ED" w:rsidP="002A7E04">
      <w:r w:rsidRPr="008A70ED">
        <w:rPr>
          <w:noProof/>
        </w:rPr>
        <w:drawing>
          <wp:inline distT="0" distB="0" distL="0" distR="0" wp14:anchorId="78094916" wp14:editId="2F201355">
            <wp:extent cx="4770120" cy="6876776"/>
            <wp:effectExtent l="0" t="0" r="0" b="635"/>
            <wp:docPr id="1013554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554915" name=""/>
                    <pic:cNvPicPr/>
                  </pic:nvPicPr>
                  <pic:blipFill>
                    <a:blip r:embed="rId15"/>
                    <a:stretch>
                      <a:fillRect/>
                    </a:stretch>
                  </pic:blipFill>
                  <pic:spPr>
                    <a:xfrm>
                      <a:off x="0" y="0"/>
                      <a:ext cx="4780485" cy="6891719"/>
                    </a:xfrm>
                    <a:prstGeom prst="rect">
                      <a:avLst/>
                    </a:prstGeom>
                  </pic:spPr>
                </pic:pic>
              </a:graphicData>
            </a:graphic>
          </wp:inline>
        </w:drawing>
      </w:r>
    </w:p>
    <w:p w14:paraId="61A8F33F" w14:textId="59AE69CF" w:rsidR="00F00550" w:rsidRPr="008C4B4B" w:rsidRDefault="008C4B4B" w:rsidP="008C4B4B">
      <w:pPr>
        <w:pStyle w:val="Heading2"/>
        <w:numPr>
          <w:ilvl w:val="1"/>
          <w:numId w:val="6"/>
        </w:numPr>
        <w:rPr>
          <w:u w:val="single"/>
        </w:rPr>
      </w:pPr>
      <w:r>
        <w:rPr>
          <w:rFonts w:ascii="Calibri" w:hAnsi="Calibri" w:cs="Calibri"/>
          <w:b/>
          <w:bCs/>
          <w:sz w:val="28"/>
          <w:szCs w:val="28"/>
        </w:rPr>
        <w:lastRenderedPageBreak/>
        <w:t xml:space="preserve"> </w:t>
      </w:r>
      <w:bookmarkStart w:id="33" w:name="_Toc226635581"/>
      <w:r w:rsidR="002E3E26" w:rsidRPr="008C4B4B">
        <w:rPr>
          <w:rFonts w:ascii="Calibri" w:hAnsi="Calibri" w:cs="Calibri"/>
          <w:b/>
          <w:bCs/>
          <w:sz w:val="28"/>
          <w:szCs w:val="28"/>
          <w:u w:val="single"/>
        </w:rPr>
        <w:t xml:space="preserve">Incident response, </w:t>
      </w:r>
      <w:r w:rsidRPr="008C4B4B">
        <w:rPr>
          <w:rFonts w:ascii="Calibri" w:hAnsi="Calibri" w:cs="Calibri"/>
          <w:b/>
          <w:bCs/>
          <w:sz w:val="28"/>
          <w:szCs w:val="28"/>
          <w:u w:val="single"/>
        </w:rPr>
        <w:t>reporting, and operational resilience</w:t>
      </w:r>
      <w:bookmarkEnd w:id="33"/>
    </w:p>
    <w:p w14:paraId="24A2CD96" w14:textId="11C882E0" w:rsidR="004C70CA" w:rsidRDefault="004C70CA">
      <w:r w:rsidRPr="004C70CA">
        <w:t xml:space="preserve">FinSure ought to develop an </w:t>
      </w:r>
      <w:r w:rsidR="008C4B4B">
        <w:t>interoperable</w:t>
      </w:r>
      <w:r w:rsidRPr="004C70CA">
        <w:t xml:space="preserve"> response framework to include cybercrimes, personal information breaches, and more extensive operational resiliency incidents. Security incident response must correspond to NIST SP 800-61 Rev. 3</w:t>
      </w:r>
      <w:r w:rsidR="00C75073">
        <w:t xml:space="preserve">, </w:t>
      </w:r>
      <w:r w:rsidRPr="004C70CA">
        <w:t>privacy breach response that of ICO and EDPB guidelines and testing incident escalation and resilience with FCA PS21/3 expectation</w:t>
      </w:r>
      <w:r w:rsidR="00C75073">
        <w:t>s</w:t>
      </w:r>
      <w:r w:rsidRPr="004C70CA">
        <w:t>. Initial response playbooks, responsible leads</w:t>
      </w:r>
      <w:r w:rsidR="00C75073">
        <w:t xml:space="preserve">, and evidence artefacts </w:t>
      </w:r>
      <w:r w:rsidRPr="004C70CA">
        <w:t>to enable uniform triage and accountable regulatory decision-making are defined in Table 3.</w:t>
      </w:r>
    </w:p>
    <w:p w14:paraId="415D9849" w14:textId="6FE677DC" w:rsidR="0029509B" w:rsidRDefault="0029509B" w:rsidP="0029509B">
      <w:pPr>
        <w:pStyle w:val="Caption"/>
        <w:rPr>
          <w:b/>
          <w:bCs/>
          <w:sz w:val="20"/>
          <w:szCs w:val="20"/>
        </w:rPr>
      </w:pPr>
      <w:bookmarkStart w:id="34" w:name="_Toc226622707"/>
      <w:r w:rsidRPr="0029509B">
        <w:rPr>
          <w:b/>
          <w:bCs/>
          <w:sz w:val="20"/>
          <w:szCs w:val="20"/>
        </w:rPr>
        <w:t xml:space="preserve">Table </w:t>
      </w:r>
      <w:r w:rsidRPr="0029509B">
        <w:rPr>
          <w:b/>
          <w:bCs/>
          <w:sz w:val="20"/>
          <w:szCs w:val="20"/>
        </w:rPr>
        <w:fldChar w:fldCharType="begin"/>
      </w:r>
      <w:r w:rsidRPr="0029509B">
        <w:rPr>
          <w:b/>
          <w:bCs/>
          <w:sz w:val="20"/>
          <w:szCs w:val="20"/>
        </w:rPr>
        <w:instrText xml:space="preserve"> SEQ Table \* ARABIC </w:instrText>
      </w:r>
      <w:r w:rsidRPr="0029509B">
        <w:rPr>
          <w:b/>
          <w:bCs/>
          <w:sz w:val="20"/>
          <w:szCs w:val="20"/>
        </w:rPr>
        <w:fldChar w:fldCharType="separate"/>
      </w:r>
      <w:r w:rsidRPr="0029509B">
        <w:rPr>
          <w:b/>
          <w:bCs/>
          <w:noProof/>
          <w:sz w:val="20"/>
          <w:szCs w:val="20"/>
        </w:rPr>
        <w:t>3</w:t>
      </w:r>
      <w:r w:rsidRPr="0029509B">
        <w:rPr>
          <w:b/>
          <w:bCs/>
          <w:sz w:val="20"/>
          <w:szCs w:val="20"/>
        </w:rPr>
        <w:fldChar w:fldCharType="end"/>
      </w:r>
      <w:r w:rsidRPr="0029509B">
        <w:rPr>
          <w:b/>
          <w:bCs/>
          <w:sz w:val="20"/>
          <w:szCs w:val="20"/>
        </w:rPr>
        <w:t xml:space="preserve"> Incident response playbooks and reporting triggers (security, privacy, resilience)</w:t>
      </w:r>
      <w:bookmarkEnd w:id="34"/>
    </w:p>
    <w:tbl>
      <w:tblPr>
        <w:tblStyle w:val="TableGrid"/>
        <w:tblW w:w="0" w:type="auto"/>
        <w:tblLayout w:type="fixed"/>
        <w:tblLook w:val="04A0" w:firstRow="1" w:lastRow="0" w:firstColumn="1" w:lastColumn="0" w:noHBand="0" w:noVBand="1"/>
      </w:tblPr>
      <w:tblGrid>
        <w:gridCol w:w="1584"/>
        <w:gridCol w:w="1296"/>
        <w:gridCol w:w="2592"/>
        <w:gridCol w:w="1872"/>
        <w:gridCol w:w="1584"/>
      </w:tblGrid>
      <w:tr w:rsidR="0007694F" w14:paraId="5497DA7E" w14:textId="77777777" w:rsidTr="003B71CA">
        <w:tc>
          <w:tcPr>
            <w:tcW w:w="1584" w:type="dxa"/>
            <w:vAlign w:val="center"/>
          </w:tcPr>
          <w:p w14:paraId="6319F589" w14:textId="77777777" w:rsidR="0007694F" w:rsidRDefault="0007694F" w:rsidP="003B71CA">
            <w:r>
              <w:rPr>
                <w:sz w:val="18"/>
              </w:rPr>
              <w:t>Scenario</w:t>
            </w:r>
          </w:p>
        </w:tc>
        <w:tc>
          <w:tcPr>
            <w:tcW w:w="1296" w:type="dxa"/>
            <w:vAlign w:val="center"/>
          </w:tcPr>
          <w:p w14:paraId="75ED7364" w14:textId="77777777" w:rsidR="0007694F" w:rsidRDefault="0007694F" w:rsidP="003B71CA">
            <w:r>
              <w:rPr>
                <w:sz w:val="18"/>
              </w:rPr>
              <w:t>Primary lead</w:t>
            </w:r>
          </w:p>
        </w:tc>
        <w:tc>
          <w:tcPr>
            <w:tcW w:w="2592" w:type="dxa"/>
            <w:vAlign w:val="center"/>
          </w:tcPr>
          <w:p w14:paraId="3170AF60" w14:textId="77777777" w:rsidR="0007694F" w:rsidRDefault="0007694F" w:rsidP="003B71CA">
            <w:r>
              <w:rPr>
                <w:sz w:val="18"/>
              </w:rPr>
              <w:t>Key actions (first 2–4 hours)</w:t>
            </w:r>
          </w:p>
        </w:tc>
        <w:tc>
          <w:tcPr>
            <w:tcW w:w="1872" w:type="dxa"/>
            <w:vAlign w:val="center"/>
          </w:tcPr>
          <w:p w14:paraId="4B04CD04" w14:textId="77777777" w:rsidR="0007694F" w:rsidRDefault="0007694F" w:rsidP="003B71CA">
            <w:r>
              <w:rPr>
                <w:sz w:val="18"/>
              </w:rPr>
              <w:t>Notification assessment</w:t>
            </w:r>
          </w:p>
        </w:tc>
        <w:tc>
          <w:tcPr>
            <w:tcW w:w="1584" w:type="dxa"/>
            <w:vAlign w:val="center"/>
          </w:tcPr>
          <w:p w14:paraId="1239F5D0" w14:textId="77777777" w:rsidR="0007694F" w:rsidRDefault="0007694F" w:rsidP="003B71CA">
            <w:r>
              <w:rPr>
                <w:sz w:val="18"/>
              </w:rPr>
              <w:t>Evidence artefacts</w:t>
            </w:r>
          </w:p>
        </w:tc>
      </w:tr>
      <w:tr w:rsidR="0007694F" w14:paraId="1DE27DCB" w14:textId="77777777" w:rsidTr="003B71CA">
        <w:tc>
          <w:tcPr>
            <w:tcW w:w="1584" w:type="dxa"/>
            <w:vAlign w:val="center"/>
          </w:tcPr>
          <w:p w14:paraId="60A5FAE0" w14:textId="77777777" w:rsidR="0007694F" w:rsidRDefault="0007694F" w:rsidP="003B71CA">
            <w:r>
              <w:rPr>
                <w:sz w:val="18"/>
              </w:rPr>
              <w:t>Ransomware on critical services</w:t>
            </w:r>
          </w:p>
        </w:tc>
        <w:tc>
          <w:tcPr>
            <w:tcW w:w="1296" w:type="dxa"/>
            <w:vAlign w:val="center"/>
          </w:tcPr>
          <w:p w14:paraId="5A963AD1" w14:textId="77777777" w:rsidR="0007694F" w:rsidRDefault="0007694F" w:rsidP="003B71CA">
            <w:r>
              <w:rPr>
                <w:sz w:val="18"/>
              </w:rPr>
              <w:t>IR Lead</w:t>
            </w:r>
          </w:p>
        </w:tc>
        <w:tc>
          <w:tcPr>
            <w:tcW w:w="2592" w:type="dxa"/>
            <w:vAlign w:val="center"/>
          </w:tcPr>
          <w:p w14:paraId="505B3CCA" w14:textId="77777777" w:rsidR="0007694F" w:rsidRDefault="0007694F" w:rsidP="003B71CA">
            <w:r>
              <w:rPr>
                <w:sz w:val="18"/>
              </w:rPr>
              <w:t>Isolate; preserve evidence; activate DR; comms prep</w:t>
            </w:r>
          </w:p>
        </w:tc>
        <w:tc>
          <w:tcPr>
            <w:tcW w:w="1872" w:type="dxa"/>
            <w:vAlign w:val="center"/>
          </w:tcPr>
          <w:p w14:paraId="5737FB8E" w14:textId="77777777" w:rsidR="0007694F" w:rsidRDefault="0007694F" w:rsidP="003B71CA">
            <w:r>
              <w:rPr>
                <w:sz w:val="18"/>
              </w:rPr>
              <w:t>Assess DORA/FCA; assess GDPR risk</w:t>
            </w:r>
          </w:p>
        </w:tc>
        <w:tc>
          <w:tcPr>
            <w:tcW w:w="1584" w:type="dxa"/>
            <w:vAlign w:val="center"/>
          </w:tcPr>
          <w:p w14:paraId="19BA5F30" w14:textId="77777777" w:rsidR="0007694F" w:rsidRDefault="0007694F" w:rsidP="003B71CA">
            <w:r>
              <w:rPr>
                <w:sz w:val="18"/>
              </w:rPr>
              <w:t>Timeline, affected assets, restore logs</w:t>
            </w:r>
          </w:p>
        </w:tc>
      </w:tr>
      <w:tr w:rsidR="0007694F" w14:paraId="639A7B32" w14:textId="77777777" w:rsidTr="003B71CA">
        <w:tc>
          <w:tcPr>
            <w:tcW w:w="1584" w:type="dxa"/>
            <w:vAlign w:val="center"/>
          </w:tcPr>
          <w:p w14:paraId="1500A7EB" w14:textId="77777777" w:rsidR="0007694F" w:rsidRDefault="0007694F" w:rsidP="003B71CA">
            <w:r>
              <w:rPr>
                <w:sz w:val="18"/>
              </w:rPr>
              <w:t>Account takeover spike</w:t>
            </w:r>
          </w:p>
        </w:tc>
        <w:tc>
          <w:tcPr>
            <w:tcW w:w="1296" w:type="dxa"/>
            <w:vAlign w:val="center"/>
          </w:tcPr>
          <w:p w14:paraId="5536ADAC" w14:textId="77777777" w:rsidR="0007694F" w:rsidRDefault="0007694F" w:rsidP="003B71CA">
            <w:r>
              <w:rPr>
                <w:sz w:val="18"/>
              </w:rPr>
              <w:t>SOC + Fraud Ops</w:t>
            </w:r>
          </w:p>
        </w:tc>
        <w:tc>
          <w:tcPr>
            <w:tcW w:w="2592" w:type="dxa"/>
            <w:vAlign w:val="center"/>
          </w:tcPr>
          <w:p w14:paraId="2DB18E61" w14:textId="77777777" w:rsidR="0007694F" w:rsidRDefault="0007694F" w:rsidP="003B71CA">
            <w:r>
              <w:rPr>
                <w:sz w:val="18"/>
              </w:rPr>
              <w:t>Rate-limit; step-up auth; blocks; customer alerts</w:t>
            </w:r>
          </w:p>
        </w:tc>
        <w:tc>
          <w:tcPr>
            <w:tcW w:w="1872" w:type="dxa"/>
            <w:vAlign w:val="center"/>
          </w:tcPr>
          <w:p w14:paraId="0FAFF27D" w14:textId="77777777" w:rsidR="0007694F" w:rsidRDefault="0007694F" w:rsidP="003B71CA">
            <w:r>
              <w:rPr>
                <w:sz w:val="18"/>
              </w:rPr>
              <w:t>Regulator notification if major disruption; privacy if exposure</w:t>
            </w:r>
          </w:p>
        </w:tc>
        <w:tc>
          <w:tcPr>
            <w:tcW w:w="1584" w:type="dxa"/>
            <w:vAlign w:val="center"/>
          </w:tcPr>
          <w:p w14:paraId="6BF65151" w14:textId="77777777" w:rsidR="0007694F" w:rsidRDefault="0007694F" w:rsidP="003B71CA">
            <w:r>
              <w:rPr>
                <w:sz w:val="18"/>
              </w:rPr>
              <w:t>SIEM alerts, fraud cases</w:t>
            </w:r>
          </w:p>
        </w:tc>
      </w:tr>
      <w:tr w:rsidR="0007694F" w14:paraId="3403CAE3" w14:textId="77777777" w:rsidTr="003B71CA">
        <w:tc>
          <w:tcPr>
            <w:tcW w:w="1584" w:type="dxa"/>
            <w:vAlign w:val="center"/>
          </w:tcPr>
          <w:p w14:paraId="38752739" w14:textId="77777777" w:rsidR="0007694F" w:rsidRDefault="0007694F" w:rsidP="003B71CA">
            <w:r>
              <w:rPr>
                <w:sz w:val="18"/>
              </w:rPr>
              <w:t>Third‑party SaaS outage</w:t>
            </w:r>
          </w:p>
        </w:tc>
        <w:tc>
          <w:tcPr>
            <w:tcW w:w="1296" w:type="dxa"/>
            <w:vAlign w:val="center"/>
          </w:tcPr>
          <w:p w14:paraId="016E8B6E" w14:textId="77777777" w:rsidR="0007694F" w:rsidRDefault="0007694F" w:rsidP="003B71CA">
            <w:r>
              <w:rPr>
                <w:sz w:val="18"/>
              </w:rPr>
              <w:t>Resilience Lead</w:t>
            </w:r>
          </w:p>
        </w:tc>
        <w:tc>
          <w:tcPr>
            <w:tcW w:w="2592" w:type="dxa"/>
            <w:vAlign w:val="center"/>
          </w:tcPr>
          <w:p w14:paraId="08E7A6A6" w14:textId="77777777" w:rsidR="0007694F" w:rsidRDefault="0007694F" w:rsidP="003B71CA">
            <w:r>
              <w:rPr>
                <w:sz w:val="18"/>
              </w:rPr>
              <w:t>Vendor escalation; failover; workarounds</w:t>
            </w:r>
          </w:p>
        </w:tc>
        <w:tc>
          <w:tcPr>
            <w:tcW w:w="1872" w:type="dxa"/>
            <w:vAlign w:val="center"/>
          </w:tcPr>
          <w:p w14:paraId="39F0DDD0" w14:textId="77777777" w:rsidR="0007694F" w:rsidRDefault="0007694F" w:rsidP="003B71CA">
            <w:r>
              <w:rPr>
                <w:sz w:val="18"/>
              </w:rPr>
              <w:t>Operational resilience breach assessment; DORA 3rd‑party as applicable</w:t>
            </w:r>
          </w:p>
        </w:tc>
        <w:tc>
          <w:tcPr>
            <w:tcW w:w="1584" w:type="dxa"/>
            <w:vAlign w:val="center"/>
          </w:tcPr>
          <w:p w14:paraId="687A39AF" w14:textId="77777777" w:rsidR="0007694F" w:rsidRDefault="0007694F" w:rsidP="003B71CA">
            <w:r>
              <w:rPr>
                <w:sz w:val="18"/>
              </w:rPr>
              <w:t>SLA metrics, dependency map</w:t>
            </w:r>
          </w:p>
        </w:tc>
      </w:tr>
      <w:tr w:rsidR="0007694F" w14:paraId="47C67FB2" w14:textId="77777777" w:rsidTr="003B71CA">
        <w:tc>
          <w:tcPr>
            <w:tcW w:w="1584" w:type="dxa"/>
            <w:vAlign w:val="center"/>
          </w:tcPr>
          <w:p w14:paraId="108B37EA" w14:textId="77777777" w:rsidR="0007694F" w:rsidRDefault="0007694F" w:rsidP="003B71CA">
            <w:r>
              <w:rPr>
                <w:sz w:val="18"/>
              </w:rPr>
              <w:t>Insider data exfiltration</w:t>
            </w:r>
          </w:p>
        </w:tc>
        <w:tc>
          <w:tcPr>
            <w:tcW w:w="1296" w:type="dxa"/>
            <w:vAlign w:val="center"/>
          </w:tcPr>
          <w:p w14:paraId="47ECD07E" w14:textId="77777777" w:rsidR="0007694F" w:rsidRDefault="0007694F" w:rsidP="003B71CA">
            <w:r>
              <w:rPr>
                <w:sz w:val="18"/>
              </w:rPr>
              <w:t>SOC + HR/Legal</w:t>
            </w:r>
          </w:p>
        </w:tc>
        <w:tc>
          <w:tcPr>
            <w:tcW w:w="2592" w:type="dxa"/>
            <w:vAlign w:val="center"/>
          </w:tcPr>
          <w:p w14:paraId="63074C5C" w14:textId="77777777" w:rsidR="0007694F" w:rsidRDefault="0007694F" w:rsidP="003B71CA">
            <w:r>
              <w:rPr>
                <w:sz w:val="18"/>
              </w:rPr>
              <w:t>Suspend access; forensics; HR/legal actions</w:t>
            </w:r>
          </w:p>
        </w:tc>
        <w:tc>
          <w:tcPr>
            <w:tcW w:w="1872" w:type="dxa"/>
            <w:vAlign w:val="center"/>
          </w:tcPr>
          <w:p w14:paraId="2A09566A" w14:textId="77777777" w:rsidR="0007694F" w:rsidRDefault="0007694F" w:rsidP="003B71CA">
            <w:r>
              <w:rPr>
                <w:sz w:val="18"/>
              </w:rPr>
              <w:t>GDPR assessment; law enforcement as needed</w:t>
            </w:r>
          </w:p>
        </w:tc>
        <w:tc>
          <w:tcPr>
            <w:tcW w:w="1584" w:type="dxa"/>
            <w:vAlign w:val="center"/>
          </w:tcPr>
          <w:p w14:paraId="4344F70D" w14:textId="77777777" w:rsidR="0007694F" w:rsidRDefault="0007694F" w:rsidP="003B71CA">
            <w:r>
              <w:rPr>
                <w:sz w:val="18"/>
              </w:rPr>
              <w:t>Access logs, DLP alerts</w:t>
            </w:r>
          </w:p>
        </w:tc>
      </w:tr>
      <w:tr w:rsidR="0007694F" w14:paraId="1CF1BEDB" w14:textId="77777777" w:rsidTr="003B71CA">
        <w:tc>
          <w:tcPr>
            <w:tcW w:w="1584" w:type="dxa"/>
            <w:vAlign w:val="center"/>
          </w:tcPr>
          <w:p w14:paraId="251D9E91" w14:textId="77777777" w:rsidR="0007694F" w:rsidRDefault="0007694F" w:rsidP="003B71CA">
            <w:r>
              <w:rPr>
                <w:sz w:val="18"/>
              </w:rPr>
              <w:t>Cloud misconfiguration exposure</w:t>
            </w:r>
          </w:p>
        </w:tc>
        <w:tc>
          <w:tcPr>
            <w:tcW w:w="1296" w:type="dxa"/>
            <w:vAlign w:val="center"/>
          </w:tcPr>
          <w:p w14:paraId="7C58DE6A" w14:textId="77777777" w:rsidR="0007694F" w:rsidRDefault="0007694F" w:rsidP="003B71CA">
            <w:r>
              <w:rPr>
                <w:sz w:val="18"/>
              </w:rPr>
              <w:t>Cloud Sec</w:t>
            </w:r>
          </w:p>
        </w:tc>
        <w:tc>
          <w:tcPr>
            <w:tcW w:w="2592" w:type="dxa"/>
            <w:vAlign w:val="center"/>
          </w:tcPr>
          <w:p w14:paraId="78597C1E" w14:textId="77777777" w:rsidR="0007694F" w:rsidRDefault="0007694F" w:rsidP="003B71CA">
            <w:r>
              <w:rPr>
                <w:sz w:val="18"/>
              </w:rPr>
              <w:t>Contain; rotate keys; validate access; forensics</w:t>
            </w:r>
          </w:p>
        </w:tc>
        <w:tc>
          <w:tcPr>
            <w:tcW w:w="1872" w:type="dxa"/>
            <w:vAlign w:val="center"/>
          </w:tcPr>
          <w:p w14:paraId="1BFB9598" w14:textId="77777777" w:rsidR="0007694F" w:rsidRDefault="0007694F" w:rsidP="003B71CA">
            <w:r>
              <w:rPr>
                <w:sz w:val="18"/>
              </w:rPr>
              <w:t>GDPR likely; regulator/customer assessment</w:t>
            </w:r>
          </w:p>
        </w:tc>
        <w:tc>
          <w:tcPr>
            <w:tcW w:w="1584" w:type="dxa"/>
            <w:vAlign w:val="center"/>
          </w:tcPr>
          <w:p w14:paraId="1DA6A417" w14:textId="77777777" w:rsidR="0007694F" w:rsidRDefault="0007694F" w:rsidP="003B71CA">
            <w:r>
              <w:rPr>
                <w:sz w:val="18"/>
              </w:rPr>
              <w:t>CSPM finding, config diffs</w:t>
            </w:r>
          </w:p>
        </w:tc>
      </w:tr>
    </w:tbl>
    <w:p w14:paraId="42019B1C" w14:textId="77777777" w:rsidR="004A3CEB" w:rsidRDefault="004A3CEB"/>
    <w:p w14:paraId="170B76A3" w14:textId="254A349C" w:rsidR="003C5DF8" w:rsidRPr="00365D23" w:rsidRDefault="00365D23" w:rsidP="00365D23">
      <w:pPr>
        <w:pStyle w:val="Heading2"/>
        <w:numPr>
          <w:ilvl w:val="1"/>
          <w:numId w:val="6"/>
        </w:numPr>
        <w:rPr>
          <w:rFonts w:ascii="Calibri" w:hAnsi="Calibri" w:cs="Calibri"/>
          <w:b/>
          <w:bCs/>
          <w:sz w:val="28"/>
          <w:szCs w:val="28"/>
          <w:u w:val="single"/>
        </w:rPr>
      </w:pPr>
      <w:r>
        <w:rPr>
          <w:rFonts w:ascii="Calibri" w:hAnsi="Calibri" w:cs="Calibri"/>
          <w:sz w:val="28"/>
          <w:szCs w:val="28"/>
        </w:rPr>
        <w:t xml:space="preserve"> </w:t>
      </w:r>
      <w:bookmarkStart w:id="35" w:name="_Toc226635582"/>
      <w:r w:rsidR="003C5DF8" w:rsidRPr="00365D23">
        <w:rPr>
          <w:rFonts w:ascii="Calibri" w:hAnsi="Calibri" w:cs="Calibri"/>
          <w:b/>
          <w:bCs/>
          <w:sz w:val="28"/>
          <w:szCs w:val="28"/>
          <w:u w:val="single"/>
        </w:rPr>
        <w:t>Measurement, assurance and continual improvement</w:t>
      </w:r>
      <w:bookmarkEnd w:id="35"/>
    </w:p>
    <w:p w14:paraId="7A679A6A" w14:textId="6FE31C39" w:rsidR="00F00550" w:rsidRPr="00C4667E" w:rsidRDefault="003C5DF8" w:rsidP="003C5DF8">
      <w:r w:rsidRPr="003C5DF8">
        <w:t xml:space="preserve">To implement effective critical controls, FinSure must set quantifiable KPIs and KRIs of each control, quarterly tests of control effectiveness, biannual resilience and incident response </w:t>
      </w:r>
      <w:r w:rsidR="00365D23">
        <w:t>exercises, and annual internal audits and management reviews of its</w:t>
      </w:r>
      <w:r w:rsidRPr="003C5DF8">
        <w:t xml:space="preserve"> ISMS. Cybersecurity risk must be explicitly captured within enterprise risk management as per the NISTIR 8286 series</w:t>
      </w:r>
      <w:r w:rsidR="00365D23">
        <w:t>,</w:t>
      </w:r>
      <w:r w:rsidRPr="003C5DF8">
        <w:t xml:space="preserve"> and </w:t>
      </w:r>
      <w:r w:rsidR="00365D23">
        <w:t xml:space="preserve">long-term mappings to regulatory and standards requirements must </w:t>
      </w:r>
      <w:r w:rsidRPr="003C5DF8">
        <w:t>be continuously updated as per ENISA guidance</w:t>
      </w:r>
      <w:sdt>
        <w:sdtPr>
          <w:id w:val="1751782922"/>
          <w:citation/>
        </w:sdtPr>
        <w:sdtEndPr/>
        <w:sdtContent>
          <w:r w:rsidR="00B11227">
            <w:fldChar w:fldCharType="begin"/>
          </w:r>
          <w:r w:rsidR="00B11227">
            <w:instrText xml:space="preserve"> CITATION Agh24 \l 2057 </w:instrText>
          </w:r>
          <w:r w:rsidR="00B11227">
            <w:fldChar w:fldCharType="separate"/>
          </w:r>
          <w:r w:rsidR="009F0616">
            <w:rPr>
              <w:noProof/>
            </w:rPr>
            <w:t xml:space="preserve"> </w:t>
          </w:r>
          <w:r w:rsidR="009F0616" w:rsidRPr="009F0616">
            <w:rPr>
              <w:noProof/>
            </w:rPr>
            <w:t>[16]</w:t>
          </w:r>
          <w:r w:rsidR="00B11227">
            <w:fldChar w:fldCharType="end"/>
          </w:r>
        </w:sdtContent>
      </w:sdt>
      <w:r w:rsidRPr="003C5DF8">
        <w:t>.</w:t>
      </w:r>
    </w:p>
    <w:p w14:paraId="3D922C8D" w14:textId="23A8F9C4" w:rsidR="00F00550" w:rsidRPr="00AE4309" w:rsidRDefault="00973E06" w:rsidP="00951901">
      <w:pPr>
        <w:pStyle w:val="Heading2"/>
        <w:numPr>
          <w:ilvl w:val="1"/>
          <w:numId w:val="6"/>
        </w:numPr>
        <w:rPr>
          <w:rFonts w:ascii="Calibri" w:hAnsi="Calibri" w:cs="Calibri"/>
          <w:b/>
          <w:bCs/>
          <w:sz w:val="28"/>
          <w:szCs w:val="28"/>
          <w:u w:val="single"/>
        </w:rPr>
      </w:pPr>
      <w:bookmarkStart w:id="36" w:name="_Toc226635583"/>
      <w:r w:rsidRPr="00AE4309">
        <w:rPr>
          <w:rFonts w:ascii="Calibri" w:hAnsi="Calibri" w:cs="Calibri"/>
          <w:b/>
          <w:bCs/>
          <w:sz w:val="28"/>
          <w:szCs w:val="28"/>
          <w:u w:val="single"/>
        </w:rPr>
        <w:t xml:space="preserve">Limitations and </w:t>
      </w:r>
      <w:r w:rsidR="00AE4309" w:rsidRPr="00AE4309">
        <w:rPr>
          <w:rFonts w:ascii="Calibri" w:hAnsi="Calibri" w:cs="Calibri"/>
          <w:b/>
          <w:bCs/>
          <w:sz w:val="28"/>
          <w:szCs w:val="28"/>
          <w:u w:val="single"/>
        </w:rPr>
        <w:t>residual risk</w:t>
      </w:r>
      <w:bookmarkEnd w:id="36"/>
      <w:r w:rsidR="00AE4309" w:rsidRPr="00AE4309">
        <w:rPr>
          <w:rFonts w:ascii="Calibri" w:hAnsi="Calibri" w:cs="Calibri"/>
          <w:b/>
          <w:bCs/>
          <w:sz w:val="28"/>
          <w:szCs w:val="28"/>
          <w:u w:val="single"/>
        </w:rPr>
        <w:t xml:space="preserve"> </w:t>
      </w:r>
    </w:p>
    <w:p w14:paraId="15718EF0" w14:textId="3829F2FA" w:rsidR="00F00550" w:rsidRDefault="004A4CCF">
      <w:r w:rsidRPr="004A4CCF">
        <w:t xml:space="preserve">The design is </w:t>
      </w:r>
      <w:r>
        <w:t>scenario-based and is hence dependent on explicit assumptions in Section 1.2</w:t>
      </w:r>
      <w:r w:rsidRPr="004A4CCF">
        <w:t>. The risk of residuals remains in the areas that can be hard to get rid of structurally, such as the third-party concentration risk, sophisticated social engineering that results in account takeover, or the misuse of legitimate access by an insider. The proposed operating model addresses these risks with the help of layered controls, including identity assurance, continuous monitoring, segregation of duties, and formal risk acceptance governance. However, FinSure must have a live enterprise risk register, re-evaluate risks after material incidents or major changes to the platform and use independent assurance activities, such as penetration testing and internal audit, to confirm that controls are working effectively in line with reality</w:t>
      </w:r>
      <w:sdt>
        <w:sdtPr>
          <w:id w:val="-298075060"/>
          <w:citation/>
        </w:sdtPr>
        <w:sdtEndPr/>
        <w:sdtContent>
          <w:r w:rsidR="004511C5">
            <w:fldChar w:fldCharType="begin"/>
          </w:r>
          <w:r w:rsidR="004511C5">
            <w:instrText xml:space="preserve"> CITATION Dup191 \l 2057 </w:instrText>
          </w:r>
          <w:r w:rsidR="004511C5">
            <w:fldChar w:fldCharType="separate"/>
          </w:r>
          <w:r w:rsidR="009F0616">
            <w:rPr>
              <w:noProof/>
            </w:rPr>
            <w:t xml:space="preserve"> </w:t>
          </w:r>
          <w:r w:rsidR="009F0616" w:rsidRPr="009F0616">
            <w:rPr>
              <w:noProof/>
            </w:rPr>
            <w:t>[17]</w:t>
          </w:r>
          <w:r w:rsidR="004511C5">
            <w:fldChar w:fldCharType="end"/>
          </w:r>
        </w:sdtContent>
      </w:sdt>
      <w:r w:rsidRPr="004A4CCF">
        <w:t>.</w:t>
      </w:r>
    </w:p>
    <w:p w14:paraId="56A0A24E" w14:textId="79008394" w:rsidR="00F00550" w:rsidRPr="008C0EE5" w:rsidRDefault="00E00B91" w:rsidP="00F8089E">
      <w:pPr>
        <w:pStyle w:val="Heading1"/>
        <w:numPr>
          <w:ilvl w:val="0"/>
          <w:numId w:val="6"/>
        </w:numPr>
        <w:jc w:val="center"/>
        <w:rPr>
          <w:rFonts w:ascii="Calibri" w:hAnsi="Calibri" w:cs="Calibri"/>
          <w:b/>
          <w:bCs/>
          <w:sz w:val="44"/>
          <w:szCs w:val="44"/>
          <w:u w:val="single"/>
        </w:rPr>
      </w:pPr>
      <w:bookmarkStart w:id="37" w:name="_Toc226635584"/>
      <w:r w:rsidRPr="008C0EE5">
        <w:rPr>
          <w:rFonts w:ascii="Calibri" w:hAnsi="Calibri" w:cs="Calibri"/>
          <w:b/>
          <w:bCs/>
          <w:sz w:val="44"/>
          <w:szCs w:val="44"/>
          <w:u w:val="single"/>
        </w:rPr>
        <w:lastRenderedPageBreak/>
        <w:t>Critical discussion</w:t>
      </w:r>
      <w:bookmarkEnd w:id="37"/>
    </w:p>
    <w:p w14:paraId="1035EF67" w14:textId="13AE03C3" w:rsidR="00F00550" w:rsidRDefault="00BC04C0">
      <w:r w:rsidRPr="00BC04C0">
        <w:t xml:space="preserve">Financial services are vulnerable to new systemic risks </w:t>
      </w:r>
      <w:r w:rsidR="00E00B91">
        <w:t>arising from cloud service concentration, more advanced fraud, and a smarter</w:t>
      </w:r>
      <w:r w:rsidRPr="00BC04C0">
        <w:t xml:space="preserve"> digital supply chain</w:t>
      </w:r>
      <w:sdt>
        <w:sdtPr>
          <w:id w:val="2112631728"/>
          <w:citation/>
        </w:sdtPr>
        <w:sdtEndPr/>
        <w:sdtContent>
          <w:r w:rsidR="00B87397">
            <w:fldChar w:fldCharType="begin"/>
          </w:r>
          <w:r w:rsidR="00B87397">
            <w:instrText xml:space="preserve"> CITATION Ros20 \l 2057 </w:instrText>
          </w:r>
          <w:r w:rsidR="00B87397">
            <w:fldChar w:fldCharType="separate"/>
          </w:r>
          <w:r w:rsidR="009F0616">
            <w:rPr>
              <w:noProof/>
            </w:rPr>
            <w:t xml:space="preserve"> </w:t>
          </w:r>
          <w:r w:rsidR="009F0616" w:rsidRPr="009F0616">
            <w:rPr>
              <w:noProof/>
            </w:rPr>
            <w:t>[18]</w:t>
          </w:r>
          <w:r w:rsidR="00B87397">
            <w:fldChar w:fldCharType="end"/>
          </w:r>
        </w:sdtContent>
      </w:sdt>
      <w:r w:rsidRPr="00BC04C0">
        <w:t>. These forces have led to harmonised regulation of operational resilience, including under DORA, as well as enhanced minimum cybersecurity expectations via NIS2</w:t>
      </w:r>
      <w:sdt>
        <w:sdtPr>
          <w:id w:val="2014721769"/>
          <w:citation/>
        </w:sdtPr>
        <w:sdtEndPr/>
        <w:sdtContent>
          <w:r w:rsidR="00412168">
            <w:fldChar w:fldCharType="begin"/>
          </w:r>
          <w:r w:rsidR="00412168">
            <w:instrText xml:space="preserve"> CITATION Luc23 \l 2057 </w:instrText>
          </w:r>
          <w:r w:rsidR="00412168">
            <w:fldChar w:fldCharType="separate"/>
          </w:r>
          <w:r w:rsidR="009F0616">
            <w:rPr>
              <w:noProof/>
            </w:rPr>
            <w:t xml:space="preserve"> </w:t>
          </w:r>
          <w:r w:rsidR="009F0616" w:rsidRPr="009F0616">
            <w:rPr>
              <w:noProof/>
            </w:rPr>
            <w:t>[19]</w:t>
          </w:r>
          <w:r w:rsidR="00412168">
            <w:fldChar w:fldCharType="end"/>
          </w:r>
        </w:sdtContent>
      </w:sdt>
      <w:r w:rsidRPr="00BC04C0">
        <w:t xml:space="preserve">. Standards update with architectural </w:t>
      </w:r>
      <w:r w:rsidR="00E00B91" w:rsidRPr="00BC04C0">
        <w:t>changes,</w:t>
      </w:r>
      <w:r w:rsidRPr="00BC04C0">
        <w:t xml:space="preserve"> e.g., Zero Trust instructions</w:t>
      </w:r>
      <w:r w:rsidR="00C75073">
        <w:t>,</w:t>
      </w:r>
      <w:r w:rsidRPr="00BC04C0">
        <w:t xml:space="preserve"> mirror the transition to the old models of security based on the perimeter</w:t>
      </w:r>
      <w:sdt>
        <w:sdtPr>
          <w:id w:val="188497194"/>
          <w:citation/>
        </w:sdtPr>
        <w:sdtEndPr/>
        <w:sdtContent>
          <w:r w:rsidR="00982FC8">
            <w:fldChar w:fldCharType="begin"/>
          </w:r>
          <w:r w:rsidR="00982FC8">
            <w:instrText xml:space="preserve"> CITATION Ker20 \l 2057 </w:instrText>
          </w:r>
          <w:r w:rsidR="00982FC8">
            <w:fldChar w:fldCharType="separate"/>
          </w:r>
          <w:r w:rsidR="009F0616">
            <w:rPr>
              <w:noProof/>
            </w:rPr>
            <w:t xml:space="preserve"> </w:t>
          </w:r>
          <w:r w:rsidR="009F0616" w:rsidRPr="009F0616">
            <w:rPr>
              <w:noProof/>
            </w:rPr>
            <w:t>[20]</w:t>
          </w:r>
          <w:r w:rsidR="00982FC8">
            <w:fldChar w:fldCharType="end"/>
          </w:r>
        </w:sdtContent>
      </w:sdt>
      <w:r w:rsidRPr="00BC04C0">
        <w:t xml:space="preserve">. To prevent regulatory fragmentation and compliance churn, FinSure ought to have one outcome-oriented control baseline aligned with numerous obligations, focus on quantifiable security and resilience results, and ensure proportionality in the intensity of its </w:t>
      </w:r>
      <w:r w:rsidR="00E00B91">
        <w:t>controls, as well as in the intensity of its third-party controls</w:t>
      </w:r>
      <w:sdt>
        <w:sdtPr>
          <w:id w:val="-475688556"/>
          <w:citation/>
        </w:sdtPr>
        <w:sdtEndPr/>
        <w:sdtContent>
          <w:r w:rsidR="00EA1474">
            <w:fldChar w:fldCharType="begin"/>
          </w:r>
          <w:r w:rsidR="00EA1474">
            <w:instrText xml:space="preserve"> CITATION Ike21 \l 2057 </w:instrText>
          </w:r>
          <w:r w:rsidR="00EA1474">
            <w:fldChar w:fldCharType="separate"/>
          </w:r>
          <w:r w:rsidR="009F0616">
            <w:rPr>
              <w:noProof/>
            </w:rPr>
            <w:t xml:space="preserve"> </w:t>
          </w:r>
          <w:r w:rsidR="009F0616" w:rsidRPr="009F0616">
            <w:rPr>
              <w:noProof/>
            </w:rPr>
            <w:t>[21]</w:t>
          </w:r>
          <w:r w:rsidR="00EA1474">
            <w:fldChar w:fldCharType="end"/>
          </w:r>
        </w:sdtContent>
      </w:sdt>
      <w:r w:rsidR="00C75073">
        <w:t>.</w:t>
      </w:r>
    </w:p>
    <w:p w14:paraId="00CE8662" w14:textId="5306030D" w:rsidR="00F00550" w:rsidRDefault="006A1C5A">
      <w:r w:rsidRPr="006A1C5A">
        <w:t xml:space="preserve">It is </w:t>
      </w:r>
      <w:r w:rsidR="00676197">
        <w:t xml:space="preserve">within this context of developing systemic risk and regulatory adaptation that the final part ultimately brings together how the suggested governance and control architecture allows FinSure Bank to act in proportion, be auditable, and be </w:t>
      </w:r>
      <w:r w:rsidR="00FC3D7B">
        <w:t>sustainable</w:t>
      </w:r>
      <w:r w:rsidRPr="006A1C5A">
        <w:t xml:space="preserve"> to these forces</w:t>
      </w:r>
      <w:sdt>
        <w:sdtPr>
          <w:id w:val="-735469244"/>
          <w:citation/>
        </w:sdtPr>
        <w:sdtEndPr/>
        <w:sdtContent>
          <w:r w:rsidR="00777AF2">
            <w:fldChar w:fldCharType="begin"/>
          </w:r>
          <w:r w:rsidR="00777AF2">
            <w:instrText xml:space="preserve"> CITATION Gor20 \l 2057 </w:instrText>
          </w:r>
          <w:r w:rsidR="00777AF2">
            <w:fldChar w:fldCharType="separate"/>
          </w:r>
          <w:r w:rsidR="009F0616">
            <w:rPr>
              <w:noProof/>
            </w:rPr>
            <w:t xml:space="preserve"> </w:t>
          </w:r>
          <w:r w:rsidR="009F0616" w:rsidRPr="009F0616">
            <w:rPr>
              <w:noProof/>
            </w:rPr>
            <w:t>[22]</w:t>
          </w:r>
          <w:r w:rsidR="00777AF2">
            <w:fldChar w:fldCharType="end"/>
          </w:r>
        </w:sdtContent>
      </w:sdt>
      <w:r w:rsidR="00777AF2">
        <w:t xml:space="preserve">, </w:t>
      </w:r>
      <w:sdt>
        <w:sdtPr>
          <w:id w:val="-1547908839"/>
          <w:citation/>
        </w:sdtPr>
        <w:sdtEndPr/>
        <w:sdtContent>
          <w:r w:rsidR="00C37448">
            <w:fldChar w:fldCharType="begin"/>
          </w:r>
          <w:r w:rsidR="00C37448">
            <w:instrText xml:space="preserve"> CITATION Cul211 \l 2057 </w:instrText>
          </w:r>
          <w:r w:rsidR="00C37448">
            <w:fldChar w:fldCharType="separate"/>
          </w:r>
          <w:r w:rsidR="009F0616" w:rsidRPr="009F0616">
            <w:rPr>
              <w:noProof/>
            </w:rPr>
            <w:t>[23]</w:t>
          </w:r>
          <w:r w:rsidR="00C37448">
            <w:fldChar w:fldCharType="end"/>
          </w:r>
        </w:sdtContent>
      </w:sdt>
      <w:r w:rsidRPr="006A1C5A">
        <w:t>.</w:t>
      </w:r>
    </w:p>
    <w:p w14:paraId="1BE90A5F" w14:textId="2EAA8570" w:rsidR="00FC3D7B" w:rsidRPr="00F8089E" w:rsidRDefault="00FC3D7B" w:rsidP="00F8089E">
      <w:pPr>
        <w:pStyle w:val="Heading1"/>
        <w:numPr>
          <w:ilvl w:val="0"/>
          <w:numId w:val="6"/>
        </w:numPr>
        <w:jc w:val="center"/>
        <w:rPr>
          <w:rFonts w:ascii="Calibri" w:hAnsi="Calibri" w:cs="Calibri"/>
          <w:b/>
          <w:bCs/>
          <w:sz w:val="44"/>
          <w:szCs w:val="44"/>
          <w:u w:val="single"/>
        </w:rPr>
      </w:pPr>
      <w:bookmarkStart w:id="38" w:name="_Toc226635585"/>
      <w:r w:rsidRPr="00F8089E">
        <w:rPr>
          <w:rFonts w:ascii="Calibri" w:hAnsi="Calibri" w:cs="Calibri"/>
          <w:b/>
          <w:bCs/>
          <w:sz w:val="44"/>
          <w:szCs w:val="44"/>
          <w:u w:val="single"/>
        </w:rPr>
        <w:t>Conc</w:t>
      </w:r>
      <w:r w:rsidR="004617B5" w:rsidRPr="00F8089E">
        <w:rPr>
          <w:rFonts w:ascii="Calibri" w:hAnsi="Calibri" w:cs="Calibri"/>
          <w:b/>
          <w:bCs/>
          <w:sz w:val="44"/>
          <w:szCs w:val="44"/>
          <w:u w:val="single"/>
        </w:rPr>
        <w:t>lusion</w:t>
      </w:r>
      <w:bookmarkEnd w:id="38"/>
    </w:p>
    <w:p w14:paraId="09AE36B4" w14:textId="600FEBA2" w:rsidR="00F96003" w:rsidRDefault="000354BE">
      <w:r w:rsidRPr="000354BE">
        <w:t>The growth path of FinSure Bank will require a security governance model that is beyond expectations of a standard-conformant audit, but also compliant with the ever-changing regulatory environment and operationally viable implementation. This report has shown the benefit of using ISO/IEC 27001</w:t>
      </w:r>
      <w:r>
        <w:t>, which offers a strong management system foundation to help in the sustainable planning, operation, review, and improvement of the business, where the COBIT 2019 framework outlines the objectives, accountability, and decision-making</w:t>
      </w:r>
      <w:r w:rsidRPr="000354BE">
        <w:t xml:space="preserve"> throughout the various layers of the enterprise. NIST CSF 2.0 adds to these bases by facilitating outcome amplification reporting and maturity measurement that are understandable to executives and regulators. Cyber risk should be managed as an </w:t>
      </w:r>
      <w:r>
        <w:t>enterprise-level</w:t>
      </w:r>
      <w:r w:rsidRPr="000354BE">
        <w:t xml:space="preserve"> issue, formally included in ERM according to the NISTIR 8286 series, and security incidents viewed as possible disruptions of operational resilience in line with FCA PS21/3 requirements. Supply-chain risk management practices and Zero Trust patterns of architecture are best suited to modern risk drivers such as cloud- and third-party dependencies, mobile and BYOD access models and complex digital supply chains. Together, this proposed comprehensive solution allows FinSure Bank to decrease its compliance fragmentation, enhance its resilience, and ensure regulatory credibility without compromising the flexibility it will need in a highly dynamic financial-services risk environment</w:t>
      </w:r>
      <w:sdt>
        <w:sdtPr>
          <w:id w:val="1781906313"/>
          <w:citation/>
        </w:sdtPr>
        <w:sdtEndPr/>
        <w:sdtContent>
          <w:r w:rsidR="00B87808">
            <w:fldChar w:fldCharType="begin"/>
          </w:r>
          <w:r w:rsidR="00B87808">
            <w:instrText xml:space="preserve"> CITATION Cul212 \l 2057 </w:instrText>
          </w:r>
          <w:r w:rsidR="00B87808">
            <w:fldChar w:fldCharType="separate"/>
          </w:r>
          <w:r w:rsidR="009F0616">
            <w:rPr>
              <w:noProof/>
            </w:rPr>
            <w:t xml:space="preserve"> </w:t>
          </w:r>
          <w:r w:rsidR="009F0616" w:rsidRPr="009F0616">
            <w:rPr>
              <w:noProof/>
            </w:rPr>
            <w:t>[24]</w:t>
          </w:r>
          <w:r w:rsidR="00B87808">
            <w:fldChar w:fldCharType="end"/>
          </w:r>
        </w:sdtContent>
      </w:sdt>
      <w:r w:rsidR="00B87808">
        <w:t>,</w:t>
      </w:r>
      <w:sdt>
        <w:sdtPr>
          <w:id w:val="-583761391"/>
          <w:citation/>
        </w:sdtPr>
        <w:sdtEndPr/>
        <w:sdtContent>
          <w:r w:rsidR="00491EC7">
            <w:fldChar w:fldCharType="begin"/>
          </w:r>
          <w:r w:rsidR="00491EC7">
            <w:instrText xml:space="preserve"> CITATION DeH191 \l 2057 </w:instrText>
          </w:r>
          <w:r w:rsidR="00491EC7">
            <w:fldChar w:fldCharType="separate"/>
          </w:r>
          <w:r w:rsidR="009F0616">
            <w:rPr>
              <w:noProof/>
            </w:rPr>
            <w:t xml:space="preserve"> </w:t>
          </w:r>
          <w:r w:rsidR="009F0616" w:rsidRPr="009F0616">
            <w:rPr>
              <w:noProof/>
            </w:rPr>
            <w:t>[25]</w:t>
          </w:r>
          <w:r w:rsidR="00491EC7">
            <w:fldChar w:fldCharType="end"/>
          </w:r>
        </w:sdtContent>
      </w:sdt>
      <w:r w:rsidR="00491EC7">
        <w:t>,</w:t>
      </w:r>
      <w:sdt>
        <w:sdtPr>
          <w:id w:val="-1901579485"/>
          <w:citation/>
        </w:sdtPr>
        <w:sdtEndPr/>
        <w:sdtContent>
          <w:r w:rsidR="00EE26AD">
            <w:fldChar w:fldCharType="begin"/>
          </w:r>
          <w:r w:rsidR="00EE26AD">
            <w:instrText xml:space="preserve"> CITATION Lui25 \l 2057 </w:instrText>
          </w:r>
          <w:r w:rsidR="00EE26AD">
            <w:fldChar w:fldCharType="separate"/>
          </w:r>
          <w:r w:rsidR="009F0616">
            <w:rPr>
              <w:noProof/>
            </w:rPr>
            <w:t xml:space="preserve"> </w:t>
          </w:r>
          <w:r w:rsidR="009F0616" w:rsidRPr="009F0616">
            <w:rPr>
              <w:noProof/>
            </w:rPr>
            <w:t>[26]</w:t>
          </w:r>
          <w:r w:rsidR="00EE26AD">
            <w:fldChar w:fldCharType="end"/>
          </w:r>
        </w:sdtContent>
      </w:sdt>
      <w:r w:rsidR="00EE26AD">
        <w:t>,</w:t>
      </w:r>
      <w:sdt>
        <w:sdtPr>
          <w:id w:val="-109283294"/>
          <w:citation/>
        </w:sdtPr>
        <w:sdtEndPr/>
        <w:sdtContent>
          <w:r w:rsidR="0064413F">
            <w:fldChar w:fldCharType="begin"/>
          </w:r>
          <w:r w:rsidR="0064413F">
            <w:instrText xml:space="preserve"> CITATION Sti201 \l 2057 </w:instrText>
          </w:r>
          <w:r w:rsidR="0064413F">
            <w:fldChar w:fldCharType="separate"/>
          </w:r>
          <w:r w:rsidR="009F0616">
            <w:rPr>
              <w:noProof/>
            </w:rPr>
            <w:t xml:space="preserve"> </w:t>
          </w:r>
          <w:r w:rsidR="009F0616" w:rsidRPr="009F0616">
            <w:rPr>
              <w:noProof/>
            </w:rPr>
            <w:t>[27]</w:t>
          </w:r>
          <w:r w:rsidR="0064413F">
            <w:fldChar w:fldCharType="end"/>
          </w:r>
        </w:sdtContent>
      </w:sdt>
      <w:r w:rsidR="0064413F">
        <w:t>,</w:t>
      </w:r>
      <w:sdt>
        <w:sdtPr>
          <w:id w:val="781613818"/>
          <w:citation/>
        </w:sdtPr>
        <w:sdtEndPr/>
        <w:sdtContent>
          <w:r w:rsidR="003E6051">
            <w:fldChar w:fldCharType="begin"/>
          </w:r>
          <w:r w:rsidR="003E6051">
            <w:instrText xml:space="preserve"> CITATION Ker201 \l 2057 </w:instrText>
          </w:r>
          <w:r w:rsidR="003E6051">
            <w:fldChar w:fldCharType="separate"/>
          </w:r>
          <w:r w:rsidR="009F0616">
            <w:rPr>
              <w:noProof/>
            </w:rPr>
            <w:t xml:space="preserve"> </w:t>
          </w:r>
          <w:r w:rsidR="009F0616" w:rsidRPr="009F0616">
            <w:rPr>
              <w:noProof/>
            </w:rPr>
            <w:t>[28]</w:t>
          </w:r>
          <w:r w:rsidR="003E6051">
            <w:fldChar w:fldCharType="end"/>
          </w:r>
        </w:sdtContent>
      </w:sdt>
      <w:r w:rsidR="00F05363">
        <w:t>,</w:t>
      </w:r>
      <w:sdt>
        <w:sdtPr>
          <w:id w:val="470030771"/>
          <w:citation/>
        </w:sdtPr>
        <w:sdtEndPr/>
        <w:sdtContent>
          <w:r w:rsidR="00F05363">
            <w:fldChar w:fldCharType="begin"/>
          </w:r>
          <w:r w:rsidR="00F05363">
            <w:instrText xml:space="preserve"> CITATION Ros201 \l 2057 </w:instrText>
          </w:r>
          <w:r w:rsidR="00F05363">
            <w:fldChar w:fldCharType="separate"/>
          </w:r>
          <w:r w:rsidR="009F0616">
            <w:rPr>
              <w:noProof/>
            </w:rPr>
            <w:t xml:space="preserve"> </w:t>
          </w:r>
          <w:r w:rsidR="009F0616" w:rsidRPr="009F0616">
            <w:rPr>
              <w:noProof/>
            </w:rPr>
            <w:t>[29]</w:t>
          </w:r>
          <w:r w:rsidR="00F05363">
            <w:fldChar w:fldCharType="end"/>
          </w:r>
        </w:sdtContent>
      </w:sdt>
      <w:r w:rsidR="00C75073">
        <w:t>.</w:t>
      </w:r>
    </w:p>
    <w:p w14:paraId="48C70462" w14:textId="77777777" w:rsidR="00C37448" w:rsidRDefault="00C37448"/>
    <w:bookmarkStart w:id="39" w:name="_Toc226635586" w:displacedByCustomXml="next"/>
    <w:sdt>
      <w:sdtPr>
        <w:rPr>
          <w:rFonts w:ascii="Calibri" w:eastAsiaTheme="minorHAnsi" w:hAnsi="Calibri" w:cstheme="minorBidi"/>
          <w:color w:val="auto"/>
          <w:sz w:val="22"/>
          <w:szCs w:val="22"/>
        </w:rPr>
        <w:id w:val="1139071054"/>
        <w:docPartObj>
          <w:docPartGallery w:val="Bibliographies"/>
          <w:docPartUnique/>
        </w:docPartObj>
      </w:sdtPr>
      <w:sdtEndPr/>
      <w:sdtContent>
        <w:p w14:paraId="03DC2BA7" w14:textId="63432514" w:rsidR="0024058E" w:rsidRPr="0024058E" w:rsidRDefault="0024058E" w:rsidP="0024058E">
          <w:pPr>
            <w:pStyle w:val="Heading1"/>
            <w:jc w:val="center"/>
            <w:rPr>
              <w:rFonts w:ascii="Calibri" w:hAnsi="Calibri" w:cs="Calibri"/>
              <w:b/>
              <w:bCs/>
              <w:sz w:val="44"/>
              <w:szCs w:val="44"/>
              <w:u w:val="single"/>
            </w:rPr>
          </w:pPr>
          <w:r w:rsidRPr="0024058E">
            <w:rPr>
              <w:rFonts w:ascii="Calibri" w:hAnsi="Calibri" w:cs="Calibri"/>
              <w:b/>
              <w:bCs/>
              <w:sz w:val="44"/>
              <w:szCs w:val="44"/>
              <w:u w:val="single"/>
            </w:rPr>
            <w:t>References</w:t>
          </w:r>
          <w:bookmarkEnd w:id="39"/>
        </w:p>
        <w:sdt>
          <w:sdtPr>
            <w:id w:val="-573587230"/>
            <w:bibliography/>
          </w:sdtPr>
          <w:sdtEndPr/>
          <w:sdtContent>
            <w:p w14:paraId="6F31AB5D" w14:textId="77777777" w:rsidR="009F0616" w:rsidRDefault="0024058E">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9F0616" w14:paraId="192FB68F" w14:textId="77777777">
                <w:trPr>
                  <w:divId w:val="1326981460"/>
                  <w:tblCellSpacing w:w="15" w:type="dxa"/>
                </w:trPr>
                <w:tc>
                  <w:tcPr>
                    <w:tcW w:w="50" w:type="pct"/>
                    <w:hideMark/>
                  </w:tcPr>
                  <w:p w14:paraId="31E65132" w14:textId="09F74C2A" w:rsidR="009F0616" w:rsidRDefault="009F0616">
                    <w:pPr>
                      <w:pStyle w:val="Bibliography"/>
                      <w:rPr>
                        <w:noProof/>
                        <w:kern w:val="0"/>
                        <w:sz w:val="24"/>
                        <w:szCs w:val="24"/>
                        <w14:ligatures w14:val="none"/>
                      </w:rPr>
                    </w:pPr>
                    <w:r>
                      <w:rPr>
                        <w:noProof/>
                      </w:rPr>
                      <w:t xml:space="preserve">[1] </w:t>
                    </w:r>
                  </w:p>
                </w:tc>
                <w:tc>
                  <w:tcPr>
                    <w:tcW w:w="0" w:type="auto"/>
                    <w:hideMark/>
                  </w:tcPr>
                  <w:p w14:paraId="6BC5AAA0" w14:textId="77777777" w:rsidR="009F0616" w:rsidRDefault="009F0616">
                    <w:pPr>
                      <w:pStyle w:val="Bibliography"/>
                      <w:rPr>
                        <w:noProof/>
                      </w:rPr>
                    </w:pPr>
                    <w:r>
                      <w:rPr>
                        <w:noProof/>
                      </w:rPr>
                      <w:t xml:space="preserve">M. H. a. A. M. H. a. H. M. K. Uddin, “Cybersecurity hazards and financial system vulnerability: a synthesis of literature: Md. H. Uddin et al,” </w:t>
                    </w:r>
                    <w:r>
                      <w:rPr>
                        <w:i/>
                        <w:iCs/>
                        <w:noProof/>
                      </w:rPr>
                      <w:t xml:space="preserve">Risk Management, </w:t>
                    </w:r>
                    <w:r>
                      <w:rPr>
                        <w:noProof/>
                      </w:rPr>
                      <w:t xml:space="preserve">vol. 22, no. 4, pp. 239--309, 2020. </w:t>
                    </w:r>
                  </w:p>
                </w:tc>
              </w:tr>
              <w:tr w:rsidR="009F0616" w14:paraId="27123D69" w14:textId="77777777">
                <w:trPr>
                  <w:divId w:val="1326981460"/>
                  <w:tblCellSpacing w:w="15" w:type="dxa"/>
                </w:trPr>
                <w:tc>
                  <w:tcPr>
                    <w:tcW w:w="50" w:type="pct"/>
                    <w:hideMark/>
                  </w:tcPr>
                  <w:p w14:paraId="567B5E4B" w14:textId="77777777" w:rsidR="009F0616" w:rsidRDefault="009F0616">
                    <w:pPr>
                      <w:pStyle w:val="Bibliography"/>
                      <w:rPr>
                        <w:noProof/>
                      </w:rPr>
                    </w:pPr>
                    <w:r>
                      <w:rPr>
                        <w:noProof/>
                      </w:rPr>
                      <w:t xml:space="preserve">[2] </w:t>
                    </w:r>
                  </w:p>
                </w:tc>
                <w:tc>
                  <w:tcPr>
                    <w:tcW w:w="0" w:type="auto"/>
                    <w:hideMark/>
                  </w:tcPr>
                  <w:p w14:paraId="55DD54FC" w14:textId="77777777" w:rsidR="009F0616" w:rsidRDefault="009F0616">
                    <w:pPr>
                      <w:pStyle w:val="Bibliography"/>
                      <w:rPr>
                        <w:noProof/>
                      </w:rPr>
                    </w:pPr>
                    <w:r>
                      <w:rPr>
                        <w:noProof/>
                      </w:rPr>
                      <w:t xml:space="preserve">B. Dupont, “The cyber-resilience of financial institutions: significance and applicability,” </w:t>
                    </w:r>
                    <w:r>
                      <w:rPr>
                        <w:i/>
                        <w:iCs/>
                        <w:noProof/>
                      </w:rPr>
                      <w:t xml:space="preserve">Journal of cybersecurity, </w:t>
                    </w:r>
                    <w:r>
                      <w:rPr>
                        <w:noProof/>
                      </w:rPr>
                      <w:t xml:space="preserve">vol. 5, no. 1, pp. Dupont, Benoît., 2019. </w:t>
                    </w:r>
                  </w:p>
                </w:tc>
              </w:tr>
              <w:tr w:rsidR="009F0616" w14:paraId="3DB3665F" w14:textId="77777777">
                <w:trPr>
                  <w:divId w:val="1326981460"/>
                  <w:tblCellSpacing w:w="15" w:type="dxa"/>
                </w:trPr>
                <w:tc>
                  <w:tcPr>
                    <w:tcW w:w="50" w:type="pct"/>
                    <w:hideMark/>
                  </w:tcPr>
                  <w:p w14:paraId="01CAB446" w14:textId="77777777" w:rsidR="009F0616" w:rsidRDefault="009F0616">
                    <w:pPr>
                      <w:pStyle w:val="Bibliography"/>
                      <w:rPr>
                        <w:noProof/>
                      </w:rPr>
                    </w:pPr>
                    <w:r>
                      <w:rPr>
                        <w:noProof/>
                      </w:rPr>
                      <w:lastRenderedPageBreak/>
                      <w:t xml:space="preserve">[3] </w:t>
                    </w:r>
                  </w:p>
                </w:tc>
                <w:tc>
                  <w:tcPr>
                    <w:tcW w:w="0" w:type="auto"/>
                    <w:hideMark/>
                  </w:tcPr>
                  <w:p w14:paraId="58728DB6" w14:textId="77777777" w:rsidR="009F0616" w:rsidRDefault="009F0616">
                    <w:pPr>
                      <w:pStyle w:val="Bibliography"/>
                      <w:rPr>
                        <w:noProof/>
                      </w:rPr>
                    </w:pPr>
                    <w:r>
                      <w:rPr>
                        <w:noProof/>
                      </w:rPr>
                      <w:t xml:space="preserve">J. a. H. A. a. M. A. Vom Brocke, “Introduction to design science research,” in </w:t>
                    </w:r>
                    <w:r>
                      <w:rPr>
                        <w:i/>
                        <w:iCs/>
                        <w:noProof/>
                      </w:rPr>
                      <w:t>Design science research. Cases</w:t>
                    </w:r>
                    <w:r>
                      <w:rPr>
                        <w:noProof/>
                      </w:rPr>
                      <w:t>, Springer, 2020, pp. 1 - 13.</w:t>
                    </w:r>
                  </w:p>
                </w:tc>
              </w:tr>
              <w:tr w:rsidR="009F0616" w14:paraId="02E9711E" w14:textId="77777777">
                <w:trPr>
                  <w:divId w:val="1326981460"/>
                  <w:tblCellSpacing w:w="15" w:type="dxa"/>
                </w:trPr>
                <w:tc>
                  <w:tcPr>
                    <w:tcW w:w="50" w:type="pct"/>
                    <w:hideMark/>
                  </w:tcPr>
                  <w:p w14:paraId="266B2088" w14:textId="77777777" w:rsidR="009F0616" w:rsidRDefault="009F0616">
                    <w:pPr>
                      <w:pStyle w:val="Bibliography"/>
                      <w:rPr>
                        <w:noProof/>
                      </w:rPr>
                    </w:pPr>
                    <w:r>
                      <w:rPr>
                        <w:noProof/>
                      </w:rPr>
                      <w:t xml:space="preserve">[4] </w:t>
                    </w:r>
                  </w:p>
                </w:tc>
                <w:tc>
                  <w:tcPr>
                    <w:tcW w:w="0" w:type="auto"/>
                    <w:hideMark/>
                  </w:tcPr>
                  <w:p w14:paraId="76CBC8F6" w14:textId="77777777" w:rsidR="009F0616" w:rsidRDefault="009F0616">
                    <w:pPr>
                      <w:pStyle w:val="Bibliography"/>
                      <w:rPr>
                        <w:noProof/>
                      </w:rPr>
                    </w:pPr>
                    <w:r>
                      <w:rPr>
                        <w:noProof/>
                      </w:rPr>
                      <w:t xml:space="preserve">E. J. a. A. B. A. Adwan, “Cloud computing adoption in the financial banking sector-A systematic literature review,” </w:t>
                    </w:r>
                    <w:r>
                      <w:rPr>
                        <w:i/>
                        <w:iCs/>
                        <w:noProof/>
                      </w:rPr>
                      <w:t xml:space="preserve">International Journal of Advanced Science Computing and Engineering, </w:t>
                    </w:r>
                    <w:r>
                      <w:rPr>
                        <w:noProof/>
                      </w:rPr>
                      <w:t xml:space="preserve">vol. 4, no. 1, pp. 48--55, 2022. </w:t>
                    </w:r>
                  </w:p>
                </w:tc>
              </w:tr>
              <w:tr w:rsidR="009F0616" w14:paraId="1C984AE2" w14:textId="77777777">
                <w:trPr>
                  <w:divId w:val="1326981460"/>
                  <w:tblCellSpacing w:w="15" w:type="dxa"/>
                </w:trPr>
                <w:tc>
                  <w:tcPr>
                    <w:tcW w:w="50" w:type="pct"/>
                    <w:hideMark/>
                  </w:tcPr>
                  <w:p w14:paraId="50A5472B" w14:textId="77777777" w:rsidR="009F0616" w:rsidRDefault="009F0616">
                    <w:pPr>
                      <w:pStyle w:val="Bibliography"/>
                      <w:rPr>
                        <w:noProof/>
                      </w:rPr>
                    </w:pPr>
                    <w:r>
                      <w:rPr>
                        <w:noProof/>
                      </w:rPr>
                      <w:t xml:space="preserve">[5] </w:t>
                    </w:r>
                  </w:p>
                </w:tc>
                <w:tc>
                  <w:tcPr>
                    <w:tcW w:w="0" w:type="auto"/>
                    <w:hideMark/>
                  </w:tcPr>
                  <w:p w14:paraId="6FA80A19" w14:textId="77777777" w:rsidR="009F0616" w:rsidRDefault="009F0616">
                    <w:pPr>
                      <w:pStyle w:val="Bibliography"/>
                      <w:rPr>
                        <w:noProof/>
                      </w:rPr>
                    </w:pPr>
                    <w:r>
                      <w:rPr>
                        <w:noProof/>
                      </w:rPr>
                      <w:t xml:space="preserve">K. a. G. S. a. B. F. a. F. A. a. M. P. Xuereb, “The impact of the General Data Protection Regulation on the financial services industry.,” </w:t>
                    </w:r>
                    <w:r>
                      <w:rPr>
                        <w:i/>
                        <w:iCs/>
                        <w:noProof/>
                      </w:rPr>
                      <w:t xml:space="preserve">International Journal of Economics and Business Administration , </w:t>
                    </w:r>
                    <w:r>
                      <w:rPr>
                        <w:noProof/>
                      </w:rPr>
                      <w:t xml:space="preserve">vol. 7, no. 4, pp. 243-266 , 2019. </w:t>
                    </w:r>
                  </w:p>
                </w:tc>
              </w:tr>
              <w:tr w:rsidR="009F0616" w14:paraId="32317D66" w14:textId="77777777">
                <w:trPr>
                  <w:divId w:val="1326981460"/>
                  <w:tblCellSpacing w:w="15" w:type="dxa"/>
                </w:trPr>
                <w:tc>
                  <w:tcPr>
                    <w:tcW w:w="50" w:type="pct"/>
                    <w:hideMark/>
                  </w:tcPr>
                  <w:p w14:paraId="197D85DD" w14:textId="77777777" w:rsidR="009F0616" w:rsidRDefault="009F0616">
                    <w:pPr>
                      <w:pStyle w:val="Bibliography"/>
                      <w:rPr>
                        <w:noProof/>
                      </w:rPr>
                    </w:pPr>
                    <w:r>
                      <w:rPr>
                        <w:noProof/>
                      </w:rPr>
                      <w:t xml:space="preserve">[6] </w:t>
                    </w:r>
                  </w:p>
                </w:tc>
                <w:tc>
                  <w:tcPr>
                    <w:tcW w:w="0" w:type="auto"/>
                    <w:hideMark/>
                  </w:tcPr>
                  <w:p w14:paraId="7F8526E1" w14:textId="77777777" w:rsidR="009F0616" w:rsidRDefault="009F0616">
                    <w:pPr>
                      <w:pStyle w:val="Bibliography"/>
                      <w:rPr>
                        <w:noProof/>
                      </w:rPr>
                    </w:pPr>
                    <w:r>
                      <w:rPr>
                        <w:noProof/>
                      </w:rPr>
                      <w:t xml:space="preserve">S. a. V. G. W. a. J. A. a. H. T. De Haes, “Enterprise governance of IT, alignment, and value,” in </w:t>
                    </w:r>
                    <w:r>
                      <w:rPr>
                        <w:i/>
                        <w:iCs/>
                        <w:noProof/>
                      </w:rPr>
                      <w:t>Enterprise Governance of Information Technology: Achieving Alignment and Value in Digital Organizations</w:t>
                    </w:r>
                    <w:r>
                      <w:rPr>
                        <w:noProof/>
                      </w:rPr>
                      <w:t>, Springer, 2019, pp. 1 - 13.</w:t>
                    </w:r>
                  </w:p>
                </w:tc>
              </w:tr>
              <w:tr w:rsidR="009F0616" w14:paraId="29B6D416" w14:textId="77777777">
                <w:trPr>
                  <w:divId w:val="1326981460"/>
                  <w:tblCellSpacing w:w="15" w:type="dxa"/>
                </w:trPr>
                <w:tc>
                  <w:tcPr>
                    <w:tcW w:w="50" w:type="pct"/>
                    <w:hideMark/>
                  </w:tcPr>
                  <w:p w14:paraId="2FA48F0B" w14:textId="77777777" w:rsidR="009F0616" w:rsidRDefault="009F0616">
                    <w:pPr>
                      <w:pStyle w:val="Bibliography"/>
                      <w:rPr>
                        <w:noProof/>
                      </w:rPr>
                    </w:pPr>
                    <w:r>
                      <w:rPr>
                        <w:noProof/>
                      </w:rPr>
                      <w:t xml:space="preserve">[7] </w:t>
                    </w:r>
                  </w:p>
                </w:tc>
                <w:tc>
                  <w:tcPr>
                    <w:tcW w:w="0" w:type="auto"/>
                    <w:hideMark/>
                  </w:tcPr>
                  <w:p w14:paraId="57105C6E" w14:textId="77777777" w:rsidR="009F0616" w:rsidRDefault="009F0616">
                    <w:pPr>
                      <w:pStyle w:val="Bibliography"/>
                      <w:rPr>
                        <w:noProof/>
                      </w:rPr>
                    </w:pPr>
                    <w:r>
                      <w:rPr>
                        <w:noProof/>
                      </w:rPr>
                      <w:t xml:space="preserve">S. E. a. P. E. a. K. J. M. a. P. G. a. K. J. M. a. L. I. Galaitsi, “Business continuity management, operational resilience, and organizational resilience: Commonalities, distinctions, and synthesis,” </w:t>
                    </w:r>
                    <w:r>
                      <w:rPr>
                        <w:i/>
                        <w:iCs/>
                        <w:noProof/>
                      </w:rPr>
                      <w:t xml:space="preserve">International Journal of Disaster Risk Science, </w:t>
                    </w:r>
                    <w:r>
                      <w:rPr>
                        <w:noProof/>
                      </w:rPr>
                      <w:t xml:space="preserve">vol. 14, no. 5, pp. 713 - 721, 2023. </w:t>
                    </w:r>
                  </w:p>
                </w:tc>
              </w:tr>
              <w:tr w:rsidR="009F0616" w14:paraId="6ADA9E14" w14:textId="77777777">
                <w:trPr>
                  <w:divId w:val="1326981460"/>
                  <w:tblCellSpacing w:w="15" w:type="dxa"/>
                </w:trPr>
                <w:tc>
                  <w:tcPr>
                    <w:tcW w:w="50" w:type="pct"/>
                    <w:hideMark/>
                  </w:tcPr>
                  <w:p w14:paraId="65F30796" w14:textId="77777777" w:rsidR="009F0616" w:rsidRDefault="009F0616">
                    <w:pPr>
                      <w:pStyle w:val="Bibliography"/>
                      <w:rPr>
                        <w:noProof/>
                      </w:rPr>
                    </w:pPr>
                    <w:r>
                      <w:rPr>
                        <w:noProof/>
                      </w:rPr>
                      <w:t xml:space="preserve">[8] </w:t>
                    </w:r>
                  </w:p>
                </w:tc>
                <w:tc>
                  <w:tcPr>
                    <w:tcW w:w="0" w:type="auto"/>
                    <w:hideMark/>
                  </w:tcPr>
                  <w:p w14:paraId="3776FD27" w14:textId="77777777" w:rsidR="009F0616" w:rsidRDefault="009F0616">
                    <w:pPr>
                      <w:pStyle w:val="Bibliography"/>
                      <w:rPr>
                        <w:noProof/>
                      </w:rPr>
                    </w:pPr>
                    <w:r>
                      <w:rPr>
                        <w:noProof/>
                      </w:rPr>
                      <w:t xml:space="preserve">G. a. N. G. a. P. M. a. S. M. Culot, “The ISO/IEC 27001 information security management standard: literature review and theory-based research agenda,” </w:t>
                    </w:r>
                    <w:r>
                      <w:rPr>
                        <w:i/>
                        <w:iCs/>
                        <w:noProof/>
                      </w:rPr>
                      <w:t xml:space="preserve">The TQM Journal, </w:t>
                    </w:r>
                    <w:r>
                      <w:rPr>
                        <w:noProof/>
                      </w:rPr>
                      <w:t xml:space="preserve">vol. 33, no. 7, pp. 76--105, 2021. </w:t>
                    </w:r>
                  </w:p>
                </w:tc>
              </w:tr>
              <w:tr w:rsidR="009F0616" w14:paraId="176D8AD3" w14:textId="77777777">
                <w:trPr>
                  <w:divId w:val="1326981460"/>
                  <w:tblCellSpacing w:w="15" w:type="dxa"/>
                </w:trPr>
                <w:tc>
                  <w:tcPr>
                    <w:tcW w:w="50" w:type="pct"/>
                    <w:hideMark/>
                  </w:tcPr>
                  <w:p w14:paraId="5FEF4818" w14:textId="77777777" w:rsidR="009F0616" w:rsidRDefault="009F0616">
                    <w:pPr>
                      <w:pStyle w:val="Bibliography"/>
                      <w:rPr>
                        <w:noProof/>
                      </w:rPr>
                    </w:pPr>
                    <w:r>
                      <w:rPr>
                        <w:noProof/>
                      </w:rPr>
                      <w:t xml:space="preserve">[9] </w:t>
                    </w:r>
                  </w:p>
                </w:tc>
                <w:tc>
                  <w:tcPr>
                    <w:tcW w:w="0" w:type="auto"/>
                    <w:hideMark/>
                  </w:tcPr>
                  <w:p w14:paraId="79ADB108" w14:textId="77777777" w:rsidR="009F0616" w:rsidRDefault="009F0616">
                    <w:pPr>
                      <w:pStyle w:val="Bibliography"/>
                      <w:rPr>
                        <w:noProof/>
                      </w:rPr>
                    </w:pPr>
                    <w:r>
                      <w:rPr>
                        <w:noProof/>
                      </w:rPr>
                      <w:t xml:space="preserve">Y. a. L. S. a. I. M. S. Kamil, “Information security objectives and the output legitimacy of ISO/IEC 27001: stakeholders’ perspective on expectations in private organizations in Sweden,” </w:t>
                    </w:r>
                    <w:r>
                      <w:rPr>
                        <w:i/>
                        <w:iCs/>
                        <w:noProof/>
                      </w:rPr>
                      <w:t xml:space="preserve">Information Systems and e-Business Management, </w:t>
                    </w:r>
                    <w:r>
                      <w:rPr>
                        <w:noProof/>
                      </w:rPr>
                      <w:t xml:space="preserve">vol. 21, no. 3, pp. 699--722, 2023. </w:t>
                    </w:r>
                  </w:p>
                </w:tc>
              </w:tr>
              <w:tr w:rsidR="009F0616" w14:paraId="72A83CEC" w14:textId="77777777">
                <w:trPr>
                  <w:divId w:val="1326981460"/>
                  <w:tblCellSpacing w:w="15" w:type="dxa"/>
                </w:trPr>
                <w:tc>
                  <w:tcPr>
                    <w:tcW w:w="50" w:type="pct"/>
                    <w:hideMark/>
                  </w:tcPr>
                  <w:p w14:paraId="60739180" w14:textId="77777777" w:rsidR="009F0616" w:rsidRDefault="009F0616">
                    <w:pPr>
                      <w:pStyle w:val="Bibliography"/>
                      <w:rPr>
                        <w:noProof/>
                      </w:rPr>
                    </w:pPr>
                    <w:r>
                      <w:rPr>
                        <w:noProof/>
                      </w:rPr>
                      <w:t xml:space="preserve">[10] </w:t>
                    </w:r>
                  </w:p>
                </w:tc>
                <w:tc>
                  <w:tcPr>
                    <w:tcW w:w="0" w:type="auto"/>
                    <w:hideMark/>
                  </w:tcPr>
                  <w:p w14:paraId="4CA1B4F7" w14:textId="77777777" w:rsidR="009F0616" w:rsidRDefault="009F0616">
                    <w:pPr>
                      <w:pStyle w:val="Bibliography"/>
                      <w:rPr>
                        <w:noProof/>
                      </w:rPr>
                    </w:pPr>
                    <w:r>
                      <w:rPr>
                        <w:noProof/>
                      </w:rPr>
                      <w:t xml:space="preserve">“Cybersecurity and the NIST Framework: A Systematic Review of its Implementation and Effectiveness Against Cyber Threats,” </w:t>
                    </w:r>
                    <w:r>
                      <w:rPr>
                        <w:i/>
                        <w:iCs/>
                        <w:noProof/>
                      </w:rPr>
                      <w:t xml:space="preserve">International Journal of Advanced Computer Science &amp; Applications}, </w:t>
                    </w:r>
                    <w:r>
                      <w:rPr>
                        <w:noProof/>
                      </w:rPr>
                      <w:t xml:space="preserve">vol. 16, no. 6, pp. 1 - 13, 2025. </w:t>
                    </w:r>
                  </w:p>
                </w:tc>
              </w:tr>
              <w:tr w:rsidR="009F0616" w14:paraId="1D8B26E2" w14:textId="77777777">
                <w:trPr>
                  <w:divId w:val="1326981460"/>
                  <w:tblCellSpacing w:w="15" w:type="dxa"/>
                </w:trPr>
                <w:tc>
                  <w:tcPr>
                    <w:tcW w:w="50" w:type="pct"/>
                    <w:hideMark/>
                  </w:tcPr>
                  <w:p w14:paraId="3B3617BB" w14:textId="77777777" w:rsidR="009F0616" w:rsidRDefault="009F0616">
                    <w:pPr>
                      <w:pStyle w:val="Bibliography"/>
                      <w:rPr>
                        <w:noProof/>
                      </w:rPr>
                    </w:pPr>
                    <w:r>
                      <w:rPr>
                        <w:noProof/>
                      </w:rPr>
                      <w:t xml:space="preserve">[11] </w:t>
                    </w:r>
                  </w:p>
                </w:tc>
                <w:tc>
                  <w:tcPr>
                    <w:tcW w:w="0" w:type="auto"/>
                    <w:hideMark/>
                  </w:tcPr>
                  <w:p w14:paraId="25392D4A" w14:textId="77777777" w:rsidR="009F0616" w:rsidRDefault="009F0616">
                    <w:pPr>
                      <w:pStyle w:val="Bibliography"/>
                      <w:rPr>
                        <w:noProof/>
                      </w:rPr>
                    </w:pPr>
                    <w:r>
                      <w:rPr>
                        <w:noProof/>
                      </w:rPr>
                      <w:t xml:space="preserve">K. a. S. K. a. Q. S. a. W. G. a. G. R. Stine, “Integrating cybersecurity and enterprise risk management (ERM),” </w:t>
                    </w:r>
                    <w:r>
                      <w:rPr>
                        <w:i/>
                        <w:iCs/>
                        <w:noProof/>
                      </w:rPr>
                      <w:t xml:space="preserve">National Institute of Standards and Technology , </w:t>
                    </w:r>
                    <w:r>
                      <w:rPr>
                        <w:noProof/>
                      </w:rPr>
                      <w:t xml:space="preserve">vol. 20, pp. 1 - 74, 2020. </w:t>
                    </w:r>
                  </w:p>
                </w:tc>
              </w:tr>
              <w:tr w:rsidR="009F0616" w14:paraId="2D5B85EE" w14:textId="77777777">
                <w:trPr>
                  <w:divId w:val="1326981460"/>
                  <w:tblCellSpacing w:w="15" w:type="dxa"/>
                </w:trPr>
                <w:tc>
                  <w:tcPr>
                    <w:tcW w:w="50" w:type="pct"/>
                    <w:hideMark/>
                  </w:tcPr>
                  <w:p w14:paraId="7E5F6C03" w14:textId="77777777" w:rsidR="009F0616" w:rsidRDefault="009F0616">
                    <w:pPr>
                      <w:pStyle w:val="Bibliography"/>
                      <w:rPr>
                        <w:noProof/>
                      </w:rPr>
                    </w:pPr>
                    <w:r>
                      <w:rPr>
                        <w:noProof/>
                      </w:rPr>
                      <w:t xml:space="preserve">[12] </w:t>
                    </w:r>
                  </w:p>
                </w:tc>
                <w:tc>
                  <w:tcPr>
                    <w:tcW w:w="0" w:type="auto"/>
                    <w:hideMark/>
                  </w:tcPr>
                  <w:p w14:paraId="2DBFACF9" w14:textId="77777777" w:rsidR="009F0616" w:rsidRDefault="009F0616">
                    <w:pPr>
                      <w:pStyle w:val="Bibliography"/>
                      <w:rPr>
                        <w:noProof/>
                      </w:rPr>
                    </w:pPr>
                    <w:r>
                      <w:rPr>
                        <w:noProof/>
                      </w:rPr>
                      <w:t>S. a. Q. S. a. I. N. a. B. M. a. F. L. a. W. G. a. G. R. Quinn, “Identifying and estimating cybersecurity risk for enterprise risk management,” US Department of Commerce, National Institute of Standards and Technology, 2020.</w:t>
                    </w:r>
                  </w:p>
                </w:tc>
              </w:tr>
              <w:tr w:rsidR="009F0616" w14:paraId="62BF837D" w14:textId="77777777">
                <w:trPr>
                  <w:divId w:val="1326981460"/>
                  <w:tblCellSpacing w:w="15" w:type="dxa"/>
                </w:trPr>
                <w:tc>
                  <w:tcPr>
                    <w:tcW w:w="50" w:type="pct"/>
                    <w:hideMark/>
                  </w:tcPr>
                  <w:p w14:paraId="2B2DBB27" w14:textId="77777777" w:rsidR="009F0616" w:rsidRDefault="009F0616">
                    <w:pPr>
                      <w:pStyle w:val="Bibliography"/>
                      <w:rPr>
                        <w:noProof/>
                      </w:rPr>
                    </w:pPr>
                    <w:r>
                      <w:rPr>
                        <w:noProof/>
                      </w:rPr>
                      <w:t xml:space="preserve">[13] </w:t>
                    </w:r>
                  </w:p>
                </w:tc>
                <w:tc>
                  <w:tcPr>
                    <w:tcW w:w="0" w:type="auto"/>
                    <w:hideMark/>
                  </w:tcPr>
                  <w:p w14:paraId="147189C8" w14:textId="77777777" w:rsidR="009F0616" w:rsidRDefault="009F0616">
                    <w:pPr>
                      <w:pStyle w:val="Bibliography"/>
                      <w:rPr>
                        <w:noProof/>
                      </w:rPr>
                    </w:pPr>
                    <w:r>
                      <w:rPr>
                        <w:noProof/>
                      </w:rPr>
                      <w:t>S. a. Q. S. a. I. N. a. B. M. a. W. G. a. G. R. Quinn, “Prioritizing cybersecurity risk for enterprise risk management,” US Department of Commerce, National Institute of Standards and Technology, 2022.</w:t>
                    </w:r>
                  </w:p>
                </w:tc>
              </w:tr>
              <w:tr w:rsidR="009F0616" w14:paraId="535BC2F1" w14:textId="77777777">
                <w:trPr>
                  <w:divId w:val="1326981460"/>
                  <w:tblCellSpacing w:w="15" w:type="dxa"/>
                </w:trPr>
                <w:tc>
                  <w:tcPr>
                    <w:tcW w:w="50" w:type="pct"/>
                    <w:hideMark/>
                  </w:tcPr>
                  <w:p w14:paraId="68243756" w14:textId="77777777" w:rsidR="009F0616" w:rsidRDefault="009F0616">
                    <w:pPr>
                      <w:pStyle w:val="Bibliography"/>
                      <w:rPr>
                        <w:noProof/>
                      </w:rPr>
                    </w:pPr>
                    <w:r>
                      <w:rPr>
                        <w:noProof/>
                      </w:rPr>
                      <w:t xml:space="preserve">[14] </w:t>
                    </w:r>
                  </w:p>
                </w:tc>
                <w:tc>
                  <w:tcPr>
                    <w:tcW w:w="0" w:type="auto"/>
                    <w:hideMark/>
                  </w:tcPr>
                  <w:p w14:paraId="506BD1C8" w14:textId="77777777" w:rsidR="009F0616" w:rsidRDefault="009F0616">
                    <w:pPr>
                      <w:pStyle w:val="Bibliography"/>
                      <w:rPr>
                        <w:noProof/>
                      </w:rPr>
                    </w:pPr>
                    <w:r>
                      <w:rPr>
                        <w:noProof/>
                      </w:rPr>
                      <w:t xml:space="preserve">T. a. M. S. S. Ahmad Jaber, “Enterprise risk management literature: emerging themes and future directions,” </w:t>
                    </w:r>
                    <w:r>
                      <w:rPr>
                        <w:i/>
                        <w:iCs/>
                        <w:noProof/>
                      </w:rPr>
                      <w:t xml:space="preserve">Journal of Accounting &amp; Organizational Change, </w:t>
                    </w:r>
                    <w:r>
                      <w:rPr>
                        <w:noProof/>
                      </w:rPr>
                      <w:t xml:space="preserve">vol. 20, no. 1, pp. 84--111, 2024. </w:t>
                    </w:r>
                  </w:p>
                </w:tc>
              </w:tr>
              <w:tr w:rsidR="009F0616" w14:paraId="05F69A6A" w14:textId="77777777">
                <w:trPr>
                  <w:divId w:val="1326981460"/>
                  <w:tblCellSpacing w:w="15" w:type="dxa"/>
                </w:trPr>
                <w:tc>
                  <w:tcPr>
                    <w:tcW w:w="50" w:type="pct"/>
                    <w:hideMark/>
                  </w:tcPr>
                  <w:p w14:paraId="025276DD" w14:textId="77777777" w:rsidR="009F0616" w:rsidRDefault="009F0616">
                    <w:pPr>
                      <w:pStyle w:val="Bibliography"/>
                      <w:rPr>
                        <w:noProof/>
                      </w:rPr>
                    </w:pPr>
                    <w:r>
                      <w:rPr>
                        <w:noProof/>
                      </w:rPr>
                      <w:t xml:space="preserve">[15] </w:t>
                    </w:r>
                  </w:p>
                </w:tc>
                <w:tc>
                  <w:tcPr>
                    <w:tcW w:w="0" w:type="auto"/>
                    <w:hideMark/>
                  </w:tcPr>
                  <w:p w14:paraId="30A6B18F" w14:textId="77777777" w:rsidR="009F0616" w:rsidRDefault="009F0616">
                    <w:pPr>
                      <w:pStyle w:val="Bibliography"/>
                      <w:rPr>
                        <w:noProof/>
                      </w:rPr>
                    </w:pPr>
                    <w:r>
                      <w:rPr>
                        <w:noProof/>
                      </w:rPr>
                      <w:t xml:space="preserve">P. S. a. J.-P. B. Krüger, The European Union, cybersecurity, and the financial sector: A primer}, Carnegie Endowment for International Peace, 2021. </w:t>
                    </w:r>
                  </w:p>
                </w:tc>
              </w:tr>
              <w:tr w:rsidR="009F0616" w14:paraId="68866F2F" w14:textId="77777777">
                <w:trPr>
                  <w:divId w:val="1326981460"/>
                  <w:tblCellSpacing w:w="15" w:type="dxa"/>
                </w:trPr>
                <w:tc>
                  <w:tcPr>
                    <w:tcW w:w="50" w:type="pct"/>
                    <w:hideMark/>
                  </w:tcPr>
                  <w:p w14:paraId="608E885B" w14:textId="77777777" w:rsidR="009F0616" w:rsidRDefault="009F0616">
                    <w:pPr>
                      <w:pStyle w:val="Bibliography"/>
                      <w:rPr>
                        <w:noProof/>
                      </w:rPr>
                    </w:pPr>
                    <w:r>
                      <w:rPr>
                        <w:noProof/>
                      </w:rPr>
                      <w:lastRenderedPageBreak/>
                      <w:t xml:space="preserve">[16] </w:t>
                    </w:r>
                  </w:p>
                </w:tc>
                <w:tc>
                  <w:tcPr>
                    <w:tcW w:w="0" w:type="auto"/>
                    <w:hideMark/>
                  </w:tcPr>
                  <w:p w14:paraId="5711FF92" w14:textId="77777777" w:rsidR="009F0616" w:rsidRDefault="009F0616">
                    <w:pPr>
                      <w:pStyle w:val="Bibliography"/>
                      <w:rPr>
                        <w:noProof/>
                      </w:rPr>
                    </w:pPr>
                    <w:r>
                      <w:rPr>
                        <w:noProof/>
                      </w:rPr>
                      <w:t xml:space="preserve">A. a. L. M. a. P. M. Aghazadeh Ardebili, “Risk assessment for cyber resilience of critical infrastructures: Methods, governance, and standards},” </w:t>
                    </w:r>
                    <w:r>
                      <w:rPr>
                        <w:i/>
                        <w:iCs/>
                        <w:noProof/>
                      </w:rPr>
                      <w:t xml:space="preserve">Applied Sciences, </w:t>
                    </w:r>
                    <w:r>
                      <w:rPr>
                        <w:noProof/>
                      </w:rPr>
                      <w:t xml:space="preserve">vol. 14, no. 24, p. 11807, 2024. </w:t>
                    </w:r>
                  </w:p>
                </w:tc>
              </w:tr>
              <w:tr w:rsidR="009F0616" w14:paraId="407437D6" w14:textId="77777777">
                <w:trPr>
                  <w:divId w:val="1326981460"/>
                  <w:tblCellSpacing w:w="15" w:type="dxa"/>
                </w:trPr>
                <w:tc>
                  <w:tcPr>
                    <w:tcW w:w="50" w:type="pct"/>
                    <w:hideMark/>
                  </w:tcPr>
                  <w:p w14:paraId="0864548A" w14:textId="77777777" w:rsidR="009F0616" w:rsidRDefault="009F0616">
                    <w:pPr>
                      <w:pStyle w:val="Bibliography"/>
                      <w:rPr>
                        <w:noProof/>
                      </w:rPr>
                    </w:pPr>
                    <w:r>
                      <w:rPr>
                        <w:noProof/>
                      </w:rPr>
                      <w:t xml:space="preserve">[17] </w:t>
                    </w:r>
                  </w:p>
                </w:tc>
                <w:tc>
                  <w:tcPr>
                    <w:tcW w:w="0" w:type="auto"/>
                    <w:hideMark/>
                  </w:tcPr>
                  <w:p w14:paraId="0C0BEC48" w14:textId="77777777" w:rsidR="009F0616" w:rsidRDefault="009F0616">
                    <w:pPr>
                      <w:pStyle w:val="Bibliography"/>
                      <w:rPr>
                        <w:noProof/>
                      </w:rPr>
                    </w:pPr>
                    <w:r>
                      <w:rPr>
                        <w:noProof/>
                      </w:rPr>
                      <w:t xml:space="preserve">B. Dupont, “The cyber-resilience of financial institutions: significance and applicability,” </w:t>
                    </w:r>
                    <w:r>
                      <w:rPr>
                        <w:i/>
                        <w:iCs/>
                        <w:noProof/>
                      </w:rPr>
                      <w:t xml:space="preserve">Journal of cybersecurity, </w:t>
                    </w:r>
                    <w:r>
                      <w:rPr>
                        <w:noProof/>
                      </w:rPr>
                      <w:t xml:space="preserve">vol. 5, no. 1, p. tyz01, 2019. </w:t>
                    </w:r>
                  </w:p>
                </w:tc>
              </w:tr>
              <w:tr w:rsidR="009F0616" w14:paraId="2ED766E6" w14:textId="77777777">
                <w:trPr>
                  <w:divId w:val="1326981460"/>
                  <w:tblCellSpacing w:w="15" w:type="dxa"/>
                </w:trPr>
                <w:tc>
                  <w:tcPr>
                    <w:tcW w:w="50" w:type="pct"/>
                    <w:hideMark/>
                  </w:tcPr>
                  <w:p w14:paraId="458ED0A1" w14:textId="77777777" w:rsidR="009F0616" w:rsidRDefault="009F0616">
                    <w:pPr>
                      <w:pStyle w:val="Bibliography"/>
                      <w:rPr>
                        <w:noProof/>
                      </w:rPr>
                    </w:pPr>
                    <w:r>
                      <w:rPr>
                        <w:noProof/>
                      </w:rPr>
                      <w:t xml:space="preserve">[18] </w:t>
                    </w:r>
                  </w:p>
                </w:tc>
                <w:tc>
                  <w:tcPr>
                    <w:tcW w:w="0" w:type="auto"/>
                    <w:hideMark/>
                  </w:tcPr>
                  <w:p w14:paraId="12E679B2" w14:textId="77777777" w:rsidR="009F0616" w:rsidRDefault="009F0616">
                    <w:pPr>
                      <w:pStyle w:val="Bibliography"/>
                      <w:rPr>
                        <w:noProof/>
                      </w:rPr>
                    </w:pPr>
                    <w:r>
                      <w:rPr>
                        <w:noProof/>
                      </w:rPr>
                      <w:t xml:space="preserve">G. Ros, “The making of a cyber crash: a conceptual model for systemic risk in the financial sector,” </w:t>
                    </w:r>
                    <w:r>
                      <w:rPr>
                        <w:i/>
                        <w:iCs/>
                        <w:noProof/>
                      </w:rPr>
                      <w:t xml:space="preserve">ESRB: Occasional Paper Series, </w:t>
                    </w:r>
                    <w:r>
                      <w:rPr>
                        <w:noProof/>
                      </w:rPr>
                      <w:t xml:space="preserve">vol. 2020/6, pp. 1 -75, 2020. </w:t>
                    </w:r>
                  </w:p>
                </w:tc>
              </w:tr>
              <w:tr w:rsidR="009F0616" w14:paraId="6538455B" w14:textId="77777777">
                <w:trPr>
                  <w:divId w:val="1326981460"/>
                  <w:tblCellSpacing w:w="15" w:type="dxa"/>
                </w:trPr>
                <w:tc>
                  <w:tcPr>
                    <w:tcW w:w="50" w:type="pct"/>
                    <w:hideMark/>
                  </w:tcPr>
                  <w:p w14:paraId="1893591A" w14:textId="77777777" w:rsidR="009F0616" w:rsidRDefault="009F0616">
                    <w:pPr>
                      <w:pStyle w:val="Bibliography"/>
                      <w:rPr>
                        <w:noProof/>
                      </w:rPr>
                    </w:pPr>
                    <w:r>
                      <w:rPr>
                        <w:noProof/>
                      </w:rPr>
                      <w:t xml:space="preserve">[19] </w:t>
                    </w:r>
                  </w:p>
                </w:tc>
                <w:tc>
                  <w:tcPr>
                    <w:tcW w:w="0" w:type="auto"/>
                    <w:hideMark/>
                  </w:tcPr>
                  <w:p w14:paraId="67CE0239" w14:textId="77777777" w:rsidR="009F0616" w:rsidRDefault="009F0616">
                    <w:pPr>
                      <w:pStyle w:val="Bibliography"/>
                      <w:rPr>
                        <w:noProof/>
                      </w:rPr>
                    </w:pPr>
                    <w:r>
                      <w:rPr>
                        <w:noProof/>
                      </w:rPr>
                      <w:t xml:space="preserve">V. Lucini, “The ever-increasing cybersecurity compliance in Europe: The NIS 2 and what all businesses in the EU should be aware of,” </w:t>
                    </w:r>
                    <w:r>
                      <w:rPr>
                        <w:i/>
                        <w:iCs/>
                        <w:noProof/>
                      </w:rPr>
                      <w:t xml:space="preserve">Russian Law Journal}, </w:t>
                    </w:r>
                    <w:r>
                      <w:rPr>
                        <w:noProof/>
                      </w:rPr>
                      <w:t xml:space="preserve">vol. 11, no. 65, pp. 145--154, 2023. </w:t>
                    </w:r>
                  </w:p>
                </w:tc>
              </w:tr>
              <w:tr w:rsidR="009F0616" w14:paraId="11F17D5F" w14:textId="77777777">
                <w:trPr>
                  <w:divId w:val="1326981460"/>
                  <w:tblCellSpacing w:w="15" w:type="dxa"/>
                </w:trPr>
                <w:tc>
                  <w:tcPr>
                    <w:tcW w:w="50" w:type="pct"/>
                    <w:hideMark/>
                  </w:tcPr>
                  <w:p w14:paraId="3AC9AF8B" w14:textId="77777777" w:rsidR="009F0616" w:rsidRDefault="009F0616">
                    <w:pPr>
                      <w:pStyle w:val="Bibliography"/>
                      <w:rPr>
                        <w:noProof/>
                      </w:rPr>
                    </w:pPr>
                    <w:r>
                      <w:rPr>
                        <w:noProof/>
                      </w:rPr>
                      <w:t xml:space="preserve">[20] </w:t>
                    </w:r>
                  </w:p>
                </w:tc>
                <w:tc>
                  <w:tcPr>
                    <w:tcW w:w="0" w:type="auto"/>
                    <w:hideMark/>
                  </w:tcPr>
                  <w:p w14:paraId="66602828" w14:textId="77777777" w:rsidR="009F0616" w:rsidRDefault="009F0616">
                    <w:pPr>
                      <w:pStyle w:val="Bibliography"/>
                      <w:rPr>
                        <w:noProof/>
                      </w:rPr>
                    </w:pPr>
                    <w:r>
                      <w:rPr>
                        <w:noProof/>
                      </w:rPr>
                      <w:t xml:space="preserve">A. a. B. O. a. R. S. a. T. A. a. o. Kerman, “Implementing a zero trust architecture,” </w:t>
                    </w:r>
                    <w:r>
                      <w:rPr>
                        <w:i/>
                        <w:iCs/>
                        <w:noProof/>
                      </w:rPr>
                      <w:t xml:space="preserve">National Institute of Standards and Technology, </w:t>
                    </w:r>
                    <w:r>
                      <w:rPr>
                        <w:noProof/>
                      </w:rPr>
                      <w:t xml:space="preserve">vol. 2020, pp. 1 -65, 2020. </w:t>
                    </w:r>
                  </w:p>
                </w:tc>
              </w:tr>
              <w:tr w:rsidR="009F0616" w14:paraId="21D893EE" w14:textId="77777777">
                <w:trPr>
                  <w:divId w:val="1326981460"/>
                  <w:tblCellSpacing w:w="15" w:type="dxa"/>
                </w:trPr>
                <w:tc>
                  <w:tcPr>
                    <w:tcW w:w="50" w:type="pct"/>
                    <w:hideMark/>
                  </w:tcPr>
                  <w:p w14:paraId="78635C22" w14:textId="77777777" w:rsidR="009F0616" w:rsidRDefault="009F0616">
                    <w:pPr>
                      <w:pStyle w:val="Bibliography"/>
                      <w:rPr>
                        <w:noProof/>
                      </w:rPr>
                    </w:pPr>
                    <w:r>
                      <w:rPr>
                        <w:noProof/>
                      </w:rPr>
                      <w:t xml:space="preserve">[21] </w:t>
                    </w:r>
                  </w:p>
                </w:tc>
                <w:tc>
                  <w:tcPr>
                    <w:tcW w:w="0" w:type="auto"/>
                    <w:hideMark/>
                  </w:tcPr>
                  <w:p w14:paraId="16D26E27" w14:textId="77777777" w:rsidR="009F0616" w:rsidRDefault="009F0616">
                    <w:pPr>
                      <w:pStyle w:val="Bibliography"/>
                      <w:rPr>
                        <w:noProof/>
                      </w:rPr>
                    </w:pPr>
                    <w:r>
                      <w:rPr>
                        <w:noProof/>
                      </w:rPr>
                      <w:t xml:space="preserve">C. C. a. I. A. B. a. O. S. A. a. A. P. A. a. A. O. O. a. A. A. I. Ike, “Redefining zero trust architecture in cloud networks: A conceptual shift towards granular, dynamic access control and policy enforcement,” </w:t>
                    </w:r>
                    <w:r>
                      <w:rPr>
                        <w:i/>
                        <w:iCs/>
                        <w:noProof/>
                      </w:rPr>
                      <w:t xml:space="preserve">Magna Scientia Advanced Research and Reviews, </w:t>
                    </w:r>
                    <w:r>
                      <w:rPr>
                        <w:noProof/>
                      </w:rPr>
                      <w:t xml:space="preserve">vol. 2, no. 1, pp. 074--086, 2021. </w:t>
                    </w:r>
                  </w:p>
                </w:tc>
              </w:tr>
              <w:tr w:rsidR="009F0616" w14:paraId="606C1D4C" w14:textId="77777777">
                <w:trPr>
                  <w:divId w:val="1326981460"/>
                  <w:tblCellSpacing w:w="15" w:type="dxa"/>
                </w:trPr>
                <w:tc>
                  <w:tcPr>
                    <w:tcW w:w="50" w:type="pct"/>
                    <w:hideMark/>
                  </w:tcPr>
                  <w:p w14:paraId="0CAFC910" w14:textId="77777777" w:rsidR="009F0616" w:rsidRDefault="009F0616">
                    <w:pPr>
                      <w:pStyle w:val="Bibliography"/>
                      <w:rPr>
                        <w:noProof/>
                      </w:rPr>
                    </w:pPr>
                    <w:r>
                      <w:rPr>
                        <w:noProof/>
                      </w:rPr>
                      <w:t xml:space="preserve">[22] </w:t>
                    </w:r>
                  </w:p>
                </w:tc>
                <w:tc>
                  <w:tcPr>
                    <w:tcW w:w="0" w:type="auto"/>
                    <w:hideMark/>
                  </w:tcPr>
                  <w:p w14:paraId="4EC115BF" w14:textId="77777777" w:rsidR="009F0616" w:rsidRDefault="009F0616">
                    <w:pPr>
                      <w:pStyle w:val="Bibliography"/>
                      <w:rPr>
                        <w:noProof/>
                      </w:rPr>
                    </w:pPr>
                    <w:r>
                      <w:rPr>
                        <w:noProof/>
                      </w:rPr>
                      <w:t xml:space="preserve">L. A. a. L. M. P. a. Z. L. Gordon, “Integrating cost--benefit analysis into the NIST Cybersecurity Framework via the Gordon--Loeb Model,” </w:t>
                    </w:r>
                    <w:r>
                      <w:rPr>
                        <w:i/>
                        <w:iCs/>
                        <w:noProof/>
                      </w:rPr>
                      <w:t xml:space="preserve">Journal of Cybersecurity, </w:t>
                    </w:r>
                    <w:r>
                      <w:rPr>
                        <w:noProof/>
                      </w:rPr>
                      <w:t xml:space="preserve">vol. 6, no. 1, p. tyaa005, 2020. </w:t>
                    </w:r>
                  </w:p>
                </w:tc>
              </w:tr>
              <w:tr w:rsidR="009F0616" w14:paraId="09CDE70D" w14:textId="77777777">
                <w:trPr>
                  <w:divId w:val="1326981460"/>
                  <w:tblCellSpacing w:w="15" w:type="dxa"/>
                </w:trPr>
                <w:tc>
                  <w:tcPr>
                    <w:tcW w:w="50" w:type="pct"/>
                    <w:hideMark/>
                  </w:tcPr>
                  <w:p w14:paraId="2EACCF71" w14:textId="77777777" w:rsidR="009F0616" w:rsidRDefault="009F0616">
                    <w:pPr>
                      <w:pStyle w:val="Bibliography"/>
                      <w:rPr>
                        <w:noProof/>
                      </w:rPr>
                    </w:pPr>
                    <w:r>
                      <w:rPr>
                        <w:noProof/>
                      </w:rPr>
                      <w:t xml:space="preserve">[23] </w:t>
                    </w:r>
                  </w:p>
                </w:tc>
                <w:tc>
                  <w:tcPr>
                    <w:tcW w:w="0" w:type="auto"/>
                    <w:hideMark/>
                  </w:tcPr>
                  <w:p w14:paraId="369EEBEE" w14:textId="77777777" w:rsidR="009F0616" w:rsidRDefault="009F0616">
                    <w:pPr>
                      <w:pStyle w:val="Bibliography"/>
                      <w:rPr>
                        <w:noProof/>
                      </w:rPr>
                    </w:pPr>
                    <w:r>
                      <w:rPr>
                        <w:noProof/>
                      </w:rPr>
                      <w:t xml:space="preserve">G. a. N. G. a. P. M. a. S. M. Culot, “The ISO/IEC 27001 information security management standard: literature review and theory-based research agenda,” </w:t>
                    </w:r>
                    <w:r>
                      <w:rPr>
                        <w:i/>
                        <w:iCs/>
                        <w:noProof/>
                      </w:rPr>
                      <w:t xml:space="preserve">The TQM Journal, </w:t>
                    </w:r>
                    <w:r>
                      <w:rPr>
                        <w:noProof/>
                      </w:rPr>
                      <w:t xml:space="preserve">vol. 33, no. 7, pp. 76--105, 2021. </w:t>
                    </w:r>
                  </w:p>
                </w:tc>
              </w:tr>
              <w:tr w:rsidR="009F0616" w14:paraId="7A257E3D" w14:textId="77777777">
                <w:trPr>
                  <w:divId w:val="1326981460"/>
                  <w:tblCellSpacing w:w="15" w:type="dxa"/>
                </w:trPr>
                <w:tc>
                  <w:tcPr>
                    <w:tcW w:w="50" w:type="pct"/>
                    <w:hideMark/>
                  </w:tcPr>
                  <w:p w14:paraId="3B258C2E" w14:textId="77777777" w:rsidR="009F0616" w:rsidRDefault="009F0616">
                    <w:pPr>
                      <w:pStyle w:val="Bibliography"/>
                      <w:rPr>
                        <w:noProof/>
                      </w:rPr>
                    </w:pPr>
                    <w:r>
                      <w:rPr>
                        <w:noProof/>
                      </w:rPr>
                      <w:t xml:space="preserve">[24] </w:t>
                    </w:r>
                  </w:p>
                </w:tc>
                <w:tc>
                  <w:tcPr>
                    <w:tcW w:w="0" w:type="auto"/>
                    <w:hideMark/>
                  </w:tcPr>
                  <w:p w14:paraId="2A7F8BDE" w14:textId="77777777" w:rsidR="009F0616" w:rsidRDefault="009F0616">
                    <w:pPr>
                      <w:pStyle w:val="Bibliography"/>
                      <w:rPr>
                        <w:noProof/>
                      </w:rPr>
                    </w:pPr>
                    <w:r>
                      <w:rPr>
                        <w:noProof/>
                      </w:rPr>
                      <w:t xml:space="preserve">G. a. N. G. a. P. M. a. S. M. Culot, “The ISO/IEC 27001 information security management standard: literature review and theory-based research agenda,” </w:t>
                    </w:r>
                    <w:r>
                      <w:rPr>
                        <w:i/>
                        <w:iCs/>
                        <w:noProof/>
                      </w:rPr>
                      <w:t xml:space="preserve">The TQM Journal, </w:t>
                    </w:r>
                    <w:r>
                      <w:rPr>
                        <w:noProof/>
                      </w:rPr>
                      <w:t xml:space="preserve">vol. 33, no. 7, pp. 76--105, 2021. </w:t>
                    </w:r>
                  </w:p>
                </w:tc>
              </w:tr>
              <w:tr w:rsidR="009F0616" w14:paraId="66AE325B" w14:textId="77777777">
                <w:trPr>
                  <w:divId w:val="1326981460"/>
                  <w:tblCellSpacing w:w="15" w:type="dxa"/>
                </w:trPr>
                <w:tc>
                  <w:tcPr>
                    <w:tcW w:w="50" w:type="pct"/>
                    <w:hideMark/>
                  </w:tcPr>
                  <w:p w14:paraId="0B68EC04" w14:textId="77777777" w:rsidR="009F0616" w:rsidRDefault="009F0616">
                    <w:pPr>
                      <w:pStyle w:val="Bibliography"/>
                      <w:rPr>
                        <w:noProof/>
                      </w:rPr>
                    </w:pPr>
                    <w:r>
                      <w:rPr>
                        <w:noProof/>
                      </w:rPr>
                      <w:t xml:space="preserve">[25] </w:t>
                    </w:r>
                  </w:p>
                </w:tc>
                <w:tc>
                  <w:tcPr>
                    <w:tcW w:w="0" w:type="auto"/>
                    <w:hideMark/>
                  </w:tcPr>
                  <w:p w14:paraId="533300B0" w14:textId="77777777" w:rsidR="009F0616" w:rsidRDefault="009F0616">
                    <w:pPr>
                      <w:pStyle w:val="Bibliography"/>
                      <w:rPr>
                        <w:noProof/>
                      </w:rPr>
                    </w:pPr>
                    <w:r>
                      <w:rPr>
                        <w:noProof/>
                      </w:rPr>
                      <w:t xml:space="preserve">S. a. V. G. W. a. J. A. a. H. T. De Haes, “Enterprise governance of IT, alignment, and value,” in </w:t>
                    </w:r>
                    <w:r>
                      <w:rPr>
                        <w:i/>
                        <w:iCs/>
                        <w:noProof/>
                      </w:rPr>
                      <w:t>Enterprise Governance of Information Technology: Achieving Alignment and Value in Digital Organizations</w:t>
                    </w:r>
                    <w:r>
                      <w:rPr>
                        <w:noProof/>
                      </w:rPr>
                      <w:t>, 2019, pp. 1 -13.</w:t>
                    </w:r>
                  </w:p>
                </w:tc>
              </w:tr>
              <w:tr w:rsidR="009F0616" w14:paraId="2139D06A" w14:textId="77777777">
                <w:trPr>
                  <w:divId w:val="1326981460"/>
                  <w:tblCellSpacing w:w="15" w:type="dxa"/>
                </w:trPr>
                <w:tc>
                  <w:tcPr>
                    <w:tcW w:w="50" w:type="pct"/>
                    <w:hideMark/>
                  </w:tcPr>
                  <w:p w14:paraId="43CEC5C5" w14:textId="77777777" w:rsidR="009F0616" w:rsidRDefault="009F0616">
                    <w:pPr>
                      <w:pStyle w:val="Bibliography"/>
                      <w:rPr>
                        <w:noProof/>
                      </w:rPr>
                    </w:pPr>
                    <w:r>
                      <w:rPr>
                        <w:noProof/>
                      </w:rPr>
                      <w:t xml:space="preserve">[26] </w:t>
                    </w:r>
                  </w:p>
                </w:tc>
                <w:tc>
                  <w:tcPr>
                    <w:tcW w:w="0" w:type="auto"/>
                    <w:hideMark/>
                  </w:tcPr>
                  <w:p w14:paraId="6E85E1F1" w14:textId="77777777" w:rsidR="009F0616" w:rsidRDefault="009F0616">
                    <w:pPr>
                      <w:pStyle w:val="Bibliography"/>
                      <w:rPr>
                        <w:noProof/>
                      </w:rPr>
                    </w:pPr>
                    <w:r>
                      <w:rPr>
                        <w:noProof/>
                      </w:rPr>
                      <w:t xml:space="preserve">J. a. R.-V. Y. a. N.-S. M. a. M. S.-R. J. Luis Salas-Riega, “Cybersecurity and the NIST Framework: A Systematic Review of its Implementation and Effectiveness Against Cyber Threats,” </w:t>
                    </w:r>
                    <w:r>
                      <w:rPr>
                        <w:i/>
                        <w:iCs/>
                        <w:noProof/>
                      </w:rPr>
                      <w:t xml:space="preserve">International Journal of Advanced Computer Science &amp; Applications, </w:t>
                    </w:r>
                    <w:r>
                      <w:rPr>
                        <w:noProof/>
                      </w:rPr>
                      <w:t xml:space="preserve">vol. 16, no. 6, 2025. </w:t>
                    </w:r>
                  </w:p>
                </w:tc>
              </w:tr>
              <w:tr w:rsidR="009F0616" w14:paraId="2F6B7748" w14:textId="77777777">
                <w:trPr>
                  <w:divId w:val="1326981460"/>
                  <w:tblCellSpacing w:w="15" w:type="dxa"/>
                </w:trPr>
                <w:tc>
                  <w:tcPr>
                    <w:tcW w:w="50" w:type="pct"/>
                    <w:hideMark/>
                  </w:tcPr>
                  <w:p w14:paraId="41FD41B5" w14:textId="77777777" w:rsidR="009F0616" w:rsidRDefault="009F0616">
                    <w:pPr>
                      <w:pStyle w:val="Bibliography"/>
                      <w:rPr>
                        <w:noProof/>
                      </w:rPr>
                    </w:pPr>
                    <w:r>
                      <w:rPr>
                        <w:noProof/>
                      </w:rPr>
                      <w:t xml:space="preserve">[27] </w:t>
                    </w:r>
                  </w:p>
                </w:tc>
                <w:tc>
                  <w:tcPr>
                    <w:tcW w:w="0" w:type="auto"/>
                    <w:hideMark/>
                  </w:tcPr>
                  <w:p w14:paraId="2BCE965F" w14:textId="77777777" w:rsidR="009F0616" w:rsidRDefault="009F0616">
                    <w:pPr>
                      <w:pStyle w:val="Bibliography"/>
                      <w:rPr>
                        <w:noProof/>
                      </w:rPr>
                    </w:pPr>
                    <w:r>
                      <w:rPr>
                        <w:noProof/>
                      </w:rPr>
                      <w:t>K. a. S. K. a. Q. S. a. W. G. a. G. R. Stine, “Integrating cybersecurity and enterprise risk management (ERM)},” US Department of Commerce, National Institute of Standards and Technology, 2020.</w:t>
                    </w:r>
                  </w:p>
                </w:tc>
              </w:tr>
              <w:tr w:rsidR="009F0616" w14:paraId="4DB1E2AF" w14:textId="77777777">
                <w:trPr>
                  <w:divId w:val="1326981460"/>
                  <w:tblCellSpacing w:w="15" w:type="dxa"/>
                </w:trPr>
                <w:tc>
                  <w:tcPr>
                    <w:tcW w:w="50" w:type="pct"/>
                    <w:hideMark/>
                  </w:tcPr>
                  <w:p w14:paraId="48CBC48C" w14:textId="77777777" w:rsidR="009F0616" w:rsidRDefault="009F0616">
                    <w:pPr>
                      <w:pStyle w:val="Bibliography"/>
                      <w:rPr>
                        <w:noProof/>
                      </w:rPr>
                    </w:pPr>
                    <w:r>
                      <w:rPr>
                        <w:noProof/>
                      </w:rPr>
                      <w:t xml:space="preserve">[28] </w:t>
                    </w:r>
                  </w:p>
                </w:tc>
                <w:tc>
                  <w:tcPr>
                    <w:tcW w:w="0" w:type="auto"/>
                    <w:hideMark/>
                  </w:tcPr>
                  <w:p w14:paraId="4C3FFBF6" w14:textId="77777777" w:rsidR="009F0616" w:rsidRDefault="009F0616">
                    <w:pPr>
                      <w:pStyle w:val="Bibliography"/>
                      <w:rPr>
                        <w:noProof/>
                      </w:rPr>
                    </w:pPr>
                    <w:r>
                      <w:rPr>
                        <w:noProof/>
                      </w:rPr>
                      <w:t xml:space="preserve">A. a. B. O. a. R. S. a. T. A. a. o. Kerman, “Implementing a zero trust architecture,” </w:t>
                    </w:r>
                    <w:r>
                      <w:rPr>
                        <w:i/>
                        <w:iCs/>
                        <w:noProof/>
                      </w:rPr>
                      <w:t xml:space="preserve">National Institute of Standards and Technology, </w:t>
                    </w:r>
                    <w:r>
                      <w:rPr>
                        <w:noProof/>
                      </w:rPr>
                      <w:t xml:space="preserve">vol. 2020, pp. 1 -17, 2020. </w:t>
                    </w:r>
                  </w:p>
                </w:tc>
              </w:tr>
              <w:tr w:rsidR="009F0616" w14:paraId="752C691A" w14:textId="77777777">
                <w:trPr>
                  <w:divId w:val="1326981460"/>
                  <w:tblCellSpacing w:w="15" w:type="dxa"/>
                </w:trPr>
                <w:tc>
                  <w:tcPr>
                    <w:tcW w:w="50" w:type="pct"/>
                    <w:hideMark/>
                  </w:tcPr>
                  <w:p w14:paraId="3C523701" w14:textId="77777777" w:rsidR="009F0616" w:rsidRDefault="009F0616">
                    <w:pPr>
                      <w:pStyle w:val="Bibliography"/>
                      <w:rPr>
                        <w:noProof/>
                      </w:rPr>
                    </w:pPr>
                    <w:r>
                      <w:rPr>
                        <w:noProof/>
                      </w:rPr>
                      <w:lastRenderedPageBreak/>
                      <w:t xml:space="preserve">[29] </w:t>
                    </w:r>
                  </w:p>
                </w:tc>
                <w:tc>
                  <w:tcPr>
                    <w:tcW w:w="0" w:type="auto"/>
                    <w:hideMark/>
                  </w:tcPr>
                  <w:p w14:paraId="3914FCA0" w14:textId="77777777" w:rsidR="009F0616" w:rsidRDefault="009F0616">
                    <w:pPr>
                      <w:pStyle w:val="Bibliography"/>
                      <w:rPr>
                        <w:noProof/>
                      </w:rPr>
                    </w:pPr>
                    <w:r>
                      <w:rPr>
                        <w:noProof/>
                      </w:rPr>
                      <w:t xml:space="preserve">G. Ros, “The making of a cyber crash: a conceptual model for systemic risk in the financial sector,” </w:t>
                    </w:r>
                    <w:r>
                      <w:rPr>
                        <w:i/>
                        <w:iCs/>
                        <w:noProof/>
                      </w:rPr>
                      <w:t xml:space="preserve">ESRB: Occasional Paper Series, </w:t>
                    </w:r>
                    <w:r>
                      <w:rPr>
                        <w:noProof/>
                      </w:rPr>
                      <w:t xml:space="preserve">vol. 2020, no. 16, 2020. </w:t>
                    </w:r>
                  </w:p>
                </w:tc>
              </w:tr>
            </w:tbl>
            <w:p w14:paraId="43C908A0" w14:textId="77777777" w:rsidR="009F0616" w:rsidRDefault="009F0616">
              <w:pPr>
                <w:divId w:val="1326981460"/>
                <w:rPr>
                  <w:rFonts w:eastAsia="Times New Roman"/>
                  <w:noProof/>
                </w:rPr>
              </w:pPr>
            </w:p>
            <w:p w14:paraId="30835566" w14:textId="0ECFA447" w:rsidR="0024058E" w:rsidRDefault="0024058E">
              <w:r>
                <w:rPr>
                  <w:b/>
                  <w:bCs/>
                  <w:noProof/>
                </w:rPr>
                <w:fldChar w:fldCharType="end"/>
              </w:r>
            </w:p>
          </w:sdtContent>
        </w:sdt>
      </w:sdtContent>
    </w:sdt>
    <w:p w14:paraId="0539757B" w14:textId="77777777" w:rsidR="00F00550" w:rsidRDefault="00F00550"/>
    <w:p w14:paraId="625CCB0D" w14:textId="77777777" w:rsidR="00F00550" w:rsidRDefault="00F00550"/>
    <w:p w14:paraId="5648052B" w14:textId="77777777" w:rsidR="00F00550" w:rsidRDefault="00F00550"/>
    <w:p w14:paraId="09D44C49" w14:textId="77777777" w:rsidR="00F00550" w:rsidRDefault="00F00550"/>
    <w:sectPr w:rsidR="00F005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FCF314" w14:textId="77777777" w:rsidR="000C696E" w:rsidRDefault="000C696E" w:rsidP="00432CCE">
      <w:pPr>
        <w:spacing w:after="0" w:line="240" w:lineRule="auto"/>
      </w:pPr>
      <w:r>
        <w:separator/>
      </w:r>
    </w:p>
  </w:endnote>
  <w:endnote w:type="continuationSeparator" w:id="0">
    <w:p w14:paraId="5D6EED71" w14:textId="77777777" w:rsidR="000C696E" w:rsidRDefault="000C696E" w:rsidP="00432C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88A4BF" w14:textId="77777777" w:rsidR="000C696E" w:rsidRDefault="000C696E" w:rsidP="00432CCE">
      <w:pPr>
        <w:spacing w:after="0" w:line="240" w:lineRule="auto"/>
      </w:pPr>
      <w:r>
        <w:separator/>
      </w:r>
    </w:p>
  </w:footnote>
  <w:footnote w:type="continuationSeparator" w:id="0">
    <w:p w14:paraId="64504F83" w14:textId="77777777" w:rsidR="000C696E" w:rsidRDefault="000C696E" w:rsidP="00432C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8528F1"/>
    <w:multiLevelType w:val="hybridMultilevel"/>
    <w:tmpl w:val="ABB238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10387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8432350"/>
    <w:multiLevelType w:val="multilevel"/>
    <w:tmpl w:val="9A30CDE8"/>
    <w:lvl w:ilvl="0">
      <w:start w:val="1"/>
      <w:numFmt w:val="upperRoman"/>
      <w:lvlText w:val="%1."/>
      <w:lvlJc w:val="righ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4B1E009D"/>
    <w:multiLevelType w:val="multilevel"/>
    <w:tmpl w:val="9A30CDE8"/>
    <w:lvl w:ilvl="0">
      <w:start w:val="1"/>
      <w:numFmt w:val="upperRoman"/>
      <w:lvlText w:val="%1."/>
      <w:lvlJc w:val="righ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64172161"/>
    <w:multiLevelType w:val="hybridMultilevel"/>
    <w:tmpl w:val="32F2EE9E"/>
    <w:lvl w:ilvl="0" w:tplc="057CE162">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E604DF"/>
    <w:multiLevelType w:val="multilevel"/>
    <w:tmpl w:val="C54EBD40"/>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6" w15:restartNumberingAfterBreak="0">
    <w:nsid w:val="79F9168A"/>
    <w:multiLevelType w:val="multilevel"/>
    <w:tmpl w:val="EBCA32D0"/>
    <w:lvl w:ilvl="0">
      <w:start w:val="3"/>
      <w:numFmt w:val="decimal"/>
      <w:lvlText w:val="%1"/>
      <w:lvlJc w:val="left"/>
      <w:pPr>
        <w:ind w:left="360" w:hanging="360"/>
      </w:pPr>
      <w:rPr>
        <w:rFonts w:hint="default"/>
      </w:rPr>
    </w:lvl>
    <w:lvl w:ilvl="1">
      <w:start w:val="1"/>
      <w:numFmt w:val="decimal"/>
      <w:lvlText w:val="%1.%2"/>
      <w:lvlJc w:val="left"/>
      <w:pPr>
        <w:ind w:left="720" w:hanging="360"/>
      </w:pPr>
      <w:rPr>
        <w:rFonts w:ascii="Calibri" w:hAnsi="Calibri" w:cs="Calibri" w:hint="default"/>
        <w:b/>
        <w:bCs/>
        <w:sz w:val="28"/>
        <w:szCs w:val="28"/>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num w:numId="1" w16cid:durableId="1620718046">
    <w:abstractNumId w:val="3"/>
  </w:num>
  <w:num w:numId="2" w16cid:durableId="1555773981">
    <w:abstractNumId w:val="1"/>
  </w:num>
  <w:num w:numId="3" w16cid:durableId="1405374910">
    <w:abstractNumId w:val="0"/>
  </w:num>
  <w:num w:numId="4" w16cid:durableId="1046023264">
    <w:abstractNumId w:val="4"/>
  </w:num>
  <w:num w:numId="5" w16cid:durableId="345908907">
    <w:abstractNumId w:val="2"/>
  </w:num>
  <w:num w:numId="6" w16cid:durableId="1535461834">
    <w:abstractNumId w:val="6"/>
  </w:num>
  <w:num w:numId="7" w16cid:durableId="147726434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550"/>
    <w:rsid w:val="00020CEC"/>
    <w:rsid w:val="00020F7D"/>
    <w:rsid w:val="00026B92"/>
    <w:rsid w:val="00026D74"/>
    <w:rsid w:val="000344C2"/>
    <w:rsid w:val="000354BE"/>
    <w:rsid w:val="00070E98"/>
    <w:rsid w:val="0007223F"/>
    <w:rsid w:val="0007694F"/>
    <w:rsid w:val="000A012D"/>
    <w:rsid w:val="000A42DA"/>
    <w:rsid w:val="000C0E85"/>
    <w:rsid w:val="000C2D08"/>
    <w:rsid w:val="000C696E"/>
    <w:rsid w:val="000F167A"/>
    <w:rsid w:val="00102257"/>
    <w:rsid w:val="00124CCA"/>
    <w:rsid w:val="001257F5"/>
    <w:rsid w:val="001700E3"/>
    <w:rsid w:val="0019759A"/>
    <w:rsid w:val="001A4B37"/>
    <w:rsid w:val="001C3840"/>
    <w:rsid w:val="001D53EA"/>
    <w:rsid w:val="001E13D6"/>
    <w:rsid w:val="00206D7F"/>
    <w:rsid w:val="002136A3"/>
    <w:rsid w:val="00222327"/>
    <w:rsid w:val="0024058E"/>
    <w:rsid w:val="002539EA"/>
    <w:rsid w:val="00255AC5"/>
    <w:rsid w:val="00262518"/>
    <w:rsid w:val="002717B6"/>
    <w:rsid w:val="00280E00"/>
    <w:rsid w:val="0029273D"/>
    <w:rsid w:val="0029509B"/>
    <w:rsid w:val="002A7E04"/>
    <w:rsid w:val="002C6931"/>
    <w:rsid w:val="002E313F"/>
    <w:rsid w:val="002E3E26"/>
    <w:rsid w:val="002E7C68"/>
    <w:rsid w:val="002F33C6"/>
    <w:rsid w:val="003139C0"/>
    <w:rsid w:val="00337D73"/>
    <w:rsid w:val="0035244A"/>
    <w:rsid w:val="00365D23"/>
    <w:rsid w:val="00370F1A"/>
    <w:rsid w:val="00374B64"/>
    <w:rsid w:val="00393640"/>
    <w:rsid w:val="00393BF8"/>
    <w:rsid w:val="00393CC1"/>
    <w:rsid w:val="003B4D22"/>
    <w:rsid w:val="003C2237"/>
    <w:rsid w:val="003C5C02"/>
    <w:rsid w:val="003C5DF8"/>
    <w:rsid w:val="003E479F"/>
    <w:rsid w:val="003E6051"/>
    <w:rsid w:val="00412168"/>
    <w:rsid w:val="00417C93"/>
    <w:rsid w:val="00422991"/>
    <w:rsid w:val="00432CCE"/>
    <w:rsid w:val="0043568F"/>
    <w:rsid w:val="0044300F"/>
    <w:rsid w:val="004511C5"/>
    <w:rsid w:val="004617B5"/>
    <w:rsid w:val="00470595"/>
    <w:rsid w:val="00471112"/>
    <w:rsid w:val="00491EC7"/>
    <w:rsid w:val="004A3CEB"/>
    <w:rsid w:val="004A3D46"/>
    <w:rsid w:val="004A4CCF"/>
    <w:rsid w:val="004C2062"/>
    <w:rsid w:val="004C70CA"/>
    <w:rsid w:val="004E3AEF"/>
    <w:rsid w:val="004F3819"/>
    <w:rsid w:val="004F68C7"/>
    <w:rsid w:val="00523D09"/>
    <w:rsid w:val="00525D3A"/>
    <w:rsid w:val="00537042"/>
    <w:rsid w:val="00551D5E"/>
    <w:rsid w:val="005710F7"/>
    <w:rsid w:val="00585991"/>
    <w:rsid w:val="005918BE"/>
    <w:rsid w:val="005A1CC1"/>
    <w:rsid w:val="005A2CD7"/>
    <w:rsid w:val="005B4813"/>
    <w:rsid w:val="005B7E6C"/>
    <w:rsid w:val="005C0119"/>
    <w:rsid w:val="00606ACA"/>
    <w:rsid w:val="00610DAF"/>
    <w:rsid w:val="0063203C"/>
    <w:rsid w:val="0064413F"/>
    <w:rsid w:val="00655DEC"/>
    <w:rsid w:val="00673CE5"/>
    <w:rsid w:val="00676197"/>
    <w:rsid w:val="00693832"/>
    <w:rsid w:val="006A1C5A"/>
    <w:rsid w:val="006A30FD"/>
    <w:rsid w:val="006C1625"/>
    <w:rsid w:val="006C2BEF"/>
    <w:rsid w:val="006F05D7"/>
    <w:rsid w:val="006F5AF8"/>
    <w:rsid w:val="00716EC5"/>
    <w:rsid w:val="00722CF6"/>
    <w:rsid w:val="0073186B"/>
    <w:rsid w:val="00742DD9"/>
    <w:rsid w:val="0074752F"/>
    <w:rsid w:val="00777AF2"/>
    <w:rsid w:val="007B3156"/>
    <w:rsid w:val="007D0F39"/>
    <w:rsid w:val="007E2D94"/>
    <w:rsid w:val="007E7162"/>
    <w:rsid w:val="0080424D"/>
    <w:rsid w:val="00850872"/>
    <w:rsid w:val="00864157"/>
    <w:rsid w:val="00867E2E"/>
    <w:rsid w:val="00874712"/>
    <w:rsid w:val="0089352F"/>
    <w:rsid w:val="008A70ED"/>
    <w:rsid w:val="008C0EE5"/>
    <w:rsid w:val="008C4B4B"/>
    <w:rsid w:val="008E6B18"/>
    <w:rsid w:val="00900E1E"/>
    <w:rsid w:val="0091621F"/>
    <w:rsid w:val="00927BD2"/>
    <w:rsid w:val="009374A9"/>
    <w:rsid w:val="009416DA"/>
    <w:rsid w:val="00945DD9"/>
    <w:rsid w:val="00947326"/>
    <w:rsid w:val="00950D8A"/>
    <w:rsid w:val="00951901"/>
    <w:rsid w:val="00957132"/>
    <w:rsid w:val="009722E9"/>
    <w:rsid w:val="00973E06"/>
    <w:rsid w:val="00982FC8"/>
    <w:rsid w:val="00990716"/>
    <w:rsid w:val="00994243"/>
    <w:rsid w:val="009A5D3F"/>
    <w:rsid w:val="009E2D17"/>
    <w:rsid w:val="009E51DE"/>
    <w:rsid w:val="009F0616"/>
    <w:rsid w:val="00A02618"/>
    <w:rsid w:val="00A07842"/>
    <w:rsid w:val="00A52364"/>
    <w:rsid w:val="00A562EB"/>
    <w:rsid w:val="00A801CF"/>
    <w:rsid w:val="00AD3FF2"/>
    <w:rsid w:val="00AE4309"/>
    <w:rsid w:val="00AE5B0B"/>
    <w:rsid w:val="00B0123A"/>
    <w:rsid w:val="00B11227"/>
    <w:rsid w:val="00B25299"/>
    <w:rsid w:val="00B401DE"/>
    <w:rsid w:val="00B41B62"/>
    <w:rsid w:val="00B45A82"/>
    <w:rsid w:val="00B85338"/>
    <w:rsid w:val="00B87397"/>
    <w:rsid w:val="00B87808"/>
    <w:rsid w:val="00B87978"/>
    <w:rsid w:val="00B973DA"/>
    <w:rsid w:val="00BB790E"/>
    <w:rsid w:val="00BC04C0"/>
    <w:rsid w:val="00BC0FD2"/>
    <w:rsid w:val="00BE1456"/>
    <w:rsid w:val="00BF1C71"/>
    <w:rsid w:val="00BF7A7A"/>
    <w:rsid w:val="00BF7C58"/>
    <w:rsid w:val="00C131FF"/>
    <w:rsid w:val="00C2344C"/>
    <w:rsid w:val="00C37448"/>
    <w:rsid w:val="00C4667E"/>
    <w:rsid w:val="00C70F37"/>
    <w:rsid w:val="00C75073"/>
    <w:rsid w:val="00C92D4F"/>
    <w:rsid w:val="00C95B4D"/>
    <w:rsid w:val="00C97349"/>
    <w:rsid w:val="00CA624E"/>
    <w:rsid w:val="00CF56DA"/>
    <w:rsid w:val="00D03827"/>
    <w:rsid w:val="00D32178"/>
    <w:rsid w:val="00D47A3B"/>
    <w:rsid w:val="00D56AD3"/>
    <w:rsid w:val="00D6603E"/>
    <w:rsid w:val="00D7643C"/>
    <w:rsid w:val="00D92CFC"/>
    <w:rsid w:val="00DA4CA6"/>
    <w:rsid w:val="00DB54CE"/>
    <w:rsid w:val="00DB6E08"/>
    <w:rsid w:val="00DC23F3"/>
    <w:rsid w:val="00DC7AA5"/>
    <w:rsid w:val="00DD1CE7"/>
    <w:rsid w:val="00DE4014"/>
    <w:rsid w:val="00E00B91"/>
    <w:rsid w:val="00E06D77"/>
    <w:rsid w:val="00E1059B"/>
    <w:rsid w:val="00E47981"/>
    <w:rsid w:val="00E52C62"/>
    <w:rsid w:val="00E67007"/>
    <w:rsid w:val="00E73871"/>
    <w:rsid w:val="00E93DE5"/>
    <w:rsid w:val="00E943B2"/>
    <w:rsid w:val="00EA1474"/>
    <w:rsid w:val="00EC710A"/>
    <w:rsid w:val="00ED5784"/>
    <w:rsid w:val="00EE0237"/>
    <w:rsid w:val="00EE26AD"/>
    <w:rsid w:val="00F00550"/>
    <w:rsid w:val="00F05363"/>
    <w:rsid w:val="00F11853"/>
    <w:rsid w:val="00F20185"/>
    <w:rsid w:val="00F440D0"/>
    <w:rsid w:val="00F8089E"/>
    <w:rsid w:val="00F96003"/>
    <w:rsid w:val="00FB751D"/>
    <w:rsid w:val="00FC3D7B"/>
    <w:rsid w:val="00FD4F82"/>
    <w:rsid w:val="00FE5B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6A7B5"/>
  <w15:chartTrackingRefBased/>
  <w15:docId w15:val="{3077A20C-ED83-41CA-B675-A36BEC0B9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0550"/>
    <w:rPr>
      <w:rFonts w:ascii="Calibri" w:hAnsi="Calibri"/>
    </w:rPr>
  </w:style>
  <w:style w:type="paragraph" w:styleId="Heading1">
    <w:name w:val="heading 1"/>
    <w:basedOn w:val="Normal"/>
    <w:next w:val="Normal"/>
    <w:link w:val="Heading1Char"/>
    <w:uiPriority w:val="9"/>
    <w:qFormat/>
    <w:rsid w:val="00F005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005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05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05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05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05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05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05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05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05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005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05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05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05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05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05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05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0550"/>
    <w:rPr>
      <w:rFonts w:eastAsiaTheme="majorEastAsia" w:cstheme="majorBidi"/>
      <w:color w:val="272727" w:themeColor="text1" w:themeTint="D8"/>
    </w:rPr>
  </w:style>
  <w:style w:type="paragraph" w:styleId="Title">
    <w:name w:val="Title"/>
    <w:basedOn w:val="Normal"/>
    <w:next w:val="Normal"/>
    <w:link w:val="TitleChar"/>
    <w:uiPriority w:val="10"/>
    <w:qFormat/>
    <w:rsid w:val="00F005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05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05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05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0550"/>
    <w:pPr>
      <w:spacing w:before="160"/>
      <w:jc w:val="center"/>
    </w:pPr>
    <w:rPr>
      <w:i/>
      <w:iCs/>
      <w:color w:val="404040" w:themeColor="text1" w:themeTint="BF"/>
    </w:rPr>
  </w:style>
  <w:style w:type="character" w:customStyle="1" w:styleId="QuoteChar">
    <w:name w:val="Quote Char"/>
    <w:basedOn w:val="DefaultParagraphFont"/>
    <w:link w:val="Quote"/>
    <w:uiPriority w:val="29"/>
    <w:rsid w:val="00F00550"/>
    <w:rPr>
      <w:i/>
      <w:iCs/>
      <w:color w:val="404040" w:themeColor="text1" w:themeTint="BF"/>
    </w:rPr>
  </w:style>
  <w:style w:type="paragraph" w:styleId="ListParagraph">
    <w:name w:val="List Paragraph"/>
    <w:basedOn w:val="Normal"/>
    <w:uiPriority w:val="34"/>
    <w:qFormat/>
    <w:rsid w:val="00F00550"/>
    <w:pPr>
      <w:ind w:left="720"/>
      <w:contextualSpacing/>
    </w:pPr>
  </w:style>
  <w:style w:type="character" w:styleId="IntenseEmphasis">
    <w:name w:val="Intense Emphasis"/>
    <w:basedOn w:val="DefaultParagraphFont"/>
    <w:uiPriority w:val="21"/>
    <w:qFormat/>
    <w:rsid w:val="00F00550"/>
    <w:rPr>
      <w:i/>
      <w:iCs/>
      <w:color w:val="0F4761" w:themeColor="accent1" w:themeShade="BF"/>
    </w:rPr>
  </w:style>
  <w:style w:type="paragraph" w:styleId="IntenseQuote">
    <w:name w:val="Intense Quote"/>
    <w:basedOn w:val="Normal"/>
    <w:next w:val="Normal"/>
    <w:link w:val="IntenseQuoteChar"/>
    <w:uiPriority w:val="30"/>
    <w:qFormat/>
    <w:rsid w:val="00F005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0550"/>
    <w:rPr>
      <w:i/>
      <w:iCs/>
      <w:color w:val="0F4761" w:themeColor="accent1" w:themeShade="BF"/>
    </w:rPr>
  </w:style>
  <w:style w:type="character" w:styleId="IntenseReference">
    <w:name w:val="Intense Reference"/>
    <w:basedOn w:val="DefaultParagraphFont"/>
    <w:uiPriority w:val="32"/>
    <w:qFormat/>
    <w:rsid w:val="00F00550"/>
    <w:rPr>
      <w:b/>
      <w:bCs/>
      <w:smallCaps/>
      <w:color w:val="0F4761" w:themeColor="accent1" w:themeShade="BF"/>
      <w:spacing w:val="5"/>
    </w:rPr>
  </w:style>
  <w:style w:type="paragraph" w:styleId="TOCHeading">
    <w:name w:val="TOC Heading"/>
    <w:basedOn w:val="Heading1"/>
    <w:next w:val="Normal"/>
    <w:uiPriority w:val="39"/>
    <w:unhideWhenUsed/>
    <w:qFormat/>
    <w:rsid w:val="000C0E8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C0E85"/>
    <w:pPr>
      <w:spacing w:after="100"/>
    </w:pPr>
  </w:style>
  <w:style w:type="character" w:styleId="Hyperlink">
    <w:name w:val="Hyperlink"/>
    <w:basedOn w:val="DefaultParagraphFont"/>
    <w:uiPriority w:val="99"/>
    <w:unhideWhenUsed/>
    <w:rsid w:val="000C0E85"/>
    <w:rPr>
      <w:color w:val="467886" w:themeColor="hyperlink"/>
      <w:u w:val="single"/>
    </w:rPr>
  </w:style>
  <w:style w:type="paragraph" w:styleId="TOC2">
    <w:name w:val="toc 2"/>
    <w:basedOn w:val="Normal"/>
    <w:next w:val="Normal"/>
    <w:autoRedefine/>
    <w:uiPriority w:val="39"/>
    <w:unhideWhenUsed/>
    <w:rsid w:val="002717B6"/>
    <w:pPr>
      <w:spacing w:after="100"/>
      <w:ind w:left="220"/>
    </w:pPr>
  </w:style>
  <w:style w:type="paragraph" w:styleId="Caption">
    <w:name w:val="caption"/>
    <w:basedOn w:val="Normal"/>
    <w:next w:val="Normal"/>
    <w:uiPriority w:val="35"/>
    <w:unhideWhenUsed/>
    <w:qFormat/>
    <w:rsid w:val="00DD1CE7"/>
    <w:pPr>
      <w:spacing w:after="200" w:line="240" w:lineRule="auto"/>
    </w:pPr>
    <w:rPr>
      <w:i/>
      <w:iCs/>
      <w:color w:val="0E2841" w:themeColor="text2"/>
      <w:sz w:val="18"/>
      <w:szCs w:val="18"/>
    </w:rPr>
  </w:style>
  <w:style w:type="table" w:styleId="TableGrid">
    <w:name w:val="Table Grid"/>
    <w:basedOn w:val="TableNormal"/>
    <w:uiPriority w:val="59"/>
    <w:rsid w:val="00D92C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80424D"/>
    <w:pPr>
      <w:spacing w:after="0"/>
    </w:pPr>
  </w:style>
  <w:style w:type="paragraph" w:styleId="Header">
    <w:name w:val="header"/>
    <w:basedOn w:val="Normal"/>
    <w:link w:val="HeaderChar"/>
    <w:uiPriority w:val="99"/>
    <w:unhideWhenUsed/>
    <w:rsid w:val="00432C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CCE"/>
    <w:rPr>
      <w:rFonts w:ascii="Calibri" w:hAnsi="Calibri"/>
    </w:rPr>
  </w:style>
  <w:style w:type="paragraph" w:styleId="Footer">
    <w:name w:val="footer"/>
    <w:basedOn w:val="Normal"/>
    <w:link w:val="FooterChar"/>
    <w:uiPriority w:val="99"/>
    <w:unhideWhenUsed/>
    <w:rsid w:val="00432C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CCE"/>
    <w:rPr>
      <w:rFonts w:ascii="Calibri" w:hAnsi="Calibri"/>
    </w:rPr>
  </w:style>
  <w:style w:type="paragraph" w:styleId="Bibliography">
    <w:name w:val="Bibliography"/>
    <w:basedOn w:val="Normal"/>
    <w:next w:val="Normal"/>
    <w:uiPriority w:val="37"/>
    <w:unhideWhenUsed/>
    <w:rsid w:val="006320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65316">
      <w:bodyDiv w:val="1"/>
      <w:marLeft w:val="0"/>
      <w:marRight w:val="0"/>
      <w:marTop w:val="0"/>
      <w:marBottom w:val="0"/>
      <w:divBdr>
        <w:top w:val="none" w:sz="0" w:space="0" w:color="auto"/>
        <w:left w:val="none" w:sz="0" w:space="0" w:color="auto"/>
        <w:bottom w:val="none" w:sz="0" w:space="0" w:color="auto"/>
        <w:right w:val="none" w:sz="0" w:space="0" w:color="auto"/>
      </w:divBdr>
    </w:div>
    <w:div w:id="13924846">
      <w:bodyDiv w:val="1"/>
      <w:marLeft w:val="0"/>
      <w:marRight w:val="0"/>
      <w:marTop w:val="0"/>
      <w:marBottom w:val="0"/>
      <w:divBdr>
        <w:top w:val="none" w:sz="0" w:space="0" w:color="auto"/>
        <w:left w:val="none" w:sz="0" w:space="0" w:color="auto"/>
        <w:bottom w:val="none" w:sz="0" w:space="0" w:color="auto"/>
        <w:right w:val="none" w:sz="0" w:space="0" w:color="auto"/>
      </w:divBdr>
    </w:div>
    <w:div w:id="22173041">
      <w:bodyDiv w:val="1"/>
      <w:marLeft w:val="0"/>
      <w:marRight w:val="0"/>
      <w:marTop w:val="0"/>
      <w:marBottom w:val="0"/>
      <w:divBdr>
        <w:top w:val="none" w:sz="0" w:space="0" w:color="auto"/>
        <w:left w:val="none" w:sz="0" w:space="0" w:color="auto"/>
        <w:bottom w:val="none" w:sz="0" w:space="0" w:color="auto"/>
        <w:right w:val="none" w:sz="0" w:space="0" w:color="auto"/>
      </w:divBdr>
    </w:div>
    <w:div w:id="25908993">
      <w:bodyDiv w:val="1"/>
      <w:marLeft w:val="0"/>
      <w:marRight w:val="0"/>
      <w:marTop w:val="0"/>
      <w:marBottom w:val="0"/>
      <w:divBdr>
        <w:top w:val="none" w:sz="0" w:space="0" w:color="auto"/>
        <w:left w:val="none" w:sz="0" w:space="0" w:color="auto"/>
        <w:bottom w:val="none" w:sz="0" w:space="0" w:color="auto"/>
        <w:right w:val="none" w:sz="0" w:space="0" w:color="auto"/>
      </w:divBdr>
    </w:div>
    <w:div w:id="40178769">
      <w:bodyDiv w:val="1"/>
      <w:marLeft w:val="0"/>
      <w:marRight w:val="0"/>
      <w:marTop w:val="0"/>
      <w:marBottom w:val="0"/>
      <w:divBdr>
        <w:top w:val="none" w:sz="0" w:space="0" w:color="auto"/>
        <w:left w:val="none" w:sz="0" w:space="0" w:color="auto"/>
        <w:bottom w:val="none" w:sz="0" w:space="0" w:color="auto"/>
        <w:right w:val="none" w:sz="0" w:space="0" w:color="auto"/>
      </w:divBdr>
    </w:div>
    <w:div w:id="47191012">
      <w:bodyDiv w:val="1"/>
      <w:marLeft w:val="0"/>
      <w:marRight w:val="0"/>
      <w:marTop w:val="0"/>
      <w:marBottom w:val="0"/>
      <w:divBdr>
        <w:top w:val="none" w:sz="0" w:space="0" w:color="auto"/>
        <w:left w:val="none" w:sz="0" w:space="0" w:color="auto"/>
        <w:bottom w:val="none" w:sz="0" w:space="0" w:color="auto"/>
        <w:right w:val="none" w:sz="0" w:space="0" w:color="auto"/>
      </w:divBdr>
    </w:div>
    <w:div w:id="51203081">
      <w:bodyDiv w:val="1"/>
      <w:marLeft w:val="0"/>
      <w:marRight w:val="0"/>
      <w:marTop w:val="0"/>
      <w:marBottom w:val="0"/>
      <w:divBdr>
        <w:top w:val="none" w:sz="0" w:space="0" w:color="auto"/>
        <w:left w:val="none" w:sz="0" w:space="0" w:color="auto"/>
        <w:bottom w:val="none" w:sz="0" w:space="0" w:color="auto"/>
        <w:right w:val="none" w:sz="0" w:space="0" w:color="auto"/>
      </w:divBdr>
    </w:div>
    <w:div w:id="66192194">
      <w:bodyDiv w:val="1"/>
      <w:marLeft w:val="0"/>
      <w:marRight w:val="0"/>
      <w:marTop w:val="0"/>
      <w:marBottom w:val="0"/>
      <w:divBdr>
        <w:top w:val="none" w:sz="0" w:space="0" w:color="auto"/>
        <w:left w:val="none" w:sz="0" w:space="0" w:color="auto"/>
        <w:bottom w:val="none" w:sz="0" w:space="0" w:color="auto"/>
        <w:right w:val="none" w:sz="0" w:space="0" w:color="auto"/>
      </w:divBdr>
    </w:div>
    <w:div w:id="69470475">
      <w:bodyDiv w:val="1"/>
      <w:marLeft w:val="0"/>
      <w:marRight w:val="0"/>
      <w:marTop w:val="0"/>
      <w:marBottom w:val="0"/>
      <w:divBdr>
        <w:top w:val="none" w:sz="0" w:space="0" w:color="auto"/>
        <w:left w:val="none" w:sz="0" w:space="0" w:color="auto"/>
        <w:bottom w:val="none" w:sz="0" w:space="0" w:color="auto"/>
        <w:right w:val="none" w:sz="0" w:space="0" w:color="auto"/>
      </w:divBdr>
    </w:div>
    <w:div w:id="73556103">
      <w:bodyDiv w:val="1"/>
      <w:marLeft w:val="0"/>
      <w:marRight w:val="0"/>
      <w:marTop w:val="0"/>
      <w:marBottom w:val="0"/>
      <w:divBdr>
        <w:top w:val="none" w:sz="0" w:space="0" w:color="auto"/>
        <w:left w:val="none" w:sz="0" w:space="0" w:color="auto"/>
        <w:bottom w:val="none" w:sz="0" w:space="0" w:color="auto"/>
        <w:right w:val="none" w:sz="0" w:space="0" w:color="auto"/>
      </w:divBdr>
    </w:div>
    <w:div w:id="81420242">
      <w:bodyDiv w:val="1"/>
      <w:marLeft w:val="0"/>
      <w:marRight w:val="0"/>
      <w:marTop w:val="0"/>
      <w:marBottom w:val="0"/>
      <w:divBdr>
        <w:top w:val="none" w:sz="0" w:space="0" w:color="auto"/>
        <w:left w:val="none" w:sz="0" w:space="0" w:color="auto"/>
        <w:bottom w:val="none" w:sz="0" w:space="0" w:color="auto"/>
        <w:right w:val="none" w:sz="0" w:space="0" w:color="auto"/>
      </w:divBdr>
    </w:div>
    <w:div w:id="96489980">
      <w:bodyDiv w:val="1"/>
      <w:marLeft w:val="0"/>
      <w:marRight w:val="0"/>
      <w:marTop w:val="0"/>
      <w:marBottom w:val="0"/>
      <w:divBdr>
        <w:top w:val="none" w:sz="0" w:space="0" w:color="auto"/>
        <w:left w:val="none" w:sz="0" w:space="0" w:color="auto"/>
        <w:bottom w:val="none" w:sz="0" w:space="0" w:color="auto"/>
        <w:right w:val="none" w:sz="0" w:space="0" w:color="auto"/>
      </w:divBdr>
    </w:div>
    <w:div w:id="100495372">
      <w:bodyDiv w:val="1"/>
      <w:marLeft w:val="0"/>
      <w:marRight w:val="0"/>
      <w:marTop w:val="0"/>
      <w:marBottom w:val="0"/>
      <w:divBdr>
        <w:top w:val="none" w:sz="0" w:space="0" w:color="auto"/>
        <w:left w:val="none" w:sz="0" w:space="0" w:color="auto"/>
        <w:bottom w:val="none" w:sz="0" w:space="0" w:color="auto"/>
        <w:right w:val="none" w:sz="0" w:space="0" w:color="auto"/>
      </w:divBdr>
    </w:div>
    <w:div w:id="102187061">
      <w:bodyDiv w:val="1"/>
      <w:marLeft w:val="0"/>
      <w:marRight w:val="0"/>
      <w:marTop w:val="0"/>
      <w:marBottom w:val="0"/>
      <w:divBdr>
        <w:top w:val="none" w:sz="0" w:space="0" w:color="auto"/>
        <w:left w:val="none" w:sz="0" w:space="0" w:color="auto"/>
        <w:bottom w:val="none" w:sz="0" w:space="0" w:color="auto"/>
        <w:right w:val="none" w:sz="0" w:space="0" w:color="auto"/>
      </w:divBdr>
    </w:div>
    <w:div w:id="105317472">
      <w:bodyDiv w:val="1"/>
      <w:marLeft w:val="0"/>
      <w:marRight w:val="0"/>
      <w:marTop w:val="0"/>
      <w:marBottom w:val="0"/>
      <w:divBdr>
        <w:top w:val="none" w:sz="0" w:space="0" w:color="auto"/>
        <w:left w:val="none" w:sz="0" w:space="0" w:color="auto"/>
        <w:bottom w:val="none" w:sz="0" w:space="0" w:color="auto"/>
        <w:right w:val="none" w:sz="0" w:space="0" w:color="auto"/>
      </w:divBdr>
    </w:div>
    <w:div w:id="107967070">
      <w:bodyDiv w:val="1"/>
      <w:marLeft w:val="0"/>
      <w:marRight w:val="0"/>
      <w:marTop w:val="0"/>
      <w:marBottom w:val="0"/>
      <w:divBdr>
        <w:top w:val="none" w:sz="0" w:space="0" w:color="auto"/>
        <w:left w:val="none" w:sz="0" w:space="0" w:color="auto"/>
        <w:bottom w:val="none" w:sz="0" w:space="0" w:color="auto"/>
        <w:right w:val="none" w:sz="0" w:space="0" w:color="auto"/>
      </w:divBdr>
    </w:div>
    <w:div w:id="115758392">
      <w:bodyDiv w:val="1"/>
      <w:marLeft w:val="0"/>
      <w:marRight w:val="0"/>
      <w:marTop w:val="0"/>
      <w:marBottom w:val="0"/>
      <w:divBdr>
        <w:top w:val="none" w:sz="0" w:space="0" w:color="auto"/>
        <w:left w:val="none" w:sz="0" w:space="0" w:color="auto"/>
        <w:bottom w:val="none" w:sz="0" w:space="0" w:color="auto"/>
        <w:right w:val="none" w:sz="0" w:space="0" w:color="auto"/>
      </w:divBdr>
    </w:div>
    <w:div w:id="124396074">
      <w:bodyDiv w:val="1"/>
      <w:marLeft w:val="0"/>
      <w:marRight w:val="0"/>
      <w:marTop w:val="0"/>
      <w:marBottom w:val="0"/>
      <w:divBdr>
        <w:top w:val="none" w:sz="0" w:space="0" w:color="auto"/>
        <w:left w:val="none" w:sz="0" w:space="0" w:color="auto"/>
        <w:bottom w:val="none" w:sz="0" w:space="0" w:color="auto"/>
        <w:right w:val="none" w:sz="0" w:space="0" w:color="auto"/>
      </w:divBdr>
    </w:div>
    <w:div w:id="141046331">
      <w:bodyDiv w:val="1"/>
      <w:marLeft w:val="0"/>
      <w:marRight w:val="0"/>
      <w:marTop w:val="0"/>
      <w:marBottom w:val="0"/>
      <w:divBdr>
        <w:top w:val="none" w:sz="0" w:space="0" w:color="auto"/>
        <w:left w:val="none" w:sz="0" w:space="0" w:color="auto"/>
        <w:bottom w:val="none" w:sz="0" w:space="0" w:color="auto"/>
        <w:right w:val="none" w:sz="0" w:space="0" w:color="auto"/>
      </w:divBdr>
    </w:div>
    <w:div w:id="163054445">
      <w:bodyDiv w:val="1"/>
      <w:marLeft w:val="0"/>
      <w:marRight w:val="0"/>
      <w:marTop w:val="0"/>
      <w:marBottom w:val="0"/>
      <w:divBdr>
        <w:top w:val="none" w:sz="0" w:space="0" w:color="auto"/>
        <w:left w:val="none" w:sz="0" w:space="0" w:color="auto"/>
        <w:bottom w:val="none" w:sz="0" w:space="0" w:color="auto"/>
        <w:right w:val="none" w:sz="0" w:space="0" w:color="auto"/>
      </w:divBdr>
    </w:div>
    <w:div w:id="165365861">
      <w:bodyDiv w:val="1"/>
      <w:marLeft w:val="0"/>
      <w:marRight w:val="0"/>
      <w:marTop w:val="0"/>
      <w:marBottom w:val="0"/>
      <w:divBdr>
        <w:top w:val="none" w:sz="0" w:space="0" w:color="auto"/>
        <w:left w:val="none" w:sz="0" w:space="0" w:color="auto"/>
        <w:bottom w:val="none" w:sz="0" w:space="0" w:color="auto"/>
        <w:right w:val="none" w:sz="0" w:space="0" w:color="auto"/>
      </w:divBdr>
    </w:div>
    <w:div w:id="173690333">
      <w:bodyDiv w:val="1"/>
      <w:marLeft w:val="0"/>
      <w:marRight w:val="0"/>
      <w:marTop w:val="0"/>
      <w:marBottom w:val="0"/>
      <w:divBdr>
        <w:top w:val="none" w:sz="0" w:space="0" w:color="auto"/>
        <w:left w:val="none" w:sz="0" w:space="0" w:color="auto"/>
        <w:bottom w:val="none" w:sz="0" w:space="0" w:color="auto"/>
        <w:right w:val="none" w:sz="0" w:space="0" w:color="auto"/>
      </w:divBdr>
    </w:div>
    <w:div w:id="193537701">
      <w:bodyDiv w:val="1"/>
      <w:marLeft w:val="0"/>
      <w:marRight w:val="0"/>
      <w:marTop w:val="0"/>
      <w:marBottom w:val="0"/>
      <w:divBdr>
        <w:top w:val="none" w:sz="0" w:space="0" w:color="auto"/>
        <w:left w:val="none" w:sz="0" w:space="0" w:color="auto"/>
        <w:bottom w:val="none" w:sz="0" w:space="0" w:color="auto"/>
        <w:right w:val="none" w:sz="0" w:space="0" w:color="auto"/>
      </w:divBdr>
    </w:div>
    <w:div w:id="210270695">
      <w:bodyDiv w:val="1"/>
      <w:marLeft w:val="0"/>
      <w:marRight w:val="0"/>
      <w:marTop w:val="0"/>
      <w:marBottom w:val="0"/>
      <w:divBdr>
        <w:top w:val="none" w:sz="0" w:space="0" w:color="auto"/>
        <w:left w:val="none" w:sz="0" w:space="0" w:color="auto"/>
        <w:bottom w:val="none" w:sz="0" w:space="0" w:color="auto"/>
        <w:right w:val="none" w:sz="0" w:space="0" w:color="auto"/>
      </w:divBdr>
    </w:div>
    <w:div w:id="223612350">
      <w:bodyDiv w:val="1"/>
      <w:marLeft w:val="0"/>
      <w:marRight w:val="0"/>
      <w:marTop w:val="0"/>
      <w:marBottom w:val="0"/>
      <w:divBdr>
        <w:top w:val="none" w:sz="0" w:space="0" w:color="auto"/>
        <w:left w:val="none" w:sz="0" w:space="0" w:color="auto"/>
        <w:bottom w:val="none" w:sz="0" w:space="0" w:color="auto"/>
        <w:right w:val="none" w:sz="0" w:space="0" w:color="auto"/>
      </w:divBdr>
    </w:div>
    <w:div w:id="229970334">
      <w:bodyDiv w:val="1"/>
      <w:marLeft w:val="0"/>
      <w:marRight w:val="0"/>
      <w:marTop w:val="0"/>
      <w:marBottom w:val="0"/>
      <w:divBdr>
        <w:top w:val="none" w:sz="0" w:space="0" w:color="auto"/>
        <w:left w:val="none" w:sz="0" w:space="0" w:color="auto"/>
        <w:bottom w:val="none" w:sz="0" w:space="0" w:color="auto"/>
        <w:right w:val="none" w:sz="0" w:space="0" w:color="auto"/>
      </w:divBdr>
    </w:div>
    <w:div w:id="251159099">
      <w:bodyDiv w:val="1"/>
      <w:marLeft w:val="0"/>
      <w:marRight w:val="0"/>
      <w:marTop w:val="0"/>
      <w:marBottom w:val="0"/>
      <w:divBdr>
        <w:top w:val="none" w:sz="0" w:space="0" w:color="auto"/>
        <w:left w:val="none" w:sz="0" w:space="0" w:color="auto"/>
        <w:bottom w:val="none" w:sz="0" w:space="0" w:color="auto"/>
        <w:right w:val="none" w:sz="0" w:space="0" w:color="auto"/>
      </w:divBdr>
    </w:div>
    <w:div w:id="252475889">
      <w:bodyDiv w:val="1"/>
      <w:marLeft w:val="0"/>
      <w:marRight w:val="0"/>
      <w:marTop w:val="0"/>
      <w:marBottom w:val="0"/>
      <w:divBdr>
        <w:top w:val="none" w:sz="0" w:space="0" w:color="auto"/>
        <w:left w:val="none" w:sz="0" w:space="0" w:color="auto"/>
        <w:bottom w:val="none" w:sz="0" w:space="0" w:color="auto"/>
        <w:right w:val="none" w:sz="0" w:space="0" w:color="auto"/>
      </w:divBdr>
    </w:div>
    <w:div w:id="253831420">
      <w:bodyDiv w:val="1"/>
      <w:marLeft w:val="0"/>
      <w:marRight w:val="0"/>
      <w:marTop w:val="0"/>
      <w:marBottom w:val="0"/>
      <w:divBdr>
        <w:top w:val="none" w:sz="0" w:space="0" w:color="auto"/>
        <w:left w:val="none" w:sz="0" w:space="0" w:color="auto"/>
        <w:bottom w:val="none" w:sz="0" w:space="0" w:color="auto"/>
        <w:right w:val="none" w:sz="0" w:space="0" w:color="auto"/>
      </w:divBdr>
    </w:div>
    <w:div w:id="271019260">
      <w:bodyDiv w:val="1"/>
      <w:marLeft w:val="0"/>
      <w:marRight w:val="0"/>
      <w:marTop w:val="0"/>
      <w:marBottom w:val="0"/>
      <w:divBdr>
        <w:top w:val="none" w:sz="0" w:space="0" w:color="auto"/>
        <w:left w:val="none" w:sz="0" w:space="0" w:color="auto"/>
        <w:bottom w:val="none" w:sz="0" w:space="0" w:color="auto"/>
        <w:right w:val="none" w:sz="0" w:space="0" w:color="auto"/>
      </w:divBdr>
    </w:div>
    <w:div w:id="273295102">
      <w:bodyDiv w:val="1"/>
      <w:marLeft w:val="0"/>
      <w:marRight w:val="0"/>
      <w:marTop w:val="0"/>
      <w:marBottom w:val="0"/>
      <w:divBdr>
        <w:top w:val="none" w:sz="0" w:space="0" w:color="auto"/>
        <w:left w:val="none" w:sz="0" w:space="0" w:color="auto"/>
        <w:bottom w:val="none" w:sz="0" w:space="0" w:color="auto"/>
        <w:right w:val="none" w:sz="0" w:space="0" w:color="auto"/>
      </w:divBdr>
    </w:div>
    <w:div w:id="274215826">
      <w:bodyDiv w:val="1"/>
      <w:marLeft w:val="0"/>
      <w:marRight w:val="0"/>
      <w:marTop w:val="0"/>
      <w:marBottom w:val="0"/>
      <w:divBdr>
        <w:top w:val="none" w:sz="0" w:space="0" w:color="auto"/>
        <w:left w:val="none" w:sz="0" w:space="0" w:color="auto"/>
        <w:bottom w:val="none" w:sz="0" w:space="0" w:color="auto"/>
        <w:right w:val="none" w:sz="0" w:space="0" w:color="auto"/>
      </w:divBdr>
    </w:div>
    <w:div w:id="279803641">
      <w:bodyDiv w:val="1"/>
      <w:marLeft w:val="0"/>
      <w:marRight w:val="0"/>
      <w:marTop w:val="0"/>
      <w:marBottom w:val="0"/>
      <w:divBdr>
        <w:top w:val="none" w:sz="0" w:space="0" w:color="auto"/>
        <w:left w:val="none" w:sz="0" w:space="0" w:color="auto"/>
        <w:bottom w:val="none" w:sz="0" w:space="0" w:color="auto"/>
        <w:right w:val="none" w:sz="0" w:space="0" w:color="auto"/>
      </w:divBdr>
    </w:div>
    <w:div w:id="286083004">
      <w:bodyDiv w:val="1"/>
      <w:marLeft w:val="0"/>
      <w:marRight w:val="0"/>
      <w:marTop w:val="0"/>
      <w:marBottom w:val="0"/>
      <w:divBdr>
        <w:top w:val="none" w:sz="0" w:space="0" w:color="auto"/>
        <w:left w:val="none" w:sz="0" w:space="0" w:color="auto"/>
        <w:bottom w:val="none" w:sz="0" w:space="0" w:color="auto"/>
        <w:right w:val="none" w:sz="0" w:space="0" w:color="auto"/>
      </w:divBdr>
    </w:div>
    <w:div w:id="316154442">
      <w:bodyDiv w:val="1"/>
      <w:marLeft w:val="0"/>
      <w:marRight w:val="0"/>
      <w:marTop w:val="0"/>
      <w:marBottom w:val="0"/>
      <w:divBdr>
        <w:top w:val="none" w:sz="0" w:space="0" w:color="auto"/>
        <w:left w:val="none" w:sz="0" w:space="0" w:color="auto"/>
        <w:bottom w:val="none" w:sz="0" w:space="0" w:color="auto"/>
        <w:right w:val="none" w:sz="0" w:space="0" w:color="auto"/>
      </w:divBdr>
    </w:div>
    <w:div w:id="322661585">
      <w:bodyDiv w:val="1"/>
      <w:marLeft w:val="0"/>
      <w:marRight w:val="0"/>
      <w:marTop w:val="0"/>
      <w:marBottom w:val="0"/>
      <w:divBdr>
        <w:top w:val="none" w:sz="0" w:space="0" w:color="auto"/>
        <w:left w:val="none" w:sz="0" w:space="0" w:color="auto"/>
        <w:bottom w:val="none" w:sz="0" w:space="0" w:color="auto"/>
        <w:right w:val="none" w:sz="0" w:space="0" w:color="auto"/>
      </w:divBdr>
    </w:div>
    <w:div w:id="327943108">
      <w:bodyDiv w:val="1"/>
      <w:marLeft w:val="0"/>
      <w:marRight w:val="0"/>
      <w:marTop w:val="0"/>
      <w:marBottom w:val="0"/>
      <w:divBdr>
        <w:top w:val="none" w:sz="0" w:space="0" w:color="auto"/>
        <w:left w:val="none" w:sz="0" w:space="0" w:color="auto"/>
        <w:bottom w:val="none" w:sz="0" w:space="0" w:color="auto"/>
        <w:right w:val="none" w:sz="0" w:space="0" w:color="auto"/>
      </w:divBdr>
    </w:div>
    <w:div w:id="328563072">
      <w:bodyDiv w:val="1"/>
      <w:marLeft w:val="0"/>
      <w:marRight w:val="0"/>
      <w:marTop w:val="0"/>
      <w:marBottom w:val="0"/>
      <w:divBdr>
        <w:top w:val="none" w:sz="0" w:space="0" w:color="auto"/>
        <w:left w:val="none" w:sz="0" w:space="0" w:color="auto"/>
        <w:bottom w:val="none" w:sz="0" w:space="0" w:color="auto"/>
        <w:right w:val="none" w:sz="0" w:space="0" w:color="auto"/>
      </w:divBdr>
    </w:div>
    <w:div w:id="335157852">
      <w:bodyDiv w:val="1"/>
      <w:marLeft w:val="0"/>
      <w:marRight w:val="0"/>
      <w:marTop w:val="0"/>
      <w:marBottom w:val="0"/>
      <w:divBdr>
        <w:top w:val="none" w:sz="0" w:space="0" w:color="auto"/>
        <w:left w:val="none" w:sz="0" w:space="0" w:color="auto"/>
        <w:bottom w:val="none" w:sz="0" w:space="0" w:color="auto"/>
        <w:right w:val="none" w:sz="0" w:space="0" w:color="auto"/>
      </w:divBdr>
    </w:div>
    <w:div w:id="339549678">
      <w:bodyDiv w:val="1"/>
      <w:marLeft w:val="0"/>
      <w:marRight w:val="0"/>
      <w:marTop w:val="0"/>
      <w:marBottom w:val="0"/>
      <w:divBdr>
        <w:top w:val="none" w:sz="0" w:space="0" w:color="auto"/>
        <w:left w:val="none" w:sz="0" w:space="0" w:color="auto"/>
        <w:bottom w:val="none" w:sz="0" w:space="0" w:color="auto"/>
        <w:right w:val="none" w:sz="0" w:space="0" w:color="auto"/>
      </w:divBdr>
    </w:div>
    <w:div w:id="340860157">
      <w:bodyDiv w:val="1"/>
      <w:marLeft w:val="0"/>
      <w:marRight w:val="0"/>
      <w:marTop w:val="0"/>
      <w:marBottom w:val="0"/>
      <w:divBdr>
        <w:top w:val="none" w:sz="0" w:space="0" w:color="auto"/>
        <w:left w:val="none" w:sz="0" w:space="0" w:color="auto"/>
        <w:bottom w:val="none" w:sz="0" w:space="0" w:color="auto"/>
        <w:right w:val="none" w:sz="0" w:space="0" w:color="auto"/>
      </w:divBdr>
    </w:div>
    <w:div w:id="352002196">
      <w:bodyDiv w:val="1"/>
      <w:marLeft w:val="0"/>
      <w:marRight w:val="0"/>
      <w:marTop w:val="0"/>
      <w:marBottom w:val="0"/>
      <w:divBdr>
        <w:top w:val="none" w:sz="0" w:space="0" w:color="auto"/>
        <w:left w:val="none" w:sz="0" w:space="0" w:color="auto"/>
        <w:bottom w:val="none" w:sz="0" w:space="0" w:color="auto"/>
        <w:right w:val="none" w:sz="0" w:space="0" w:color="auto"/>
      </w:divBdr>
    </w:div>
    <w:div w:id="387190585">
      <w:bodyDiv w:val="1"/>
      <w:marLeft w:val="0"/>
      <w:marRight w:val="0"/>
      <w:marTop w:val="0"/>
      <w:marBottom w:val="0"/>
      <w:divBdr>
        <w:top w:val="none" w:sz="0" w:space="0" w:color="auto"/>
        <w:left w:val="none" w:sz="0" w:space="0" w:color="auto"/>
        <w:bottom w:val="none" w:sz="0" w:space="0" w:color="auto"/>
        <w:right w:val="none" w:sz="0" w:space="0" w:color="auto"/>
      </w:divBdr>
    </w:div>
    <w:div w:id="408236947">
      <w:bodyDiv w:val="1"/>
      <w:marLeft w:val="0"/>
      <w:marRight w:val="0"/>
      <w:marTop w:val="0"/>
      <w:marBottom w:val="0"/>
      <w:divBdr>
        <w:top w:val="none" w:sz="0" w:space="0" w:color="auto"/>
        <w:left w:val="none" w:sz="0" w:space="0" w:color="auto"/>
        <w:bottom w:val="none" w:sz="0" w:space="0" w:color="auto"/>
        <w:right w:val="none" w:sz="0" w:space="0" w:color="auto"/>
      </w:divBdr>
    </w:div>
    <w:div w:id="409935555">
      <w:bodyDiv w:val="1"/>
      <w:marLeft w:val="0"/>
      <w:marRight w:val="0"/>
      <w:marTop w:val="0"/>
      <w:marBottom w:val="0"/>
      <w:divBdr>
        <w:top w:val="none" w:sz="0" w:space="0" w:color="auto"/>
        <w:left w:val="none" w:sz="0" w:space="0" w:color="auto"/>
        <w:bottom w:val="none" w:sz="0" w:space="0" w:color="auto"/>
        <w:right w:val="none" w:sz="0" w:space="0" w:color="auto"/>
      </w:divBdr>
    </w:div>
    <w:div w:id="410662600">
      <w:bodyDiv w:val="1"/>
      <w:marLeft w:val="0"/>
      <w:marRight w:val="0"/>
      <w:marTop w:val="0"/>
      <w:marBottom w:val="0"/>
      <w:divBdr>
        <w:top w:val="none" w:sz="0" w:space="0" w:color="auto"/>
        <w:left w:val="none" w:sz="0" w:space="0" w:color="auto"/>
        <w:bottom w:val="none" w:sz="0" w:space="0" w:color="auto"/>
        <w:right w:val="none" w:sz="0" w:space="0" w:color="auto"/>
      </w:divBdr>
    </w:div>
    <w:div w:id="415784026">
      <w:bodyDiv w:val="1"/>
      <w:marLeft w:val="0"/>
      <w:marRight w:val="0"/>
      <w:marTop w:val="0"/>
      <w:marBottom w:val="0"/>
      <w:divBdr>
        <w:top w:val="none" w:sz="0" w:space="0" w:color="auto"/>
        <w:left w:val="none" w:sz="0" w:space="0" w:color="auto"/>
        <w:bottom w:val="none" w:sz="0" w:space="0" w:color="auto"/>
        <w:right w:val="none" w:sz="0" w:space="0" w:color="auto"/>
      </w:divBdr>
    </w:div>
    <w:div w:id="429160475">
      <w:bodyDiv w:val="1"/>
      <w:marLeft w:val="0"/>
      <w:marRight w:val="0"/>
      <w:marTop w:val="0"/>
      <w:marBottom w:val="0"/>
      <w:divBdr>
        <w:top w:val="none" w:sz="0" w:space="0" w:color="auto"/>
        <w:left w:val="none" w:sz="0" w:space="0" w:color="auto"/>
        <w:bottom w:val="none" w:sz="0" w:space="0" w:color="auto"/>
        <w:right w:val="none" w:sz="0" w:space="0" w:color="auto"/>
      </w:divBdr>
    </w:div>
    <w:div w:id="440609161">
      <w:bodyDiv w:val="1"/>
      <w:marLeft w:val="0"/>
      <w:marRight w:val="0"/>
      <w:marTop w:val="0"/>
      <w:marBottom w:val="0"/>
      <w:divBdr>
        <w:top w:val="none" w:sz="0" w:space="0" w:color="auto"/>
        <w:left w:val="none" w:sz="0" w:space="0" w:color="auto"/>
        <w:bottom w:val="none" w:sz="0" w:space="0" w:color="auto"/>
        <w:right w:val="none" w:sz="0" w:space="0" w:color="auto"/>
      </w:divBdr>
    </w:div>
    <w:div w:id="447505054">
      <w:bodyDiv w:val="1"/>
      <w:marLeft w:val="0"/>
      <w:marRight w:val="0"/>
      <w:marTop w:val="0"/>
      <w:marBottom w:val="0"/>
      <w:divBdr>
        <w:top w:val="none" w:sz="0" w:space="0" w:color="auto"/>
        <w:left w:val="none" w:sz="0" w:space="0" w:color="auto"/>
        <w:bottom w:val="none" w:sz="0" w:space="0" w:color="auto"/>
        <w:right w:val="none" w:sz="0" w:space="0" w:color="auto"/>
      </w:divBdr>
    </w:div>
    <w:div w:id="470371948">
      <w:bodyDiv w:val="1"/>
      <w:marLeft w:val="0"/>
      <w:marRight w:val="0"/>
      <w:marTop w:val="0"/>
      <w:marBottom w:val="0"/>
      <w:divBdr>
        <w:top w:val="none" w:sz="0" w:space="0" w:color="auto"/>
        <w:left w:val="none" w:sz="0" w:space="0" w:color="auto"/>
        <w:bottom w:val="none" w:sz="0" w:space="0" w:color="auto"/>
        <w:right w:val="none" w:sz="0" w:space="0" w:color="auto"/>
      </w:divBdr>
    </w:div>
    <w:div w:id="494732389">
      <w:bodyDiv w:val="1"/>
      <w:marLeft w:val="0"/>
      <w:marRight w:val="0"/>
      <w:marTop w:val="0"/>
      <w:marBottom w:val="0"/>
      <w:divBdr>
        <w:top w:val="none" w:sz="0" w:space="0" w:color="auto"/>
        <w:left w:val="none" w:sz="0" w:space="0" w:color="auto"/>
        <w:bottom w:val="none" w:sz="0" w:space="0" w:color="auto"/>
        <w:right w:val="none" w:sz="0" w:space="0" w:color="auto"/>
      </w:divBdr>
    </w:div>
    <w:div w:id="512455008">
      <w:bodyDiv w:val="1"/>
      <w:marLeft w:val="0"/>
      <w:marRight w:val="0"/>
      <w:marTop w:val="0"/>
      <w:marBottom w:val="0"/>
      <w:divBdr>
        <w:top w:val="none" w:sz="0" w:space="0" w:color="auto"/>
        <w:left w:val="none" w:sz="0" w:space="0" w:color="auto"/>
        <w:bottom w:val="none" w:sz="0" w:space="0" w:color="auto"/>
        <w:right w:val="none" w:sz="0" w:space="0" w:color="auto"/>
      </w:divBdr>
    </w:div>
    <w:div w:id="517892238">
      <w:bodyDiv w:val="1"/>
      <w:marLeft w:val="0"/>
      <w:marRight w:val="0"/>
      <w:marTop w:val="0"/>
      <w:marBottom w:val="0"/>
      <w:divBdr>
        <w:top w:val="none" w:sz="0" w:space="0" w:color="auto"/>
        <w:left w:val="none" w:sz="0" w:space="0" w:color="auto"/>
        <w:bottom w:val="none" w:sz="0" w:space="0" w:color="auto"/>
        <w:right w:val="none" w:sz="0" w:space="0" w:color="auto"/>
      </w:divBdr>
    </w:div>
    <w:div w:id="522937137">
      <w:bodyDiv w:val="1"/>
      <w:marLeft w:val="0"/>
      <w:marRight w:val="0"/>
      <w:marTop w:val="0"/>
      <w:marBottom w:val="0"/>
      <w:divBdr>
        <w:top w:val="none" w:sz="0" w:space="0" w:color="auto"/>
        <w:left w:val="none" w:sz="0" w:space="0" w:color="auto"/>
        <w:bottom w:val="none" w:sz="0" w:space="0" w:color="auto"/>
        <w:right w:val="none" w:sz="0" w:space="0" w:color="auto"/>
      </w:divBdr>
    </w:div>
    <w:div w:id="523829762">
      <w:bodyDiv w:val="1"/>
      <w:marLeft w:val="0"/>
      <w:marRight w:val="0"/>
      <w:marTop w:val="0"/>
      <w:marBottom w:val="0"/>
      <w:divBdr>
        <w:top w:val="none" w:sz="0" w:space="0" w:color="auto"/>
        <w:left w:val="none" w:sz="0" w:space="0" w:color="auto"/>
        <w:bottom w:val="none" w:sz="0" w:space="0" w:color="auto"/>
        <w:right w:val="none" w:sz="0" w:space="0" w:color="auto"/>
      </w:divBdr>
    </w:div>
    <w:div w:id="526606244">
      <w:bodyDiv w:val="1"/>
      <w:marLeft w:val="0"/>
      <w:marRight w:val="0"/>
      <w:marTop w:val="0"/>
      <w:marBottom w:val="0"/>
      <w:divBdr>
        <w:top w:val="none" w:sz="0" w:space="0" w:color="auto"/>
        <w:left w:val="none" w:sz="0" w:space="0" w:color="auto"/>
        <w:bottom w:val="none" w:sz="0" w:space="0" w:color="auto"/>
        <w:right w:val="none" w:sz="0" w:space="0" w:color="auto"/>
      </w:divBdr>
    </w:div>
    <w:div w:id="537477390">
      <w:bodyDiv w:val="1"/>
      <w:marLeft w:val="0"/>
      <w:marRight w:val="0"/>
      <w:marTop w:val="0"/>
      <w:marBottom w:val="0"/>
      <w:divBdr>
        <w:top w:val="none" w:sz="0" w:space="0" w:color="auto"/>
        <w:left w:val="none" w:sz="0" w:space="0" w:color="auto"/>
        <w:bottom w:val="none" w:sz="0" w:space="0" w:color="auto"/>
        <w:right w:val="none" w:sz="0" w:space="0" w:color="auto"/>
      </w:divBdr>
    </w:div>
    <w:div w:id="539364023">
      <w:bodyDiv w:val="1"/>
      <w:marLeft w:val="0"/>
      <w:marRight w:val="0"/>
      <w:marTop w:val="0"/>
      <w:marBottom w:val="0"/>
      <w:divBdr>
        <w:top w:val="none" w:sz="0" w:space="0" w:color="auto"/>
        <w:left w:val="none" w:sz="0" w:space="0" w:color="auto"/>
        <w:bottom w:val="none" w:sz="0" w:space="0" w:color="auto"/>
        <w:right w:val="none" w:sz="0" w:space="0" w:color="auto"/>
      </w:divBdr>
    </w:div>
    <w:div w:id="541602751">
      <w:bodyDiv w:val="1"/>
      <w:marLeft w:val="0"/>
      <w:marRight w:val="0"/>
      <w:marTop w:val="0"/>
      <w:marBottom w:val="0"/>
      <w:divBdr>
        <w:top w:val="none" w:sz="0" w:space="0" w:color="auto"/>
        <w:left w:val="none" w:sz="0" w:space="0" w:color="auto"/>
        <w:bottom w:val="none" w:sz="0" w:space="0" w:color="auto"/>
        <w:right w:val="none" w:sz="0" w:space="0" w:color="auto"/>
      </w:divBdr>
    </w:div>
    <w:div w:id="558244355">
      <w:bodyDiv w:val="1"/>
      <w:marLeft w:val="0"/>
      <w:marRight w:val="0"/>
      <w:marTop w:val="0"/>
      <w:marBottom w:val="0"/>
      <w:divBdr>
        <w:top w:val="none" w:sz="0" w:space="0" w:color="auto"/>
        <w:left w:val="none" w:sz="0" w:space="0" w:color="auto"/>
        <w:bottom w:val="none" w:sz="0" w:space="0" w:color="auto"/>
        <w:right w:val="none" w:sz="0" w:space="0" w:color="auto"/>
      </w:divBdr>
    </w:div>
    <w:div w:id="575170347">
      <w:bodyDiv w:val="1"/>
      <w:marLeft w:val="0"/>
      <w:marRight w:val="0"/>
      <w:marTop w:val="0"/>
      <w:marBottom w:val="0"/>
      <w:divBdr>
        <w:top w:val="none" w:sz="0" w:space="0" w:color="auto"/>
        <w:left w:val="none" w:sz="0" w:space="0" w:color="auto"/>
        <w:bottom w:val="none" w:sz="0" w:space="0" w:color="auto"/>
        <w:right w:val="none" w:sz="0" w:space="0" w:color="auto"/>
      </w:divBdr>
    </w:div>
    <w:div w:id="576403180">
      <w:bodyDiv w:val="1"/>
      <w:marLeft w:val="0"/>
      <w:marRight w:val="0"/>
      <w:marTop w:val="0"/>
      <w:marBottom w:val="0"/>
      <w:divBdr>
        <w:top w:val="none" w:sz="0" w:space="0" w:color="auto"/>
        <w:left w:val="none" w:sz="0" w:space="0" w:color="auto"/>
        <w:bottom w:val="none" w:sz="0" w:space="0" w:color="auto"/>
        <w:right w:val="none" w:sz="0" w:space="0" w:color="auto"/>
      </w:divBdr>
    </w:div>
    <w:div w:id="582254477">
      <w:bodyDiv w:val="1"/>
      <w:marLeft w:val="0"/>
      <w:marRight w:val="0"/>
      <w:marTop w:val="0"/>
      <w:marBottom w:val="0"/>
      <w:divBdr>
        <w:top w:val="none" w:sz="0" w:space="0" w:color="auto"/>
        <w:left w:val="none" w:sz="0" w:space="0" w:color="auto"/>
        <w:bottom w:val="none" w:sz="0" w:space="0" w:color="auto"/>
        <w:right w:val="none" w:sz="0" w:space="0" w:color="auto"/>
      </w:divBdr>
    </w:div>
    <w:div w:id="598372041">
      <w:bodyDiv w:val="1"/>
      <w:marLeft w:val="0"/>
      <w:marRight w:val="0"/>
      <w:marTop w:val="0"/>
      <w:marBottom w:val="0"/>
      <w:divBdr>
        <w:top w:val="none" w:sz="0" w:space="0" w:color="auto"/>
        <w:left w:val="none" w:sz="0" w:space="0" w:color="auto"/>
        <w:bottom w:val="none" w:sz="0" w:space="0" w:color="auto"/>
        <w:right w:val="none" w:sz="0" w:space="0" w:color="auto"/>
      </w:divBdr>
    </w:div>
    <w:div w:id="626744308">
      <w:bodyDiv w:val="1"/>
      <w:marLeft w:val="0"/>
      <w:marRight w:val="0"/>
      <w:marTop w:val="0"/>
      <w:marBottom w:val="0"/>
      <w:divBdr>
        <w:top w:val="none" w:sz="0" w:space="0" w:color="auto"/>
        <w:left w:val="none" w:sz="0" w:space="0" w:color="auto"/>
        <w:bottom w:val="none" w:sz="0" w:space="0" w:color="auto"/>
        <w:right w:val="none" w:sz="0" w:space="0" w:color="auto"/>
      </w:divBdr>
    </w:div>
    <w:div w:id="634919785">
      <w:bodyDiv w:val="1"/>
      <w:marLeft w:val="0"/>
      <w:marRight w:val="0"/>
      <w:marTop w:val="0"/>
      <w:marBottom w:val="0"/>
      <w:divBdr>
        <w:top w:val="none" w:sz="0" w:space="0" w:color="auto"/>
        <w:left w:val="none" w:sz="0" w:space="0" w:color="auto"/>
        <w:bottom w:val="none" w:sz="0" w:space="0" w:color="auto"/>
        <w:right w:val="none" w:sz="0" w:space="0" w:color="auto"/>
      </w:divBdr>
    </w:div>
    <w:div w:id="635992257">
      <w:bodyDiv w:val="1"/>
      <w:marLeft w:val="0"/>
      <w:marRight w:val="0"/>
      <w:marTop w:val="0"/>
      <w:marBottom w:val="0"/>
      <w:divBdr>
        <w:top w:val="none" w:sz="0" w:space="0" w:color="auto"/>
        <w:left w:val="none" w:sz="0" w:space="0" w:color="auto"/>
        <w:bottom w:val="none" w:sz="0" w:space="0" w:color="auto"/>
        <w:right w:val="none" w:sz="0" w:space="0" w:color="auto"/>
      </w:divBdr>
    </w:div>
    <w:div w:id="636956330">
      <w:bodyDiv w:val="1"/>
      <w:marLeft w:val="0"/>
      <w:marRight w:val="0"/>
      <w:marTop w:val="0"/>
      <w:marBottom w:val="0"/>
      <w:divBdr>
        <w:top w:val="none" w:sz="0" w:space="0" w:color="auto"/>
        <w:left w:val="none" w:sz="0" w:space="0" w:color="auto"/>
        <w:bottom w:val="none" w:sz="0" w:space="0" w:color="auto"/>
        <w:right w:val="none" w:sz="0" w:space="0" w:color="auto"/>
      </w:divBdr>
    </w:div>
    <w:div w:id="642464912">
      <w:bodyDiv w:val="1"/>
      <w:marLeft w:val="0"/>
      <w:marRight w:val="0"/>
      <w:marTop w:val="0"/>
      <w:marBottom w:val="0"/>
      <w:divBdr>
        <w:top w:val="none" w:sz="0" w:space="0" w:color="auto"/>
        <w:left w:val="none" w:sz="0" w:space="0" w:color="auto"/>
        <w:bottom w:val="none" w:sz="0" w:space="0" w:color="auto"/>
        <w:right w:val="none" w:sz="0" w:space="0" w:color="auto"/>
      </w:divBdr>
    </w:div>
    <w:div w:id="647824003">
      <w:bodyDiv w:val="1"/>
      <w:marLeft w:val="0"/>
      <w:marRight w:val="0"/>
      <w:marTop w:val="0"/>
      <w:marBottom w:val="0"/>
      <w:divBdr>
        <w:top w:val="none" w:sz="0" w:space="0" w:color="auto"/>
        <w:left w:val="none" w:sz="0" w:space="0" w:color="auto"/>
        <w:bottom w:val="none" w:sz="0" w:space="0" w:color="auto"/>
        <w:right w:val="none" w:sz="0" w:space="0" w:color="auto"/>
      </w:divBdr>
    </w:div>
    <w:div w:id="666632886">
      <w:bodyDiv w:val="1"/>
      <w:marLeft w:val="0"/>
      <w:marRight w:val="0"/>
      <w:marTop w:val="0"/>
      <w:marBottom w:val="0"/>
      <w:divBdr>
        <w:top w:val="none" w:sz="0" w:space="0" w:color="auto"/>
        <w:left w:val="none" w:sz="0" w:space="0" w:color="auto"/>
        <w:bottom w:val="none" w:sz="0" w:space="0" w:color="auto"/>
        <w:right w:val="none" w:sz="0" w:space="0" w:color="auto"/>
      </w:divBdr>
    </w:div>
    <w:div w:id="712534785">
      <w:bodyDiv w:val="1"/>
      <w:marLeft w:val="0"/>
      <w:marRight w:val="0"/>
      <w:marTop w:val="0"/>
      <w:marBottom w:val="0"/>
      <w:divBdr>
        <w:top w:val="none" w:sz="0" w:space="0" w:color="auto"/>
        <w:left w:val="none" w:sz="0" w:space="0" w:color="auto"/>
        <w:bottom w:val="none" w:sz="0" w:space="0" w:color="auto"/>
        <w:right w:val="none" w:sz="0" w:space="0" w:color="auto"/>
      </w:divBdr>
    </w:div>
    <w:div w:id="728502677">
      <w:bodyDiv w:val="1"/>
      <w:marLeft w:val="0"/>
      <w:marRight w:val="0"/>
      <w:marTop w:val="0"/>
      <w:marBottom w:val="0"/>
      <w:divBdr>
        <w:top w:val="none" w:sz="0" w:space="0" w:color="auto"/>
        <w:left w:val="none" w:sz="0" w:space="0" w:color="auto"/>
        <w:bottom w:val="none" w:sz="0" w:space="0" w:color="auto"/>
        <w:right w:val="none" w:sz="0" w:space="0" w:color="auto"/>
      </w:divBdr>
    </w:div>
    <w:div w:id="731848785">
      <w:bodyDiv w:val="1"/>
      <w:marLeft w:val="0"/>
      <w:marRight w:val="0"/>
      <w:marTop w:val="0"/>
      <w:marBottom w:val="0"/>
      <w:divBdr>
        <w:top w:val="none" w:sz="0" w:space="0" w:color="auto"/>
        <w:left w:val="none" w:sz="0" w:space="0" w:color="auto"/>
        <w:bottom w:val="none" w:sz="0" w:space="0" w:color="auto"/>
        <w:right w:val="none" w:sz="0" w:space="0" w:color="auto"/>
      </w:divBdr>
    </w:div>
    <w:div w:id="741566870">
      <w:bodyDiv w:val="1"/>
      <w:marLeft w:val="0"/>
      <w:marRight w:val="0"/>
      <w:marTop w:val="0"/>
      <w:marBottom w:val="0"/>
      <w:divBdr>
        <w:top w:val="none" w:sz="0" w:space="0" w:color="auto"/>
        <w:left w:val="none" w:sz="0" w:space="0" w:color="auto"/>
        <w:bottom w:val="none" w:sz="0" w:space="0" w:color="auto"/>
        <w:right w:val="none" w:sz="0" w:space="0" w:color="auto"/>
      </w:divBdr>
    </w:div>
    <w:div w:id="743650440">
      <w:bodyDiv w:val="1"/>
      <w:marLeft w:val="0"/>
      <w:marRight w:val="0"/>
      <w:marTop w:val="0"/>
      <w:marBottom w:val="0"/>
      <w:divBdr>
        <w:top w:val="none" w:sz="0" w:space="0" w:color="auto"/>
        <w:left w:val="none" w:sz="0" w:space="0" w:color="auto"/>
        <w:bottom w:val="none" w:sz="0" w:space="0" w:color="auto"/>
        <w:right w:val="none" w:sz="0" w:space="0" w:color="auto"/>
      </w:divBdr>
    </w:div>
    <w:div w:id="758603987">
      <w:bodyDiv w:val="1"/>
      <w:marLeft w:val="0"/>
      <w:marRight w:val="0"/>
      <w:marTop w:val="0"/>
      <w:marBottom w:val="0"/>
      <w:divBdr>
        <w:top w:val="none" w:sz="0" w:space="0" w:color="auto"/>
        <w:left w:val="none" w:sz="0" w:space="0" w:color="auto"/>
        <w:bottom w:val="none" w:sz="0" w:space="0" w:color="auto"/>
        <w:right w:val="none" w:sz="0" w:space="0" w:color="auto"/>
      </w:divBdr>
    </w:div>
    <w:div w:id="760175254">
      <w:bodyDiv w:val="1"/>
      <w:marLeft w:val="0"/>
      <w:marRight w:val="0"/>
      <w:marTop w:val="0"/>
      <w:marBottom w:val="0"/>
      <w:divBdr>
        <w:top w:val="none" w:sz="0" w:space="0" w:color="auto"/>
        <w:left w:val="none" w:sz="0" w:space="0" w:color="auto"/>
        <w:bottom w:val="none" w:sz="0" w:space="0" w:color="auto"/>
        <w:right w:val="none" w:sz="0" w:space="0" w:color="auto"/>
      </w:divBdr>
    </w:div>
    <w:div w:id="761413668">
      <w:bodyDiv w:val="1"/>
      <w:marLeft w:val="0"/>
      <w:marRight w:val="0"/>
      <w:marTop w:val="0"/>
      <w:marBottom w:val="0"/>
      <w:divBdr>
        <w:top w:val="none" w:sz="0" w:space="0" w:color="auto"/>
        <w:left w:val="none" w:sz="0" w:space="0" w:color="auto"/>
        <w:bottom w:val="none" w:sz="0" w:space="0" w:color="auto"/>
        <w:right w:val="none" w:sz="0" w:space="0" w:color="auto"/>
      </w:divBdr>
    </w:div>
    <w:div w:id="776103076">
      <w:bodyDiv w:val="1"/>
      <w:marLeft w:val="0"/>
      <w:marRight w:val="0"/>
      <w:marTop w:val="0"/>
      <w:marBottom w:val="0"/>
      <w:divBdr>
        <w:top w:val="none" w:sz="0" w:space="0" w:color="auto"/>
        <w:left w:val="none" w:sz="0" w:space="0" w:color="auto"/>
        <w:bottom w:val="none" w:sz="0" w:space="0" w:color="auto"/>
        <w:right w:val="none" w:sz="0" w:space="0" w:color="auto"/>
      </w:divBdr>
    </w:div>
    <w:div w:id="776634220">
      <w:bodyDiv w:val="1"/>
      <w:marLeft w:val="0"/>
      <w:marRight w:val="0"/>
      <w:marTop w:val="0"/>
      <w:marBottom w:val="0"/>
      <w:divBdr>
        <w:top w:val="none" w:sz="0" w:space="0" w:color="auto"/>
        <w:left w:val="none" w:sz="0" w:space="0" w:color="auto"/>
        <w:bottom w:val="none" w:sz="0" w:space="0" w:color="auto"/>
        <w:right w:val="none" w:sz="0" w:space="0" w:color="auto"/>
      </w:divBdr>
    </w:div>
    <w:div w:id="782850181">
      <w:bodyDiv w:val="1"/>
      <w:marLeft w:val="0"/>
      <w:marRight w:val="0"/>
      <w:marTop w:val="0"/>
      <w:marBottom w:val="0"/>
      <w:divBdr>
        <w:top w:val="none" w:sz="0" w:space="0" w:color="auto"/>
        <w:left w:val="none" w:sz="0" w:space="0" w:color="auto"/>
        <w:bottom w:val="none" w:sz="0" w:space="0" w:color="auto"/>
        <w:right w:val="none" w:sz="0" w:space="0" w:color="auto"/>
      </w:divBdr>
    </w:div>
    <w:div w:id="797331791">
      <w:bodyDiv w:val="1"/>
      <w:marLeft w:val="0"/>
      <w:marRight w:val="0"/>
      <w:marTop w:val="0"/>
      <w:marBottom w:val="0"/>
      <w:divBdr>
        <w:top w:val="none" w:sz="0" w:space="0" w:color="auto"/>
        <w:left w:val="none" w:sz="0" w:space="0" w:color="auto"/>
        <w:bottom w:val="none" w:sz="0" w:space="0" w:color="auto"/>
        <w:right w:val="none" w:sz="0" w:space="0" w:color="auto"/>
      </w:divBdr>
    </w:div>
    <w:div w:id="797383942">
      <w:bodyDiv w:val="1"/>
      <w:marLeft w:val="0"/>
      <w:marRight w:val="0"/>
      <w:marTop w:val="0"/>
      <w:marBottom w:val="0"/>
      <w:divBdr>
        <w:top w:val="none" w:sz="0" w:space="0" w:color="auto"/>
        <w:left w:val="none" w:sz="0" w:space="0" w:color="auto"/>
        <w:bottom w:val="none" w:sz="0" w:space="0" w:color="auto"/>
        <w:right w:val="none" w:sz="0" w:space="0" w:color="auto"/>
      </w:divBdr>
    </w:div>
    <w:div w:id="839470537">
      <w:bodyDiv w:val="1"/>
      <w:marLeft w:val="0"/>
      <w:marRight w:val="0"/>
      <w:marTop w:val="0"/>
      <w:marBottom w:val="0"/>
      <w:divBdr>
        <w:top w:val="none" w:sz="0" w:space="0" w:color="auto"/>
        <w:left w:val="none" w:sz="0" w:space="0" w:color="auto"/>
        <w:bottom w:val="none" w:sz="0" w:space="0" w:color="auto"/>
        <w:right w:val="none" w:sz="0" w:space="0" w:color="auto"/>
      </w:divBdr>
    </w:div>
    <w:div w:id="857230792">
      <w:bodyDiv w:val="1"/>
      <w:marLeft w:val="0"/>
      <w:marRight w:val="0"/>
      <w:marTop w:val="0"/>
      <w:marBottom w:val="0"/>
      <w:divBdr>
        <w:top w:val="none" w:sz="0" w:space="0" w:color="auto"/>
        <w:left w:val="none" w:sz="0" w:space="0" w:color="auto"/>
        <w:bottom w:val="none" w:sz="0" w:space="0" w:color="auto"/>
        <w:right w:val="none" w:sz="0" w:space="0" w:color="auto"/>
      </w:divBdr>
    </w:div>
    <w:div w:id="863640580">
      <w:bodyDiv w:val="1"/>
      <w:marLeft w:val="0"/>
      <w:marRight w:val="0"/>
      <w:marTop w:val="0"/>
      <w:marBottom w:val="0"/>
      <w:divBdr>
        <w:top w:val="none" w:sz="0" w:space="0" w:color="auto"/>
        <w:left w:val="none" w:sz="0" w:space="0" w:color="auto"/>
        <w:bottom w:val="none" w:sz="0" w:space="0" w:color="auto"/>
        <w:right w:val="none" w:sz="0" w:space="0" w:color="auto"/>
      </w:divBdr>
    </w:div>
    <w:div w:id="867328326">
      <w:bodyDiv w:val="1"/>
      <w:marLeft w:val="0"/>
      <w:marRight w:val="0"/>
      <w:marTop w:val="0"/>
      <w:marBottom w:val="0"/>
      <w:divBdr>
        <w:top w:val="none" w:sz="0" w:space="0" w:color="auto"/>
        <w:left w:val="none" w:sz="0" w:space="0" w:color="auto"/>
        <w:bottom w:val="none" w:sz="0" w:space="0" w:color="auto"/>
        <w:right w:val="none" w:sz="0" w:space="0" w:color="auto"/>
      </w:divBdr>
    </w:div>
    <w:div w:id="897057245">
      <w:bodyDiv w:val="1"/>
      <w:marLeft w:val="0"/>
      <w:marRight w:val="0"/>
      <w:marTop w:val="0"/>
      <w:marBottom w:val="0"/>
      <w:divBdr>
        <w:top w:val="none" w:sz="0" w:space="0" w:color="auto"/>
        <w:left w:val="none" w:sz="0" w:space="0" w:color="auto"/>
        <w:bottom w:val="none" w:sz="0" w:space="0" w:color="auto"/>
        <w:right w:val="none" w:sz="0" w:space="0" w:color="auto"/>
      </w:divBdr>
    </w:div>
    <w:div w:id="901407558">
      <w:bodyDiv w:val="1"/>
      <w:marLeft w:val="0"/>
      <w:marRight w:val="0"/>
      <w:marTop w:val="0"/>
      <w:marBottom w:val="0"/>
      <w:divBdr>
        <w:top w:val="none" w:sz="0" w:space="0" w:color="auto"/>
        <w:left w:val="none" w:sz="0" w:space="0" w:color="auto"/>
        <w:bottom w:val="none" w:sz="0" w:space="0" w:color="auto"/>
        <w:right w:val="none" w:sz="0" w:space="0" w:color="auto"/>
      </w:divBdr>
    </w:div>
    <w:div w:id="905382058">
      <w:bodyDiv w:val="1"/>
      <w:marLeft w:val="0"/>
      <w:marRight w:val="0"/>
      <w:marTop w:val="0"/>
      <w:marBottom w:val="0"/>
      <w:divBdr>
        <w:top w:val="none" w:sz="0" w:space="0" w:color="auto"/>
        <w:left w:val="none" w:sz="0" w:space="0" w:color="auto"/>
        <w:bottom w:val="none" w:sz="0" w:space="0" w:color="auto"/>
        <w:right w:val="none" w:sz="0" w:space="0" w:color="auto"/>
      </w:divBdr>
    </w:div>
    <w:div w:id="914437321">
      <w:bodyDiv w:val="1"/>
      <w:marLeft w:val="0"/>
      <w:marRight w:val="0"/>
      <w:marTop w:val="0"/>
      <w:marBottom w:val="0"/>
      <w:divBdr>
        <w:top w:val="none" w:sz="0" w:space="0" w:color="auto"/>
        <w:left w:val="none" w:sz="0" w:space="0" w:color="auto"/>
        <w:bottom w:val="none" w:sz="0" w:space="0" w:color="auto"/>
        <w:right w:val="none" w:sz="0" w:space="0" w:color="auto"/>
      </w:divBdr>
    </w:div>
    <w:div w:id="925842875">
      <w:bodyDiv w:val="1"/>
      <w:marLeft w:val="0"/>
      <w:marRight w:val="0"/>
      <w:marTop w:val="0"/>
      <w:marBottom w:val="0"/>
      <w:divBdr>
        <w:top w:val="none" w:sz="0" w:space="0" w:color="auto"/>
        <w:left w:val="none" w:sz="0" w:space="0" w:color="auto"/>
        <w:bottom w:val="none" w:sz="0" w:space="0" w:color="auto"/>
        <w:right w:val="none" w:sz="0" w:space="0" w:color="auto"/>
      </w:divBdr>
    </w:div>
    <w:div w:id="931664799">
      <w:bodyDiv w:val="1"/>
      <w:marLeft w:val="0"/>
      <w:marRight w:val="0"/>
      <w:marTop w:val="0"/>
      <w:marBottom w:val="0"/>
      <w:divBdr>
        <w:top w:val="none" w:sz="0" w:space="0" w:color="auto"/>
        <w:left w:val="none" w:sz="0" w:space="0" w:color="auto"/>
        <w:bottom w:val="none" w:sz="0" w:space="0" w:color="auto"/>
        <w:right w:val="none" w:sz="0" w:space="0" w:color="auto"/>
      </w:divBdr>
    </w:div>
    <w:div w:id="935165738">
      <w:bodyDiv w:val="1"/>
      <w:marLeft w:val="0"/>
      <w:marRight w:val="0"/>
      <w:marTop w:val="0"/>
      <w:marBottom w:val="0"/>
      <w:divBdr>
        <w:top w:val="none" w:sz="0" w:space="0" w:color="auto"/>
        <w:left w:val="none" w:sz="0" w:space="0" w:color="auto"/>
        <w:bottom w:val="none" w:sz="0" w:space="0" w:color="auto"/>
        <w:right w:val="none" w:sz="0" w:space="0" w:color="auto"/>
      </w:divBdr>
    </w:div>
    <w:div w:id="935401285">
      <w:bodyDiv w:val="1"/>
      <w:marLeft w:val="0"/>
      <w:marRight w:val="0"/>
      <w:marTop w:val="0"/>
      <w:marBottom w:val="0"/>
      <w:divBdr>
        <w:top w:val="none" w:sz="0" w:space="0" w:color="auto"/>
        <w:left w:val="none" w:sz="0" w:space="0" w:color="auto"/>
        <w:bottom w:val="none" w:sz="0" w:space="0" w:color="auto"/>
        <w:right w:val="none" w:sz="0" w:space="0" w:color="auto"/>
      </w:divBdr>
    </w:div>
    <w:div w:id="946431130">
      <w:bodyDiv w:val="1"/>
      <w:marLeft w:val="0"/>
      <w:marRight w:val="0"/>
      <w:marTop w:val="0"/>
      <w:marBottom w:val="0"/>
      <w:divBdr>
        <w:top w:val="none" w:sz="0" w:space="0" w:color="auto"/>
        <w:left w:val="none" w:sz="0" w:space="0" w:color="auto"/>
        <w:bottom w:val="none" w:sz="0" w:space="0" w:color="auto"/>
        <w:right w:val="none" w:sz="0" w:space="0" w:color="auto"/>
      </w:divBdr>
    </w:div>
    <w:div w:id="953051908">
      <w:bodyDiv w:val="1"/>
      <w:marLeft w:val="0"/>
      <w:marRight w:val="0"/>
      <w:marTop w:val="0"/>
      <w:marBottom w:val="0"/>
      <w:divBdr>
        <w:top w:val="none" w:sz="0" w:space="0" w:color="auto"/>
        <w:left w:val="none" w:sz="0" w:space="0" w:color="auto"/>
        <w:bottom w:val="none" w:sz="0" w:space="0" w:color="auto"/>
        <w:right w:val="none" w:sz="0" w:space="0" w:color="auto"/>
      </w:divBdr>
    </w:div>
    <w:div w:id="961156183">
      <w:bodyDiv w:val="1"/>
      <w:marLeft w:val="0"/>
      <w:marRight w:val="0"/>
      <w:marTop w:val="0"/>
      <w:marBottom w:val="0"/>
      <w:divBdr>
        <w:top w:val="none" w:sz="0" w:space="0" w:color="auto"/>
        <w:left w:val="none" w:sz="0" w:space="0" w:color="auto"/>
        <w:bottom w:val="none" w:sz="0" w:space="0" w:color="auto"/>
        <w:right w:val="none" w:sz="0" w:space="0" w:color="auto"/>
      </w:divBdr>
    </w:div>
    <w:div w:id="968704940">
      <w:bodyDiv w:val="1"/>
      <w:marLeft w:val="0"/>
      <w:marRight w:val="0"/>
      <w:marTop w:val="0"/>
      <w:marBottom w:val="0"/>
      <w:divBdr>
        <w:top w:val="none" w:sz="0" w:space="0" w:color="auto"/>
        <w:left w:val="none" w:sz="0" w:space="0" w:color="auto"/>
        <w:bottom w:val="none" w:sz="0" w:space="0" w:color="auto"/>
        <w:right w:val="none" w:sz="0" w:space="0" w:color="auto"/>
      </w:divBdr>
    </w:div>
    <w:div w:id="971331648">
      <w:bodyDiv w:val="1"/>
      <w:marLeft w:val="0"/>
      <w:marRight w:val="0"/>
      <w:marTop w:val="0"/>
      <w:marBottom w:val="0"/>
      <w:divBdr>
        <w:top w:val="none" w:sz="0" w:space="0" w:color="auto"/>
        <w:left w:val="none" w:sz="0" w:space="0" w:color="auto"/>
        <w:bottom w:val="none" w:sz="0" w:space="0" w:color="auto"/>
        <w:right w:val="none" w:sz="0" w:space="0" w:color="auto"/>
      </w:divBdr>
    </w:div>
    <w:div w:id="986320442">
      <w:bodyDiv w:val="1"/>
      <w:marLeft w:val="0"/>
      <w:marRight w:val="0"/>
      <w:marTop w:val="0"/>
      <w:marBottom w:val="0"/>
      <w:divBdr>
        <w:top w:val="none" w:sz="0" w:space="0" w:color="auto"/>
        <w:left w:val="none" w:sz="0" w:space="0" w:color="auto"/>
        <w:bottom w:val="none" w:sz="0" w:space="0" w:color="auto"/>
        <w:right w:val="none" w:sz="0" w:space="0" w:color="auto"/>
      </w:divBdr>
    </w:div>
    <w:div w:id="1003702508">
      <w:bodyDiv w:val="1"/>
      <w:marLeft w:val="0"/>
      <w:marRight w:val="0"/>
      <w:marTop w:val="0"/>
      <w:marBottom w:val="0"/>
      <w:divBdr>
        <w:top w:val="none" w:sz="0" w:space="0" w:color="auto"/>
        <w:left w:val="none" w:sz="0" w:space="0" w:color="auto"/>
        <w:bottom w:val="none" w:sz="0" w:space="0" w:color="auto"/>
        <w:right w:val="none" w:sz="0" w:space="0" w:color="auto"/>
      </w:divBdr>
    </w:div>
    <w:div w:id="1004089900">
      <w:bodyDiv w:val="1"/>
      <w:marLeft w:val="0"/>
      <w:marRight w:val="0"/>
      <w:marTop w:val="0"/>
      <w:marBottom w:val="0"/>
      <w:divBdr>
        <w:top w:val="none" w:sz="0" w:space="0" w:color="auto"/>
        <w:left w:val="none" w:sz="0" w:space="0" w:color="auto"/>
        <w:bottom w:val="none" w:sz="0" w:space="0" w:color="auto"/>
        <w:right w:val="none" w:sz="0" w:space="0" w:color="auto"/>
      </w:divBdr>
    </w:div>
    <w:div w:id="1004746438">
      <w:bodyDiv w:val="1"/>
      <w:marLeft w:val="0"/>
      <w:marRight w:val="0"/>
      <w:marTop w:val="0"/>
      <w:marBottom w:val="0"/>
      <w:divBdr>
        <w:top w:val="none" w:sz="0" w:space="0" w:color="auto"/>
        <w:left w:val="none" w:sz="0" w:space="0" w:color="auto"/>
        <w:bottom w:val="none" w:sz="0" w:space="0" w:color="auto"/>
        <w:right w:val="none" w:sz="0" w:space="0" w:color="auto"/>
      </w:divBdr>
    </w:div>
    <w:div w:id="1005783811">
      <w:bodyDiv w:val="1"/>
      <w:marLeft w:val="0"/>
      <w:marRight w:val="0"/>
      <w:marTop w:val="0"/>
      <w:marBottom w:val="0"/>
      <w:divBdr>
        <w:top w:val="none" w:sz="0" w:space="0" w:color="auto"/>
        <w:left w:val="none" w:sz="0" w:space="0" w:color="auto"/>
        <w:bottom w:val="none" w:sz="0" w:space="0" w:color="auto"/>
        <w:right w:val="none" w:sz="0" w:space="0" w:color="auto"/>
      </w:divBdr>
    </w:div>
    <w:div w:id="1040783832">
      <w:bodyDiv w:val="1"/>
      <w:marLeft w:val="0"/>
      <w:marRight w:val="0"/>
      <w:marTop w:val="0"/>
      <w:marBottom w:val="0"/>
      <w:divBdr>
        <w:top w:val="none" w:sz="0" w:space="0" w:color="auto"/>
        <w:left w:val="none" w:sz="0" w:space="0" w:color="auto"/>
        <w:bottom w:val="none" w:sz="0" w:space="0" w:color="auto"/>
        <w:right w:val="none" w:sz="0" w:space="0" w:color="auto"/>
      </w:divBdr>
    </w:div>
    <w:div w:id="1041899782">
      <w:bodyDiv w:val="1"/>
      <w:marLeft w:val="0"/>
      <w:marRight w:val="0"/>
      <w:marTop w:val="0"/>
      <w:marBottom w:val="0"/>
      <w:divBdr>
        <w:top w:val="none" w:sz="0" w:space="0" w:color="auto"/>
        <w:left w:val="none" w:sz="0" w:space="0" w:color="auto"/>
        <w:bottom w:val="none" w:sz="0" w:space="0" w:color="auto"/>
        <w:right w:val="none" w:sz="0" w:space="0" w:color="auto"/>
      </w:divBdr>
    </w:div>
    <w:div w:id="1042630893">
      <w:bodyDiv w:val="1"/>
      <w:marLeft w:val="0"/>
      <w:marRight w:val="0"/>
      <w:marTop w:val="0"/>
      <w:marBottom w:val="0"/>
      <w:divBdr>
        <w:top w:val="none" w:sz="0" w:space="0" w:color="auto"/>
        <w:left w:val="none" w:sz="0" w:space="0" w:color="auto"/>
        <w:bottom w:val="none" w:sz="0" w:space="0" w:color="auto"/>
        <w:right w:val="none" w:sz="0" w:space="0" w:color="auto"/>
      </w:divBdr>
    </w:div>
    <w:div w:id="1052195458">
      <w:bodyDiv w:val="1"/>
      <w:marLeft w:val="0"/>
      <w:marRight w:val="0"/>
      <w:marTop w:val="0"/>
      <w:marBottom w:val="0"/>
      <w:divBdr>
        <w:top w:val="none" w:sz="0" w:space="0" w:color="auto"/>
        <w:left w:val="none" w:sz="0" w:space="0" w:color="auto"/>
        <w:bottom w:val="none" w:sz="0" w:space="0" w:color="auto"/>
        <w:right w:val="none" w:sz="0" w:space="0" w:color="auto"/>
      </w:divBdr>
    </w:div>
    <w:div w:id="1073576767">
      <w:bodyDiv w:val="1"/>
      <w:marLeft w:val="0"/>
      <w:marRight w:val="0"/>
      <w:marTop w:val="0"/>
      <w:marBottom w:val="0"/>
      <w:divBdr>
        <w:top w:val="none" w:sz="0" w:space="0" w:color="auto"/>
        <w:left w:val="none" w:sz="0" w:space="0" w:color="auto"/>
        <w:bottom w:val="none" w:sz="0" w:space="0" w:color="auto"/>
        <w:right w:val="none" w:sz="0" w:space="0" w:color="auto"/>
      </w:divBdr>
    </w:div>
    <w:div w:id="1080324736">
      <w:bodyDiv w:val="1"/>
      <w:marLeft w:val="0"/>
      <w:marRight w:val="0"/>
      <w:marTop w:val="0"/>
      <w:marBottom w:val="0"/>
      <w:divBdr>
        <w:top w:val="none" w:sz="0" w:space="0" w:color="auto"/>
        <w:left w:val="none" w:sz="0" w:space="0" w:color="auto"/>
        <w:bottom w:val="none" w:sz="0" w:space="0" w:color="auto"/>
        <w:right w:val="none" w:sz="0" w:space="0" w:color="auto"/>
      </w:divBdr>
    </w:div>
    <w:div w:id="1104114624">
      <w:bodyDiv w:val="1"/>
      <w:marLeft w:val="0"/>
      <w:marRight w:val="0"/>
      <w:marTop w:val="0"/>
      <w:marBottom w:val="0"/>
      <w:divBdr>
        <w:top w:val="none" w:sz="0" w:space="0" w:color="auto"/>
        <w:left w:val="none" w:sz="0" w:space="0" w:color="auto"/>
        <w:bottom w:val="none" w:sz="0" w:space="0" w:color="auto"/>
        <w:right w:val="none" w:sz="0" w:space="0" w:color="auto"/>
      </w:divBdr>
    </w:div>
    <w:div w:id="1108352176">
      <w:bodyDiv w:val="1"/>
      <w:marLeft w:val="0"/>
      <w:marRight w:val="0"/>
      <w:marTop w:val="0"/>
      <w:marBottom w:val="0"/>
      <w:divBdr>
        <w:top w:val="none" w:sz="0" w:space="0" w:color="auto"/>
        <w:left w:val="none" w:sz="0" w:space="0" w:color="auto"/>
        <w:bottom w:val="none" w:sz="0" w:space="0" w:color="auto"/>
        <w:right w:val="none" w:sz="0" w:space="0" w:color="auto"/>
      </w:divBdr>
    </w:div>
    <w:div w:id="1117145290">
      <w:bodyDiv w:val="1"/>
      <w:marLeft w:val="0"/>
      <w:marRight w:val="0"/>
      <w:marTop w:val="0"/>
      <w:marBottom w:val="0"/>
      <w:divBdr>
        <w:top w:val="none" w:sz="0" w:space="0" w:color="auto"/>
        <w:left w:val="none" w:sz="0" w:space="0" w:color="auto"/>
        <w:bottom w:val="none" w:sz="0" w:space="0" w:color="auto"/>
        <w:right w:val="none" w:sz="0" w:space="0" w:color="auto"/>
      </w:divBdr>
    </w:div>
    <w:div w:id="1128161228">
      <w:bodyDiv w:val="1"/>
      <w:marLeft w:val="0"/>
      <w:marRight w:val="0"/>
      <w:marTop w:val="0"/>
      <w:marBottom w:val="0"/>
      <w:divBdr>
        <w:top w:val="none" w:sz="0" w:space="0" w:color="auto"/>
        <w:left w:val="none" w:sz="0" w:space="0" w:color="auto"/>
        <w:bottom w:val="none" w:sz="0" w:space="0" w:color="auto"/>
        <w:right w:val="none" w:sz="0" w:space="0" w:color="auto"/>
      </w:divBdr>
    </w:div>
    <w:div w:id="1157959671">
      <w:bodyDiv w:val="1"/>
      <w:marLeft w:val="0"/>
      <w:marRight w:val="0"/>
      <w:marTop w:val="0"/>
      <w:marBottom w:val="0"/>
      <w:divBdr>
        <w:top w:val="none" w:sz="0" w:space="0" w:color="auto"/>
        <w:left w:val="none" w:sz="0" w:space="0" w:color="auto"/>
        <w:bottom w:val="none" w:sz="0" w:space="0" w:color="auto"/>
        <w:right w:val="none" w:sz="0" w:space="0" w:color="auto"/>
      </w:divBdr>
    </w:div>
    <w:div w:id="1168058041">
      <w:bodyDiv w:val="1"/>
      <w:marLeft w:val="0"/>
      <w:marRight w:val="0"/>
      <w:marTop w:val="0"/>
      <w:marBottom w:val="0"/>
      <w:divBdr>
        <w:top w:val="none" w:sz="0" w:space="0" w:color="auto"/>
        <w:left w:val="none" w:sz="0" w:space="0" w:color="auto"/>
        <w:bottom w:val="none" w:sz="0" w:space="0" w:color="auto"/>
        <w:right w:val="none" w:sz="0" w:space="0" w:color="auto"/>
      </w:divBdr>
    </w:div>
    <w:div w:id="1177034113">
      <w:bodyDiv w:val="1"/>
      <w:marLeft w:val="0"/>
      <w:marRight w:val="0"/>
      <w:marTop w:val="0"/>
      <w:marBottom w:val="0"/>
      <w:divBdr>
        <w:top w:val="none" w:sz="0" w:space="0" w:color="auto"/>
        <w:left w:val="none" w:sz="0" w:space="0" w:color="auto"/>
        <w:bottom w:val="none" w:sz="0" w:space="0" w:color="auto"/>
        <w:right w:val="none" w:sz="0" w:space="0" w:color="auto"/>
      </w:divBdr>
    </w:div>
    <w:div w:id="1197084900">
      <w:bodyDiv w:val="1"/>
      <w:marLeft w:val="0"/>
      <w:marRight w:val="0"/>
      <w:marTop w:val="0"/>
      <w:marBottom w:val="0"/>
      <w:divBdr>
        <w:top w:val="none" w:sz="0" w:space="0" w:color="auto"/>
        <w:left w:val="none" w:sz="0" w:space="0" w:color="auto"/>
        <w:bottom w:val="none" w:sz="0" w:space="0" w:color="auto"/>
        <w:right w:val="none" w:sz="0" w:space="0" w:color="auto"/>
      </w:divBdr>
    </w:div>
    <w:div w:id="1206675903">
      <w:bodyDiv w:val="1"/>
      <w:marLeft w:val="0"/>
      <w:marRight w:val="0"/>
      <w:marTop w:val="0"/>
      <w:marBottom w:val="0"/>
      <w:divBdr>
        <w:top w:val="none" w:sz="0" w:space="0" w:color="auto"/>
        <w:left w:val="none" w:sz="0" w:space="0" w:color="auto"/>
        <w:bottom w:val="none" w:sz="0" w:space="0" w:color="auto"/>
        <w:right w:val="none" w:sz="0" w:space="0" w:color="auto"/>
      </w:divBdr>
    </w:div>
    <w:div w:id="1206866154">
      <w:bodyDiv w:val="1"/>
      <w:marLeft w:val="0"/>
      <w:marRight w:val="0"/>
      <w:marTop w:val="0"/>
      <w:marBottom w:val="0"/>
      <w:divBdr>
        <w:top w:val="none" w:sz="0" w:space="0" w:color="auto"/>
        <w:left w:val="none" w:sz="0" w:space="0" w:color="auto"/>
        <w:bottom w:val="none" w:sz="0" w:space="0" w:color="auto"/>
        <w:right w:val="none" w:sz="0" w:space="0" w:color="auto"/>
      </w:divBdr>
    </w:div>
    <w:div w:id="1209881460">
      <w:bodyDiv w:val="1"/>
      <w:marLeft w:val="0"/>
      <w:marRight w:val="0"/>
      <w:marTop w:val="0"/>
      <w:marBottom w:val="0"/>
      <w:divBdr>
        <w:top w:val="none" w:sz="0" w:space="0" w:color="auto"/>
        <w:left w:val="none" w:sz="0" w:space="0" w:color="auto"/>
        <w:bottom w:val="none" w:sz="0" w:space="0" w:color="auto"/>
        <w:right w:val="none" w:sz="0" w:space="0" w:color="auto"/>
      </w:divBdr>
    </w:div>
    <w:div w:id="1211844935">
      <w:bodyDiv w:val="1"/>
      <w:marLeft w:val="0"/>
      <w:marRight w:val="0"/>
      <w:marTop w:val="0"/>
      <w:marBottom w:val="0"/>
      <w:divBdr>
        <w:top w:val="none" w:sz="0" w:space="0" w:color="auto"/>
        <w:left w:val="none" w:sz="0" w:space="0" w:color="auto"/>
        <w:bottom w:val="none" w:sz="0" w:space="0" w:color="auto"/>
        <w:right w:val="none" w:sz="0" w:space="0" w:color="auto"/>
      </w:divBdr>
    </w:div>
    <w:div w:id="1223440802">
      <w:bodyDiv w:val="1"/>
      <w:marLeft w:val="0"/>
      <w:marRight w:val="0"/>
      <w:marTop w:val="0"/>
      <w:marBottom w:val="0"/>
      <w:divBdr>
        <w:top w:val="none" w:sz="0" w:space="0" w:color="auto"/>
        <w:left w:val="none" w:sz="0" w:space="0" w:color="auto"/>
        <w:bottom w:val="none" w:sz="0" w:space="0" w:color="auto"/>
        <w:right w:val="none" w:sz="0" w:space="0" w:color="auto"/>
      </w:divBdr>
    </w:div>
    <w:div w:id="1233858325">
      <w:bodyDiv w:val="1"/>
      <w:marLeft w:val="0"/>
      <w:marRight w:val="0"/>
      <w:marTop w:val="0"/>
      <w:marBottom w:val="0"/>
      <w:divBdr>
        <w:top w:val="none" w:sz="0" w:space="0" w:color="auto"/>
        <w:left w:val="none" w:sz="0" w:space="0" w:color="auto"/>
        <w:bottom w:val="none" w:sz="0" w:space="0" w:color="auto"/>
        <w:right w:val="none" w:sz="0" w:space="0" w:color="auto"/>
      </w:divBdr>
    </w:div>
    <w:div w:id="1236163119">
      <w:bodyDiv w:val="1"/>
      <w:marLeft w:val="0"/>
      <w:marRight w:val="0"/>
      <w:marTop w:val="0"/>
      <w:marBottom w:val="0"/>
      <w:divBdr>
        <w:top w:val="none" w:sz="0" w:space="0" w:color="auto"/>
        <w:left w:val="none" w:sz="0" w:space="0" w:color="auto"/>
        <w:bottom w:val="none" w:sz="0" w:space="0" w:color="auto"/>
        <w:right w:val="none" w:sz="0" w:space="0" w:color="auto"/>
      </w:divBdr>
    </w:div>
    <w:div w:id="1240288416">
      <w:bodyDiv w:val="1"/>
      <w:marLeft w:val="0"/>
      <w:marRight w:val="0"/>
      <w:marTop w:val="0"/>
      <w:marBottom w:val="0"/>
      <w:divBdr>
        <w:top w:val="none" w:sz="0" w:space="0" w:color="auto"/>
        <w:left w:val="none" w:sz="0" w:space="0" w:color="auto"/>
        <w:bottom w:val="none" w:sz="0" w:space="0" w:color="auto"/>
        <w:right w:val="none" w:sz="0" w:space="0" w:color="auto"/>
      </w:divBdr>
    </w:div>
    <w:div w:id="1254821657">
      <w:bodyDiv w:val="1"/>
      <w:marLeft w:val="0"/>
      <w:marRight w:val="0"/>
      <w:marTop w:val="0"/>
      <w:marBottom w:val="0"/>
      <w:divBdr>
        <w:top w:val="none" w:sz="0" w:space="0" w:color="auto"/>
        <w:left w:val="none" w:sz="0" w:space="0" w:color="auto"/>
        <w:bottom w:val="none" w:sz="0" w:space="0" w:color="auto"/>
        <w:right w:val="none" w:sz="0" w:space="0" w:color="auto"/>
      </w:divBdr>
    </w:div>
    <w:div w:id="1267039925">
      <w:bodyDiv w:val="1"/>
      <w:marLeft w:val="0"/>
      <w:marRight w:val="0"/>
      <w:marTop w:val="0"/>
      <w:marBottom w:val="0"/>
      <w:divBdr>
        <w:top w:val="none" w:sz="0" w:space="0" w:color="auto"/>
        <w:left w:val="none" w:sz="0" w:space="0" w:color="auto"/>
        <w:bottom w:val="none" w:sz="0" w:space="0" w:color="auto"/>
        <w:right w:val="none" w:sz="0" w:space="0" w:color="auto"/>
      </w:divBdr>
    </w:div>
    <w:div w:id="1269892568">
      <w:bodyDiv w:val="1"/>
      <w:marLeft w:val="0"/>
      <w:marRight w:val="0"/>
      <w:marTop w:val="0"/>
      <w:marBottom w:val="0"/>
      <w:divBdr>
        <w:top w:val="none" w:sz="0" w:space="0" w:color="auto"/>
        <w:left w:val="none" w:sz="0" w:space="0" w:color="auto"/>
        <w:bottom w:val="none" w:sz="0" w:space="0" w:color="auto"/>
        <w:right w:val="none" w:sz="0" w:space="0" w:color="auto"/>
      </w:divBdr>
    </w:div>
    <w:div w:id="1276714901">
      <w:bodyDiv w:val="1"/>
      <w:marLeft w:val="0"/>
      <w:marRight w:val="0"/>
      <w:marTop w:val="0"/>
      <w:marBottom w:val="0"/>
      <w:divBdr>
        <w:top w:val="none" w:sz="0" w:space="0" w:color="auto"/>
        <w:left w:val="none" w:sz="0" w:space="0" w:color="auto"/>
        <w:bottom w:val="none" w:sz="0" w:space="0" w:color="auto"/>
        <w:right w:val="none" w:sz="0" w:space="0" w:color="auto"/>
      </w:divBdr>
    </w:div>
    <w:div w:id="1306620092">
      <w:bodyDiv w:val="1"/>
      <w:marLeft w:val="0"/>
      <w:marRight w:val="0"/>
      <w:marTop w:val="0"/>
      <w:marBottom w:val="0"/>
      <w:divBdr>
        <w:top w:val="none" w:sz="0" w:space="0" w:color="auto"/>
        <w:left w:val="none" w:sz="0" w:space="0" w:color="auto"/>
        <w:bottom w:val="none" w:sz="0" w:space="0" w:color="auto"/>
        <w:right w:val="none" w:sz="0" w:space="0" w:color="auto"/>
      </w:divBdr>
    </w:div>
    <w:div w:id="1326981460">
      <w:bodyDiv w:val="1"/>
      <w:marLeft w:val="0"/>
      <w:marRight w:val="0"/>
      <w:marTop w:val="0"/>
      <w:marBottom w:val="0"/>
      <w:divBdr>
        <w:top w:val="none" w:sz="0" w:space="0" w:color="auto"/>
        <w:left w:val="none" w:sz="0" w:space="0" w:color="auto"/>
        <w:bottom w:val="none" w:sz="0" w:space="0" w:color="auto"/>
        <w:right w:val="none" w:sz="0" w:space="0" w:color="auto"/>
      </w:divBdr>
    </w:div>
    <w:div w:id="1330791067">
      <w:bodyDiv w:val="1"/>
      <w:marLeft w:val="0"/>
      <w:marRight w:val="0"/>
      <w:marTop w:val="0"/>
      <w:marBottom w:val="0"/>
      <w:divBdr>
        <w:top w:val="none" w:sz="0" w:space="0" w:color="auto"/>
        <w:left w:val="none" w:sz="0" w:space="0" w:color="auto"/>
        <w:bottom w:val="none" w:sz="0" w:space="0" w:color="auto"/>
        <w:right w:val="none" w:sz="0" w:space="0" w:color="auto"/>
      </w:divBdr>
    </w:div>
    <w:div w:id="1335378245">
      <w:bodyDiv w:val="1"/>
      <w:marLeft w:val="0"/>
      <w:marRight w:val="0"/>
      <w:marTop w:val="0"/>
      <w:marBottom w:val="0"/>
      <w:divBdr>
        <w:top w:val="none" w:sz="0" w:space="0" w:color="auto"/>
        <w:left w:val="none" w:sz="0" w:space="0" w:color="auto"/>
        <w:bottom w:val="none" w:sz="0" w:space="0" w:color="auto"/>
        <w:right w:val="none" w:sz="0" w:space="0" w:color="auto"/>
      </w:divBdr>
    </w:div>
    <w:div w:id="1344210613">
      <w:bodyDiv w:val="1"/>
      <w:marLeft w:val="0"/>
      <w:marRight w:val="0"/>
      <w:marTop w:val="0"/>
      <w:marBottom w:val="0"/>
      <w:divBdr>
        <w:top w:val="none" w:sz="0" w:space="0" w:color="auto"/>
        <w:left w:val="none" w:sz="0" w:space="0" w:color="auto"/>
        <w:bottom w:val="none" w:sz="0" w:space="0" w:color="auto"/>
        <w:right w:val="none" w:sz="0" w:space="0" w:color="auto"/>
      </w:divBdr>
    </w:div>
    <w:div w:id="1348287721">
      <w:bodyDiv w:val="1"/>
      <w:marLeft w:val="0"/>
      <w:marRight w:val="0"/>
      <w:marTop w:val="0"/>
      <w:marBottom w:val="0"/>
      <w:divBdr>
        <w:top w:val="none" w:sz="0" w:space="0" w:color="auto"/>
        <w:left w:val="none" w:sz="0" w:space="0" w:color="auto"/>
        <w:bottom w:val="none" w:sz="0" w:space="0" w:color="auto"/>
        <w:right w:val="none" w:sz="0" w:space="0" w:color="auto"/>
      </w:divBdr>
    </w:div>
    <w:div w:id="1360858710">
      <w:bodyDiv w:val="1"/>
      <w:marLeft w:val="0"/>
      <w:marRight w:val="0"/>
      <w:marTop w:val="0"/>
      <w:marBottom w:val="0"/>
      <w:divBdr>
        <w:top w:val="none" w:sz="0" w:space="0" w:color="auto"/>
        <w:left w:val="none" w:sz="0" w:space="0" w:color="auto"/>
        <w:bottom w:val="none" w:sz="0" w:space="0" w:color="auto"/>
        <w:right w:val="none" w:sz="0" w:space="0" w:color="auto"/>
      </w:divBdr>
    </w:div>
    <w:div w:id="1364938845">
      <w:bodyDiv w:val="1"/>
      <w:marLeft w:val="0"/>
      <w:marRight w:val="0"/>
      <w:marTop w:val="0"/>
      <w:marBottom w:val="0"/>
      <w:divBdr>
        <w:top w:val="none" w:sz="0" w:space="0" w:color="auto"/>
        <w:left w:val="none" w:sz="0" w:space="0" w:color="auto"/>
        <w:bottom w:val="none" w:sz="0" w:space="0" w:color="auto"/>
        <w:right w:val="none" w:sz="0" w:space="0" w:color="auto"/>
      </w:divBdr>
    </w:div>
    <w:div w:id="1382292954">
      <w:bodyDiv w:val="1"/>
      <w:marLeft w:val="0"/>
      <w:marRight w:val="0"/>
      <w:marTop w:val="0"/>
      <w:marBottom w:val="0"/>
      <w:divBdr>
        <w:top w:val="none" w:sz="0" w:space="0" w:color="auto"/>
        <w:left w:val="none" w:sz="0" w:space="0" w:color="auto"/>
        <w:bottom w:val="none" w:sz="0" w:space="0" w:color="auto"/>
        <w:right w:val="none" w:sz="0" w:space="0" w:color="auto"/>
      </w:divBdr>
    </w:div>
    <w:div w:id="1402286563">
      <w:bodyDiv w:val="1"/>
      <w:marLeft w:val="0"/>
      <w:marRight w:val="0"/>
      <w:marTop w:val="0"/>
      <w:marBottom w:val="0"/>
      <w:divBdr>
        <w:top w:val="none" w:sz="0" w:space="0" w:color="auto"/>
        <w:left w:val="none" w:sz="0" w:space="0" w:color="auto"/>
        <w:bottom w:val="none" w:sz="0" w:space="0" w:color="auto"/>
        <w:right w:val="none" w:sz="0" w:space="0" w:color="auto"/>
      </w:divBdr>
    </w:div>
    <w:div w:id="1410811451">
      <w:bodyDiv w:val="1"/>
      <w:marLeft w:val="0"/>
      <w:marRight w:val="0"/>
      <w:marTop w:val="0"/>
      <w:marBottom w:val="0"/>
      <w:divBdr>
        <w:top w:val="none" w:sz="0" w:space="0" w:color="auto"/>
        <w:left w:val="none" w:sz="0" w:space="0" w:color="auto"/>
        <w:bottom w:val="none" w:sz="0" w:space="0" w:color="auto"/>
        <w:right w:val="none" w:sz="0" w:space="0" w:color="auto"/>
      </w:divBdr>
    </w:div>
    <w:div w:id="1412965516">
      <w:bodyDiv w:val="1"/>
      <w:marLeft w:val="0"/>
      <w:marRight w:val="0"/>
      <w:marTop w:val="0"/>
      <w:marBottom w:val="0"/>
      <w:divBdr>
        <w:top w:val="none" w:sz="0" w:space="0" w:color="auto"/>
        <w:left w:val="none" w:sz="0" w:space="0" w:color="auto"/>
        <w:bottom w:val="none" w:sz="0" w:space="0" w:color="auto"/>
        <w:right w:val="none" w:sz="0" w:space="0" w:color="auto"/>
      </w:divBdr>
    </w:div>
    <w:div w:id="1418985943">
      <w:bodyDiv w:val="1"/>
      <w:marLeft w:val="0"/>
      <w:marRight w:val="0"/>
      <w:marTop w:val="0"/>
      <w:marBottom w:val="0"/>
      <w:divBdr>
        <w:top w:val="none" w:sz="0" w:space="0" w:color="auto"/>
        <w:left w:val="none" w:sz="0" w:space="0" w:color="auto"/>
        <w:bottom w:val="none" w:sz="0" w:space="0" w:color="auto"/>
        <w:right w:val="none" w:sz="0" w:space="0" w:color="auto"/>
      </w:divBdr>
    </w:div>
    <w:div w:id="1444499428">
      <w:bodyDiv w:val="1"/>
      <w:marLeft w:val="0"/>
      <w:marRight w:val="0"/>
      <w:marTop w:val="0"/>
      <w:marBottom w:val="0"/>
      <w:divBdr>
        <w:top w:val="none" w:sz="0" w:space="0" w:color="auto"/>
        <w:left w:val="none" w:sz="0" w:space="0" w:color="auto"/>
        <w:bottom w:val="none" w:sz="0" w:space="0" w:color="auto"/>
        <w:right w:val="none" w:sz="0" w:space="0" w:color="auto"/>
      </w:divBdr>
    </w:div>
    <w:div w:id="1452897148">
      <w:bodyDiv w:val="1"/>
      <w:marLeft w:val="0"/>
      <w:marRight w:val="0"/>
      <w:marTop w:val="0"/>
      <w:marBottom w:val="0"/>
      <w:divBdr>
        <w:top w:val="none" w:sz="0" w:space="0" w:color="auto"/>
        <w:left w:val="none" w:sz="0" w:space="0" w:color="auto"/>
        <w:bottom w:val="none" w:sz="0" w:space="0" w:color="auto"/>
        <w:right w:val="none" w:sz="0" w:space="0" w:color="auto"/>
      </w:divBdr>
    </w:div>
    <w:div w:id="1463382481">
      <w:bodyDiv w:val="1"/>
      <w:marLeft w:val="0"/>
      <w:marRight w:val="0"/>
      <w:marTop w:val="0"/>
      <w:marBottom w:val="0"/>
      <w:divBdr>
        <w:top w:val="none" w:sz="0" w:space="0" w:color="auto"/>
        <w:left w:val="none" w:sz="0" w:space="0" w:color="auto"/>
        <w:bottom w:val="none" w:sz="0" w:space="0" w:color="auto"/>
        <w:right w:val="none" w:sz="0" w:space="0" w:color="auto"/>
      </w:divBdr>
    </w:div>
    <w:div w:id="1472013736">
      <w:bodyDiv w:val="1"/>
      <w:marLeft w:val="0"/>
      <w:marRight w:val="0"/>
      <w:marTop w:val="0"/>
      <w:marBottom w:val="0"/>
      <w:divBdr>
        <w:top w:val="none" w:sz="0" w:space="0" w:color="auto"/>
        <w:left w:val="none" w:sz="0" w:space="0" w:color="auto"/>
        <w:bottom w:val="none" w:sz="0" w:space="0" w:color="auto"/>
        <w:right w:val="none" w:sz="0" w:space="0" w:color="auto"/>
      </w:divBdr>
    </w:div>
    <w:div w:id="1483306622">
      <w:bodyDiv w:val="1"/>
      <w:marLeft w:val="0"/>
      <w:marRight w:val="0"/>
      <w:marTop w:val="0"/>
      <w:marBottom w:val="0"/>
      <w:divBdr>
        <w:top w:val="none" w:sz="0" w:space="0" w:color="auto"/>
        <w:left w:val="none" w:sz="0" w:space="0" w:color="auto"/>
        <w:bottom w:val="none" w:sz="0" w:space="0" w:color="auto"/>
        <w:right w:val="none" w:sz="0" w:space="0" w:color="auto"/>
      </w:divBdr>
    </w:div>
    <w:div w:id="1487015387">
      <w:bodyDiv w:val="1"/>
      <w:marLeft w:val="0"/>
      <w:marRight w:val="0"/>
      <w:marTop w:val="0"/>
      <w:marBottom w:val="0"/>
      <w:divBdr>
        <w:top w:val="none" w:sz="0" w:space="0" w:color="auto"/>
        <w:left w:val="none" w:sz="0" w:space="0" w:color="auto"/>
        <w:bottom w:val="none" w:sz="0" w:space="0" w:color="auto"/>
        <w:right w:val="none" w:sz="0" w:space="0" w:color="auto"/>
      </w:divBdr>
    </w:div>
    <w:div w:id="1489398909">
      <w:bodyDiv w:val="1"/>
      <w:marLeft w:val="0"/>
      <w:marRight w:val="0"/>
      <w:marTop w:val="0"/>
      <w:marBottom w:val="0"/>
      <w:divBdr>
        <w:top w:val="none" w:sz="0" w:space="0" w:color="auto"/>
        <w:left w:val="none" w:sz="0" w:space="0" w:color="auto"/>
        <w:bottom w:val="none" w:sz="0" w:space="0" w:color="auto"/>
        <w:right w:val="none" w:sz="0" w:space="0" w:color="auto"/>
      </w:divBdr>
    </w:div>
    <w:div w:id="1499274451">
      <w:bodyDiv w:val="1"/>
      <w:marLeft w:val="0"/>
      <w:marRight w:val="0"/>
      <w:marTop w:val="0"/>
      <w:marBottom w:val="0"/>
      <w:divBdr>
        <w:top w:val="none" w:sz="0" w:space="0" w:color="auto"/>
        <w:left w:val="none" w:sz="0" w:space="0" w:color="auto"/>
        <w:bottom w:val="none" w:sz="0" w:space="0" w:color="auto"/>
        <w:right w:val="none" w:sz="0" w:space="0" w:color="auto"/>
      </w:divBdr>
    </w:div>
    <w:div w:id="1524317885">
      <w:bodyDiv w:val="1"/>
      <w:marLeft w:val="0"/>
      <w:marRight w:val="0"/>
      <w:marTop w:val="0"/>
      <w:marBottom w:val="0"/>
      <w:divBdr>
        <w:top w:val="none" w:sz="0" w:space="0" w:color="auto"/>
        <w:left w:val="none" w:sz="0" w:space="0" w:color="auto"/>
        <w:bottom w:val="none" w:sz="0" w:space="0" w:color="auto"/>
        <w:right w:val="none" w:sz="0" w:space="0" w:color="auto"/>
      </w:divBdr>
    </w:div>
    <w:div w:id="1534535052">
      <w:bodyDiv w:val="1"/>
      <w:marLeft w:val="0"/>
      <w:marRight w:val="0"/>
      <w:marTop w:val="0"/>
      <w:marBottom w:val="0"/>
      <w:divBdr>
        <w:top w:val="none" w:sz="0" w:space="0" w:color="auto"/>
        <w:left w:val="none" w:sz="0" w:space="0" w:color="auto"/>
        <w:bottom w:val="none" w:sz="0" w:space="0" w:color="auto"/>
        <w:right w:val="none" w:sz="0" w:space="0" w:color="auto"/>
      </w:divBdr>
    </w:div>
    <w:div w:id="1600872468">
      <w:bodyDiv w:val="1"/>
      <w:marLeft w:val="0"/>
      <w:marRight w:val="0"/>
      <w:marTop w:val="0"/>
      <w:marBottom w:val="0"/>
      <w:divBdr>
        <w:top w:val="none" w:sz="0" w:space="0" w:color="auto"/>
        <w:left w:val="none" w:sz="0" w:space="0" w:color="auto"/>
        <w:bottom w:val="none" w:sz="0" w:space="0" w:color="auto"/>
        <w:right w:val="none" w:sz="0" w:space="0" w:color="auto"/>
      </w:divBdr>
    </w:div>
    <w:div w:id="1624536323">
      <w:bodyDiv w:val="1"/>
      <w:marLeft w:val="0"/>
      <w:marRight w:val="0"/>
      <w:marTop w:val="0"/>
      <w:marBottom w:val="0"/>
      <w:divBdr>
        <w:top w:val="none" w:sz="0" w:space="0" w:color="auto"/>
        <w:left w:val="none" w:sz="0" w:space="0" w:color="auto"/>
        <w:bottom w:val="none" w:sz="0" w:space="0" w:color="auto"/>
        <w:right w:val="none" w:sz="0" w:space="0" w:color="auto"/>
      </w:divBdr>
    </w:div>
    <w:div w:id="1628199664">
      <w:bodyDiv w:val="1"/>
      <w:marLeft w:val="0"/>
      <w:marRight w:val="0"/>
      <w:marTop w:val="0"/>
      <w:marBottom w:val="0"/>
      <w:divBdr>
        <w:top w:val="none" w:sz="0" w:space="0" w:color="auto"/>
        <w:left w:val="none" w:sz="0" w:space="0" w:color="auto"/>
        <w:bottom w:val="none" w:sz="0" w:space="0" w:color="auto"/>
        <w:right w:val="none" w:sz="0" w:space="0" w:color="auto"/>
      </w:divBdr>
    </w:div>
    <w:div w:id="1632397627">
      <w:bodyDiv w:val="1"/>
      <w:marLeft w:val="0"/>
      <w:marRight w:val="0"/>
      <w:marTop w:val="0"/>
      <w:marBottom w:val="0"/>
      <w:divBdr>
        <w:top w:val="none" w:sz="0" w:space="0" w:color="auto"/>
        <w:left w:val="none" w:sz="0" w:space="0" w:color="auto"/>
        <w:bottom w:val="none" w:sz="0" w:space="0" w:color="auto"/>
        <w:right w:val="none" w:sz="0" w:space="0" w:color="auto"/>
      </w:divBdr>
    </w:div>
    <w:div w:id="1633292416">
      <w:bodyDiv w:val="1"/>
      <w:marLeft w:val="0"/>
      <w:marRight w:val="0"/>
      <w:marTop w:val="0"/>
      <w:marBottom w:val="0"/>
      <w:divBdr>
        <w:top w:val="none" w:sz="0" w:space="0" w:color="auto"/>
        <w:left w:val="none" w:sz="0" w:space="0" w:color="auto"/>
        <w:bottom w:val="none" w:sz="0" w:space="0" w:color="auto"/>
        <w:right w:val="none" w:sz="0" w:space="0" w:color="auto"/>
      </w:divBdr>
    </w:div>
    <w:div w:id="1641576191">
      <w:bodyDiv w:val="1"/>
      <w:marLeft w:val="0"/>
      <w:marRight w:val="0"/>
      <w:marTop w:val="0"/>
      <w:marBottom w:val="0"/>
      <w:divBdr>
        <w:top w:val="none" w:sz="0" w:space="0" w:color="auto"/>
        <w:left w:val="none" w:sz="0" w:space="0" w:color="auto"/>
        <w:bottom w:val="none" w:sz="0" w:space="0" w:color="auto"/>
        <w:right w:val="none" w:sz="0" w:space="0" w:color="auto"/>
      </w:divBdr>
    </w:div>
    <w:div w:id="1649363691">
      <w:bodyDiv w:val="1"/>
      <w:marLeft w:val="0"/>
      <w:marRight w:val="0"/>
      <w:marTop w:val="0"/>
      <w:marBottom w:val="0"/>
      <w:divBdr>
        <w:top w:val="none" w:sz="0" w:space="0" w:color="auto"/>
        <w:left w:val="none" w:sz="0" w:space="0" w:color="auto"/>
        <w:bottom w:val="none" w:sz="0" w:space="0" w:color="auto"/>
        <w:right w:val="none" w:sz="0" w:space="0" w:color="auto"/>
      </w:divBdr>
    </w:div>
    <w:div w:id="1650016873">
      <w:bodyDiv w:val="1"/>
      <w:marLeft w:val="0"/>
      <w:marRight w:val="0"/>
      <w:marTop w:val="0"/>
      <w:marBottom w:val="0"/>
      <w:divBdr>
        <w:top w:val="none" w:sz="0" w:space="0" w:color="auto"/>
        <w:left w:val="none" w:sz="0" w:space="0" w:color="auto"/>
        <w:bottom w:val="none" w:sz="0" w:space="0" w:color="auto"/>
        <w:right w:val="none" w:sz="0" w:space="0" w:color="auto"/>
      </w:divBdr>
    </w:div>
    <w:div w:id="1652127474">
      <w:bodyDiv w:val="1"/>
      <w:marLeft w:val="0"/>
      <w:marRight w:val="0"/>
      <w:marTop w:val="0"/>
      <w:marBottom w:val="0"/>
      <w:divBdr>
        <w:top w:val="none" w:sz="0" w:space="0" w:color="auto"/>
        <w:left w:val="none" w:sz="0" w:space="0" w:color="auto"/>
        <w:bottom w:val="none" w:sz="0" w:space="0" w:color="auto"/>
        <w:right w:val="none" w:sz="0" w:space="0" w:color="auto"/>
      </w:divBdr>
    </w:div>
    <w:div w:id="1662267790">
      <w:bodyDiv w:val="1"/>
      <w:marLeft w:val="0"/>
      <w:marRight w:val="0"/>
      <w:marTop w:val="0"/>
      <w:marBottom w:val="0"/>
      <w:divBdr>
        <w:top w:val="none" w:sz="0" w:space="0" w:color="auto"/>
        <w:left w:val="none" w:sz="0" w:space="0" w:color="auto"/>
        <w:bottom w:val="none" w:sz="0" w:space="0" w:color="auto"/>
        <w:right w:val="none" w:sz="0" w:space="0" w:color="auto"/>
      </w:divBdr>
    </w:div>
    <w:div w:id="1671789113">
      <w:bodyDiv w:val="1"/>
      <w:marLeft w:val="0"/>
      <w:marRight w:val="0"/>
      <w:marTop w:val="0"/>
      <w:marBottom w:val="0"/>
      <w:divBdr>
        <w:top w:val="none" w:sz="0" w:space="0" w:color="auto"/>
        <w:left w:val="none" w:sz="0" w:space="0" w:color="auto"/>
        <w:bottom w:val="none" w:sz="0" w:space="0" w:color="auto"/>
        <w:right w:val="none" w:sz="0" w:space="0" w:color="auto"/>
      </w:divBdr>
    </w:div>
    <w:div w:id="1692418037">
      <w:bodyDiv w:val="1"/>
      <w:marLeft w:val="0"/>
      <w:marRight w:val="0"/>
      <w:marTop w:val="0"/>
      <w:marBottom w:val="0"/>
      <w:divBdr>
        <w:top w:val="none" w:sz="0" w:space="0" w:color="auto"/>
        <w:left w:val="none" w:sz="0" w:space="0" w:color="auto"/>
        <w:bottom w:val="none" w:sz="0" w:space="0" w:color="auto"/>
        <w:right w:val="none" w:sz="0" w:space="0" w:color="auto"/>
      </w:divBdr>
    </w:div>
    <w:div w:id="1738431987">
      <w:bodyDiv w:val="1"/>
      <w:marLeft w:val="0"/>
      <w:marRight w:val="0"/>
      <w:marTop w:val="0"/>
      <w:marBottom w:val="0"/>
      <w:divBdr>
        <w:top w:val="none" w:sz="0" w:space="0" w:color="auto"/>
        <w:left w:val="none" w:sz="0" w:space="0" w:color="auto"/>
        <w:bottom w:val="none" w:sz="0" w:space="0" w:color="auto"/>
        <w:right w:val="none" w:sz="0" w:space="0" w:color="auto"/>
      </w:divBdr>
    </w:div>
    <w:div w:id="1754618288">
      <w:bodyDiv w:val="1"/>
      <w:marLeft w:val="0"/>
      <w:marRight w:val="0"/>
      <w:marTop w:val="0"/>
      <w:marBottom w:val="0"/>
      <w:divBdr>
        <w:top w:val="none" w:sz="0" w:space="0" w:color="auto"/>
        <w:left w:val="none" w:sz="0" w:space="0" w:color="auto"/>
        <w:bottom w:val="none" w:sz="0" w:space="0" w:color="auto"/>
        <w:right w:val="none" w:sz="0" w:space="0" w:color="auto"/>
      </w:divBdr>
    </w:div>
    <w:div w:id="1759324364">
      <w:bodyDiv w:val="1"/>
      <w:marLeft w:val="0"/>
      <w:marRight w:val="0"/>
      <w:marTop w:val="0"/>
      <w:marBottom w:val="0"/>
      <w:divBdr>
        <w:top w:val="none" w:sz="0" w:space="0" w:color="auto"/>
        <w:left w:val="none" w:sz="0" w:space="0" w:color="auto"/>
        <w:bottom w:val="none" w:sz="0" w:space="0" w:color="auto"/>
        <w:right w:val="none" w:sz="0" w:space="0" w:color="auto"/>
      </w:divBdr>
    </w:div>
    <w:div w:id="1761875466">
      <w:bodyDiv w:val="1"/>
      <w:marLeft w:val="0"/>
      <w:marRight w:val="0"/>
      <w:marTop w:val="0"/>
      <w:marBottom w:val="0"/>
      <w:divBdr>
        <w:top w:val="none" w:sz="0" w:space="0" w:color="auto"/>
        <w:left w:val="none" w:sz="0" w:space="0" w:color="auto"/>
        <w:bottom w:val="none" w:sz="0" w:space="0" w:color="auto"/>
        <w:right w:val="none" w:sz="0" w:space="0" w:color="auto"/>
      </w:divBdr>
    </w:div>
    <w:div w:id="1785071543">
      <w:bodyDiv w:val="1"/>
      <w:marLeft w:val="0"/>
      <w:marRight w:val="0"/>
      <w:marTop w:val="0"/>
      <w:marBottom w:val="0"/>
      <w:divBdr>
        <w:top w:val="none" w:sz="0" w:space="0" w:color="auto"/>
        <w:left w:val="none" w:sz="0" w:space="0" w:color="auto"/>
        <w:bottom w:val="none" w:sz="0" w:space="0" w:color="auto"/>
        <w:right w:val="none" w:sz="0" w:space="0" w:color="auto"/>
      </w:divBdr>
    </w:div>
    <w:div w:id="1799908631">
      <w:bodyDiv w:val="1"/>
      <w:marLeft w:val="0"/>
      <w:marRight w:val="0"/>
      <w:marTop w:val="0"/>
      <w:marBottom w:val="0"/>
      <w:divBdr>
        <w:top w:val="none" w:sz="0" w:space="0" w:color="auto"/>
        <w:left w:val="none" w:sz="0" w:space="0" w:color="auto"/>
        <w:bottom w:val="none" w:sz="0" w:space="0" w:color="auto"/>
        <w:right w:val="none" w:sz="0" w:space="0" w:color="auto"/>
      </w:divBdr>
    </w:div>
    <w:div w:id="1805655363">
      <w:bodyDiv w:val="1"/>
      <w:marLeft w:val="0"/>
      <w:marRight w:val="0"/>
      <w:marTop w:val="0"/>
      <w:marBottom w:val="0"/>
      <w:divBdr>
        <w:top w:val="none" w:sz="0" w:space="0" w:color="auto"/>
        <w:left w:val="none" w:sz="0" w:space="0" w:color="auto"/>
        <w:bottom w:val="none" w:sz="0" w:space="0" w:color="auto"/>
        <w:right w:val="none" w:sz="0" w:space="0" w:color="auto"/>
      </w:divBdr>
    </w:div>
    <w:div w:id="1809081195">
      <w:bodyDiv w:val="1"/>
      <w:marLeft w:val="0"/>
      <w:marRight w:val="0"/>
      <w:marTop w:val="0"/>
      <w:marBottom w:val="0"/>
      <w:divBdr>
        <w:top w:val="none" w:sz="0" w:space="0" w:color="auto"/>
        <w:left w:val="none" w:sz="0" w:space="0" w:color="auto"/>
        <w:bottom w:val="none" w:sz="0" w:space="0" w:color="auto"/>
        <w:right w:val="none" w:sz="0" w:space="0" w:color="auto"/>
      </w:divBdr>
    </w:div>
    <w:div w:id="1842349363">
      <w:bodyDiv w:val="1"/>
      <w:marLeft w:val="0"/>
      <w:marRight w:val="0"/>
      <w:marTop w:val="0"/>
      <w:marBottom w:val="0"/>
      <w:divBdr>
        <w:top w:val="none" w:sz="0" w:space="0" w:color="auto"/>
        <w:left w:val="none" w:sz="0" w:space="0" w:color="auto"/>
        <w:bottom w:val="none" w:sz="0" w:space="0" w:color="auto"/>
        <w:right w:val="none" w:sz="0" w:space="0" w:color="auto"/>
      </w:divBdr>
    </w:div>
    <w:div w:id="1866552022">
      <w:bodyDiv w:val="1"/>
      <w:marLeft w:val="0"/>
      <w:marRight w:val="0"/>
      <w:marTop w:val="0"/>
      <w:marBottom w:val="0"/>
      <w:divBdr>
        <w:top w:val="none" w:sz="0" w:space="0" w:color="auto"/>
        <w:left w:val="none" w:sz="0" w:space="0" w:color="auto"/>
        <w:bottom w:val="none" w:sz="0" w:space="0" w:color="auto"/>
        <w:right w:val="none" w:sz="0" w:space="0" w:color="auto"/>
      </w:divBdr>
    </w:div>
    <w:div w:id="1886797188">
      <w:bodyDiv w:val="1"/>
      <w:marLeft w:val="0"/>
      <w:marRight w:val="0"/>
      <w:marTop w:val="0"/>
      <w:marBottom w:val="0"/>
      <w:divBdr>
        <w:top w:val="none" w:sz="0" w:space="0" w:color="auto"/>
        <w:left w:val="none" w:sz="0" w:space="0" w:color="auto"/>
        <w:bottom w:val="none" w:sz="0" w:space="0" w:color="auto"/>
        <w:right w:val="none" w:sz="0" w:space="0" w:color="auto"/>
      </w:divBdr>
    </w:div>
    <w:div w:id="1904103138">
      <w:bodyDiv w:val="1"/>
      <w:marLeft w:val="0"/>
      <w:marRight w:val="0"/>
      <w:marTop w:val="0"/>
      <w:marBottom w:val="0"/>
      <w:divBdr>
        <w:top w:val="none" w:sz="0" w:space="0" w:color="auto"/>
        <w:left w:val="none" w:sz="0" w:space="0" w:color="auto"/>
        <w:bottom w:val="none" w:sz="0" w:space="0" w:color="auto"/>
        <w:right w:val="none" w:sz="0" w:space="0" w:color="auto"/>
      </w:divBdr>
    </w:div>
    <w:div w:id="1907372560">
      <w:bodyDiv w:val="1"/>
      <w:marLeft w:val="0"/>
      <w:marRight w:val="0"/>
      <w:marTop w:val="0"/>
      <w:marBottom w:val="0"/>
      <w:divBdr>
        <w:top w:val="none" w:sz="0" w:space="0" w:color="auto"/>
        <w:left w:val="none" w:sz="0" w:space="0" w:color="auto"/>
        <w:bottom w:val="none" w:sz="0" w:space="0" w:color="auto"/>
        <w:right w:val="none" w:sz="0" w:space="0" w:color="auto"/>
      </w:divBdr>
    </w:div>
    <w:div w:id="1939635087">
      <w:bodyDiv w:val="1"/>
      <w:marLeft w:val="0"/>
      <w:marRight w:val="0"/>
      <w:marTop w:val="0"/>
      <w:marBottom w:val="0"/>
      <w:divBdr>
        <w:top w:val="none" w:sz="0" w:space="0" w:color="auto"/>
        <w:left w:val="none" w:sz="0" w:space="0" w:color="auto"/>
        <w:bottom w:val="none" w:sz="0" w:space="0" w:color="auto"/>
        <w:right w:val="none" w:sz="0" w:space="0" w:color="auto"/>
      </w:divBdr>
    </w:div>
    <w:div w:id="1985500483">
      <w:bodyDiv w:val="1"/>
      <w:marLeft w:val="0"/>
      <w:marRight w:val="0"/>
      <w:marTop w:val="0"/>
      <w:marBottom w:val="0"/>
      <w:divBdr>
        <w:top w:val="none" w:sz="0" w:space="0" w:color="auto"/>
        <w:left w:val="none" w:sz="0" w:space="0" w:color="auto"/>
        <w:bottom w:val="none" w:sz="0" w:space="0" w:color="auto"/>
        <w:right w:val="none" w:sz="0" w:space="0" w:color="auto"/>
      </w:divBdr>
    </w:div>
    <w:div w:id="2011057637">
      <w:bodyDiv w:val="1"/>
      <w:marLeft w:val="0"/>
      <w:marRight w:val="0"/>
      <w:marTop w:val="0"/>
      <w:marBottom w:val="0"/>
      <w:divBdr>
        <w:top w:val="none" w:sz="0" w:space="0" w:color="auto"/>
        <w:left w:val="none" w:sz="0" w:space="0" w:color="auto"/>
        <w:bottom w:val="none" w:sz="0" w:space="0" w:color="auto"/>
        <w:right w:val="none" w:sz="0" w:space="0" w:color="auto"/>
      </w:divBdr>
    </w:div>
    <w:div w:id="2013215761">
      <w:bodyDiv w:val="1"/>
      <w:marLeft w:val="0"/>
      <w:marRight w:val="0"/>
      <w:marTop w:val="0"/>
      <w:marBottom w:val="0"/>
      <w:divBdr>
        <w:top w:val="none" w:sz="0" w:space="0" w:color="auto"/>
        <w:left w:val="none" w:sz="0" w:space="0" w:color="auto"/>
        <w:bottom w:val="none" w:sz="0" w:space="0" w:color="auto"/>
        <w:right w:val="none" w:sz="0" w:space="0" w:color="auto"/>
      </w:divBdr>
    </w:div>
    <w:div w:id="2015762834">
      <w:bodyDiv w:val="1"/>
      <w:marLeft w:val="0"/>
      <w:marRight w:val="0"/>
      <w:marTop w:val="0"/>
      <w:marBottom w:val="0"/>
      <w:divBdr>
        <w:top w:val="none" w:sz="0" w:space="0" w:color="auto"/>
        <w:left w:val="none" w:sz="0" w:space="0" w:color="auto"/>
        <w:bottom w:val="none" w:sz="0" w:space="0" w:color="auto"/>
        <w:right w:val="none" w:sz="0" w:space="0" w:color="auto"/>
      </w:divBdr>
    </w:div>
    <w:div w:id="2020813251">
      <w:bodyDiv w:val="1"/>
      <w:marLeft w:val="0"/>
      <w:marRight w:val="0"/>
      <w:marTop w:val="0"/>
      <w:marBottom w:val="0"/>
      <w:divBdr>
        <w:top w:val="none" w:sz="0" w:space="0" w:color="auto"/>
        <w:left w:val="none" w:sz="0" w:space="0" w:color="auto"/>
        <w:bottom w:val="none" w:sz="0" w:space="0" w:color="auto"/>
        <w:right w:val="none" w:sz="0" w:space="0" w:color="auto"/>
      </w:divBdr>
    </w:div>
    <w:div w:id="2033022033">
      <w:bodyDiv w:val="1"/>
      <w:marLeft w:val="0"/>
      <w:marRight w:val="0"/>
      <w:marTop w:val="0"/>
      <w:marBottom w:val="0"/>
      <w:divBdr>
        <w:top w:val="none" w:sz="0" w:space="0" w:color="auto"/>
        <w:left w:val="none" w:sz="0" w:space="0" w:color="auto"/>
        <w:bottom w:val="none" w:sz="0" w:space="0" w:color="auto"/>
        <w:right w:val="none" w:sz="0" w:space="0" w:color="auto"/>
      </w:divBdr>
    </w:div>
    <w:div w:id="2038504334">
      <w:bodyDiv w:val="1"/>
      <w:marLeft w:val="0"/>
      <w:marRight w:val="0"/>
      <w:marTop w:val="0"/>
      <w:marBottom w:val="0"/>
      <w:divBdr>
        <w:top w:val="none" w:sz="0" w:space="0" w:color="auto"/>
        <w:left w:val="none" w:sz="0" w:space="0" w:color="auto"/>
        <w:bottom w:val="none" w:sz="0" w:space="0" w:color="auto"/>
        <w:right w:val="none" w:sz="0" w:space="0" w:color="auto"/>
      </w:divBdr>
    </w:div>
    <w:div w:id="2085636465">
      <w:bodyDiv w:val="1"/>
      <w:marLeft w:val="0"/>
      <w:marRight w:val="0"/>
      <w:marTop w:val="0"/>
      <w:marBottom w:val="0"/>
      <w:divBdr>
        <w:top w:val="none" w:sz="0" w:space="0" w:color="auto"/>
        <w:left w:val="none" w:sz="0" w:space="0" w:color="auto"/>
        <w:bottom w:val="none" w:sz="0" w:space="0" w:color="auto"/>
        <w:right w:val="none" w:sz="0" w:space="0" w:color="auto"/>
      </w:divBdr>
    </w:div>
    <w:div w:id="2112971199">
      <w:bodyDiv w:val="1"/>
      <w:marLeft w:val="0"/>
      <w:marRight w:val="0"/>
      <w:marTop w:val="0"/>
      <w:marBottom w:val="0"/>
      <w:divBdr>
        <w:top w:val="none" w:sz="0" w:space="0" w:color="auto"/>
        <w:left w:val="none" w:sz="0" w:space="0" w:color="auto"/>
        <w:bottom w:val="none" w:sz="0" w:space="0" w:color="auto"/>
        <w:right w:val="none" w:sz="0" w:space="0" w:color="auto"/>
      </w:divBdr>
    </w:div>
    <w:div w:id="2116512728">
      <w:bodyDiv w:val="1"/>
      <w:marLeft w:val="0"/>
      <w:marRight w:val="0"/>
      <w:marTop w:val="0"/>
      <w:marBottom w:val="0"/>
      <w:divBdr>
        <w:top w:val="none" w:sz="0" w:space="0" w:color="auto"/>
        <w:left w:val="none" w:sz="0" w:space="0" w:color="auto"/>
        <w:bottom w:val="none" w:sz="0" w:space="0" w:color="auto"/>
        <w:right w:val="none" w:sz="0" w:space="0" w:color="auto"/>
      </w:divBdr>
    </w:div>
    <w:div w:id="2128815400">
      <w:bodyDiv w:val="1"/>
      <w:marLeft w:val="0"/>
      <w:marRight w:val="0"/>
      <w:marTop w:val="0"/>
      <w:marBottom w:val="0"/>
      <w:divBdr>
        <w:top w:val="none" w:sz="0" w:space="0" w:color="auto"/>
        <w:left w:val="none" w:sz="0" w:space="0" w:color="auto"/>
        <w:bottom w:val="none" w:sz="0" w:space="0" w:color="auto"/>
        <w:right w:val="none" w:sz="0" w:space="0" w:color="auto"/>
      </w:divBdr>
    </w:div>
    <w:div w:id="2140026211">
      <w:bodyDiv w:val="1"/>
      <w:marLeft w:val="0"/>
      <w:marRight w:val="0"/>
      <w:marTop w:val="0"/>
      <w:marBottom w:val="0"/>
      <w:divBdr>
        <w:top w:val="none" w:sz="0" w:space="0" w:color="auto"/>
        <w:left w:val="none" w:sz="0" w:space="0" w:color="auto"/>
        <w:bottom w:val="none" w:sz="0" w:space="0" w:color="auto"/>
        <w:right w:val="none" w:sz="0" w:space="0" w:color="auto"/>
      </w:divBdr>
    </w:div>
    <w:div w:id="2144345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14" ma:contentTypeDescription="Create a new document." ma:contentTypeScope="" ma:versionID="542e5ceb905de8b879c66ae2b329090a">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4de71d0b60bdb081db265e457be5a36a"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Dup19</b:Tag>
    <b:SourceType>JournalArticle</b:SourceType>
    <b:Guid>{605809CB-652C-466A-8C4B-66C47DC7A8C6}</b:Guid>
    <b:LCID>en-GB</b:LCID>
    <b:Author>
      <b:Author>
        <b:NameList>
          <b:Person>
            <b:Last>Dupont</b:Last>
            <b:First>Benoît.</b:First>
          </b:Person>
        </b:NameList>
      </b:Author>
    </b:Author>
    <b:Title>The cyber-resilience of financial institutions: significance and applicability</b:Title>
    <b:JournalName>Journal of cybersecurity</b:JournalName>
    <b:Year>2019</b:Year>
    <b:Pages>Dupont, Benoît.</b:Pages>
    <b:Volume>5</b:Volume>
    <b:Issue>1</b:Issue>
    <b:RefOrder>2</b:RefOrder>
  </b:Source>
  <b:Source>
    <b:Tag>Udd20</b:Tag>
    <b:SourceType>JournalArticle</b:SourceType>
    <b:Guid>{D4A24097-ADA6-4F0C-A2B9-F16A4CE30AFE}</b:Guid>
    <b:LCID>en-GB</b:LCID>
    <b:Author>
      <b:Author>
        <b:NameList>
          <b:Person>
            <b:Last>Uddin</b:Last>
            <b:First>Md</b:First>
            <b:Middle>Hamid and Ali, Md Hakim and Hassan, Mohammad Kabir</b:Middle>
          </b:Person>
        </b:NameList>
      </b:Author>
    </b:Author>
    <b:Title>Cybersecurity hazards and financial system vulnerability: a synthesis of literature: Md. H. Uddin et al</b:Title>
    <b:JournalName>Risk Management</b:JournalName>
    <b:Year>2020</b:Year>
    <b:Pages>239--309</b:Pages>
    <b:Volume>22</b:Volume>
    <b:Issue>4</b:Issue>
    <b:RefOrder>1</b:RefOrder>
  </b:Source>
  <b:Source>
    <b:Tag>Vom20</b:Tag>
    <b:SourceType>BookSection</b:SourceType>
    <b:Guid>{87C0F8F3-41DE-48EC-9C5D-9FDE0E49A03D}</b:Guid>
    <b:LCID>en-GB</b:LCID>
    <b:Title>Introduction to design science research</b:Title>
    <b:Year>2020</b:Year>
    <b:Pages>1 - 13</b:Pages>
    <b:Publisher>Springer</b:Publisher>
    <b:Author>
      <b:Author>
        <b:NameList>
          <b:Person>
            <b:Last>Vom Brocke</b:Last>
            <b:First>Jan</b:First>
            <b:Middle>and Hevner, Alan and Maedche, Alexander</b:Middle>
          </b:Person>
        </b:NameList>
      </b:Author>
    </b:Author>
    <b:BookTitle>Design science research. Cases</b:BookTitle>
    <b:RefOrder>3</b:RefOrder>
  </b:Source>
  <b:Source>
    <b:Tag>Adw22</b:Tag>
    <b:SourceType>JournalArticle</b:SourceType>
    <b:Guid>{D80219F0-889E-46C1-94E9-CA192CFE2707}</b:Guid>
    <b:LCID>en-GB</b:LCID>
    <b:Author>
      <b:Author>
        <b:NameList>
          <b:Person>
            <b:Last>Adwan</b:Last>
            <b:First>Ehab</b:First>
            <b:Middle>Juma and Alsaeed, Bader Ali</b:Middle>
          </b:Person>
        </b:NameList>
      </b:Author>
    </b:Author>
    <b:Title>Cloud computing adoption in the financial banking sector-A systematic literature review</b:Title>
    <b:Year>2022</b:Year>
    <b:Pages>48--55</b:Pages>
    <b:JournalName>International Journal of Advanced Science Computing and Engineering</b:JournalName>
    <b:Volume>4</b:Volume>
    <b:Issue>1</b:Issue>
    <b:RefOrder>4</b:RefOrder>
  </b:Source>
  <b:Source>
    <b:Tag>Xue19</b:Tag>
    <b:SourceType>JournalArticle</b:SourceType>
    <b:Guid>{2467B0F8-1B8C-4F5D-8493-88C52698DB9E}</b:Guid>
    <b:Author>
      <b:Author>
        <b:NameList>
          <b:Person>
            <b:Last>Xuereb</b:Last>
            <b:First>Kieran</b:First>
            <b:Middle>and Grima, Simon and Bezzina, Frank and Farrugia, Andre and Marano, Pierpaolo</b:Middle>
          </b:Person>
        </b:NameList>
      </b:Author>
    </b:Author>
    <b:Title>The impact of the General Data Protection Regulation on the financial services industry.</b:Title>
    <b:JournalName>International Journal of Economics and Business Administration </b:JournalName>
    <b:Year>2019</b:Year>
    <b:Pages>243-266 </b:Pages>
    <b:Volume>7</b:Volume>
    <b:Issue>4</b:Issue>
    <b:RefOrder>5</b:RefOrder>
  </b:Source>
  <b:Source>
    <b:Tag>DeH19</b:Tag>
    <b:SourceType>BookSection</b:SourceType>
    <b:Guid>{DB12B7A5-2DA0-4437-A6B3-E8C5AC65CD24}</b:Guid>
    <b:LCID>en-GB</b:LCID>
    <b:Title>Enterprise governance of IT, alignment, and value</b:Title>
    <b:Year>2019</b:Year>
    <b:Pages>1 - 13</b:Pages>
    <b:Author>
      <b:Author>
        <b:NameList>
          <b:Person>
            <b:Last>De Haes</b:Last>
            <b:First>Steven</b:First>
            <b:Middle>and Van Grembergen, Wim and Joshi, Anant and Huygh, Tim</b:Middle>
          </b:Person>
        </b:NameList>
      </b:Author>
    </b:Author>
    <b:BookTitle>Enterprise Governance of Information Technology: Achieving Alignment and Value in Digital Organizations</b:BookTitle>
    <b:Publisher>Springer</b:Publisher>
    <b:RefOrder>6</b:RefOrder>
  </b:Source>
  <b:Source>
    <b:Tag>Gal23</b:Tag>
    <b:SourceType>JournalArticle</b:SourceType>
    <b:Guid>{8C19FBBB-350F-4FA8-ADEE-F6BD2BE630D0}</b:Guid>
    <b:Title>Business continuity management, operational resilience, and organizational resilience: Commonalities, distinctions, and synthesis</b:Title>
    <b:Year>2023</b:Year>
    <b:Pages>713 - 721</b:Pages>
    <b:LCID>en-GB</b:LCID>
    <b:Author>
      <b:Author>
        <b:NameList>
          <b:Person>
            <b:Last>Galaitsi</b:Last>
            <b:First>Stephanie</b:First>
            <b:Middle>E and Pinigina, Elizaveta and Keisler, Jeffrey M and Pescaroli, Gianluca and Keenan, Jesse M and Linkov, Igor</b:Middle>
          </b:Person>
        </b:NameList>
      </b:Author>
    </b:Author>
    <b:JournalName>International Journal of Disaster Risk Science</b:JournalName>
    <b:Volume>14</b:Volume>
    <b:Issue>5</b:Issue>
    <b:RefOrder>7</b:RefOrder>
  </b:Source>
  <b:Source>
    <b:Tag>Cul21</b:Tag>
    <b:SourceType>JournalArticle</b:SourceType>
    <b:Guid>{48CE60CA-DB2B-4FCC-95D4-53091F7E88F0}</b:Guid>
    <b:LCID>en-GB</b:LCID>
    <b:Author>
      <b:Author>
        <b:NameList>
          <b:Person>
            <b:Last>Culot</b:Last>
            <b:First>Giovanna</b:First>
            <b:Middle>and Nassimbeni, Guido and Podrecca, Matteo and Sartor, Marco</b:Middle>
          </b:Person>
        </b:NameList>
      </b:Author>
    </b:Author>
    <b:Title>The ISO/IEC 27001 information security management standard: literature review and theory-based research agenda</b:Title>
    <b:JournalName>The TQM Journal</b:JournalName>
    <b:Year>2021</b:Year>
    <b:Pages>76--105</b:Pages>
    <b:Volume>33</b:Volume>
    <b:Issue>7</b:Issue>
    <b:RefOrder>8</b:RefOrder>
  </b:Source>
  <b:Source>
    <b:Tag>Kam231</b:Tag>
    <b:SourceType>JournalArticle</b:SourceType>
    <b:Guid>{1E09A7D7-F743-48BB-A445-432185DAA65D}</b:Guid>
    <b:LCID>en-GB</b:LCID>
    <b:Author>
      <b:Author>
        <b:NameList>
          <b:Person>
            <b:Last>Kamil</b:Last>
            <b:First>Yasmin</b:First>
            <b:Middle>and Lund, Sofia and Islam, M Sirajul</b:Middle>
          </b:Person>
        </b:NameList>
      </b:Author>
    </b:Author>
    <b:Title>Information security objectives and the output legitimacy of ISO/IEC 27001: stakeholders’ perspective on expectations in private organizations in Sweden</b:Title>
    <b:JournalName>Information Systems and e-Business Management</b:JournalName>
    <b:Year>2023</b:Year>
    <b:Pages>699--722</b:Pages>
    <b:Volume>21</b:Volume>
    <b:Issue>3</b:Issue>
    <b:RefOrder>9</b:RefOrder>
  </b:Source>
  <b:Source>
    <b:Tag>Cyb251</b:Tag>
    <b:SourceType>JournalArticle</b:SourceType>
    <b:Guid>{CE44AED9-D897-4E9A-944B-763C6FC5C166}</b:Guid>
    <b:Title>Cybersecurity and the NIST Framework: A Systematic Review of its Implementation and Effectiveness Against Cyber Threats</b:Title>
    <b:JournalName>International Journal of Advanced Computer Science &amp; Applications}</b:JournalName>
    <b:Year>2025</b:Year>
    <b:Pages>1 - 13</b:Pages>
    <b:Volume>16</b:Volume>
    <b:Issue>6</b:Issue>
    <b:RefOrder>10</b:RefOrder>
  </b:Source>
  <b:Source>
    <b:Tag>Sti20</b:Tag>
    <b:SourceType>JournalArticle</b:SourceType>
    <b:Guid>{B7D8963A-2BC1-4268-8F00-AB61AC1D2AE0}</b:Guid>
    <b:Author>
      <b:Author>
        <b:NameList>
          <b:Person>
            <b:Last>Stine</b:Last>
            <b:First>Kevin</b:First>
            <b:Middle>and Stine, Kevin and Quinn, Stephen and Witte, Greg and Gardner, RK</b:Middle>
          </b:Person>
        </b:NameList>
      </b:Author>
    </b:Author>
    <b:Title>Integrating cybersecurity and enterprise risk management (ERM)</b:Title>
    <b:JournalName>National Institute of Standards and Technology </b:JournalName>
    <b:Year>2020</b:Year>
    <b:Pages>1 - 74</b:Pages>
    <b:Volume>20</b:Volume>
    <b:RefOrder>11</b:RefOrder>
  </b:Source>
  <b:Source>
    <b:Tag>Qui20</b:Tag>
    <b:SourceType>Report</b:SourceType>
    <b:Guid>{E095A58A-B580-4601-BC54-58DB3ABF8CBD}</b:Guid>
    <b:Title>Identifying and estimating cybersecurity risk for enterprise risk management</b:Title>
    <b:Year>2020</b:Year>
    <b:LCID>en-GB</b:LCID>
    <b:Author>
      <b:Author>
        <b:NameList>
          <b:Person>
            <b:Last>Quinn</b:Last>
            <b:First>Stephen</b:First>
            <b:Middle>and Quinn, Stephen and Ivy, Nahla and Barrett, Matthew and Feldman, Larry and Witte, Greg and Gardner, RK</b:Middle>
          </b:Person>
        </b:NameList>
      </b:Author>
    </b:Author>
    <b:Publisher>US Department of Commerce, National Institute of Standards and Technology</b:Publisher>
    <b:RefOrder>12</b:RefOrder>
  </b:Source>
  <b:Source>
    <b:Tag>Qui22</b:Tag>
    <b:SourceType>Report</b:SourceType>
    <b:Guid>{1B23CA2F-4515-4F4E-B404-7CB543995BBB}</b:Guid>
    <b:Author>
      <b:Author>
        <b:NameList>
          <b:Person>
            <b:Last>Quinn</b:Last>
            <b:First>Stephen</b:First>
            <b:Middle>and Quinn, Stephen and Ivy, Nahla and Barrett, Matthew and Witte, Greg and Gardner, RK</b:Middle>
          </b:Person>
        </b:NameList>
      </b:Author>
    </b:Author>
    <b:Title>Prioritizing cybersecurity risk for enterprise risk management</b:Title>
    <b:Year>2022</b:Year>
    <b:Publisher>US Department of Commerce, National Institute of Standards and Technology</b:Publisher>
    <b:RefOrder>13</b:RefOrder>
  </b:Source>
  <b:Source>
    <b:Tag>Ahm24</b:Tag>
    <b:SourceType>JournalArticle</b:SourceType>
    <b:Guid>{90BABC9C-954C-4C06-A09E-C41A3F32020C}</b:Guid>
    <b:Title>Enterprise risk management literature: emerging themes and future directions</b:Title>
    <b:Year>2024</b:Year>
    <b:Author>
      <b:Author>
        <b:NameList>
          <b:Person>
            <b:Last>Ahmad Jaber</b:Last>
            <b:First>Taha</b:First>
            <b:Middle>and Mohammed Shah, Sabarin</b:Middle>
          </b:Person>
        </b:NameList>
      </b:Author>
    </b:Author>
    <b:JournalName>Journal of Accounting &amp; Organizational Change</b:JournalName>
    <b:Pages>84--111</b:Pages>
    <b:Volume>20</b:Volume>
    <b:Issue>1</b:Issue>
    <b:RefOrder>14</b:RefOrder>
  </b:Source>
  <b:Source>
    <b:Tag>Krü21</b:Tag>
    <b:SourceType>Book</b:SourceType>
    <b:Guid>{E18BC246-D9F9-440A-B4C1-8E97C21DDCD8}</b:Guid>
    <b:Title>The European Union, cybersecurity, and the financial sector: A primer}</b:Title>
    <b:Year>2021</b:Year>
    <b:Author>
      <b:Author>
        <b:NameList>
          <b:Person>
            <b:Last>Krüger</b:Last>
            <b:First>Philipp</b:First>
            <b:Middle>S., and Jan-Philipp Brauchle</b:Middle>
          </b:Person>
        </b:NameList>
      </b:Author>
    </b:Author>
    <b:Publisher>Carnegie Endowment for International Peace</b:Publisher>
    <b:RefOrder>15</b:RefOrder>
  </b:Source>
  <b:Source>
    <b:Tag>Ros20</b:Tag>
    <b:SourceType>JournalArticle</b:SourceType>
    <b:Guid>{7208BBFD-542F-4F3B-9320-F4441FE9D329}</b:Guid>
    <b:Title>The making of a cyber crash: a conceptual model for systemic risk in the financial sector</b:Title>
    <b:Year>2020</b:Year>
    <b:Author>
      <b:Author>
        <b:NameList>
          <b:Person>
            <b:Last>Ros</b:Last>
            <b:First>Greg</b:First>
          </b:Person>
        </b:NameList>
      </b:Author>
    </b:Author>
    <b:JournalName>ESRB: Occasional Paper Series</b:JournalName>
    <b:Pages>1 -75</b:Pages>
    <b:Volume>2020/6</b:Volume>
    <b:RefOrder>18</b:RefOrder>
  </b:Source>
  <b:Source>
    <b:Tag>Luc23</b:Tag>
    <b:SourceType>JournalArticle</b:SourceType>
    <b:Guid>{32F79AD3-8980-4496-9A44-7355F3EADF6D}</b:Guid>
    <b:Author>
      <b:Author>
        <b:NameList>
          <b:Person>
            <b:Last>Lucini</b:Last>
            <b:First>Valentino</b:First>
          </b:Person>
        </b:NameList>
      </b:Author>
    </b:Author>
    <b:Title>The ever-increasing cybersecurity compliance in Europe: The NIS 2 and what all businesses in the EU should be aware of</b:Title>
    <b:JournalName>Russian Law Journal}</b:JournalName>
    <b:Year>2023</b:Year>
    <b:Pages>145--154</b:Pages>
    <b:Volume>11</b:Volume>
    <b:Issue>65</b:Issue>
    <b:RefOrder>19</b:RefOrder>
  </b:Source>
  <b:Source>
    <b:Tag>Ker20</b:Tag>
    <b:SourceType>JournalArticle</b:SourceType>
    <b:Guid>{54053B6D-9335-4359-8274-C1B8686A70CB}</b:Guid>
    <b:Author>
      <b:Author>
        <b:NameList>
          <b:Person>
            <b:Last>Kerman</b:Last>
            <b:First>Alper</b:First>
            <b:Middle>and Borchert, Oliver and Rose, Scott and Tan, Allen and others</b:Middle>
          </b:Person>
        </b:NameList>
      </b:Author>
    </b:Author>
    <b:Title>Implementing a zero trust architecture</b:Title>
    <b:JournalName>National Institute of Standards and Technology</b:JournalName>
    <b:Year>2020</b:Year>
    <b:Pages>1 -65</b:Pages>
    <b:Volume>2020</b:Volume>
    <b:RefOrder>20</b:RefOrder>
  </b:Source>
  <b:Source>
    <b:Tag>Ike21</b:Tag>
    <b:SourceType>JournalArticle</b:SourceType>
    <b:Guid>{982FE000-CCBC-4CF5-B7E2-7A4A176DB908}</b:Guid>
    <b:Author>
      <b:Author>
        <b:NameList>
          <b:Person>
            <b:Last>Ike</b:Last>
            <b:First>Christian</b:First>
            <b:Middle>Chukwuemeka and Ige, Adebimpe Bolatito and Oladosu, Sunday Adeola and Adepoju, Peter Adeyemo and Amoo, Olukunle Oladipupo and Afolabi, Adeoye Idowu</b:Middle>
          </b:Person>
        </b:NameList>
      </b:Author>
    </b:Author>
    <b:Title>Redefining zero trust architecture in cloud networks: A conceptual shift towards granular, dynamic access control and policy enforcement</b:Title>
    <b:JournalName>Magna Scientia Advanced Research and Reviews</b:JournalName>
    <b:Year>2021</b:Year>
    <b:Pages>074--086</b:Pages>
    <b:Volume>2</b:Volume>
    <b:Issue>1</b:Issue>
    <b:RefOrder>21</b:RefOrder>
  </b:Source>
  <b:Source>
    <b:Tag>Gor20</b:Tag>
    <b:SourceType>JournalArticle</b:SourceType>
    <b:Guid>{DB832739-50BC-4541-8945-DA6AF80D79EF}</b:Guid>
    <b:Author>
      <b:Author>
        <b:NameList>
          <b:Person>
            <b:Last>Gordon</b:Last>
            <b:First>Lawrence</b:First>
            <b:Middle>A and Loeb, Martin P and Zhou, Lei</b:Middle>
          </b:Person>
        </b:NameList>
      </b:Author>
    </b:Author>
    <b:Title>Integrating cost--benefit analysis into the NIST Cybersecurity Framework via the Gordon--Loeb Model</b:Title>
    <b:JournalName>Journal of Cybersecurity</b:JournalName>
    <b:Year>2020</b:Year>
    <b:Pages>tyaa005</b:Pages>
    <b:Volume>6</b:Volume>
    <b:Issue>1</b:Issue>
    <b:RefOrder>22</b:RefOrder>
  </b:Source>
  <b:Source>
    <b:Tag>Cul211</b:Tag>
    <b:SourceType>JournalArticle</b:SourceType>
    <b:Guid>{A522B4C1-99FC-4729-8E71-76471E735847}</b:Guid>
    <b:Author>
      <b:Author>
        <b:NameList>
          <b:Person>
            <b:Last>Culot</b:Last>
            <b:First>Giovanna</b:First>
            <b:Middle>and Nassimbeni, Guido and Podrecca, Matteo and Sartor, Marco</b:Middle>
          </b:Person>
        </b:NameList>
      </b:Author>
    </b:Author>
    <b:Title>The ISO/IEC 27001 information security management standard: literature review and theory-based research agenda</b:Title>
    <b:JournalName>The TQM Journal</b:JournalName>
    <b:Year>2021</b:Year>
    <b:Pages>76--105</b:Pages>
    <b:Volume>33</b:Volume>
    <b:Issue>7</b:Issue>
    <b:RefOrder>23</b:RefOrder>
  </b:Source>
  <b:Source>
    <b:Tag>Cul212</b:Tag>
    <b:SourceType>JournalArticle</b:SourceType>
    <b:Guid>{CB45DA97-F567-4131-937C-4C2913A714B0}</b:Guid>
    <b:Author>
      <b:Author>
        <b:NameList>
          <b:Person>
            <b:Last>Culot</b:Last>
            <b:First>Giovanna</b:First>
            <b:Middle>and Nassimbeni, Guido and Podrecca, Matteo and Sartor, Marco</b:Middle>
          </b:Person>
        </b:NameList>
      </b:Author>
    </b:Author>
    <b:Title>The ISO/IEC 27001 information security management standard: literature review and theory-based research agenda</b:Title>
    <b:JournalName>The TQM Journal</b:JournalName>
    <b:Year>2021</b:Year>
    <b:Pages>76--105</b:Pages>
    <b:Volume>33</b:Volume>
    <b:Issue>7</b:Issue>
    <b:RefOrder>24</b:RefOrder>
  </b:Source>
  <b:Source>
    <b:Tag>DeH191</b:Tag>
    <b:SourceType>BookSection</b:SourceType>
    <b:Guid>{88CCA193-1B19-4742-81D2-F408D234CB38}</b:Guid>
    <b:Title>Enterprise governance of IT, alignment, and value</b:Title>
    <b:Year>2019</b:Year>
    <b:Pages>1 -13</b:Pages>
    <b:Author>
      <b:Author>
        <b:NameList>
          <b:Person>
            <b:Last>De Haes</b:Last>
            <b:First>Steven</b:First>
            <b:Middle>and Van Grembergen, Wim and Joshi, Anant and Huygh, Tim</b:Middle>
          </b:Person>
        </b:NameList>
      </b:Author>
    </b:Author>
    <b:BookTitle>Enterprise Governance of Information Technology: Achieving Alignment and Value in Digital Organizations</b:BookTitle>
    <b:RefOrder>25</b:RefOrder>
  </b:Source>
  <b:Source>
    <b:Tag>Lui25</b:Tag>
    <b:SourceType>JournalArticle</b:SourceType>
    <b:Guid>{1456ABD6-8F71-41DB-81C5-B075CB9F97D1}</b:Guid>
    <b:Title>Cybersecurity and the NIST Framework: A Systematic Review of its Implementation and Effectiveness Against Cyber Threats</b:Title>
    <b:Year>2025</b:Year>
    <b:Author>
      <b:Author>
        <b:NameList>
          <b:Person>
            <b:Last>Luis Salas-Riega</b:Last>
            <b:First>Juan</b:First>
            <b:Middle>and Riega-Vir{\'u}, Yasmina and Ninaquispe-Soto, Mario and Miguel Salas-Riega, Jos</b:Middle>
          </b:Person>
        </b:NameList>
      </b:Author>
    </b:Author>
    <b:JournalName>International Journal of Advanced Computer Science &amp; Applications</b:JournalName>
    <b:Volume>16</b:Volume>
    <b:Issue>6</b:Issue>
    <b:RefOrder>26</b:RefOrder>
  </b:Source>
  <b:Source>
    <b:Tag>Sti201</b:Tag>
    <b:SourceType>Report</b:SourceType>
    <b:Guid>{47D6704B-DB4B-4C05-AFB2-C6338226E7C0}</b:Guid>
    <b:Title>Integrating cybersecurity and enterprise risk management (ERM)}</b:Title>
    <b:Year>2020</b:Year>
    <b:Author>
      <b:Author>
        <b:NameList>
          <b:Person>
            <b:Last>Stine</b:Last>
            <b:First>Kevin</b:First>
            <b:Middle>and Stine, Kevin and Quinn, Stephen and Witte, Greg and Gardner, RK}</b:Middle>
          </b:Person>
        </b:NameList>
      </b:Author>
    </b:Author>
    <b:Publisher>US Department of Commerce, National Institute of Standards and Technology</b:Publisher>
    <b:RefOrder>27</b:RefOrder>
  </b:Source>
  <b:Source>
    <b:Tag>Ker201</b:Tag>
    <b:SourceType>JournalArticle</b:SourceType>
    <b:Guid>{2E936D0B-1D5E-46B9-A718-35F90C76F664}</b:Guid>
    <b:Title>Implementing a zero trust architecture</b:Title>
    <b:Year>2020</b:Year>
    <b:Author>
      <b:Author>
        <b:NameList>
          <b:Person>
            <b:Last>Kerman</b:Last>
            <b:First>Alper</b:First>
            <b:Middle>and Borchert, Oliver and Rose, Scott and Tan, Allen and others</b:Middle>
          </b:Person>
        </b:NameList>
      </b:Author>
    </b:Author>
    <b:JournalName>National Institute of Standards and Technology</b:JournalName>
    <b:Pages>1 -17</b:Pages>
    <b:Volume>2020</b:Volume>
    <b:RefOrder>28</b:RefOrder>
  </b:Source>
  <b:Source>
    <b:Tag>Ros201</b:Tag>
    <b:SourceType>JournalArticle</b:SourceType>
    <b:Guid>{BECBECAC-19EB-4EEE-8E78-923565A54A03}</b:Guid>
    <b:Author>
      <b:Author>
        <b:NameList>
          <b:Person>
            <b:Last>Ros</b:Last>
            <b:First>Greg</b:First>
          </b:Person>
        </b:NameList>
      </b:Author>
    </b:Author>
    <b:Title>The making of a cyber crash: a conceptual model for systemic risk in the financial sector</b:Title>
    <b:JournalName>ESRB: Occasional Paper Series</b:JournalName>
    <b:Year>2020</b:Year>
    <b:Volume>2020</b:Volume>
    <b:Issue>16</b:Issue>
    <b:RefOrder>29</b:RefOrder>
  </b:Source>
  <b:Source>
    <b:Tag>Dup191</b:Tag>
    <b:SourceType>JournalArticle</b:SourceType>
    <b:Guid>{764EE56F-0422-4423-AFE1-31CFAF425EE2}</b:Guid>
    <b:Author>
      <b:Author>
        <b:NameList>
          <b:Person>
            <b:Last>Dupont</b:Last>
            <b:First>Beno</b:First>
          </b:Person>
        </b:NameList>
      </b:Author>
    </b:Author>
    <b:Title>The cyber-resilience of financial institutions: significance and applicability</b:Title>
    <b:JournalName>Journal of cybersecurity</b:JournalName>
    <b:Year>2019</b:Year>
    <b:Pages>tyz01</b:Pages>
    <b:Volume>5</b:Volume>
    <b:Issue>1</b:Issue>
    <b:RefOrder>17</b:RefOrder>
  </b:Source>
  <b:Source>
    <b:Tag>Agh24</b:Tag>
    <b:SourceType>JournalArticle</b:SourceType>
    <b:Guid>{D4DE0274-77F7-41D4-A4DC-6C5CEFEE1F34}</b:Guid>
    <b:Author>
      <b:Author>
        <b:NameList>
          <b:Person>
            <b:Last>Aghazadeh Ardebili</b:Last>
            <b:First>Ali</b:First>
            <b:Middle>and Lezzi, Marianna and Pourmadadkar, Mahdad</b:Middle>
          </b:Person>
        </b:NameList>
      </b:Author>
    </b:Author>
    <b:Title>Risk assessment for cyber resilience of critical infrastructures: Methods, governance, and standards}</b:Title>
    <b:JournalName>Applied Sciences</b:JournalName>
    <b:Year>2024</b:Year>
    <b:Pages>11807</b:Pages>
    <b:Volume>14</b:Volume>
    <b:Issue>24</b:Issue>
    <b:RefOrder>16</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5c225c8a-d58b-4f92-9659-fc93657787ef" xsi:nil="true"/>
  </documentManagement>
</p:properties>
</file>

<file path=customXml/itemProps1.xml><?xml version="1.0" encoding="utf-8"?>
<ds:datastoreItem xmlns:ds="http://schemas.openxmlformats.org/officeDocument/2006/customXml" ds:itemID="{425A6621-38D7-4251-BD82-2CBB51235AEB}">
  <ds:schemaRefs>
    <ds:schemaRef ds:uri="http://schemas.microsoft.com/sharepoint/v3/contenttype/forms"/>
  </ds:schemaRefs>
</ds:datastoreItem>
</file>

<file path=customXml/itemProps2.xml><?xml version="1.0" encoding="utf-8"?>
<ds:datastoreItem xmlns:ds="http://schemas.openxmlformats.org/officeDocument/2006/customXml" ds:itemID="{2302947C-7530-43A4-95B0-6B6F7A8280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100571D-69FF-4FC0-A2E4-39E75B2E23CF}">
  <ds:schemaRefs>
    <ds:schemaRef ds:uri="http://schemas.openxmlformats.org/officeDocument/2006/bibliography"/>
  </ds:schemaRefs>
</ds:datastoreItem>
</file>

<file path=customXml/itemProps4.xml><?xml version="1.0" encoding="utf-8"?>
<ds:datastoreItem xmlns:ds="http://schemas.openxmlformats.org/officeDocument/2006/customXml" ds:itemID="{592FEA91-FA0C-4AF9-8C7B-37B676299BD2}">
  <ds:schemaRefs>
    <ds:schemaRef ds:uri="http://schemas.microsoft.com/office/2006/metadata/properties"/>
    <ds:schemaRef ds:uri="http://schemas.microsoft.com/office/infopath/2007/PartnerControls"/>
    <ds:schemaRef ds:uri="5c225c8a-d58b-4f92-9659-fc93657787ef"/>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18</Pages>
  <Words>5154</Words>
  <Characters>32008</Characters>
  <Application>Microsoft Office Word</Application>
  <DocSecurity>0</DocSecurity>
  <Lines>1185</Lines>
  <Paragraphs>563</Paragraphs>
  <ScaleCrop>false</ScaleCrop>
  <Company/>
  <LinksUpToDate>false</LinksUpToDate>
  <CharactersWithSpaces>36599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Jervis Payne (2127853)</dc:creator>
  <cp:keywords/>
  <dc:description/>
  <cp:lastModifiedBy>Jervis Payne (2127853)</cp:lastModifiedBy>
  <cp:revision>211</cp:revision>
  <dcterms:created xsi:type="dcterms:W3CDTF">2026-04-06T13:15:00Z</dcterms:created>
  <dcterms:modified xsi:type="dcterms:W3CDTF">2026-04-09T12:59:00Z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dab65c07-ebc9-4f3f-80b5-597352464647</vt:lpwstr>
  </property>
  <property fmtid="{D5CDD505-2E9C-101B-9397-08002B2CF9AE}" pid="3" name="ContentTypeId">
    <vt:lpwstr>0x010100448A7A53ED0F6C4BAC9BB320F40B3DEF</vt:lpwstr>
  </property>
</Properties>
</file>