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60950" w:rsidRDefault="009B2A72" w:rsidP="00A60950">
      <w:pPr>
        <w:spacing w:after="0" w:line="360" w:lineRule="auto"/>
        <w:jc w:val="both"/>
        <w:rPr>
          <w:rFonts w:ascii="Arial" w:hAnsi="Arial" w:cs="Arial"/>
          <w:bCs/>
        </w:rPr>
      </w:pPr>
      <w:r w:rsidRPr="005156E3">
        <w:rPr>
          <w:rFonts w:ascii="Arial" w:hAnsi="Arial" w:cs="Arial"/>
          <w:bCs/>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836930</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A60950">
                              <w:trPr>
                                <w:trHeight w:val="10470"/>
                                <w:jc w:val="center"/>
                              </w:trPr>
                              <w:tc>
                                <w:tcPr>
                                  <w:tcW w:w="3142" w:type="pct"/>
                                  <w:vAlign w:val="center"/>
                                </w:tcPr>
                                <w:p w:rsidR="00CD71D3" w:rsidRDefault="00CD71D3" w:rsidP="009B2A72"/>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EndPr/>
                                  <w:sdtContent>
                                    <w:p w:rsidR="00CD71D3" w:rsidRPr="00724D1C" w:rsidRDefault="00F0505E" w:rsidP="00F0505E">
                                      <w:pPr>
                                        <w:pStyle w:val="NoSpacing"/>
                                        <w:spacing w:line="312" w:lineRule="auto"/>
                                        <w:jc w:val="center"/>
                                        <w:rPr>
                                          <w:rFonts w:ascii="Arial" w:hAnsi="Arial" w:cs="Arial"/>
                                          <w:caps/>
                                          <w:sz w:val="36"/>
                                          <w:szCs w:val="36"/>
                                        </w:rPr>
                                      </w:pPr>
                                      <w:r>
                                        <w:rPr>
                                          <w:rFonts w:eastAsiaTheme="minorHAnsi"/>
                                          <w:caps/>
                                          <w:sz w:val="50"/>
                                          <w:szCs w:val="50"/>
                                        </w:rPr>
                                        <w:t>COMMUNITY ENGAGEMENT PR</w:t>
                                      </w:r>
                                      <w:r w:rsidR="00292D8C">
                                        <w:rPr>
                                          <w:rFonts w:eastAsiaTheme="minorHAnsi"/>
                                          <w:caps/>
                                          <w:sz w:val="50"/>
                                          <w:szCs w:val="50"/>
                                        </w:rPr>
                                        <w:t>OGRAMME IN THE FUTURE</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F0505E" w:rsidP="00CD71D3">
                                      <w:pPr>
                                        <w:jc w:val="center"/>
                                        <w:rPr>
                                          <w:sz w:val="40"/>
                                          <w:szCs w:val="40"/>
                                        </w:rPr>
                                      </w:pPr>
                                      <w:r>
                                        <w:rPr>
                                          <w:i/>
                                          <w:color w:val="000000" w:themeColor="text1"/>
                                          <w:sz w:val="40"/>
                                          <w:szCs w:val="40"/>
                                        </w:rPr>
                                        <w:t>COMMUNITY ENGAGEMENT</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EndPr/>
                                  <w:sdtContent>
                                    <w:p w:rsidR="00CD71D3" w:rsidRPr="00CD71D3" w:rsidRDefault="00F0505E" w:rsidP="00CD71D3">
                                      <w:pPr>
                                        <w:jc w:val="center"/>
                                        <w:rPr>
                                          <w:color w:val="000000" w:themeColor="text1"/>
                                          <w:sz w:val="32"/>
                                          <w:szCs w:val="32"/>
                                        </w:rPr>
                                      </w:pPr>
                                      <w:r w:rsidRPr="00F0505E">
                                        <w:rPr>
                                          <w:rFonts w:ascii="Arial" w:hAnsi="Arial" w:cs="Arial"/>
                                          <w:sz w:val="32"/>
                                          <w:szCs w:val="32"/>
                                        </w:rPr>
                                        <w:t xml:space="preserve">BA Business Management                LCBB4002_BIRM        Zahra </w:t>
                                      </w:r>
                                      <w:proofErr w:type="spellStart"/>
                                      <w:r w:rsidRPr="00F0505E">
                                        <w:rPr>
                                          <w:rFonts w:ascii="Arial" w:hAnsi="Arial" w:cs="Arial"/>
                                          <w:sz w:val="32"/>
                                          <w:szCs w:val="32"/>
                                        </w:rPr>
                                        <w:t>Mohammadnazari</w:t>
                                      </w:r>
                                      <w:proofErr w:type="spellEnd"/>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850257" w:rsidP="00386155">
                                      <w:pPr>
                                        <w:pStyle w:val="NoSpacing"/>
                                        <w:jc w:val="center"/>
                                        <w:rPr>
                                          <w:i/>
                                          <w:color w:val="ED7D31" w:themeColor="accent2"/>
                                          <w:sz w:val="26"/>
                                          <w:szCs w:val="26"/>
                                        </w:rPr>
                                      </w:pPr>
                                      <w:r>
                                        <w:rPr>
                                          <w:i/>
                                        </w:rPr>
                                        <w:t xml:space="preserve">     </w:t>
                                      </w:r>
                                    </w:p>
                                  </w:sdtContent>
                                </w:sdt>
                                <w:p w:rsidR="00CD71D3" w:rsidRDefault="00982437"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EndPr/>
                                    <w:sdtContent>
                                      <w:r w:rsidR="0093386B">
                                        <w:rPr>
                                          <w:i/>
                                          <w:sz w:val="28"/>
                                          <w:szCs w:val="28"/>
                                        </w:rPr>
                                        <w:t xml:space="preserve">Inna </w:t>
                                      </w:r>
                                      <w:proofErr w:type="spellStart"/>
                                      <w:r w:rsidR="0093386B">
                                        <w:rPr>
                                          <w:i/>
                                          <w:sz w:val="28"/>
                                          <w:szCs w:val="28"/>
                                        </w:rPr>
                                        <w:t>Hristova</w:t>
                                      </w:r>
                                      <w:proofErr w:type="spellEnd"/>
                                      <w:r w:rsidR="0093386B">
                                        <w:rPr>
                                          <w:i/>
                                          <w:sz w:val="28"/>
                                          <w:szCs w:val="28"/>
                                        </w:rPr>
                                        <w:t xml:space="preserve">                    Student number 2230343</w:t>
                                      </w:r>
                                    </w:sdtContent>
                                  </w:sdt>
                                </w:p>
                              </w:tc>
                            </w:tr>
                          </w:tbl>
                          <w:p w:rsidR="00CD71D3" w:rsidRDefault="00CD71D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left:0;text-align:left;margin-left:0;margin-top:65.9pt;width:134.85pt;height:302.4pt;z-index:251659264;visibility:visible;mso-wrap-style:square;mso-width-percent:941;mso-height-percent:773;mso-wrap-distance-left:9pt;mso-wrap-distance-top:0;mso-wrap-distance-right:9pt;mso-wrap-distance-bottom:0;mso-position-horizontal:center;mso-position-horizontal-relative:margin;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220"/>
                        <w:gridCol w:w="4270"/>
                      </w:tblGrid>
                      <w:tr w:rsidR="00CD71D3" w:rsidTr="00A60950">
                        <w:trPr>
                          <w:trHeight w:val="10470"/>
                          <w:jc w:val="center"/>
                        </w:trPr>
                        <w:tc>
                          <w:tcPr>
                            <w:tcW w:w="3142" w:type="pct"/>
                            <w:vAlign w:val="center"/>
                          </w:tcPr>
                          <w:p w:rsidR="00CD71D3" w:rsidRDefault="00CD71D3" w:rsidP="009B2A72"/>
                          <w:sdt>
                            <w:sdtPr>
                              <w:rPr>
                                <w:rFonts w:eastAsiaTheme="minorHAnsi"/>
                                <w:caps/>
                                <w:sz w:val="50"/>
                                <w:szCs w:val="50"/>
                              </w:rPr>
                              <w:alias w:val="Title"/>
                              <w:tag w:val=""/>
                              <w:id w:val="-1336139977"/>
                              <w:dataBinding w:prefixMappings="xmlns:ns0='http://purl.org/dc/elements/1.1/' xmlns:ns1='http://schemas.openxmlformats.org/package/2006/metadata/core-properties' " w:xpath="/ns1:coreProperties[1]/ns0:title[1]" w:storeItemID="{6C3C8BC8-F283-45AE-878A-BAB7291924A1}"/>
                              <w:text/>
                            </w:sdtPr>
                            <w:sdtEndPr/>
                            <w:sdtContent>
                              <w:p w:rsidR="00CD71D3" w:rsidRPr="00724D1C" w:rsidRDefault="00F0505E" w:rsidP="00F0505E">
                                <w:pPr>
                                  <w:pStyle w:val="NoSpacing"/>
                                  <w:spacing w:line="312" w:lineRule="auto"/>
                                  <w:jc w:val="center"/>
                                  <w:rPr>
                                    <w:rFonts w:ascii="Arial" w:hAnsi="Arial" w:cs="Arial"/>
                                    <w:caps/>
                                    <w:sz w:val="36"/>
                                    <w:szCs w:val="36"/>
                                  </w:rPr>
                                </w:pPr>
                                <w:r>
                                  <w:rPr>
                                    <w:rFonts w:eastAsiaTheme="minorHAnsi"/>
                                    <w:caps/>
                                    <w:sz w:val="50"/>
                                    <w:szCs w:val="50"/>
                                  </w:rPr>
                                  <w:t>COMMUNITY ENGAGEMENT PR</w:t>
                                </w:r>
                                <w:r w:rsidR="00292D8C">
                                  <w:rPr>
                                    <w:rFonts w:eastAsiaTheme="minorHAnsi"/>
                                    <w:caps/>
                                    <w:sz w:val="50"/>
                                    <w:szCs w:val="50"/>
                                  </w:rPr>
                                  <w:t>OGRAMME IN THE FUTURE</w:t>
                                </w:r>
                              </w:p>
                            </w:sdtContent>
                          </w:sdt>
                          <w:sdt>
                            <w:sdtPr>
                              <w:rPr>
                                <w:i/>
                                <w:color w:val="000000" w:themeColor="text1"/>
                                <w:sz w:val="40"/>
                                <w:szCs w:val="40"/>
                              </w:rPr>
                              <w:alias w:val="Subtitle"/>
                              <w:tag w:val=""/>
                              <w:id w:val="-828599613"/>
                              <w:dataBinding w:prefixMappings="xmlns:ns0='http://purl.org/dc/elements/1.1/' xmlns:ns1='http://schemas.openxmlformats.org/package/2006/metadata/core-properties' " w:xpath="/ns1:coreProperties[1]/ns0:subject[1]" w:storeItemID="{6C3C8BC8-F283-45AE-878A-BAB7291924A1}"/>
                              <w:text/>
                            </w:sdtPr>
                            <w:sdtEndPr/>
                            <w:sdtContent>
                              <w:p w:rsidR="00CD71D3" w:rsidRPr="00CD71D3" w:rsidRDefault="00F0505E" w:rsidP="00CD71D3">
                                <w:pPr>
                                  <w:jc w:val="center"/>
                                  <w:rPr>
                                    <w:sz w:val="40"/>
                                    <w:szCs w:val="40"/>
                                  </w:rPr>
                                </w:pPr>
                                <w:r>
                                  <w:rPr>
                                    <w:i/>
                                    <w:color w:val="000000" w:themeColor="text1"/>
                                    <w:sz w:val="40"/>
                                    <w:szCs w:val="40"/>
                                  </w:rPr>
                                  <w:t>COMMUNITY ENGAGEMENT</w:t>
                                </w:r>
                              </w:p>
                            </w:sdtContent>
                          </w:sdt>
                        </w:tc>
                        <w:tc>
                          <w:tcPr>
                            <w:tcW w:w="1858" w:type="pct"/>
                            <w:vAlign w:val="center"/>
                          </w:tcPr>
                          <w:p w:rsidR="00CD71D3" w:rsidRDefault="00CD71D3">
                            <w:pPr>
                              <w:pStyle w:val="NoSpacing"/>
                              <w:rPr>
                                <w:caps/>
                                <w:color w:val="ED7D31" w:themeColor="accent2"/>
                                <w:sz w:val="26"/>
                                <w:szCs w:val="26"/>
                              </w:rPr>
                            </w:pPr>
                          </w:p>
                          <w:sdt>
                            <w:sdtPr>
                              <w:rPr>
                                <w:rFonts w:ascii="Arial" w:hAnsi="Arial" w:cs="Arial"/>
                                <w:sz w:val="32"/>
                                <w:szCs w:val="32"/>
                              </w:rPr>
                              <w:alias w:val="Abstract"/>
                              <w:tag w:val=""/>
                              <w:id w:val="-1881852244"/>
                              <w:dataBinding w:prefixMappings="xmlns:ns0='http://schemas.microsoft.com/office/2006/coverPageProps' " w:xpath="/ns0:CoverPageProperties[1]/ns0:Abstract[1]" w:storeItemID="{55AF091B-3C7A-41E3-B477-F2FDAA23CFDA}"/>
                              <w:text/>
                            </w:sdtPr>
                            <w:sdtEndPr/>
                            <w:sdtContent>
                              <w:p w:rsidR="00CD71D3" w:rsidRPr="00CD71D3" w:rsidRDefault="00F0505E" w:rsidP="00CD71D3">
                                <w:pPr>
                                  <w:jc w:val="center"/>
                                  <w:rPr>
                                    <w:color w:val="000000" w:themeColor="text1"/>
                                    <w:sz w:val="32"/>
                                    <w:szCs w:val="32"/>
                                  </w:rPr>
                                </w:pPr>
                                <w:r w:rsidRPr="00F0505E">
                                  <w:rPr>
                                    <w:rFonts w:ascii="Arial" w:hAnsi="Arial" w:cs="Arial"/>
                                    <w:sz w:val="32"/>
                                    <w:szCs w:val="32"/>
                                  </w:rPr>
                                  <w:t xml:space="preserve">BA Business Management                LCBB4002_BIRM        Zahra </w:t>
                                </w:r>
                                <w:proofErr w:type="spellStart"/>
                                <w:r w:rsidRPr="00F0505E">
                                  <w:rPr>
                                    <w:rFonts w:ascii="Arial" w:hAnsi="Arial" w:cs="Arial"/>
                                    <w:sz w:val="32"/>
                                    <w:szCs w:val="32"/>
                                  </w:rPr>
                                  <w:t>Mohammadnazari</w:t>
                                </w:r>
                                <w:proofErr w:type="spellEnd"/>
                                <w:r w:rsidRPr="00F0505E">
                                  <w:rPr>
                                    <w:rFonts w:ascii="Arial" w:hAnsi="Arial" w:cs="Arial"/>
                                    <w:sz w:val="32"/>
                                    <w:szCs w:val="32"/>
                                  </w:rPr>
                                  <w:t xml:space="preserve">                                                                                            </w:t>
                                </w:r>
                              </w:p>
                            </w:sdtContent>
                          </w:sdt>
                          <w:sdt>
                            <w:sdtPr>
                              <w:rPr>
                                <w:i/>
                              </w:rPr>
                              <w:alias w:val="Author"/>
                              <w:tag w:val=""/>
                              <w:id w:val="-1312175565"/>
                              <w:showingPlcHdr/>
                              <w:dataBinding w:prefixMappings="xmlns:ns0='http://purl.org/dc/elements/1.1/' xmlns:ns1='http://schemas.openxmlformats.org/package/2006/metadata/core-properties' " w:xpath="/ns1:coreProperties[1]/ns0:creator[1]" w:storeItemID="{6C3C8BC8-F283-45AE-878A-BAB7291924A1}"/>
                              <w:text/>
                            </w:sdtPr>
                            <w:sdtEndPr/>
                            <w:sdtContent>
                              <w:p w:rsidR="00CD71D3" w:rsidRPr="006E1B19" w:rsidRDefault="00850257" w:rsidP="00386155">
                                <w:pPr>
                                  <w:pStyle w:val="NoSpacing"/>
                                  <w:jc w:val="center"/>
                                  <w:rPr>
                                    <w:i/>
                                    <w:color w:val="ED7D31" w:themeColor="accent2"/>
                                    <w:sz w:val="26"/>
                                    <w:szCs w:val="26"/>
                                  </w:rPr>
                                </w:pPr>
                                <w:r>
                                  <w:rPr>
                                    <w:i/>
                                  </w:rPr>
                                  <w:t xml:space="preserve">     </w:t>
                                </w:r>
                              </w:p>
                            </w:sdtContent>
                          </w:sdt>
                          <w:p w:rsidR="00CD71D3" w:rsidRDefault="00982437" w:rsidP="00386155">
                            <w:pPr>
                              <w:pStyle w:val="NoSpacing"/>
                              <w:jc w:val="center"/>
                            </w:pPr>
                            <w:sdt>
                              <w:sdtPr>
                                <w:rPr>
                                  <w:i/>
                                  <w:sz w:val="28"/>
                                  <w:szCs w:val="28"/>
                                </w:rPr>
                                <w:alias w:val="Course"/>
                                <w:tag w:val="Course"/>
                                <w:id w:val="1973710610"/>
                                <w:dataBinding w:prefixMappings="xmlns:ns0='http://purl.org/dc/elements/1.1/' xmlns:ns1='http://schemas.openxmlformats.org/package/2006/metadata/core-properties' " w:xpath="/ns1:coreProperties[1]/ns1:category[1]" w:storeItemID="{6C3C8BC8-F283-45AE-878A-BAB7291924A1}"/>
                                <w:text/>
                              </w:sdtPr>
                              <w:sdtEndPr/>
                              <w:sdtContent>
                                <w:r w:rsidR="0093386B">
                                  <w:rPr>
                                    <w:i/>
                                    <w:sz w:val="28"/>
                                    <w:szCs w:val="28"/>
                                  </w:rPr>
                                  <w:t xml:space="preserve">Inna </w:t>
                                </w:r>
                                <w:proofErr w:type="spellStart"/>
                                <w:r w:rsidR="0093386B">
                                  <w:rPr>
                                    <w:i/>
                                    <w:sz w:val="28"/>
                                    <w:szCs w:val="28"/>
                                  </w:rPr>
                                  <w:t>Hristova</w:t>
                                </w:r>
                                <w:proofErr w:type="spellEnd"/>
                                <w:r w:rsidR="0093386B">
                                  <w:rPr>
                                    <w:i/>
                                    <w:sz w:val="28"/>
                                    <w:szCs w:val="28"/>
                                  </w:rPr>
                                  <w:t xml:space="preserve">                    Student number 2230343</w:t>
                                </w:r>
                              </w:sdtContent>
                            </w:sdt>
                          </w:p>
                        </w:tc>
                      </w:tr>
                    </w:tbl>
                    <w:p w:rsidR="00CD71D3" w:rsidRDefault="00CD71D3"/>
                  </w:txbxContent>
                </v:textbox>
                <w10:wrap anchorx="margin" anchory="page"/>
              </v:shape>
            </w:pict>
          </mc:Fallback>
        </mc:AlternateContent>
      </w:r>
      <w:sdt>
        <w:sdtPr>
          <w:rPr>
            <w:rFonts w:ascii="Arial" w:hAnsi="Arial" w:cs="Arial"/>
            <w:bCs/>
          </w:rPr>
          <w:id w:val="1395545653"/>
          <w:docPartObj>
            <w:docPartGallery w:val="Cover Pages"/>
            <w:docPartUnique/>
          </w:docPartObj>
        </w:sdtPr>
        <w:sdtEndPr/>
        <w:sdtContent>
          <w:r w:rsidR="00CD71D3" w:rsidRPr="005156E3">
            <w:rPr>
              <w:rFonts w:ascii="Arial" w:hAnsi="Arial" w:cs="Arial"/>
              <w:bCs/>
            </w:rPr>
            <w:br w:type="page"/>
          </w:r>
        </w:sdtContent>
      </w:sdt>
    </w:p>
    <w:p w:rsidR="00292D8C" w:rsidRPr="00292D8C" w:rsidRDefault="00292D8C" w:rsidP="00292D8C">
      <w:pPr>
        <w:spacing w:after="0" w:line="360" w:lineRule="auto"/>
        <w:ind w:firstLine="720"/>
        <w:jc w:val="both"/>
        <w:rPr>
          <w:rFonts w:ascii="Arial" w:hAnsi="Arial" w:cs="Arial"/>
          <w:b/>
          <w:i/>
          <w:sz w:val="28"/>
          <w:szCs w:val="28"/>
        </w:rPr>
      </w:pPr>
      <w:r w:rsidRPr="00292D8C">
        <w:rPr>
          <w:rFonts w:ascii="Arial" w:hAnsi="Arial" w:cs="Arial"/>
          <w:b/>
          <w:i/>
          <w:sz w:val="28"/>
          <w:szCs w:val="28"/>
        </w:rPr>
        <w:lastRenderedPageBreak/>
        <w:t xml:space="preserve">Community Engagement </w:t>
      </w:r>
      <w:proofErr w:type="spellStart"/>
      <w:r w:rsidRPr="00292D8C">
        <w:rPr>
          <w:rFonts w:ascii="Arial" w:hAnsi="Arial" w:cs="Arial"/>
          <w:b/>
          <w:i/>
          <w:sz w:val="28"/>
          <w:szCs w:val="28"/>
        </w:rPr>
        <w:t>Programme</w:t>
      </w:r>
      <w:proofErr w:type="spellEnd"/>
      <w:r w:rsidRPr="00292D8C">
        <w:rPr>
          <w:rFonts w:ascii="Arial" w:hAnsi="Arial" w:cs="Arial"/>
          <w:b/>
          <w:i/>
          <w:sz w:val="28"/>
          <w:szCs w:val="28"/>
        </w:rPr>
        <w:t xml:space="preserve"> In The Future</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Introduction</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The importance of community involvement initiatives cannot be </w:t>
      </w:r>
      <w:proofErr w:type="spellStart"/>
      <w:r w:rsidRPr="00292D8C">
        <w:rPr>
          <w:rFonts w:ascii="Arial" w:hAnsi="Arial" w:cs="Arial"/>
        </w:rPr>
        <w:t>emphasised</w:t>
      </w:r>
      <w:proofErr w:type="spellEnd"/>
      <w:r w:rsidRPr="00292D8C">
        <w:rPr>
          <w:rFonts w:ascii="Arial" w:hAnsi="Arial" w:cs="Arial"/>
        </w:rPr>
        <w:t xml:space="preserve"> in today's linked world. Community engagement and cooperation are essential for bringing about significant and long-lasting change as we manage complicated social, economic, and environmental concerns. Community participation programs are effective platforms for encouraging individual empowerment, fostering social cohesion, addressing local needs, and </w:t>
      </w:r>
      <w:proofErr w:type="spellStart"/>
      <w:r w:rsidRPr="00292D8C">
        <w:rPr>
          <w:rFonts w:ascii="Arial" w:hAnsi="Arial" w:cs="Arial"/>
        </w:rPr>
        <w:t>mobilising</w:t>
      </w:r>
      <w:proofErr w:type="spellEnd"/>
      <w:r w:rsidRPr="00292D8C">
        <w:rPr>
          <w:rFonts w:ascii="Arial" w:hAnsi="Arial" w:cs="Arial"/>
        </w:rPr>
        <w:t xml:space="preserve"> people to work together towards common objectives. These initiatives promote exchanging information, tools, and viewpoints by bringing people together and empowering communities to tap into their combined potential and make a difference. In this reflection, I will discuss how I will collaborate with Green Earth UK, a renowned UK-based </w:t>
      </w:r>
      <w:proofErr w:type="spellStart"/>
      <w:r w:rsidRPr="00292D8C">
        <w:rPr>
          <w:rFonts w:ascii="Arial" w:hAnsi="Arial" w:cs="Arial"/>
        </w:rPr>
        <w:t>organisation</w:t>
      </w:r>
      <w:proofErr w:type="spellEnd"/>
      <w:r w:rsidRPr="00292D8C">
        <w:rPr>
          <w:rFonts w:ascii="Arial" w:hAnsi="Arial" w:cs="Arial"/>
        </w:rPr>
        <w:t xml:space="preserve"> committed to promoting environmental sustainability, to manage a community engagement program in the future efficiently. I will explain how I will apply best practices, models, methodologies, approaches, and assessment methods to develop and carry out a fruitful community engagement project, drawing on the ideas and principles covered in this module. This initiative aims to increase community members' understanding of sustainable practices and provide them with the tools they need to adopt ecologically friendly habits, helping to create a more sustainable future for everybody.</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Comparison and Analysis of Community Engagement Strategies</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A thorough examination and evaluation of best practices in community involvement techniques indicates significant discrepancies and opportunities for improvement when comparing the strategies utilised in the actual project with those envisioned for the future project with Green Earth UK. Limited stakeholder involvement and inclusive decision-making procedures were seen in the existing project. As a result, chances to gather various viewpoints and guarantee active involvement were lost. Given the significance of inclusive decision-making, Green Earth UK's upcoming initiative will put stakeholder involvement first. To do this, community people, local government officials, and pertinent organisations will need to actively participate in decision-making processes, for example, through focus group discussions, polls, and consultations (Denning, 2021, pp. 1-4). The future initiative intends to promote a sense of ownership and influence within the community by guaranteeing representation and combining other viewpoints.</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There was potential for improvement in the live project's communication and raising of awareness. The limited use of channels of communication and weak messaging could have improved the project's reach and impact. Considering the lessons discovered, the upcoming initiative with Green Earth UK will use efficient communication techniques to engage a larger audience and promote environmental sustainability. To spread information, communicate </w:t>
      </w:r>
      <w:r w:rsidRPr="00292D8C">
        <w:rPr>
          <w:rFonts w:ascii="Arial" w:hAnsi="Arial" w:cs="Arial"/>
        </w:rPr>
        <w:lastRenderedPageBreak/>
        <w:t>updates, and involve the community, this will include using a variety of communication channels, such as social media platforms, newsletters, and local media (</w:t>
      </w:r>
      <w:proofErr w:type="spellStart"/>
      <w:r w:rsidRPr="00292D8C">
        <w:rPr>
          <w:rFonts w:ascii="Arial" w:hAnsi="Arial" w:cs="Arial"/>
        </w:rPr>
        <w:t>Ricklefs</w:t>
      </w:r>
      <w:proofErr w:type="spellEnd"/>
      <w:r w:rsidRPr="00292D8C">
        <w:rPr>
          <w:rFonts w:ascii="Arial" w:hAnsi="Arial" w:cs="Arial"/>
        </w:rPr>
        <w:t xml:space="preserve">, 2022). Individuals will be empowered to adopt sustainable </w:t>
      </w:r>
      <w:r w:rsidR="00F711E0" w:rsidRPr="00292D8C">
        <w:rPr>
          <w:rFonts w:ascii="Arial" w:hAnsi="Arial" w:cs="Arial"/>
        </w:rPr>
        <w:t>behaviors</w:t>
      </w:r>
      <w:r w:rsidRPr="00292D8C">
        <w:rPr>
          <w:rFonts w:ascii="Arial" w:hAnsi="Arial" w:cs="Arial"/>
        </w:rPr>
        <w:t xml:space="preserve"> using interactive information and clear and accessible messaging to promote active engagement.</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Collaborative solid relationships and resource sharing with pertinent </w:t>
      </w:r>
      <w:proofErr w:type="spellStart"/>
      <w:r w:rsidRPr="00292D8C">
        <w:rPr>
          <w:rFonts w:ascii="Arial" w:hAnsi="Arial" w:cs="Arial"/>
        </w:rPr>
        <w:t>organisations</w:t>
      </w:r>
      <w:proofErr w:type="spellEnd"/>
      <w:r w:rsidRPr="00292D8C">
        <w:rPr>
          <w:rFonts w:ascii="Arial" w:hAnsi="Arial" w:cs="Arial"/>
        </w:rPr>
        <w:t xml:space="preserve"> and community groups needed to be improved in the live project. The future initiative with Green Earth UK will </w:t>
      </w:r>
      <w:proofErr w:type="spellStart"/>
      <w:r w:rsidRPr="00292D8C">
        <w:rPr>
          <w:rFonts w:ascii="Arial" w:hAnsi="Arial" w:cs="Arial"/>
        </w:rPr>
        <w:t>prioritise</w:t>
      </w:r>
      <w:proofErr w:type="spellEnd"/>
      <w:r w:rsidRPr="00292D8C">
        <w:rPr>
          <w:rFonts w:ascii="Arial" w:hAnsi="Arial" w:cs="Arial"/>
        </w:rPr>
        <w:t xml:space="preserve"> forming cooperative relationships with regional community groups, companies, educational institutions, and government agencies because it </w:t>
      </w:r>
      <w:proofErr w:type="spellStart"/>
      <w:r w:rsidRPr="00292D8C">
        <w:rPr>
          <w:rFonts w:ascii="Arial" w:hAnsi="Arial" w:cs="Arial"/>
        </w:rPr>
        <w:t>recognises</w:t>
      </w:r>
      <w:proofErr w:type="spellEnd"/>
      <w:r w:rsidRPr="00292D8C">
        <w:rPr>
          <w:rFonts w:ascii="Arial" w:hAnsi="Arial" w:cs="Arial"/>
        </w:rPr>
        <w:t xml:space="preserve"> the benefits of collaboration. It will make it easier for people to share resources, access knowledge, and work together for environmental sustainability (</w:t>
      </w:r>
      <w:proofErr w:type="spellStart"/>
      <w:r w:rsidRPr="00292D8C">
        <w:rPr>
          <w:rFonts w:ascii="Arial" w:hAnsi="Arial" w:cs="Arial"/>
        </w:rPr>
        <w:t>Mehdikhani</w:t>
      </w:r>
      <w:proofErr w:type="spellEnd"/>
      <w:r w:rsidRPr="00292D8C">
        <w:rPr>
          <w:rFonts w:ascii="Arial" w:hAnsi="Arial" w:cs="Arial"/>
        </w:rPr>
        <w:t xml:space="preserve"> and </w:t>
      </w:r>
      <w:proofErr w:type="spellStart"/>
      <w:r w:rsidRPr="00292D8C">
        <w:rPr>
          <w:rFonts w:ascii="Arial" w:hAnsi="Arial" w:cs="Arial"/>
        </w:rPr>
        <w:t>Valmohammadi</w:t>
      </w:r>
      <w:proofErr w:type="spellEnd"/>
      <w:r w:rsidRPr="00292D8C">
        <w:rPr>
          <w:rFonts w:ascii="Arial" w:hAnsi="Arial" w:cs="Arial"/>
        </w:rPr>
        <w:t>, 2019, pp. 778–806). The initiative may increase its effect and affect long-lasting change in the community by taking advantage of these collaborations.</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Reflection on Areas for Improvement in the Live Project</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The live project might have included more participatory decision-making procedures to increase efficacy if community residents, local government officials, and pertinent </w:t>
      </w:r>
      <w:proofErr w:type="spellStart"/>
      <w:r w:rsidRPr="00292D8C">
        <w:rPr>
          <w:rFonts w:ascii="Arial" w:hAnsi="Arial" w:cs="Arial"/>
        </w:rPr>
        <w:t>organisations</w:t>
      </w:r>
      <w:proofErr w:type="spellEnd"/>
      <w:r w:rsidRPr="00292D8C">
        <w:rPr>
          <w:rFonts w:ascii="Arial" w:hAnsi="Arial" w:cs="Arial"/>
        </w:rPr>
        <w:t xml:space="preserve"> had been actively involved. The project would have enabled the integration of many viewpoints and improved ownership among stakeholders by embracing participatory decision-making or co-design techniques. Community members would have been allowed to actively contribute their thoughts, information, and skills through participatory decision-making (Bess et al., 2011, pp. 236-252). This inclusive strategy would have encouraged shared responsibility and cooperation, resulting in more long-lasting, community-driven solutions. The actual project would have benefitted from a more extensive range of thoughts, experiences, and creative solutions had all stakeholders' contributions been valued and their meaningful involvement been ensured.</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Gaining a detailed grasp of the main stakeholders involved, including their interests, power dynamics, and influence, would have required a thorough stakeholder study from the beginning of the live project. This study would have given insightful information on the many groups and people impacted by the project and their contributions to determining its outcomes. The project might have built focused engagement methods catered to their unique requirements and expectations by identifying and interacting with stakeholders early on (</w:t>
      </w:r>
      <w:proofErr w:type="spellStart"/>
      <w:r w:rsidRPr="00292D8C">
        <w:rPr>
          <w:rFonts w:ascii="Arial" w:hAnsi="Arial" w:cs="Arial"/>
        </w:rPr>
        <w:t>Torelli</w:t>
      </w:r>
      <w:proofErr w:type="spellEnd"/>
      <w:r w:rsidRPr="00292D8C">
        <w:rPr>
          <w:rFonts w:ascii="Arial" w:hAnsi="Arial" w:cs="Arial"/>
        </w:rPr>
        <w:t xml:space="preserve">, </w:t>
      </w:r>
      <w:proofErr w:type="spellStart"/>
      <w:r w:rsidRPr="00292D8C">
        <w:rPr>
          <w:rFonts w:ascii="Arial" w:hAnsi="Arial" w:cs="Arial"/>
        </w:rPr>
        <w:t>Balluchi</w:t>
      </w:r>
      <w:proofErr w:type="spellEnd"/>
      <w:r w:rsidRPr="00292D8C">
        <w:rPr>
          <w:rFonts w:ascii="Arial" w:hAnsi="Arial" w:cs="Arial"/>
        </w:rPr>
        <w:t xml:space="preserve">, and </w:t>
      </w:r>
      <w:proofErr w:type="spellStart"/>
      <w:r w:rsidRPr="00292D8C">
        <w:rPr>
          <w:rFonts w:ascii="Arial" w:hAnsi="Arial" w:cs="Arial"/>
        </w:rPr>
        <w:t>Furlotti</w:t>
      </w:r>
      <w:proofErr w:type="spellEnd"/>
      <w:r w:rsidRPr="00292D8C">
        <w:rPr>
          <w:rFonts w:ascii="Arial" w:hAnsi="Arial" w:cs="Arial"/>
        </w:rPr>
        <w:t xml:space="preserve">, 2020, pp. 470–484). This proactive strategy would have promoted better connections and enabled efficient cooperation throughout the project's lifespan, ensuring active engagement and buy-in from significant stakeholders. Additionally, having a better grasp of the power relationships and stakeholder interests would have facilitated more thoughtful decision-making and the early detection of any possible problems or conflicts. The initiative would have earned credibility, </w:t>
      </w:r>
      <w:r w:rsidRPr="00292D8C">
        <w:rPr>
          <w:rFonts w:ascii="Arial" w:hAnsi="Arial" w:cs="Arial"/>
        </w:rPr>
        <w:lastRenderedPageBreak/>
        <w:t>support, and a higher chance of success if it had addressed stakeholder concerns and requested their opinion.</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The reach and effect of the live project may have been increased by improving communication methods and messages (</w:t>
      </w:r>
      <w:proofErr w:type="spellStart"/>
      <w:r w:rsidRPr="00292D8C">
        <w:rPr>
          <w:rFonts w:ascii="Arial" w:hAnsi="Arial" w:cs="Arial"/>
        </w:rPr>
        <w:t>Ricklefs</w:t>
      </w:r>
      <w:proofErr w:type="spellEnd"/>
      <w:r w:rsidRPr="00292D8C">
        <w:rPr>
          <w:rFonts w:ascii="Arial" w:hAnsi="Arial" w:cs="Arial"/>
        </w:rPr>
        <w:t>, 2022). The project might have communicated its objectives, actions, and outcomes to the community more effectively by adhering to communication best practices, such as focusing messaging on specific target audiences, using simple language, and using visual aids. Further, including participatory strategies like the Appreciative Inquiry or Asset-Based Community Development models in the live project would have been beneficial. These strategies highlight the community's advantages and capabilities, empowering people and encouraging shared accountability for community involvement projects. Implementing a solid methodology for monitoring and evaluating the live project would have also given important insights into its development and impact. The initiative might have regularly evaluated its efficacy, identified development areas, and shown the worth of its community involvement activities using pertinent indicators and assessment techniques.</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The UN SDGs might have served as a larger framework and guiding principles for community involvement activities if the live project had been aligned. The project's benefits to social, economic, and environmental sustainability would have been highlighted, and this integration would have made it easier to monitor progress toward these global goals (U N, 2022). The live project could have been improved in terms of diversity, stakeholder involvement, communication, collaborative strategies, monitoring and evaluation, and accord with global sustainability agendas by taking into account these best practices, models, techniques, strategies, principles, and guidelines (</w:t>
      </w:r>
      <w:proofErr w:type="spellStart"/>
      <w:r w:rsidRPr="00292D8C">
        <w:rPr>
          <w:rFonts w:ascii="Arial" w:hAnsi="Arial" w:cs="Arial"/>
        </w:rPr>
        <w:t>Florini</w:t>
      </w:r>
      <w:proofErr w:type="spellEnd"/>
      <w:r w:rsidRPr="00292D8C">
        <w:rPr>
          <w:rFonts w:ascii="Arial" w:hAnsi="Arial" w:cs="Arial"/>
        </w:rPr>
        <w:t xml:space="preserve"> and Pauli, 2018, pp. 583-598). A more successful and impactful strategy for involving communities and promoting ecological sustainability is ensured by reflecting on areas for improvement for the subsequent community engagement initiatives, like the one planned with Green Earth UK.</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The Impact of Active Consultation, Effective Communication, Stakeholders' Participation, and Inclusion in Community Engagement</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Active Consultation: Fostering Ownership and Empowerment</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In partnership with Green Earth UK, active consultation enables community people, local government officials, and pertinent </w:t>
      </w:r>
      <w:proofErr w:type="spellStart"/>
      <w:r w:rsidRPr="00292D8C">
        <w:rPr>
          <w:rFonts w:ascii="Arial" w:hAnsi="Arial" w:cs="Arial"/>
        </w:rPr>
        <w:t>organisations</w:t>
      </w:r>
      <w:proofErr w:type="spellEnd"/>
      <w:r w:rsidRPr="00292D8C">
        <w:rPr>
          <w:rFonts w:ascii="Arial" w:hAnsi="Arial" w:cs="Arial"/>
        </w:rPr>
        <w:t xml:space="preserve"> to engage in decision-making actively. We may obtain many viewpoints on the problems and solutions related to environmental sustainability by performing research methods, including surveys, focus groups, and interviews. By encouraging ownership and empowerment among stakeholders, this inclusive approach ensures that their opinions are </w:t>
      </w:r>
      <w:proofErr w:type="spellStart"/>
      <w:r w:rsidRPr="00292D8C">
        <w:rPr>
          <w:rFonts w:ascii="Arial" w:hAnsi="Arial" w:cs="Arial"/>
        </w:rPr>
        <w:t>recognised</w:t>
      </w:r>
      <w:proofErr w:type="spellEnd"/>
      <w:r w:rsidRPr="00292D8C">
        <w:rPr>
          <w:rFonts w:ascii="Arial" w:hAnsi="Arial" w:cs="Arial"/>
        </w:rPr>
        <w:t xml:space="preserve"> and considered when developing community involvement programs.</w:t>
      </w:r>
    </w:p>
    <w:p w:rsidR="00292D8C" w:rsidRPr="00263633" w:rsidRDefault="00292D8C" w:rsidP="00292D8C">
      <w:pPr>
        <w:spacing w:after="0" w:line="360" w:lineRule="auto"/>
        <w:ind w:firstLine="720"/>
        <w:jc w:val="both"/>
        <w:rPr>
          <w:rFonts w:ascii="Arial" w:hAnsi="Arial" w:cs="Arial"/>
          <w:b/>
        </w:rPr>
      </w:pPr>
      <w:r w:rsidRPr="00263633">
        <w:rPr>
          <w:rFonts w:ascii="Arial" w:hAnsi="Arial" w:cs="Arial"/>
          <w:b/>
        </w:rPr>
        <w:lastRenderedPageBreak/>
        <w:t>Effective Communication: Reaching a Wider Audience and Encouraging Participation</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Collaboration with Green Earth UK and effective communication are essential for community participation. We can reach a larger audience and raise awareness about environmental sustainability by leveraging various communication channels, such as social media platforms, newsletters, and partnerships with local media. In order to encourage community members' active engagement and equip them to adopt sustainable habits, Green Earth UK's expertise in successful communication tactics will guarantee that messages are presented clearly and understandably.</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Stakeholders' Participation: Collaboration and Shared Responsibility</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 Working with Green Earth UK and involving stakeholders in community engagement projects ensures shared responsibility and cooperation. We may use their knowledge, resources, and networks by involving community people, local government officials, companies, educational institutions, and other pertinent stakeholders. Green Earth UK's comprehensive network and relationships will make it easier for stakeholders to participate, enabling teamwork, resource sharing, and adopting sustainable solutions.</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Inclusion: Ensuring Equity and Representation</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We will </w:t>
      </w:r>
      <w:proofErr w:type="spellStart"/>
      <w:r w:rsidRPr="00292D8C">
        <w:rPr>
          <w:rFonts w:ascii="Arial" w:hAnsi="Arial" w:cs="Arial"/>
        </w:rPr>
        <w:t>prioritise</w:t>
      </w:r>
      <w:proofErr w:type="spellEnd"/>
      <w:r w:rsidRPr="00292D8C">
        <w:rPr>
          <w:rFonts w:ascii="Arial" w:hAnsi="Arial" w:cs="Arial"/>
        </w:rPr>
        <w:t xml:space="preserve"> inclusiveness to enable equal participation in community engagement programs in partnership with Green Earth UK. We may enable </w:t>
      </w:r>
      <w:proofErr w:type="spellStart"/>
      <w:r w:rsidRPr="00292D8C">
        <w:rPr>
          <w:rFonts w:ascii="Arial" w:hAnsi="Arial" w:cs="Arial"/>
        </w:rPr>
        <w:t>marginalised</w:t>
      </w:r>
      <w:proofErr w:type="spellEnd"/>
      <w:r w:rsidRPr="00292D8C">
        <w:rPr>
          <w:rFonts w:ascii="Arial" w:hAnsi="Arial" w:cs="Arial"/>
        </w:rPr>
        <w:t xml:space="preserve"> populations to actively participate in determining their environmental destiny by aggressively soliciting feedback from underrepresented groups, overcoming language hurdles, and promoting accessible engagement opportunities (Dobbin, 2023, pp.375-395). Green Earth UK's dedication to inclusiveness will guide our efforts to encourage diversity, equity, and representation in all facets of community participation.</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Exploring Research Methods, Community Mapping, Social Engagement, Impact Analysis, and Evaluation with Green Earth UK</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Research Methods and Community Mapping</w:t>
      </w:r>
    </w:p>
    <w:p w:rsidR="00292D8C" w:rsidRDefault="00292D8C" w:rsidP="00292D8C">
      <w:pPr>
        <w:spacing w:after="0" w:line="360" w:lineRule="auto"/>
        <w:ind w:firstLine="720"/>
        <w:contextualSpacing/>
        <w:jc w:val="both"/>
        <w:rPr>
          <w:rFonts w:ascii="Arial" w:hAnsi="Arial" w:cs="Arial"/>
        </w:rPr>
      </w:pPr>
      <w:r w:rsidRPr="00292D8C">
        <w:rPr>
          <w:rFonts w:ascii="Arial" w:hAnsi="Arial" w:cs="Arial"/>
        </w:rPr>
        <w:t>We will work with Green Earth UK to conduct research using focus groups, questionnaires, and interviews to understand better how communities see environmental sustainability and their attitudes toward it. (</w:t>
      </w:r>
      <w:proofErr w:type="spellStart"/>
      <w:r w:rsidRPr="00292D8C">
        <w:rPr>
          <w:rFonts w:ascii="Arial" w:hAnsi="Arial" w:cs="Arial"/>
        </w:rPr>
        <w:t>Kahila-Tani</w:t>
      </w:r>
      <w:proofErr w:type="spellEnd"/>
      <w:r w:rsidRPr="00292D8C">
        <w:rPr>
          <w:rFonts w:ascii="Arial" w:hAnsi="Arial" w:cs="Arial"/>
        </w:rPr>
        <w:t xml:space="preserve">, </w:t>
      </w:r>
      <w:proofErr w:type="spellStart"/>
      <w:r w:rsidRPr="00292D8C">
        <w:rPr>
          <w:rFonts w:ascii="Arial" w:hAnsi="Arial" w:cs="Arial"/>
        </w:rPr>
        <w:t>Kytta</w:t>
      </w:r>
      <w:proofErr w:type="spellEnd"/>
      <w:r w:rsidRPr="00292D8C">
        <w:rPr>
          <w:rFonts w:ascii="Arial" w:hAnsi="Arial" w:cs="Arial"/>
        </w:rPr>
        <w:t xml:space="preserve">, and </w:t>
      </w:r>
      <w:proofErr w:type="spellStart"/>
      <w:r w:rsidRPr="00292D8C">
        <w:rPr>
          <w:rFonts w:ascii="Arial" w:hAnsi="Arial" w:cs="Arial"/>
        </w:rPr>
        <w:t>Geertman</w:t>
      </w:r>
      <w:proofErr w:type="spellEnd"/>
      <w:r w:rsidRPr="00292D8C">
        <w:rPr>
          <w:rFonts w:ascii="Arial" w:hAnsi="Arial" w:cs="Arial"/>
        </w:rPr>
        <w:t>, 2019. Pp. 45–55) Community mapping will highlight local natural resources, areas of concern, and potential possibilities for collaboration and intervention. The design and execution of successful community engagement initiatives will be influenced by the research's insights into the needs and ambitions of the community.</w:t>
      </w:r>
    </w:p>
    <w:p w:rsidR="007574F0" w:rsidRPr="00292D8C" w:rsidRDefault="007574F0" w:rsidP="00292D8C">
      <w:pPr>
        <w:spacing w:after="0" w:line="360" w:lineRule="auto"/>
        <w:ind w:firstLine="720"/>
        <w:contextualSpacing/>
        <w:jc w:val="both"/>
        <w:rPr>
          <w:rFonts w:ascii="Arial" w:hAnsi="Arial" w:cs="Arial"/>
        </w:rPr>
      </w:pP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lastRenderedPageBreak/>
        <w:t>Social Engagement through Social Media Platforms</w:t>
      </w:r>
    </w:p>
    <w:p w:rsidR="00292D8C" w:rsidRPr="00292D8C" w:rsidRDefault="00292D8C" w:rsidP="00292D8C">
      <w:pPr>
        <w:spacing w:after="0" w:line="360" w:lineRule="auto"/>
        <w:ind w:firstLine="720"/>
        <w:contextualSpacing/>
        <w:jc w:val="both"/>
        <w:rPr>
          <w:rFonts w:ascii="Arial" w:hAnsi="Arial" w:cs="Arial"/>
        </w:rPr>
      </w:pPr>
      <w:proofErr w:type="spellStart"/>
      <w:r w:rsidRPr="00292D8C">
        <w:rPr>
          <w:rFonts w:ascii="Arial" w:hAnsi="Arial" w:cs="Arial"/>
        </w:rPr>
        <w:t>Utilising</w:t>
      </w:r>
      <w:proofErr w:type="spellEnd"/>
      <w:r w:rsidRPr="00292D8C">
        <w:rPr>
          <w:rFonts w:ascii="Arial" w:hAnsi="Arial" w:cs="Arial"/>
        </w:rPr>
        <w:t xml:space="preserve"> Facebook, Twitter, and Instagram to build online communities devoted to environmental sustainability, we will do so by leveraging Green Earth UK's expertise in social media engagement (</w:t>
      </w:r>
      <w:proofErr w:type="spellStart"/>
      <w:r w:rsidRPr="00292D8C">
        <w:rPr>
          <w:rFonts w:ascii="Arial" w:hAnsi="Arial" w:cs="Arial"/>
        </w:rPr>
        <w:t>Mulyana</w:t>
      </w:r>
      <w:proofErr w:type="spellEnd"/>
      <w:r w:rsidRPr="00292D8C">
        <w:rPr>
          <w:rFonts w:ascii="Arial" w:hAnsi="Arial" w:cs="Arial"/>
        </w:rPr>
        <w:t xml:space="preserve">, </w:t>
      </w:r>
      <w:proofErr w:type="spellStart"/>
      <w:r w:rsidRPr="00292D8C">
        <w:rPr>
          <w:rFonts w:ascii="Arial" w:hAnsi="Arial" w:cs="Arial"/>
        </w:rPr>
        <w:t>Briandana</w:t>
      </w:r>
      <w:proofErr w:type="spellEnd"/>
      <w:r w:rsidRPr="00292D8C">
        <w:rPr>
          <w:rFonts w:ascii="Arial" w:hAnsi="Arial" w:cs="Arial"/>
        </w:rPr>
        <w:t xml:space="preserve">, and </w:t>
      </w:r>
      <w:proofErr w:type="spellStart"/>
      <w:r w:rsidRPr="00292D8C">
        <w:rPr>
          <w:rFonts w:ascii="Arial" w:hAnsi="Arial" w:cs="Arial"/>
        </w:rPr>
        <w:t>Rekarti</w:t>
      </w:r>
      <w:proofErr w:type="spellEnd"/>
      <w:r w:rsidRPr="00292D8C">
        <w:rPr>
          <w:rFonts w:ascii="Arial" w:hAnsi="Arial" w:cs="Arial"/>
        </w:rPr>
        <w:t>, 2020, pp. 1–16). We will promote debates, provide educational materials, and motivate community members to engage in sustainable practices through exciting and interactive content. Platforms for social media will enable continual contact, information exchange, and the amplifying of community voices.</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Impact Analysis and Evaluation</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We will undertake an impact analysis and assessment in conjunction with Green Earth UK to evaluate the results and efficiency of community involvement programs. Indicators, data-gathering techniques, and assessment frameworks will need to be developed to monitor progress, achievements, and improvement areas. The project's contributions to environmental stewardship will be demonstrated via impact analysis and assessment, assuring responsibility and guiding future choices.</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Justification of Best Practices</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 The best practices of active consultation, effective communication, stakeholder engagement, and inclusion are justifiable by fostering a sense of ownership, cooperation and empowering communities. Together with Green Earth UK, we can improve and direct these best practices by </w:t>
      </w:r>
      <w:proofErr w:type="spellStart"/>
      <w:r w:rsidRPr="00292D8C">
        <w:rPr>
          <w:rFonts w:ascii="Arial" w:hAnsi="Arial" w:cs="Arial"/>
        </w:rPr>
        <w:t>utilising</w:t>
      </w:r>
      <w:proofErr w:type="spellEnd"/>
      <w:r w:rsidRPr="00292D8C">
        <w:rPr>
          <w:rFonts w:ascii="Arial" w:hAnsi="Arial" w:cs="Arial"/>
        </w:rPr>
        <w:t xml:space="preserve"> their knowledge and experience in sustaining the environment. Together, we can ensure community involvement programs are open to all, attentive to local requirements, and consistently foster environmental sustainability.</w:t>
      </w:r>
    </w:p>
    <w:p w:rsidR="00292D8C" w:rsidRPr="00292D8C" w:rsidRDefault="00292D8C" w:rsidP="00292D8C">
      <w:pPr>
        <w:spacing w:after="0" w:line="360" w:lineRule="auto"/>
        <w:ind w:firstLine="720"/>
        <w:jc w:val="both"/>
        <w:rPr>
          <w:rFonts w:ascii="Arial" w:hAnsi="Arial" w:cs="Arial"/>
          <w:b/>
        </w:rPr>
      </w:pPr>
      <w:r w:rsidRPr="00292D8C">
        <w:rPr>
          <w:rFonts w:ascii="Arial" w:hAnsi="Arial" w:cs="Arial"/>
          <w:b/>
        </w:rPr>
        <w:t>Conclusion</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In order to encourage environmental sustainability and a sense of shared responsibility, community participation is essential. The importance of active consultation, effective communication, stakeholder participation, and inclusion in community engagement programs has been discussed throughout this article. Working with Green Earth UK, a well-known environmental sustainability group in the UK, has given us important insights into best practices and models that improve community involvement. The significance of active dialogue, which develops a feeling of ownership and gives community members the capacity to shape the projects, is one of the critical lessons acquired via this reflection. Reaching a larger audience, fostering cooperation, and encouraging active involvement may all be accomplished with the help of effective communication. Participation of stakeholders guarantees a range of viewpoints, shared accountability, and more resources, fostering coordinated action towards sustainability. Promoting fairness, representation, and the empowerment of underrepresented populations via </w:t>
      </w:r>
      <w:r w:rsidRPr="00292D8C">
        <w:rPr>
          <w:rFonts w:ascii="Arial" w:hAnsi="Arial" w:cs="Arial"/>
        </w:rPr>
        <w:lastRenderedPageBreak/>
        <w:t xml:space="preserve">inclusion is essential for fostering a more comprehensive and inclusive approach to community participation. </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The reflection has also highlighted the value of research methodologies, community mapping, </w:t>
      </w:r>
      <w:bookmarkStart w:id="0" w:name="_GoBack"/>
      <w:bookmarkEnd w:id="0"/>
      <w:r w:rsidR="00FD4EAE" w:rsidRPr="00292D8C">
        <w:rPr>
          <w:rFonts w:ascii="Arial" w:hAnsi="Arial" w:cs="Arial"/>
        </w:rPr>
        <w:t>and social</w:t>
      </w:r>
      <w:r w:rsidRPr="00292D8C">
        <w:rPr>
          <w:rFonts w:ascii="Arial" w:hAnsi="Arial" w:cs="Arial"/>
        </w:rPr>
        <w:t xml:space="preserve"> involvement via social media platforms, impact analysis, and evaluation. These components are necessary for acquiring information, comprehending community requirements, developing online and offline cooperation, monitoring development, and assuring accountability. By integrating these practices into community engagement projects, we can encourage educated decision-making, adapt tactics to particular circumstances, and </w:t>
      </w:r>
      <w:proofErr w:type="spellStart"/>
      <w:r w:rsidRPr="00292D8C">
        <w:rPr>
          <w:rFonts w:ascii="Arial" w:hAnsi="Arial" w:cs="Arial"/>
        </w:rPr>
        <w:t>optimise</w:t>
      </w:r>
      <w:proofErr w:type="spellEnd"/>
      <w:r w:rsidRPr="00292D8C">
        <w:rPr>
          <w:rFonts w:ascii="Arial" w:hAnsi="Arial" w:cs="Arial"/>
        </w:rPr>
        <w:t xml:space="preserve"> the benefits of environmental sustainability efforts</w:t>
      </w:r>
      <w:r>
        <w:rPr>
          <w:rFonts w:ascii="Arial" w:hAnsi="Arial" w:cs="Arial"/>
        </w:rPr>
        <w:t>.</w:t>
      </w:r>
    </w:p>
    <w:p w:rsidR="00292D8C" w:rsidRPr="00292D8C" w:rsidRDefault="00292D8C" w:rsidP="00292D8C">
      <w:pPr>
        <w:spacing w:after="0" w:line="360" w:lineRule="auto"/>
        <w:ind w:firstLine="720"/>
        <w:contextualSpacing/>
        <w:jc w:val="both"/>
        <w:rPr>
          <w:rFonts w:ascii="Arial" w:hAnsi="Arial" w:cs="Arial"/>
        </w:rPr>
      </w:pPr>
      <w:r w:rsidRPr="00292D8C">
        <w:rPr>
          <w:rFonts w:ascii="Arial" w:hAnsi="Arial" w:cs="Arial"/>
        </w:rPr>
        <w:t xml:space="preserve">Our relationship with Green Earth UK further underscores the relevance of knowledge, alliances, and networks in fostering community participation in environmental sustainability. By </w:t>
      </w:r>
      <w:proofErr w:type="spellStart"/>
      <w:r w:rsidRPr="00292D8C">
        <w:rPr>
          <w:rFonts w:ascii="Arial" w:hAnsi="Arial" w:cs="Arial"/>
        </w:rPr>
        <w:t>utilising</w:t>
      </w:r>
      <w:proofErr w:type="spellEnd"/>
      <w:r w:rsidRPr="00292D8C">
        <w:rPr>
          <w:rFonts w:ascii="Arial" w:hAnsi="Arial" w:cs="Arial"/>
        </w:rPr>
        <w:t xml:space="preserve"> their expertise and direction, we can ensure that community involvement efforts are adaptable, inclusive, and aligned with sustainability objectives. Generally speaking, community involvement is a dynamic and transforming strategy for advancing environmental sustainability. We can encourage a sense of ownership, cooperation, and empowerment within communities by acknowledging active consultation, communicating effectively, stakeholders' involvement and inclusion, integrating research methods, community mapping, media involvement, impact analysis, and evaluation. By collaborating with Green Earth UK, we can build a more sustainable future where communities actively shape their local environments and take action as a group to protect the world and its people.</w:t>
      </w:r>
    </w:p>
    <w:p w:rsidR="006020E3" w:rsidRDefault="006020E3" w:rsidP="00292D8C">
      <w:pPr>
        <w:spacing w:after="0" w:line="360" w:lineRule="auto"/>
        <w:ind w:firstLine="720"/>
        <w:contextualSpacing/>
        <w:jc w:val="both"/>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6020E3" w:rsidRDefault="006020E3" w:rsidP="004C7355">
      <w:pPr>
        <w:spacing w:after="0" w:line="360" w:lineRule="auto"/>
        <w:ind w:firstLine="720"/>
        <w:contextualSpacing/>
        <w:rPr>
          <w:rFonts w:ascii="Arial" w:hAnsi="Arial" w:cs="Arial"/>
        </w:rPr>
      </w:pPr>
    </w:p>
    <w:p w:rsidR="004C7355" w:rsidRDefault="004C7355" w:rsidP="00292D8C">
      <w:pPr>
        <w:spacing w:after="0" w:line="360" w:lineRule="auto"/>
        <w:contextualSpacing/>
        <w:rPr>
          <w:rFonts w:ascii="Arial" w:hAnsi="Arial" w:cs="Arial"/>
        </w:rPr>
      </w:pPr>
    </w:p>
    <w:p w:rsidR="00292D8C" w:rsidRPr="004C7355" w:rsidRDefault="00292D8C" w:rsidP="00292D8C">
      <w:pPr>
        <w:spacing w:after="0" w:line="360" w:lineRule="auto"/>
        <w:contextualSpacing/>
        <w:rPr>
          <w:rFonts w:ascii="Arial" w:hAnsi="Arial" w:cs="Arial"/>
        </w:rPr>
      </w:pPr>
    </w:p>
    <w:p w:rsidR="005156E3" w:rsidRPr="005156E3" w:rsidRDefault="005156E3" w:rsidP="005156E3">
      <w:pPr>
        <w:pBdr>
          <w:top w:val="single" w:sz="4" w:space="1" w:color="auto"/>
        </w:pBdr>
        <w:spacing w:after="0" w:line="360" w:lineRule="auto"/>
        <w:ind w:firstLine="720"/>
        <w:jc w:val="both"/>
        <w:rPr>
          <w:rFonts w:ascii="Arial" w:hAnsi="Arial" w:cs="Arial"/>
          <w:b/>
          <w:i/>
        </w:rPr>
      </w:pPr>
      <w:r w:rsidRPr="005156E3">
        <w:rPr>
          <w:rFonts w:ascii="Arial" w:hAnsi="Arial" w:cs="Arial"/>
          <w:b/>
          <w:i/>
        </w:rPr>
        <w:lastRenderedPageBreak/>
        <w:t>References</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r w:rsidRPr="00292D8C">
        <w:rPr>
          <w:rFonts w:ascii="Arial" w:hAnsi="Arial" w:cs="Arial"/>
        </w:rPr>
        <w:t xml:space="preserve">Bess, K.D., Perkins, D.D., Cooper, D.G. and Jones, D.L. (2011). A Heuristic Framework for Understanding the Role of Participatory Decision Making in Community-Based Non-Profits. American Journal of Community Psychology, 47(3-4), pp.236–252. </w:t>
      </w:r>
      <w:proofErr w:type="spellStart"/>
      <w:proofErr w:type="gramStart"/>
      <w:r w:rsidRPr="00292D8C">
        <w:rPr>
          <w:rFonts w:ascii="Arial" w:hAnsi="Arial" w:cs="Arial"/>
        </w:rPr>
        <w:t>doi</w:t>
      </w:r>
      <w:proofErr w:type="spellEnd"/>
      <w:proofErr w:type="gramEnd"/>
      <w:r w:rsidRPr="00292D8C">
        <w:rPr>
          <w:rFonts w:ascii="Arial" w:hAnsi="Arial" w:cs="Arial"/>
        </w:rPr>
        <w:t xml:space="preserve"> https://doi.org/10.1007/s10464-010-9396-8.</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r w:rsidRPr="00292D8C">
        <w:rPr>
          <w:rFonts w:ascii="Arial" w:hAnsi="Arial" w:cs="Arial"/>
        </w:rPr>
        <w:t xml:space="preserve">Denning, S. (2021). How </w:t>
      </w:r>
      <w:proofErr w:type="gramStart"/>
      <w:r w:rsidRPr="00292D8C">
        <w:rPr>
          <w:rFonts w:ascii="Arial" w:hAnsi="Arial" w:cs="Arial"/>
        </w:rPr>
        <w:t>To</w:t>
      </w:r>
      <w:proofErr w:type="gramEnd"/>
      <w:r w:rsidRPr="00292D8C">
        <w:rPr>
          <w:rFonts w:ascii="Arial" w:hAnsi="Arial" w:cs="Arial"/>
        </w:rPr>
        <w:t xml:space="preserve"> </w:t>
      </w:r>
      <w:proofErr w:type="spellStart"/>
      <w:r w:rsidRPr="00292D8C">
        <w:rPr>
          <w:rFonts w:ascii="Arial" w:hAnsi="Arial" w:cs="Arial"/>
        </w:rPr>
        <w:t>Prioritise</w:t>
      </w:r>
      <w:proofErr w:type="spellEnd"/>
      <w:r w:rsidRPr="00292D8C">
        <w:rPr>
          <w:rFonts w:ascii="Arial" w:hAnsi="Arial" w:cs="Arial"/>
        </w:rPr>
        <w:t xml:space="preserve"> Among Your Key Stakeholders. [online] Forbes. Available at: https://www.forbes.com/sites/stevedenning/2021/07/25/how-to-prioritize-among-your-key-stakeholders/.</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r w:rsidRPr="00292D8C">
        <w:rPr>
          <w:rFonts w:ascii="Arial" w:hAnsi="Arial" w:cs="Arial"/>
        </w:rPr>
        <w:t xml:space="preserve">Dobbin, K.B., </w:t>
      </w:r>
      <w:proofErr w:type="spellStart"/>
      <w:r w:rsidRPr="00292D8C">
        <w:rPr>
          <w:rFonts w:ascii="Arial" w:hAnsi="Arial" w:cs="Arial"/>
        </w:rPr>
        <w:t>Kuo</w:t>
      </w:r>
      <w:proofErr w:type="spellEnd"/>
      <w:r w:rsidRPr="00292D8C">
        <w:rPr>
          <w:rFonts w:ascii="Arial" w:hAnsi="Arial" w:cs="Arial"/>
        </w:rPr>
        <w:t xml:space="preserve">, M., </w:t>
      </w:r>
      <w:proofErr w:type="spellStart"/>
      <w:r w:rsidRPr="00292D8C">
        <w:rPr>
          <w:rFonts w:ascii="Arial" w:hAnsi="Arial" w:cs="Arial"/>
        </w:rPr>
        <w:t>Lubell</w:t>
      </w:r>
      <w:proofErr w:type="spellEnd"/>
      <w:r w:rsidRPr="00292D8C">
        <w:rPr>
          <w:rFonts w:ascii="Arial" w:hAnsi="Arial" w:cs="Arial"/>
        </w:rPr>
        <w:t xml:space="preserve">, M., Bostic, D., Mendoza, J. and </w:t>
      </w:r>
      <w:proofErr w:type="spellStart"/>
      <w:r w:rsidRPr="00292D8C">
        <w:rPr>
          <w:rFonts w:ascii="Arial" w:hAnsi="Arial" w:cs="Arial"/>
        </w:rPr>
        <w:t>Echeveste</w:t>
      </w:r>
      <w:proofErr w:type="spellEnd"/>
      <w:r w:rsidRPr="00292D8C">
        <w:rPr>
          <w:rFonts w:ascii="Arial" w:hAnsi="Arial" w:cs="Arial"/>
        </w:rPr>
        <w:t>, E., 2023. Drivers of (in) equity in collaborative environmental governance. Policy Studies Journal, 51(2), pp.375-395.</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proofErr w:type="spellStart"/>
      <w:r w:rsidRPr="00292D8C">
        <w:rPr>
          <w:rFonts w:ascii="Arial" w:hAnsi="Arial" w:cs="Arial"/>
        </w:rPr>
        <w:t>Florini</w:t>
      </w:r>
      <w:proofErr w:type="spellEnd"/>
      <w:r w:rsidRPr="00292D8C">
        <w:rPr>
          <w:rFonts w:ascii="Arial" w:hAnsi="Arial" w:cs="Arial"/>
        </w:rPr>
        <w:t xml:space="preserve">, A. and Pauli, M. (2018). Collaborative governance for the Sustainable Development Goals. Asia &amp; the Pacific Policy Studies, 5(3), pp.583–598. </w:t>
      </w:r>
      <w:proofErr w:type="spellStart"/>
      <w:proofErr w:type="gramStart"/>
      <w:r w:rsidRPr="00292D8C">
        <w:rPr>
          <w:rFonts w:ascii="Arial" w:hAnsi="Arial" w:cs="Arial"/>
        </w:rPr>
        <w:t>doi</w:t>
      </w:r>
      <w:proofErr w:type="spellEnd"/>
      <w:proofErr w:type="gramEnd"/>
      <w:r w:rsidRPr="00292D8C">
        <w:rPr>
          <w:rFonts w:ascii="Arial" w:hAnsi="Arial" w:cs="Arial"/>
        </w:rPr>
        <w:t xml:space="preserve"> https://doi.org/10.1002/app5.252.</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proofErr w:type="spellStart"/>
      <w:r w:rsidRPr="00292D8C">
        <w:rPr>
          <w:rFonts w:ascii="Arial" w:hAnsi="Arial" w:cs="Arial"/>
        </w:rPr>
        <w:t>Kahila-Tani</w:t>
      </w:r>
      <w:proofErr w:type="spellEnd"/>
      <w:r w:rsidRPr="00292D8C">
        <w:rPr>
          <w:rFonts w:ascii="Arial" w:hAnsi="Arial" w:cs="Arial"/>
        </w:rPr>
        <w:t xml:space="preserve">, M., </w:t>
      </w:r>
      <w:proofErr w:type="spellStart"/>
      <w:r w:rsidRPr="00292D8C">
        <w:rPr>
          <w:rFonts w:ascii="Arial" w:hAnsi="Arial" w:cs="Arial"/>
        </w:rPr>
        <w:t>Kytta</w:t>
      </w:r>
      <w:proofErr w:type="spellEnd"/>
      <w:r w:rsidRPr="00292D8C">
        <w:rPr>
          <w:rFonts w:ascii="Arial" w:hAnsi="Arial" w:cs="Arial"/>
        </w:rPr>
        <w:t xml:space="preserve">, M. and </w:t>
      </w:r>
      <w:proofErr w:type="spellStart"/>
      <w:r w:rsidRPr="00292D8C">
        <w:rPr>
          <w:rFonts w:ascii="Arial" w:hAnsi="Arial" w:cs="Arial"/>
        </w:rPr>
        <w:t>Geertman</w:t>
      </w:r>
      <w:proofErr w:type="spellEnd"/>
      <w:r w:rsidRPr="00292D8C">
        <w:rPr>
          <w:rFonts w:ascii="Arial" w:hAnsi="Arial" w:cs="Arial"/>
        </w:rPr>
        <w:t>, S., 2019. Does mapping improve public participation? Exploring the pros and cons of using public participation GIS in urban planning practices. Landscape and urban planning, 186, pp.45-55.</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proofErr w:type="spellStart"/>
      <w:r w:rsidRPr="00292D8C">
        <w:rPr>
          <w:rFonts w:ascii="Arial" w:hAnsi="Arial" w:cs="Arial"/>
        </w:rPr>
        <w:t>Mehdikhani</w:t>
      </w:r>
      <w:proofErr w:type="spellEnd"/>
      <w:r w:rsidRPr="00292D8C">
        <w:rPr>
          <w:rFonts w:ascii="Arial" w:hAnsi="Arial" w:cs="Arial"/>
        </w:rPr>
        <w:t xml:space="preserve">, R. and </w:t>
      </w:r>
      <w:proofErr w:type="spellStart"/>
      <w:r w:rsidRPr="00292D8C">
        <w:rPr>
          <w:rFonts w:ascii="Arial" w:hAnsi="Arial" w:cs="Arial"/>
        </w:rPr>
        <w:t>Valmohammadi</w:t>
      </w:r>
      <w:proofErr w:type="spellEnd"/>
      <w:r w:rsidRPr="00292D8C">
        <w:rPr>
          <w:rFonts w:ascii="Arial" w:hAnsi="Arial" w:cs="Arial"/>
        </w:rPr>
        <w:t>, C., 2019. Strategic collaboration and sustainable supply chain management: The mediating role of internal and external knowledge sharing. Journal of Enterprise Information Management, 32(5), pp.778-806.</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proofErr w:type="spellStart"/>
      <w:r w:rsidRPr="00292D8C">
        <w:rPr>
          <w:rFonts w:ascii="Arial" w:hAnsi="Arial" w:cs="Arial"/>
        </w:rPr>
        <w:t>Mulyana</w:t>
      </w:r>
      <w:proofErr w:type="spellEnd"/>
      <w:r w:rsidRPr="00292D8C">
        <w:rPr>
          <w:rFonts w:ascii="Arial" w:hAnsi="Arial" w:cs="Arial"/>
        </w:rPr>
        <w:t xml:space="preserve">, A., </w:t>
      </w:r>
      <w:proofErr w:type="spellStart"/>
      <w:r w:rsidRPr="00292D8C">
        <w:rPr>
          <w:rFonts w:ascii="Arial" w:hAnsi="Arial" w:cs="Arial"/>
        </w:rPr>
        <w:t>Briandana</w:t>
      </w:r>
      <w:proofErr w:type="spellEnd"/>
      <w:r w:rsidRPr="00292D8C">
        <w:rPr>
          <w:rFonts w:ascii="Arial" w:hAnsi="Arial" w:cs="Arial"/>
        </w:rPr>
        <w:t xml:space="preserve">, R. and </w:t>
      </w:r>
      <w:proofErr w:type="spellStart"/>
      <w:r w:rsidRPr="00292D8C">
        <w:rPr>
          <w:rFonts w:ascii="Arial" w:hAnsi="Arial" w:cs="Arial"/>
        </w:rPr>
        <w:t>Rekarti</w:t>
      </w:r>
      <w:proofErr w:type="spellEnd"/>
      <w:r w:rsidRPr="00292D8C">
        <w:rPr>
          <w:rFonts w:ascii="Arial" w:hAnsi="Arial" w:cs="Arial"/>
        </w:rPr>
        <w:t>, E., 2020. ICT and social media as a marketing communication platform facilitate social engagement in the digital era. International Journal of Innovation, Creativity, and Change, 13(5), pp.1-16.</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proofErr w:type="spellStart"/>
      <w:r w:rsidRPr="00292D8C">
        <w:rPr>
          <w:rFonts w:ascii="Arial" w:hAnsi="Arial" w:cs="Arial"/>
        </w:rPr>
        <w:t>Ricklefs</w:t>
      </w:r>
      <w:proofErr w:type="spellEnd"/>
      <w:r w:rsidRPr="00292D8C">
        <w:rPr>
          <w:rFonts w:ascii="Arial" w:hAnsi="Arial" w:cs="Arial"/>
        </w:rPr>
        <w:t xml:space="preserve">, N. (2022). Develop a communications plan for your community engagement projects. [online] </w:t>
      </w:r>
      <w:proofErr w:type="spellStart"/>
      <w:r w:rsidRPr="00292D8C">
        <w:rPr>
          <w:rFonts w:ascii="Arial" w:hAnsi="Arial" w:cs="Arial"/>
        </w:rPr>
        <w:t>CitizenLab’s</w:t>
      </w:r>
      <w:proofErr w:type="spellEnd"/>
      <w:r w:rsidRPr="00292D8C">
        <w:rPr>
          <w:rFonts w:ascii="Arial" w:hAnsi="Arial" w:cs="Arial"/>
        </w:rPr>
        <w:t xml:space="preserve"> Blog. Available at: https://www.citizenlab.co/blog/civic-engagement/develop-a-communications-plan-for-community-engagement-projects/ [Accessed 11 Jul. 2023].</w:t>
      </w:r>
    </w:p>
    <w:p w:rsidR="00292D8C" w:rsidRPr="00292D8C" w:rsidRDefault="00292D8C" w:rsidP="00292D8C">
      <w:pPr>
        <w:pStyle w:val="ListParagraph"/>
        <w:numPr>
          <w:ilvl w:val="0"/>
          <w:numId w:val="2"/>
        </w:numPr>
        <w:spacing w:after="0" w:line="360" w:lineRule="auto"/>
        <w:ind w:left="0" w:firstLine="720"/>
        <w:jc w:val="both"/>
        <w:rPr>
          <w:rFonts w:ascii="Arial" w:hAnsi="Arial" w:cs="Arial"/>
        </w:rPr>
      </w:pPr>
      <w:proofErr w:type="spellStart"/>
      <w:r w:rsidRPr="00292D8C">
        <w:rPr>
          <w:rFonts w:ascii="Arial" w:hAnsi="Arial" w:cs="Arial"/>
        </w:rPr>
        <w:t>Torelli</w:t>
      </w:r>
      <w:proofErr w:type="spellEnd"/>
      <w:r w:rsidRPr="00292D8C">
        <w:rPr>
          <w:rFonts w:ascii="Arial" w:hAnsi="Arial" w:cs="Arial"/>
        </w:rPr>
        <w:t xml:space="preserve">, R., </w:t>
      </w:r>
      <w:proofErr w:type="spellStart"/>
      <w:r w:rsidRPr="00292D8C">
        <w:rPr>
          <w:rFonts w:ascii="Arial" w:hAnsi="Arial" w:cs="Arial"/>
        </w:rPr>
        <w:t>Balluchi</w:t>
      </w:r>
      <w:proofErr w:type="spellEnd"/>
      <w:r w:rsidRPr="00292D8C">
        <w:rPr>
          <w:rFonts w:ascii="Arial" w:hAnsi="Arial" w:cs="Arial"/>
        </w:rPr>
        <w:t xml:space="preserve">, F. and </w:t>
      </w:r>
      <w:proofErr w:type="spellStart"/>
      <w:r w:rsidRPr="00292D8C">
        <w:rPr>
          <w:rFonts w:ascii="Arial" w:hAnsi="Arial" w:cs="Arial"/>
        </w:rPr>
        <w:t>Furlotti</w:t>
      </w:r>
      <w:proofErr w:type="spellEnd"/>
      <w:r w:rsidRPr="00292D8C">
        <w:rPr>
          <w:rFonts w:ascii="Arial" w:hAnsi="Arial" w:cs="Arial"/>
        </w:rPr>
        <w:t>, K., 2020. The materiality assessment and stakeholder engagement: A content analysis of sustainability reports. Corporate Social Responsibility and Environmental Management, 27(2), pp.470-484.</w:t>
      </w:r>
    </w:p>
    <w:p w:rsidR="005156E3" w:rsidRPr="00292D8C" w:rsidRDefault="00292D8C" w:rsidP="00292D8C">
      <w:pPr>
        <w:pStyle w:val="ListParagraph"/>
        <w:numPr>
          <w:ilvl w:val="0"/>
          <w:numId w:val="2"/>
        </w:numPr>
        <w:spacing w:after="0" w:line="360" w:lineRule="auto"/>
        <w:ind w:left="0" w:firstLine="720"/>
        <w:jc w:val="both"/>
        <w:rPr>
          <w:rFonts w:ascii="Arial" w:hAnsi="Arial" w:cs="Arial"/>
        </w:rPr>
      </w:pPr>
      <w:r w:rsidRPr="00292D8C">
        <w:rPr>
          <w:rFonts w:ascii="Arial" w:hAnsi="Arial" w:cs="Arial"/>
        </w:rPr>
        <w:t xml:space="preserve">United Nations (2022). Global Partnerships - United Nations Sustainable Development. [online] United Nations Sustainable Development. Available at: </w:t>
      </w:r>
      <w:hyperlink r:id="rId9" w:history="1">
        <w:r w:rsidRPr="00292D8C">
          <w:rPr>
            <w:rFonts w:ascii="Arial" w:hAnsi="Arial" w:cs="Arial"/>
          </w:rPr>
          <w:t>https://www.un.org/sustainabledevelopment/globalpartnerships/</w:t>
        </w:r>
      </w:hyperlink>
      <w:r w:rsidRPr="00292D8C">
        <w:rPr>
          <w:rFonts w:ascii="Arial" w:hAnsi="Arial" w:cs="Arial"/>
        </w:rPr>
        <w:t>.</w:t>
      </w:r>
    </w:p>
    <w:sectPr w:rsidR="005156E3" w:rsidRPr="00292D8C" w:rsidSect="005D4FF9">
      <w:headerReference w:type="default" r:id="rId10"/>
      <w:footerReference w:type="default" r:id="rId11"/>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82437" w:rsidRDefault="00982437">
      <w:pPr>
        <w:spacing w:after="0" w:line="240" w:lineRule="auto"/>
      </w:pPr>
      <w:r>
        <w:separator/>
      </w:r>
    </w:p>
  </w:endnote>
  <w:endnote w:type="continuationSeparator" w:id="0">
    <w:p w:rsidR="00982437" w:rsidRDefault="00982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6040361"/>
      <w:docPartObj>
        <w:docPartGallery w:val="Page Numbers (Bottom of Page)"/>
        <w:docPartUnique/>
      </w:docPartObj>
    </w:sdtPr>
    <w:sdtEndPr>
      <w:rPr>
        <w:noProof/>
      </w:rPr>
    </w:sdtEndPr>
    <w:sdtContent>
      <w:p w:rsidR="00BC7258" w:rsidRDefault="00BC7258">
        <w:pPr>
          <w:pStyle w:val="Footer"/>
          <w:jc w:val="right"/>
        </w:pPr>
        <w:r>
          <w:fldChar w:fldCharType="begin"/>
        </w:r>
        <w:r>
          <w:instrText xml:space="preserve"> PAGE   \* MERGEFORMAT </w:instrText>
        </w:r>
        <w:r>
          <w:fldChar w:fldCharType="separate"/>
        </w:r>
        <w:r w:rsidR="00FD4EAE">
          <w:rPr>
            <w:noProof/>
          </w:rPr>
          <w:t>7</w:t>
        </w:r>
        <w:r>
          <w:rPr>
            <w:noProof/>
          </w:rPr>
          <w:fldChar w:fldCharType="end"/>
        </w:r>
      </w:p>
    </w:sdtContent>
  </w:sdt>
  <w:p w:rsidR="00E76C3F" w:rsidRDefault="00E76C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82437" w:rsidRDefault="00982437">
      <w:pPr>
        <w:spacing w:after="0" w:line="240" w:lineRule="auto"/>
      </w:pPr>
      <w:r>
        <w:separator/>
      </w:r>
    </w:p>
  </w:footnote>
  <w:footnote w:type="continuationSeparator" w:id="0">
    <w:p w:rsidR="00982437" w:rsidRDefault="009824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84F0F" w:rsidRDefault="00C84F0F">
    <w:pPr>
      <w:pStyle w:val="Header"/>
      <w:jc w:val="right"/>
    </w:pPr>
  </w:p>
  <w:p w:rsidR="00C84F0F" w:rsidRDefault="00C84F0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48409AB"/>
    <w:multiLevelType w:val="hybridMultilevel"/>
    <w:tmpl w:val="40649DBE"/>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6FE7350E"/>
    <w:multiLevelType w:val="hybridMultilevel"/>
    <w:tmpl w:val="338C0A26"/>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F0F"/>
    <w:rsid w:val="000609FA"/>
    <w:rsid w:val="000638FF"/>
    <w:rsid w:val="00082318"/>
    <w:rsid w:val="000A2847"/>
    <w:rsid w:val="000C021E"/>
    <w:rsid w:val="000C10CE"/>
    <w:rsid w:val="000E01E1"/>
    <w:rsid w:val="00136F8A"/>
    <w:rsid w:val="0016666C"/>
    <w:rsid w:val="00171F93"/>
    <w:rsid w:val="001761CE"/>
    <w:rsid w:val="00176D04"/>
    <w:rsid w:val="001E015B"/>
    <w:rsid w:val="002020D8"/>
    <w:rsid w:val="0021046A"/>
    <w:rsid w:val="00220792"/>
    <w:rsid w:val="0022624A"/>
    <w:rsid w:val="002431CD"/>
    <w:rsid w:val="00263633"/>
    <w:rsid w:val="00281E0E"/>
    <w:rsid w:val="00292D8C"/>
    <w:rsid w:val="00324FB3"/>
    <w:rsid w:val="0032602D"/>
    <w:rsid w:val="00332472"/>
    <w:rsid w:val="00334D76"/>
    <w:rsid w:val="0034427D"/>
    <w:rsid w:val="00353A97"/>
    <w:rsid w:val="003826E4"/>
    <w:rsid w:val="00386155"/>
    <w:rsid w:val="00387C5B"/>
    <w:rsid w:val="00391826"/>
    <w:rsid w:val="003C17C2"/>
    <w:rsid w:val="003F0DCA"/>
    <w:rsid w:val="00437386"/>
    <w:rsid w:val="00440854"/>
    <w:rsid w:val="004529FC"/>
    <w:rsid w:val="00485009"/>
    <w:rsid w:val="004C3C9D"/>
    <w:rsid w:val="004C7355"/>
    <w:rsid w:val="00505433"/>
    <w:rsid w:val="00515299"/>
    <w:rsid w:val="005156E3"/>
    <w:rsid w:val="005444EF"/>
    <w:rsid w:val="005570FC"/>
    <w:rsid w:val="00573018"/>
    <w:rsid w:val="005837BE"/>
    <w:rsid w:val="005A0089"/>
    <w:rsid w:val="005A41CB"/>
    <w:rsid w:val="005A6860"/>
    <w:rsid w:val="005D4FF9"/>
    <w:rsid w:val="005F418D"/>
    <w:rsid w:val="006020E3"/>
    <w:rsid w:val="00604DEE"/>
    <w:rsid w:val="00654BC0"/>
    <w:rsid w:val="0066706C"/>
    <w:rsid w:val="006750FA"/>
    <w:rsid w:val="006E1B19"/>
    <w:rsid w:val="007056A1"/>
    <w:rsid w:val="00716444"/>
    <w:rsid w:val="00724D1C"/>
    <w:rsid w:val="00744540"/>
    <w:rsid w:val="00747450"/>
    <w:rsid w:val="007574F0"/>
    <w:rsid w:val="00786A11"/>
    <w:rsid w:val="007B1DCE"/>
    <w:rsid w:val="0080562D"/>
    <w:rsid w:val="00805A26"/>
    <w:rsid w:val="00820D3F"/>
    <w:rsid w:val="008448B7"/>
    <w:rsid w:val="00850257"/>
    <w:rsid w:val="008672A0"/>
    <w:rsid w:val="00893581"/>
    <w:rsid w:val="00897E74"/>
    <w:rsid w:val="008F7CD3"/>
    <w:rsid w:val="00904673"/>
    <w:rsid w:val="0090795F"/>
    <w:rsid w:val="00913D35"/>
    <w:rsid w:val="0093386B"/>
    <w:rsid w:val="00944408"/>
    <w:rsid w:val="00977FA7"/>
    <w:rsid w:val="00982437"/>
    <w:rsid w:val="00991677"/>
    <w:rsid w:val="00995012"/>
    <w:rsid w:val="009B1C74"/>
    <w:rsid w:val="009B2A72"/>
    <w:rsid w:val="009C0F06"/>
    <w:rsid w:val="009F2987"/>
    <w:rsid w:val="009F5BB8"/>
    <w:rsid w:val="00A20B8A"/>
    <w:rsid w:val="00A47998"/>
    <w:rsid w:val="00A544BD"/>
    <w:rsid w:val="00A60950"/>
    <w:rsid w:val="00AC5129"/>
    <w:rsid w:val="00AF5EA3"/>
    <w:rsid w:val="00B17038"/>
    <w:rsid w:val="00B72072"/>
    <w:rsid w:val="00B925AF"/>
    <w:rsid w:val="00BC4BC6"/>
    <w:rsid w:val="00BC7258"/>
    <w:rsid w:val="00BC7654"/>
    <w:rsid w:val="00BD2CB9"/>
    <w:rsid w:val="00BD4991"/>
    <w:rsid w:val="00C419F6"/>
    <w:rsid w:val="00C41CBA"/>
    <w:rsid w:val="00C84F0F"/>
    <w:rsid w:val="00CD36B7"/>
    <w:rsid w:val="00CD71D3"/>
    <w:rsid w:val="00D05069"/>
    <w:rsid w:val="00D1279A"/>
    <w:rsid w:val="00D1405E"/>
    <w:rsid w:val="00D20B79"/>
    <w:rsid w:val="00D55D12"/>
    <w:rsid w:val="00DD0E06"/>
    <w:rsid w:val="00DF1306"/>
    <w:rsid w:val="00DF53EF"/>
    <w:rsid w:val="00E3673C"/>
    <w:rsid w:val="00E43A5B"/>
    <w:rsid w:val="00E76C3F"/>
    <w:rsid w:val="00F0505E"/>
    <w:rsid w:val="00F2163C"/>
    <w:rsid w:val="00F34FC5"/>
    <w:rsid w:val="00F445E2"/>
    <w:rsid w:val="00F47081"/>
    <w:rsid w:val="00F711E0"/>
    <w:rsid w:val="00F75E83"/>
    <w:rsid w:val="00F85C11"/>
    <w:rsid w:val="00FA2DB6"/>
    <w:rsid w:val="00FD4E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56E3"/>
    <w:pPr>
      <w:spacing w:line="256" w:lineRule="auto"/>
    </w:pPr>
  </w:style>
  <w:style w:type="paragraph" w:styleId="Heading1">
    <w:name w:val="heading 1"/>
    <w:basedOn w:val="Normal"/>
    <w:next w:val="Normal"/>
    <w:link w:val="Heading1Char"/>
    <w:uiPriority w:val="9"/>
    <w:qFormat/>
    <w:rsid w:val="008672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4F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4F0F"/>
  </w:style>
  <w:style w:type="paragraph" w:styleId="Footer">
    <w:name w:val="footer"/>
    <w:basedOn w:val="Normal"/>
    <w:link w:val="FooterChar"/>
    <w:uiPriority w:val="99"/>
    <w:unhideWhenUsed/>
    <w:rsid w:val="00C84F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4F0F"/>
  </w:style>
  <w:style w:type="character" w:customStyle="1" w:styleId="Heading1Char">
    <w:name w:val="Heading 1 Char"/>
    <w:basedOn w:val="DefaultParagraphFont"/>
    <w:link w:val="Heading1"/>
    <w:uiPriority w:val="9"/>
    <w:rsid w:val="008672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672A0"/>
    <w:pPr>
      <w:outlineLvl w:val="9"/>
    </w:pPr>
  </w:style>
  <w:style w:type="paragraph" w:styleId="NoSpacing">
    <w:name w:val="No Spacing"/>
    <w:link w:val="NoSpacingChar"/>
    <w:uiPriority w:val="1"/>
    <w:qFormat/>
    <w:rsid w:val="00CD71D3"/>
    <w:pPr>
      <w:spacing w:after="0" w:line="240" w:lineRule="auto"/>
    </w:pPr>
    <w:rPr>
      <w:rFonts w:eastAsiaTheme="minorEastAsia"/>
    </w:rPr>
  </w:style>
  <w:style w:type="character" w:customStyle="1" w:styleId="NoSpacingChar">
    <w:name w:val="No Spacing Char"/>
    <w:basedOn w:val="DefaultParagraphFont"/>
    <w:link w:val="NoSpacing"/>
    <w:uiPriority w:val="1"/>
    <w:rsid w:val="00CD71D3"/>
    <w:rPr>
      <w:rFonts w:eastAsiaTheme="minorEastAsia"/>
    </w:rPr>
  </w:style>
  <w:style w:type="paragraph" w:styleId="ListParagraph">
    <w:name w:val="List Paragraph"/>
    <w:basedOn w:val="Normal"/>
    <w:uiPriority w:val="34"/>
    <w:qFormat/>
    <w:rsid w:val="00386155"/>
    <w:pPr>
      <w:ind w:left="720"/>
      <w:contextualSpacing/>
    </w:pPr>
  </w:style>
  <w:style w:type="character" w:styleId="Hyperlink">
    <w:name w:val="Hyperlink"/>
    <w:basedOn w:val="DefaultParagraphFont"/>
    <w:uiPriority w:val="99"/>
    <w:unhideWhenUsed/>
    <w:rsid w:val="005156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1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un.org/sustainabledevelopment/globalpartner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LCBB4002_BIRM        Zahra Mohammadnazari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38D660-5058-4DEC-84F1-90ADA4324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2718</Words>
  <Characters>15495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COMMUNITY ENGAGEMENT PROGRAMME IN THE FUTURE</vt:lpstr>
    </vt:vector>
  </TitlesOfParts>
  <Company/>
  <LinksUpToDate>false</LinksUpToDate>
  <CharactersWithSpaces>18177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PROGRAMME IN THE FUTURE</dc:title>
  <dc:subject>COMMUNITY ENGAGEMENT</dc:subject>
  <dc:creator/>
  <cp:lastModifiedBy/>
  <cp:revision>1</cp:revision>
  <dcterms:created xsi:type="dcterms:W3CDTF">2023-07-22T11:23:00Z</dcterms:created>
  <dcterms:modified xsi:type="dcterms:W3CDTF">2023-07-22T19:57:00Z</dcterms:modified>
  <cp:category>Inna Hristova                    Student number 2230343</cp:category>
</cp:coreProperties>
</file>