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52"/>
        </w:rPr>
        <w:t>PESTEL Analysis of Nike</w:t>
      </w:r>
    </w:p>
    <w:p/>
    <w:p>
      <w:pPr>
        <w:spacing w:after="240"/>
      </w:pPr>
      <w:r>
        <w:t>Introduction</w:t>
        <w:br/>
        <w:t>Nike operates as a global sportswear and athletic footwear company, and its performance is strongly influenced by external macro-environmental factors. The PESTEL framework examines Political, Economic, Social, Technological, Environmental, and Legal factors that affect Nike’s business environment.</w:t>
        <w:br/>
        <w:br/>
        <w:t>Political Factors</w:t>
        <w:br/>
        <w:t>Nike operates across many countries, making it highly exposed to political conditions. Political stability in key markets supports predictable operations and long-term investment. However, trade policies, tariffs, and geopolitical tensions can increase production and logistics costs. Government support for domestic manufacturing in some countries may also pressure Nike to adjust its global supply chain.</w:t>
        <w:br/>
        <w:br/>
        <w:t>Economic Factors</w:t>
        <w:br/>
        <w:t>Economic conditions influence consumer purchasing power and demand for Nike products. Economic growth supports higher spending on premium sportswear, while recessions reduce discretionary spending. Nike is also affected by exchange rate fluctuations, inflation, and rising input costs, all of which can impact profitability.</w:t>
        <w:br/>
        <w:br/>
        <w:t>Social Factors</w:t>
        <w:br/>
        <w:t>Social trends such as increased health awareness, fitness culture, and athleisure fashion positively affect Nike’s demand. At the same time, consumers expect ethical sourcing, fair labor practices, and corporate social responsibility. Nike’s brand image depends heavily on how it responds to social expectations and cultural values.</w:t>
        <w:br/>
        <w:br/>
        <w:t>Technological Factors</w:t>
        <w:br/>
        <w:t>Technology is a key competitive advantage for Nike. Innovation in materials, product design, and manufacturing improves performance and efficiency. Digital technologies, including e-commerce platforms, mobile apps, and data analytics, allow Nike to enhance customer engagement and personalize the consumer experience.</w:t>
        <w:br/>
        <w:br/>
        <w:t>Environmental Factors</w:t>
        <w:br/>
        <w:t>Environmental sustainability is an increasingly important factor. Nike faces pressure to reduce carbon emissions, manage waste, and use sustainable materials. Climate change can disrupt supply chains, but strong sustainability initiatives can improve brand reputation and long-term competitiveness.</w:t>
        <w:br/>
        <w:br/>
        <w:t>Legal Factors</w:t>
        <w:br/>
        <w:t>Nike must comply with diverse labor laws, consumer protection regulations, environmental legislation, and intellectual property laws across different countries. Strong legal compliance is essential to avoid penalties, protect innovation, and maintain global brand credibility.</w:t>
        <w:br/>
        <w:br/>
        <w:t>Conclusion</w:t>
        <w:br/>
        <w:t>Nike operates in a complex external environment shaped by multiple PESTEL factors. While political and economic uncertainties create risks, innovation, strong brand identity, and sustainability initiatives provide opportunities for continued global success.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