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29E7F" w14:textId="77777777" w:rsidR="006D2254" w:rsidRDefault="006D2254" w:rsidP="006D2254">
      <w:pPr>
        <w:widowControl/>
        <w:spacing w:after="160" w:line="276" w:lineRule="auto"/>
        <w:jc w:val="left"/>
        <w:rPr>
          <w:rFonts w:ascii="Aptos" w:eastAsia="Aptos" w:hAnsi="Aptos" w:cs="Times New Roman"/>
          <w:kern w:val="2"/>
          <w:szCs w:val="24"/>
          <w14:ligatures w14:val="standardContextual"/>
        </w:rPr>
      </w:pPr>
    </w:p>
    <w:p w14:paraId="4A672A4E" w14:textId="0281E16B"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ascii="Aptos" w:eastAsia="Aptos" w:hAnsi="Aptos" w:cs="Times New Roman"/>
          <w:noProof/>
          <w:kern w:val="2"/>
          <w:szCs w:val="24"/>
        </w:rPr>
        <w:drawing>
          <wp:inline distT="0" distB="0" distL="0" distR="0" wp14:anchorId="32086DA2" wp14:editId="1962E898">
            <wp:extent cx="3657600" cy="2028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7600" cy="2028825"/>
                    </a:xfrm>
                    <a:prstGeom prst="rect">
                      <a:avLst/>
                    </a:prstGeom>
                    <a:noFill/>
                    <a:ln>
                      <a:noFill/>
                    </a:ln>
                  </pic:spPr>
                </pic:pic>
              </a:graphicData>
            </a:graphic>
          </wp:inline>
        </w:drawing>
      </w:r>
    </w:p>
    <w:p w14:paraId="72CEC6B4"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Module Title: Finance for Business Managers</w:t>
      </w:r>
    </w:p>
    <w:p w14:paraId="01A9D577"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Module Code: BMMB7005D</w:t>
      </w:r>
    </w:p>
    <w:p w14:paraId="6B6EE343"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Assignment: Westward Plc</w:t>
      </w:r>
    </w:p>
    <w:p w14:paraId="1811618D"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6DD825ED"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1833EEC9" w14:textId="614B5794"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Student Name: </w:t>
      </w:r>
      <w:proofErr w:type="spellStart"/>
      <w:r w:rsidRPr="006D2254">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Foysol</w:t>
      </w:r>
      <w:proofErr w:type="spellEnd"/>
      <w:r w:rsidRPr="006D2254">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 Ahmod</w:t>
      </w:r>
    </w:p>
    <w:p w14:paraId="1B5C47E6" w14:textId="06853AD5" w:rsidR="006D2254" w:rsidRDefault="006D2254" w:rsidP="006D2254">
      <w:pPr>
        <w:widowControl/>
        <w:spacing w:after="160"/>
        <w:jc w:val="center"/>
        <w:rPr>
          <w:rFonts w:ascii="Aptos" w:eastAsia="Aptos" w:hAnsi="Aptos" w:cs="Times New Roman"/>
          <w:color w:val="000000"/>
          <w:kern w:val="2"/>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 xml:space="preserve">Student ID: </w:t>
      </w:r>
      <w:r w:rsidRPr="006D2254">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2421468</w:t>
      </w:r>
    </w:p>
    <w:p w14:paraId="3E3F02D8" w14:textId="77777777"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p>
    <w:p w14:paraId="125CEC77" w14:textId="28347882" w:rsidR="006D2254" w:rsidRDefault="006D2254" w:rsidP="006D2254">
      <w:pPr>
        <w:widowControl/>
        <w:spacing w:after="160"/>
        <w:jc w:val="cente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pPr>
      <w:r>
        <w:rPr>
          <w:rFonts w:eastAsia="Aptos" w:cs="Times New Roman"/>
          <w:color w:val="000000"/>
          <w:kern w:val="2"/>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standardContextual"/>
        </w:rPr>
        <w:t>Word Count: 5462 Words</w:t>
      </w:r>
    </w:p>
    <w:p w14:paraId="11E85C76" w14:textId="77777777" w:rsidR="006D2254" w:rsidRDefault="006D2254" w:rsidP="006D2254">
      <w:pPr>
        <w:jc w:val="center"/>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Submission Date: 12</w:t>
      </w:r>
      <w:r>
        <w:rPr>
          <w:rFonts w:eastAsia="Aptos" w:cs="Times New Roman"/>
          <w:color w:val="000000"/>
          <w:sz w:val="32"/>
          <w:szCs w:val="32"/>
          <w:vertAlign w:val="superscript"/>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th</w:t>
      </w:r>
      <w:r>
        <w:rPr>
          <w:rFonts w:eastAsia="Aptos" w:cs="Times New Roman"/>
          <w:color w:val="000000"/>
          <w:sz w:val="32"/>
          <w:szCs w:val="3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January 2026</w:t>
      </w:r>
    </w:p>
    <w:p w14:paraId="1A2FDC6F" w14:textId="77777777" w:rsidR="006D2254" w:rsidRDefault="006D2254" w:rsidP="006D2254">
      <w:pPr>
        <w:jc w:val="center"/>
      </w:pPr>
    </w:p>
    <w:p w14:paraId="39283F54" w14:textId="77777777" w:rsidR="006D2254" w:rsidRDefault="006D2254" w:rsidP="006D2254">
      <w:pPr>
        <w:rPr>
          <w:rFonts w:eastAsia="Google Sans Text" w:cs="Times New Roman"/>
        </w:rPr>
      </w:pPr>
    </w:p>
    <w:sdt>
      <w:sdtPr>
        <w:rPr>
          <w:rFonts w:ascii="Times New Roman" w:eastAsia="Arial" w:hAnsi="Times New Roman" w:cs="Arial"/>
          <w:color w:val="auto"/>
          <w:sz w:val="24"/>
          <w:szCs w:val="22"/>
          <w:lang w:val="en-GB"/>
        </w:rPr>
        <w:id w:val="-1850484746"/>
        <w:docPartObj>
          <w:docPartGallery w:val="Table of Contents"/>
          <w:docPartUnique/>
        </w:docPartObj>
      </w:sdtPr>
      <w:sdtEndPr>
        <w:rPr>
          <w:b/>
          <w:bCs/>
          <w:noProof/>
        </w:rPr>
      </w:sdtEndPr>
      <w:sdtContent>
        <w:p w14:paraId="7CFAE39D" w14:textId="4FECC1F7" w:rsidR="006D2254" w:rsidRDefault="006D2254" w:rsidP="00D35A84">
          <w:pPr>
            <w:pStyle w:val="TOCHeading"/>
          </w:pPr>
          <w:r>
            <w:t>Table of Contents</w:t>
          </w:r>
        </w:p>
        <w:p w14:paraId="40F20BED" w14:textId="692FC08F" w:rsidR="00FF5932" w:rsidRDefault="006D2254">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19163912" w:history="1">
            <w:r w:rsidR="00FF5932" w:rsidRPr="00361EC0">
              <w:rPr>
                <w:rStyle w:val="Hyperlink"/>
                <w:noProof/>
              </w:rPr>
              <w:t>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Part 1</w:t>
            </w:r>
            <w:r w:rsidR="00FF5932">
              <w:rPr>
                <w:noProof/>
                <w:webHidden/>
              </w:rPr>
              <w:tab/>
            </w:r>
            <w:r w:rsidR="00FF5932">
              <w:rPr>
                <w:noProof/>
                <w:webHidden/>
              </w:rPr>
              <w:fldChar w:fldCharType="begin"/>
            </w:r>
            <w:r w:rsidR="00FF5932">
              <w:rPr>
                <w:noProof/>
                <w:webHidden/>
              </w:rPr>
              <w:instrText xml:space="preserve"> PAGEREF _Toc219163912 \h </w:instrText>
            </w:r>
            <w:r w:rsidR="00FF5932">
              <w:rPr>
                <w:noProof/>
                <w:webHidden/>
              </w:rPr>
            </w:r>
            <w:r w:rsidR="00FF5932">
              <w:rPr>
                <w:noProof/>
                <w:webHidden/>
              </w:rPr>
              <w:fldChar w:fldCharType="separate"/>
            </w:r>
            <w:r w:rsidR="00FF5932">
              <w:rPr>
                <w:noProof/>
                <w:webHidden/>
              </w:rPr>
              <w:t>4</w:t>
            </w:r>
            <w:r w:rsidR="00FF5932">
              <w:rPr>
                <w:noProof/>
                <w:webHidden/>
              </w:rPr>
              <w:fldChar w:fldCharType="end"/>
            </w:r>
          </w:hyperlink>
        </w:p>
        <w:p w14:paraId="20C048B5" w14:textId="4CEDE4D8"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13" w:history="1">
            <w:r w:rsidR="00FF5932" w:rsidRPr="00361EC0">
              <w:rPr>
                <w:rStyle w:val="Hyperlink"/>
                <w:noProof/>
              </w:rPr>
              <w:t>1.1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Executive Summary</w:t>
            </w:r>
            <w:r w:rsidR="00FF5932">
              <w:rPr>
                <w:noProof/>
                <w:webHidden/>
              </w:rPr>
              <w:tab/>
            </w:r>
            <w:r w:rsidR="00FF5932">
              <w:rPr>
                <w:noProof/>
                <w:webHidden/>
              </w:rPr>
              <w:fldChar w:fldCharType="begin"/>
            </w:r>
            <w:r w:rsidR="00FF5932">
              <w:rPr>
                <w:noProof/>
                <w:webHidden/>
              </w:rPr>
              <w:instrText xml:space="preserve"> PAGEREF _Toc219163913 \h </w:instrText>
            </w:r>
            <w:r w:rsidR="00FF5932">
              <w:rPr>
                <w:noProof/>
                <w:webHidden/>
              </w:rPr>
            </w:r>
            <w:r w:rsidR="00FF5932">
              <w:rPr>
                <w:noProof/>
                <w:webHidden/>
              </w:rPr>
              <w:fldChar w:fldCharType="separate"/>
            </w:r>
            <w:r w:rsidR="00FF5932">
              <w:rPr>
                <w:noProof/>
                <w:webHidden/>
              </w:rPr>
              <w:t>4</w:t>
            </w:r>
            <w:r w:rsidR="00FF5932">
              <w:rPr>
                <w:noProof/>
                <w:webHidden/>
              </w:rPr>
              <w:fldChar w:fldCharType="end"/>
            </w:r>
          </w:hyperlink>
        </w:p>
        <w:p w14:paraId="0BB217C8" w14:textId="340756A9"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14" w:history="1">
            <w:r w:rsidR="00FF5932" w:rsidRPr="00361EC0">
              <w:rPr>
                <w:rStyle w:val="Hyperlink"/>
                <w:noProof/>
              </w:rPr>
              <w:t>1.2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Introduction</w:t>
            </w:r>
            <w:r w:rsidR="00FF5932">
              <w:rPr>
                <w:noProof/>
                <w:webHidden/>
              </w:rPr>
              <w:tab/>
            </w:r>
            <w:r w:rsidR="00FF5932">
              <w:rPr>
                <w:noProof/>
                <w:webHidden/>
              </w:rPr>
              <w:fldChar w:fldCharType="begin"/>
            </w:r>
            <w:r w:rsidR="00FF5932">
              <w:rPr>
                <w:noProof/>
                <w:webHidden/>
              </w:rPr>
              <w:instrText xml:space="preserve"> PAGEREF _Toc219163914 \h </w:instrText>
            </w:r>
            <w:r w:rsidR="00FF5932">
              <w:rPr>
                <w:noProof/>
                <w:webHidden/>
              </w:rPr>
            </w:r>
            <w:r w:rsidR="00FF5932">
              <w:rPr>
                <w:noProof/>
                <w:webHidden/>
              </w:rPr>
              <w:fldChar w:fldCharType="separate"/>
            </w:r>
            <w:r w:rsidR="00FF5932">
              <w:rPr>
                <w:noProof/>
                <w:webHidden/>
              </w:rPr>
              <w:t>6</w:t>
            </w:r>
            <w:r w:rsidR="00FF5932">
              <w:rPr>
                <w:noProof/>
                <w:webHidden/>
              </w:rPr>
              <w:fldChar w:fldCharType="end"/>
            </w:r>
          </w:hyperlink>
        </w:p>
        <w:p w14:paraId="4A4706D5" w14:textId="170E5DAE"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15" w:history="1">
            <w:r w:rsidR="00FF5932" w:rsidRPr="00361EC0">
              <w:rPr>
                <w:rStyle w:val="Hyperlink"/>
                <w:noProof/>
              </w:rPr>
              <w:t>1.3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Main Findings: Ratio Analysis</w:t>
            </w:r>
            <w:r w:rsidR="00FF5932">
              <w:rPr>
                <w:noProof/>
                <w:webHidden/>
              </w:rPr>
              <w:tab/>
            </w:r>
            <w:r w:rsidR="00FF5932">
              <w:rPr>
                <w:noProof/>
                <w:webHidden/>
              </w:rPr>
              <w:fldChar w:fldCharType="begin"/>
            </w:r>
            <w:r w:rsidR="00FF5932">
              <w:rPr>
                <w:noProof/>
                <w:webHidden/>
              </w:rPr>
              <w:instrText xml:space="preserve"> PAGEREF _Toc219163915 \h </w:instrText>
            </w:r>
            <w:r w:rsidR="00FF5932">
              <w:rPr>
                <w:noProof/>
                <w:webHidden/>
              </w:rPr>
            </w:r>
            <w:r w:rsidR="00FF5932">
              <w:rPr>
                <w:noProof/>
                <w:webHidden/>
              </w:rPr>
              <w:fldChar w:fldCharType="separate"/>
            </w:r>
            <w:r w:rsidR="00FF5932">
              <w:rPr>
                <w:noProof/>
                <w:webHidden/>
              </w:rPr>
              <w:t>7</w:t>
            </w:r>
            <w:r w:rsidR="00FF5932">
              <w:rPr>
                <w:noProof/>
                <w:webHidden/>
              </w:rPr>
              <w:fldChar w:fldCharType="end"/>
            </w:r>
          </w:hyperlink>
        </w:p>
        <w:p w14:paraId="21DDF58B" w14:textId="2CDB2687"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16" w:history="1">
            <w:r w:rsidR="00FF5932" w:rsidRPr="00361EC0">
              <w:rPr>
                <w:rStyle w:val="Hyperlink"/>
                <w:noProof/>
              </w:rPr>
              <w:t>1.3.1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Profitability Ratios</w:t>
            </w:r>
            <w:r w:rsidR="00FF5932">
              <w:rPr>
                <w:noProof/>
                <w:webHidden/>
              </w:rPr>
              <w:tab/>
            </w:r>
            <w:r w:rsidR="00FF5932">
              <w:rPr>
                <w:noProof/>
                <w:webHidden/>
              </w:rPr>
              <w:fldChar w:fldCharType="begin"/>
            </w:r>
            <w:r w:rsidR="00FF5932">
              <w:rPr>
                <w:noProof/>
                <w:webHidden/>
              </w:rPr>
              <w:instrText xml:space="preserve"> PAGEREF _Toc219163916 \h </w:instrText>
            </w:r>
            <w:r w:rsidR="00FF5932">
              <w:rPr>
                <w:noProof/>
                <w:webHidden/>
              </w:rPr>
            </w:r>
            <w:r w:rsidR="00FF5932">
              <w:rPr>
                <w:noProof/>
                <w:webHidden/>
              </w:rPr>
              <w:fldChar w:fldCharType="separate"/>
            </w:r>
            <w:r w:rsidR="00FF5932">
              <w:rPr>
                <w:noProof/>
                <w:webHidden/>
              </w:rPr>
              <w:t>7</w:t>
            </w:r>
            <w:r w:rsidR="00FF5932">
              <w:rPr>
                <w:noProof/>
                <w:webHidden/>
              </w:rPr>
              <w:fldChar w:fldCharType="end"/>
            </w:r>
          </w:hyperlink>
        </w:p>
        <w:p w14:paraId="5B219901" w14:textId="35386FAF"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17" w:history="1">
            <w:r w:rsidR="00FF5932" w:rsidRPr="00361EC0">
              <w:rPr>
                <w:rStyle w:val="Hyperlink"/>
                <w:rFonts w:eastAsia="Google Sans" w:cs="Times New Roman"/>
                <w:noProof/>
              </w:rPr>
              <w:t>1.3.2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rFonts w:eastAsia="Google Sans" w:cs="Times New Roman"/>
                <w:noProof/>
              </w:rPr>
              <w:t>Liquidity Ratios</w:t>
            </w:r>
            <w:r w:rsidR="00FF5932">
              <w:rPr>
                <w:noProof/>
                <w:webHidden/>
              </w:rPr>
              <w:tab/>
            </w:r>
            <w:r w:rsidR="00FF5932">
              <w:rPr>
                <w:noProof/>
                <w:webHidden/>
              </w:rPr>
              <w:fldChar w:fldCharType="begin"/>
            </w:r>
            <w:r w:rsidR="00FF5932">
              <w:rPr>
                <w:noProof/>
                <w:webHidden/>
              </w:rPr>
              <w:instrText xml:space="preserve"> PAGEREF _Toc219163917 \h </w:instrText>
            </w:r>
            <w:r w:rsidR="00FF5932">
              <w:rPr>
                <w:noProof/>
                <w:webHidden/>
              </w:rPr>
            </w:r>
            <w:r w:rsidR="00FF5932">
              <w:rPr>
                <w:noProof/>
                <w:webHidden/>
              </w:rPr>
              <w:fldChar w:fldCharType="separate"/>
            </w:r>
            <w:r w:rsidR="00FF5932">
              <w:rPr>
                <w:noProof/>
                <w:webHidden/>
              </w:rPr>
              <w:t>9</w:t>
            </w:r>
            <w:r w:rsidR="00FF5932">
              <w:rPr>
                <w:noProof/>
                <w:webHidden/>
              </w:rPr>
              <w:fldChar w:fldCharType="end"/>
            </w:r>
          </w:hyperlink>
        </w:p>
        <w:p w14:paraId="32F7AE74" w14:textId="4E6B9D5D"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18" w:history="1">
            <w:r w:rsidR="00FF5932" w:rsidRPr="00361EC0">
              <w:rPr>
                <w:rStyle w:val="Hyperlink"/>
                <w:noProof/>
              </w:rPr>
              <w:t>1.3.3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Efficiency Ratios</w:t>
            </w:r>
            <w:r w:rsidR="00FF5932">
              <w:rPr>
                <w:noProof/>
                <w:webHidden/>
              </w:rPr>
              <w:tab/>
            </w:r>
            <w:r w:rsidR="00FF5932">
              <w:rPr>
                <w:noProof/>
                <w:webHidden/>
              </w:rPr>
              <w:fldChar w:fldCharType="begin"/>
            </w:r>
            <w:r w:rsidR="00FF5932">
              <w:rPr>
                <w:noProof/>
                <w:webHidden/>
              </w:rPr>
              <w:instrText xml:space="preserve"> PAGEREF _Toc219163918 \h </w:instrText>
            </w:r>
            <w:r w:rsidR="00FF5932">
              <w:rPr>
                <w:noProof/>
                <w:webHidden/>
              </w:rPr>
            </w:r>
            <w:r w:rsidR="00FF5932">
              <w:rPr>
                <w:noProof/>
                <w:webHidden/>
              </w:rPr>
              <w:fldChar w:fldCharType="separate"/>
            </w:r>
            <w:r w:rsidR="00FF5932">
              <w:rPr>
                <w:noProof/>
                <w:webHidden/>
              </w:rPr>
              <w:t>10</w:t>
            </w:r>
            <w:r w:rsidR="00FF5932">
              <w:rPr>
                <w:noProof/>
                <w:webHidden/>
              </w:rPr>
              <w:fldChar w:fldCharType="end"/>
            </w:r>
          </w:hyperlink>
        </w:p>
        <w:p w14:paraId="62EC71FA" w14:textId="6564B1C6"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19" w:history="1">
            <w:r w:rsidR="00FF5932" w:rsidRPr="00361EC0">
              <w:rPr>
                <w:rStyle w:val="Hyperlink"/>
                <w:noProof/>
              </w:rPr>
              <w:t>1.3.4</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Financial Solvency (Gearing) Ratios</w:t>
            </w:r>
            <w:r w:rsidR="00FF5932">
              <w:rPr>
                <w:noProof/>
                <w:webHidden/>
              </w:rPr>
              <w:tab/>
            </w:r>
            <w:r w:rsidR="00FF5932">
              <w:rPr>
                <w:noProof/>
                <w:webHidden/>
              </w:rPr>
              <w:fldChar w:fldCharType="begin"/>
            </w:r>
            <w:r w:rsidR="00FF5932">
              <w:rPr>
                <w:noProof/>
                <w:webHidden/>
              </w:rPr>
              <w:instrText xml:space="preserve"> PAGEREF _Toc219163919 \h </w:instrText>
            </w:r>
            <w:r w:rsidR="00FF5932">
              <w:rPr>
                <w:noProof/>
                <w:webHidden/>
              </w:rPr>
            </w:r>
            <w:r w:rsidR="00FF5932">
              <w:rPr>
                <w:noProof/>
                <w:webHidden/>
              </w:rPr>
              <w:fldChar w:fldCharType="separate"/>
            </w:r>
            <w:r w:rsidR="00FF5932">
              <w:rPr>
                <w:noProof/>
                <w:webHidden/>
              </w:rPr>
              <w:t>12</w:t>
            </w:r>
            <w:r w:rsidR="00FF5932">
              <w:rPr>
                <w:noProof/>
                <w:webHidden/>
              </w:rPr>
              <w:fldChar w:fldCharType="end"/>
            </w:r>
          </w:hyperlink>
        </w:p>
        <w:p w14:paraId="23DD7BDC" w14:textId="45EF27E9"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20" w:history="1">
            <w:r w:rsidR="00FF5932" w:rsidRPr="00361EC0">
              <w:rPr>
                <w:rStyle w:val="Hyperlink"/>
                <w:noProof/>
              </w:rPr>
              <w:t>1.3.5</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Investor Ratios</w:t>
            </w:r>
            <w:r w:rsidR="00FF5932">
              <w:rPr>
                <w:noProof/>
                <w:webHidden/>
              </w:rPr>
              <w:tab/>
            </w:r>
            <w:r w:rsidR="00FF5932">
              <w:rPr>
                <w:noProof/>
                <w:webHidden/>
              </w:rPr>
              <w:fldChar w:fldCharType="begin"/>
            </w:r>
            <w:r w:rsidR="00FF5932">
              <w:rPr>
                <w:noProof/>
                <w:webHidden/>
              </w:rPr>
              <w:instrText xml:space="preserve"> PAGEREF _Toc219163920 \h </w:instrText>
            </w:r>
            <w:r w:rsidR="00FF5932">
              <w:rPr>
                <w:noProof/>
                <w:webHidden/>
              </w:rPr>
            </w:r>
            <w:r w:rsidR="00FF5932">
              <w:rPr>
                <w:noProof/>
                <w:webHidden/>
              </w:rPr>
              <w:fldChar w:fldCharType="separate"/>
            </w:r>
            <w:r w:rsidR="00FF5932">
              <w:rPr>
                <w:noProof/>
                <w:webHidden/>
              </w:rPr>
              <w:t>13</w:t>
            </w:r>
            <w:r w:rsidR="00FF5932">
              <w:rPr>
                <w:noProof/>
                <w:webHidden/>
              </w:rPr>
              <w:fldChar w:fldCharType="end"/>
            </w:r>
          </w:hyperlink>
        </w:p>
        <w:p w14:paraId="02E559F4" w14:textId="321066FF"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21" w:history="1">
            <w:r w:rsidR="00FF5932" w:rsidRPr="00361EC0">
              <w:rPr>
                <w:rStyle w:val="Hyperlink"/>
                <w:noProof/>
              </w:rPr>
              <w:t>1.4</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Critical Evaluation</w:t>
            </w:r>
            <w:r w:rsidR="00FF5932">
              <w:rPr>
                <w:noProof/>
                <w:webHidden/>
              </w:rPr>
              <w:tab/>
            </w:r>
            <w:r w:rsidR="00FF5932">
              <w:rPr>
                <w:noProof/>
                <w:webHidden/>
              </w:rPr>
              <w:fldChar w:fldCharType="begin"/>
            </w:r>
            <w:r w:rsidR="00FF5932">
              <w:rPr>
                <w:noProof/>
                <w:webHidden/>
              </w:rPr>
              <w:instrText xml:space="preserve"> PAGEREF _Toc219163921 \h </w:instrText>
            </w:r>
            <w:r w:rsidR="00FF5932">
              <w:rPr>
                <w:noProof/>
                <w:webHidden/>
              </w:rPr>
            </w:r>
            <w:r w:rsidR="00FF5932">
              <w:rPr>
                <w:noProof/>
                <w:webHidden/>
              </w:rPr>
              <w:fldChar w:fldCharType="separate"/>
            </w:r>
            <w:r w:rsidR="00FF5932">
              <w:rPr>
                <w:noProof/>
                <w:webHidden/>
              </w:rPr>
              <w:t>14</w:t>
            </w:r>
            <w:r w:rsidR="00FF5932">
              <w:rPr>
                <w:noProof/>
                <w:webHidden/>
              </w:rPr>
              <w:fldChar w:fldCharType="end"/>
            </w:r>
          </w:hyperlink>
        </w:p>
        <w:p w14:paraId="33B88D81" w14:textId="2A8270C8"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22" w:history="1">
            <w:r w:rsidR="00FF5932" w:rsidRPr="00361EC0">
              <w:rPr>
                <w:rStyle w:val="Hyperlink"/>
                <w:rFonts w:eastAsia="Google Sans" w:cs="Times New Roman"/>
                <w:noProof/>
              </w:rPr>
              <w:t>1.4.1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rFonts w:eastAsia="Google Sans" w:cs="Times New Roman"/>
                <w:noProof/>
              </w:rPr>
              <w:t>Strategic Performance &amp; The "Food First" Pivot</w:t>
            </w:r>
            <w:r w:rsidR="00FF5932">
              <w:rPr>
                <w:noProof/>
                <w:webHidden/>
              </w:rPr>
              <w:tab/>
            </w:r>
            <w:r w:rsidR="00FF5932">
              <w:rPr>
                <w:noProof/>
                <w:webHidden/>
              </w:rPr>
              <w:fldChar w:fldCharType="begin"/>
            </w:r>
            <w:r w:rsidR="00FF5932">
              <w:rPr>
                <w:noProof/>
                <w:webHidden/>
              </w:rPr>
              <w:instrText xml:space="preserve"> PAGEREF _Toc219163922 \h </w:instrText>
            </w:r>
            <w:r w:rsidR="00FF5932">
              <w:rPr>
                <w:noProof/>
                <w:webHidden/>
              </w:rPr>
            </w:r>
            <w:r w:rsidR="00FF5932">
              <w:rPr>
                <w:noProof/>
                <w:webHidden/>
              </w:rPr>
              <w:fldChar w:fldCharType="separate"/>
            </w:r>
            <w:r w:rsidR="00FF5932">
              <w:rPr>
                <w:noProof/>
                <w:webHidden/>
              </w:rPr>
              <w:t>14</w:t>
            </w:r>
            <w:r w:rsidR="00FF5932">
              <w:rPr>
                <w:noProof/>
                <w:webHidden/>
              </w:rPr>
              <w:fldChar w:fldCharType="end"/>
            </w:r>
          </w:hyperlink>
        </w:p>
        <w:p w14:paraId="4A19599E" w14:textId="63A1AD2A"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23" w:history="1">
            <w:r w:rsidR="00FF5932" w:rsidRPr="00361EC0">
              <w:rPr>
                <w:rStyle w:val="Hyperlink"/>
                <w:noProof/>
              </w:rPr>
              <w:t>1.4.2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Financial Structure &amp; Risk</w:t>
            </w:r>
            <w:r w:rsidR="00FF5932">
              <w:rPr>
                <w:noProof/>
                <w:webHidden/>
              </w:rPr>
              <w:tab/>
            </w:r>
            <w:r w:rsidR="00FF5932">
              <w:rPr>
                <w:noProof/>
                <w:webHidden/>
              </w:rPr>
              <w:fldChar w:fldCharType="begin"/>
            </w:r>
            <w:r w:rsidR="00FF5932">
              <w:rPr>
                <w:noProof/>
                <w:webHidden/>
              </w:rPr>
              <w:instrText xml:space="preserve"> PAGEREF _Toc219163923 \h </w:instrText>
            </w:r>
            <w:r w:rsidR="00FF5932">
              <w:rPr>
                <w:noProof/>
                <w:webHidden/>
              </w:rPr>
            </w:r>
            <w:r w:rsidR="00FF5932">
              <w:rPr>
                <w:noProof/>
                <w:webHidden/>
              </w:rPr>
              <w:fldChar w:fldCharType="separate"/>
            </w:r>
            <w:r w:rsidR="00FF5932">
              <w:rPr>
                <w:noProof/>
                <w:webHidden/>
              </w:rPr>
              <w:t>14</w:t>
            </w:r>
            <w:r w:rsidR="00FF5932">
              <w:rPr>
                <w:noProof/>
                <w:webHidden/>
              </w:rPr>
              <w:fldChar w:fldCharType="end"/>
            </w:r>
          </w:hyperlink>
        </w:p>
        <w:p w14:paraId="498FE561" w14:textId="2D45B45A"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24" w:history="1">
            <w:r w:rsidR="00FF5932" w:rsidRPr="00361EC0">
              <w:rPr>
                <w:rStyle w:val="Hyperlink"/>
                <w:noProof/>
              </w:rPr>
              <w:t>1.4.3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Limitations of Ratio Analysis</w:t>
            </w:r>
            <w:r w:rsidR="00FF5932">
              <w:rPr>
                <w:noProof/>
                <w:webHidden/>
              </w:rPr>
              <w:tab/>
            </w:r>
            <w:r w:rsidR="00FF5932">
              <w:rPr>
                <w:noProof/>
                <w:webHidden/>
              </w:rPr>
              <w:fldChar w:fldCharType="begin"/>
            </w:r>
            <w:r w:rsidR="00FF5932">
              <w:rPr>
                <w:noProof/>
                <w:webHidden/>
              </w:rPr>
              <w:instrText xml:space="preserve"> PAGEREF _Toc219163924 \h </w:instrText>
            </w:r>
            <w:r w:rsidR="00FF5932">
              <w:rPr>
                <w:noProof/>
                <w:webHidden/>
              </w:rPr>
            </w:r>
            <w:r w:rsidR="00FF5932">
              <w:rPr>
                <w:noProof/>
                <w:webHidden/>
              </w:rPr>
              <w:fldChar w:fldCharType="separate"/>
            </w:r>
            <w:r w:rsidR="00FF5932">
              <w:rPr>
                <w:noProof/>
                <w:webHidden/>
              </w:rPr>
              <w:t>15</w:t>
            </w:r>
            <w:r w:rsidR="00FF5932">
              <w:rPr>
                <w:noProof/>
                <w:webHidden/>
              </w:rPr>
              <w:fldChar w:fldCharType="end"/>
            </w:r>
          </w:hyperlink>
        </w:p>
        <w:p w14:paraId="305F920E" w14:textId="4CB0A07F"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25" w:history="1">
            <w:r w:rsidR="00FF5932" w:rsidRPr="00361EC0">
              <w:rPr>
                <w:rStyle w:val="Hyperlink"/>
                <w:noProof/>
              </w:rPr>
              <w:t>1.5</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Recommendations</w:t>
            </w:r>
            <w:r w:rsidR="00FF5932">
              <w:rPr>
                <w:noProof/>
                <w:webHidden/>
              </w:rPr>
              <w:tab/>
            </w:r>
            <w:r w:rsidR="00FF5932">
              <w:rPr>
                <w:noProof/>
                <w:webHidden/>
              </w:rPr>
              <w:fldChar w:fldCharType="begin"/>
            </w:r>
            <w:r w:rsidR="00FF5932">
              <w:rPr>
                <w:noProof/>
                <w:webHidden/>
              </w:rPr>
              <w:instrText xml:space="preserve"> PAGEREF _Toc219163925 \h </w:instrText>
            </w:r>
            <w:r w:rsidR="00FF5932">
              <w:rPr>
                <w:noProof/>
                <w:webHidden/>
              </w:rPr>
            </w:r>
            <w:r w:rsidR="00FF5932">
              <w:rPr>
                <w:noProof/>
                <w:webHidden/>
              </w:rPr>
              <w:fldChar w:fldCharType="separate"/>
            </w:r>
            <w:r w:rsidR="00FF5932">
              <w:rPr>
                <w:noProof/>
                <w:webHidden/>
              </w:rPr>
              <w:t>16</w:t>
            </w:r>
            <w:r w:rsidR="00FF5932">
              <w:rPr>
                <w:noProof/>
                <w:webHidden/>
              </w:rPr>
              <w:fldChar w:fldCharType="end"/>
            </w:r>
          </w:hyperlink>
        </w:p>
        <w:p w14:paraId="5D72F86E" w14:textId="5A267C6E"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26" w:history="1">
            <w:r w:rsidR="00FF5932" w:rsidRPr="00361EC0">
              <w:rPr>
                <w:rStyle w:val="Hyperlink"/>
                <w:noProof/>
              </w:rPr>
              <w:t>1.6</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Conclusion</w:t>
            </w:r>
            <w:r w:rsidR="00FF5932">
              <w:rPr>
                <w:noProof/>
                <w:webHidden/>
              </w:rPr>
              <w:tab/>
            </w:r>
            <w:r w:rsidR="00FF5932">
              <w:rPr>
                <w:noProof/>
                <w:webHidden/>
              </w:rPr>
              <w:fldChar w:fldCharType="begin"/>
            </w:r>
            <w:r w:rsidR="00FF5932">
              <w:rPr>
                <w:noProof/>
                <w:webHidden/>
              </w:rPr>
              <w:instrText xml:space="preserve"> PAGEREF _Toc219163926 \h </w:instrText>
            </w:r>
            <w:r w:rsidR="00FF5932">
              <w:rPr>
                <w:noProof/>
                <w:webHidden/>
              </w:rPr>
            </w:r>
            <w:r w:rsidR="00FF5932">
              <w:rPr>
                <w:noProof/>
                <w:webHidden/>
              </w:rPr>
              <w:fldChar w:fldCharType="separate"/>
            </w:r>
            <w:r w:rsidR="00FF5932">
              <w:rPr>
                <w:noProof/>
                <w:webHidden/>
              </w:rPr>
              <w:t>17</w:t>
            </w:r>
            <w:r w:rsidR="00FF5932">
              <w:rPr>
                <w:noProof/>
                <w:webHidden/>
              </w:rPr>
              <w:fldChar w:fldCharType="end"/>
            </w:r>
          </w:hyperlink>
        </w:p>
        <w:p w14:paraId="1EB16988" w14:textId="408CA420" w:rsidR="00FF5932"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63927" w:history="1">
            <w:r w:rsidR="00FF5932" w:rsidRPr="00361EC0">
              <w:rPr>
                <w:rStyle w:val="Hyperlink"/>
                <w:noProof/>
              </w:rPr>
              <w:t>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Part Two</w:t>
            </w:r>
            <w:r w:rsidR="00FF5932">
              <w:rPr>
                <w:noProof/>
                <w:webHidden/>
              </w:rPr>
              <w:tab/>
            </w:r>
            <w:r w:rsidR="00FF5932">
              <w:rPr>
                <w:noProof/>
                <w:webHidden/>
              </w:rPr>
              <w:fldChar w:fldCharType="begin"/>
            </w:r>
            <w:r w:rsidR="00FF5932">
              <w:rPr>
                <w:noProof/>
                <w:webHidden/>
              </w:rPr>
              <w:instrText xml:space="preserve"> PAGEREF _Toc219163927 \h </w:instrText>
            </w:r>
            <w:r w:rsidR="00FF5932">
              <w:rPr>
                <w:noProof/>
                <w:webHidden/>
              </w:rPr>
            </w:r>
            <w:r w:rsidR="00FF5932">
              <w:rPr>
                <w:noProof/>
                <w:webHidden/>
              </w:rPr>
              <w:fldChar w:fldCharType="separate"/>
            </w:r>
            <w:r w:rsidR="00FF5932">
              <w:rPr>
                <w:noProof/>
                <w:webHidden/>
              </w:rPr>
              <w:t>18</w:t>
            </w:r>
            <w:r w:rsidR="00FF5932">
              <w:rPr>
                <w:noProof/>
                <w:webHidden/>
              </w:rPr>
              <w:fldChar w:fldCharType="end"/>
            </w:r>
          </w:hyperlink>
        </w:p>
        <w:p w14:paraId="172A4A85" w14:textId="6336D6BB"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28" w:history="1">
            <w:r w:rsidR="00FF5932" w:rsidRPr="00361EC0">
              <w:rPr>
                <w:rStyle w:val="Hyperlink"/>
                <w:noProof/>
              </w:rPr>
              <w:t>2.1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Executive Summary</w:t>
            </w:r>
            <w:r w:rsidR="00FF5932">
              <w:rPr>
                <w:noProof/>
                <w:webHidden/>
              </w:rPr>
              <w:tab/>
            </w:r>
            <w:r w:rsidR="00FF5932">
              <w:rPr>
                <w:noProof/>
                <w:webHidden/>
              </w:rPr>
              <w:fldChar w:fldCharType="begin"/>
            </w:r>
            <w:r w:rsidR="00FF5932">
              <w:rPr>
                <w:noProof/>
                <w:webHidden/>
              </w:rPr>
              <w:instrText xml:space="preserve"> PAGEREF _Toc219163928 \h </w:instrText>
            </w:r>
            <w:r w:rsidR="00FF5932">
              <w:rPr>
                <w:noProof/>
                <w:webHidden/>
              </w:rPr>
            </w:r>
            <w:r w:rsidR="00FF5932">
              <w:rPr>
                <w:noProof/>
                <w:webHidden/>
              </w:rPr>
              <w:fldChar w:fldCharType="separate"/>
            </w:r>
            <w:r w:rsidR="00FF5932">
              <w:rPr>
                <w:noProof/>
                <w:webHidden/>
              </w:rPr>
              <w:t>18</w:t>
            </w:r>
            <w:r w:rsidR="00FF5932">
              <w:rPr>
                <w:noProof/>
                <w:webHidden/>
              </w:rPr>
              <w:fldChar w:fldCharType="end"/>
            </w:r>
          </w:hyperlink>
        </w:p>
        <w:p w14:paraId="4C798810" w14:textId="206149D1"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29" w:history="1">
            <w:r w:rsidR="00FF5932" w:rsidRPr="00361EC0">
              <w:rPr>
                <w:rStyle w:val="Hyperlink"/>
                <w:noProof/>
              </w:rPr>
              <w:t>2.2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Introduction</w:t>
            </w:r>
            <w:r w:rsidR="00FF5932">
              <w:rPr>
                <w:noProof/>
                <w:webHidden/>
              </w:rPr>
              <w:tab/>
            </w:r>
            <w:r w:rsidR="00FF5932">
              <w:rPr>
                <w:noProof/>
                <w:webHidden/>
              </w:rPr>
              <w:fldChar w:fldCharType="begin"/>
            </w:r>
            <w:r w:rsidR="00FF5932">
              <w:rPr>
                <w:noProof/>
                <w:webHidden/>
              </w:rPr>
              <w:instrText xml:space="preserve"> PAGEREF _Toc219163929 \h </w:instrText>
            </w:r>
            <w:r w:rsidR="00FF5932">
              <w:rPr>
                <w:noProof/>
                <w:webHidden/>
              </w:rPr>
            </w:r>
            <w:r w:rsidR="00FF5932">
              <w:rPr>
                <w:noProof/>
                <w:webHidden/>
              </w:rPr>
              <w:fldChar w:fldCharType="separate"/>
            </w:r>
            <w:r w:rsidR="00FF5932">
              <w:rPr>
                <w:noProof/>
                <w:webHidden/>
              </w:rPr>
              <w:t>19</w:t>
            </w:r>
            <w:r w:rsidR="00FF5932">
              <w:rPr>
                <w:noProof/>
                <w:webHidden/>
              </w:rPr>
              <w:fldChar w:fldCharType="end"/>
            </w:r>
          </w:hyperlink>
        </w:p>
        <w:p w14:paraId="6D65AD0B" w14:textId="2D31FE0D"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30" w:history="1">
            <w:r w:rsidR="00FF5932" w:rsidRPr="00361EC0">
              <w:rPr>
                <w:rStyle w:val="Hyperlink"/>
                <w:noProof/>
              </w:rPr>
              <w:t>2.3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Investment Appraisal Analysis</w:t>
            </w:r>
            <w:r w:rsidR="00FF5932">
              <w:rPr>
                <w:noProof/>
                <w:webHidden/>
              </w:rPr>
              <w:tab/>
            </w:r>
            <w:r w:rsidR="00FF5932">
              <w:rPr>
                <w:noProof/>
                <w:webHidden/>
              </w:rPr>
              <w:fldChar w:fldCharType="begin"/>
            </w:r>
            <w:r w:rsidR="00FF5932">
              <w:rPr>
                <w:noProof/>
                <w:webHidden/>
              </w:rPr>
              <w:instrText xml:space="preserve"> PAGEREF _Toc219163930 \h </w:instrText>
            </w:r>
            <w:r w:rsidR="00FF5932">
              <w:rPr>
                <w:noProof/>
                <w:webHidden/>
              </w:rPr>
            </w:r>
            <w:r w:rsidR="00FF5932">
              <w:rPr>
                <w:noProof/>
                <w:webHidden/>
              </w:rPr>
              <w:fldChar w:fldCharType="separate"/>
            </w:r>
            <w:r w:rsidR="00FF5932">
              <w:rPr>
                <w:noProof/>
                <w:webHidden/>
              </w:rPr>
              <w:t>20</w:t>
            </w:r>
            <w:r w:rsidR="00FF5932">
              <w:rPr>
                <w:noProof/>
                <w:webHidden/>
              </w:rPr>
              <w:fldChar w:fldCharType="end"/>
            </w:r>
          </w:hyperlink>
        </w:p>
        <w:p w14:paraId="70AC7A07" w14:textId="2A356B83"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1" w:history="1">
            <w:r w:rsidR="00FF5932" w:rsidRPr="00361EC0">
              <w:rPr>
                <w:rStyle w:val="Hyperlink"/>
                <w:noProof/>
              </w:rPr>
              <w:t>2.3.1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NPV Analysis</w:t>
            </w:r>
            <w:r w:rsidR="00FF5932">
              <w:rPr>
                <w:noProof/>
                <w:webHidden/>
              </w:rPr>
              <w:tab/>
            </w:r>
            <w:r w:rsidR="00FF5932">
              <w:rPr>
                <w:noProof/>
                <w:webHidden/>
              </w:rPr>
              <w:fldChar w:fldCharType="begin"/>
            </w:r>
            <w:r w:rsidR="00FF5932">
              <w:rPr>
                <w:noProof/>
                <w:webHidden/>
              </w:rPr>
              <w:instrText xml:space="preserve"> PAGEREF _Toc219163931 \h </w:instrText>
            </w:r>
            <w:r w:rsidR="00FF5932">
              <w:rPr>
                <w:noProof/>
                <w:webHidden/>
              </w:rPr>
            </w:r>
            <w:r w:rsidR="00FF5932">
              <w:rPr>
                <w:noProof/>
                <w:webHidden/>
              </w:rPr>
              <w:fldChar w:fldCharType="separate"/>
            </w:r>
            <w:r w:rsidR="00FF5932">
              <w:rPr>
                <w:noProof/>
                <w:webHidden/>
              </w:rPr>
              <w:t>20</w:t>
            </w:r>
            <w:r w:rsidR="00FF5932">
              <w:rPr>
                <w:noProof/>
                <w:webHidden/>
              </w:rPr>
              <w:fldChar w:fldCharType="end"/>
            </w:r>
          </w:hyperlink>
        </w:p>
        <w:p w14:paraId="23D24246" w14:textId="4596D709"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2" w:history="1">
            <w:r w:rsidR="00FF5932" w:rsidRPr="00361EC0">
              <w:rPr>
                <w:rStyle w:val="Hyperlink"/>
                <w:noProof/>
              </w:rPr>
              <w:t>2.3.2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Payback Period Analysis</w:t>
            </w:r>
            <w:r w:rsidR="00FF5932">
              <w:rPr>
                <w:noProof/>
                <w:webHidden/>
              </w:rPr>
              <w:tab/>
            </w:r>
            <w:r w:rsidR="00FF5932">
              <w:rPr>
                <w:noProof/>
                <w:webHidden/>
              </w:rPr>
              <w:fldChar w:fldCharType="begin"/>
            </w:r>
            <w:r w:rsidR="00FF5932">
              <w:rPr>
                <w:noProof/>
                <w:webHidden/>
              </w:rPr>
              <w:instrText xml:space="preserve"> PAGEREF _Toc219163932 \h </w:instrText>
            </w:r>
            <w:r w:rsidR="00FF5932">
              <w:rPr>
                <w:noProof/>
                <w:webHidden/>
              </w:rPr>
            </w:r>
            <w:r w:rsidR="00FF5932">
              <w:rPr>
                <w:noProof/>
                <w:webHidden/>
              </w:rPr>
              <w:fldChar w:fldCharType="separate"/>
            </w:r>
            <w:r w:rsidR="00FF5932">
              <w:rPr>
                <w:noProof/>
                <w:webHidden/>
              </w:rPr>
              <w:t>21</w:t>
            </w:r>
            <w:r w:rsidR="00FF5932">
              <w:rPr>
                <w:noProof/>
                <w:webHidden/>
              </w:rPr>
              <w:fldChar w:fldCharType="end"/>
            </w:r>
          </w:hyperlink>
        </w:p>
        <w:p w14:paraId="54454847" w14:textId="47D29ACD"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3" w:history="1">
            <w:r w:rsidR="00FF5932" w:rsidRPr="00361EC0">
              <w:rPr>
                <w:rStyle w:val="Hyperlink"/>
                <w:noProof/>
              </w:rPr>
              <w:t>2.3.3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IRR of Project B</w:t>
            </w:r>
            <w:r w:rsidR="00FF5932">
              <w:rPr>
                <w:noProof/>
                <w:webHidden/>
              </w:rPr>
              <w:tab/>
            </w:r>
            <w:r w:rsidR="00FF5932">
              <w:rPr>
                <w:noProof/>
                <w:webHidden/>
              </w:rPr>
              <w:fldChar w:fldCharType="begin"/>
            </w:r>
            <w:r w:rsidR="00FF5932">
              <w:rPr>
                <w:noProof/>
                <w:webHidden/>
              </w:rPr>
              <w:instrText xml:space="preserve"> PAGEREF _Toc219163933 \h </w:instrText>
            </w:r>
            <w:r w:rsidR="00FF5932">
              <w:rPr>
                <w:noProof/>
                <w:webHidden/>
              </w:rPr>
            </w:r>
            <w:r w:rsidR="00FF5932">
              <w:rPr>
                <w:noProof/>
                <w:webHidden/>
              </w:rPr>
              <w:fldChar w:fldCharType="separate"/>
            </w:r>
            <w:r w:rsidR="00FF5932">
              <w:rPr>
                <w:noProof/>
                <w:webHidden/>
              </w:rPr>
              <w:t>22</w:t>
            </w:r>
            <w:r w:rsidR="00FF5932">
              <w:rPr>
                <w:noProof/>
                <w:webHidden/>
              </w:rPr>
              <w:fldChar w:fldCharType="end"/>
            </w:r>
          </w:hyperlink>
        </w:p>
        <w:p w14:paraId="00F2A543" w14:textId="30834A36"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34" w:history="1">
            <w:r w:rsidR="00FF5932" w:rsidRPr="00361EC0">
              <w:rPr>
                <w:rStyle w:val="Hyperlink"/>
                <w:noProof/>
              </w:rPr>
              <w:t>2.4</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Interpretation and Critical Evaluation</w:t>
            </w:r>
            <w:r w:rsidR="00FF5932">
              <w:rPr>
                <w:noProof/>
                <w:webHidden/>
              </w:rPr>
              <w:tab/>
            </w:r>
            <w:r w:rsidR="00FF5932">
              <w:rPr>
                <w:noProof/>
                <w:webHidden/>
              </w:rPr>
              <w:fldChar w:fldCharType="begin"/>
            </w:r>
            <w:r w:rsidR="00FF5932">
              <w:rPr>
                <w:noProof/>
                <w:webHidden/>
              </w:rPr>
              <w:instrText xml:space="preserve"> PAGEREF _Toc219163934 \h </w:instrText>
            </w:r>
            <w:r w:rsidR="00FF5932">
              <w:rPr>
                <w:noProof/>
                <w:webHidden/>
              </w:rPr>
            </w:r>
            <w:r w:rsidR="00FF5932">
              <w:rPr>
                <w:noProof/>
                <w:webHidden/>
              </w:rPr>
              <w:fldChar w:fldCharType="separate"/>
            </w:r>
            <w:r w:rsidR="00FF5932">
              <w:rPr>
                <w:noProof/>
                <w:webHidden/>
              </w:rPr>
              <w:t>22</w:t>
            </w:r>
            <w:r w:rsidR="00FF5932">
              <w:rPr>
                <w:noProof/>
                <w:webHidden/>
              </w:rPr>
              <w:fldChar w:fldCharType="end"/>
            </w:r>
          </w:hyperlink>
        </w:p>
        <w:p w14:paraId="77BAAA2B" w14:textId="26EC5C58"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5" w:history="1">
            <w:r w:rsidR="00FF5932" w:rsidRPr="00361EC0">
              <w:rPr>
                <w:rStyle w:val="Hyperlink"/>
                <w:noProof/>
              </w:rPr>
              <w:t>2.4.1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Theoretical Justification for NPV</w:t>
            </w:r>
            <w:r w:rsidR="00FF5932">
              <w:rPr>
                <w:noProof/>
                <w:webHidden/>
              </w:rPr>
              <w:tab/>
            </w:r>
            <w:r w:rsidR="00FF5932">
              <w:rPr>
                <w:noProof/>
                <w:webHidden/>
              </w:rPr>
              <w:fldChar w:fldCharType="begin"/>
            </w:r>
            <w:r w:rsidR="00FF5932">
              <w:rPr>
                <w:noProof/>
                <w:webHidden/>
              </w:rPr>
              <w:instrText xml:space="preserve"> PAGEREF _Toc219163935 \h </w:instrText>
            </w:r>
            <w:r w:rsidR="00FF5932">
              <w:rPr>
                <w:noProof/>
                <w:webHidden/>
              </w:rPr>
            </w:r>
            <w:r w:rsidR="00FF5932">
              <w:rPr>
                <w:noProof/>
                <w:webHidden/>
              </w:rPr>
              <w:fldChar w:fldCharType="separate"/>
            </w:r>
            <w:r w:rsidR="00FF5932">
              <w:rPr>
                <w:noProof/>
                <w:webHidden/>
              </w:rPr>
              <w:t>22</w:t>
            </w:r>
            <w:r w:rsidR="00FF5932">
              <w:rPr>
                <w:noProof/>
                <w:webHidden/>
              </w:rPr>
              <w:fldChar w:fldCharType="end"/>
            </w:r>
          </w:hyperlink>
        </w:p>
        <w:p w14:paraId="4F1F219E" w14:textId="76399062"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6" w:history="1">
            <w:r w:rsidR="00FF5932" w:rsidRPr="00361EC0">
              <w:rPr>
                <w:rStyle w:val="Hyperlink"/>
                <w:noProof/>
              </w:rPr>
              <w:t>2.4.2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Continued Use of Non-Discounting Methods</w:t>
            </w:r>
            <w:r w:rsidR="00FF5932">
              <w:rPr>
                <w:noProof/>
                <w:webHidden/>
              </w:rPr>
              <w:tab/>
            </w:r>
            <w:r w:rsidR="00FF5932">
              <w:rPr>
                <w:noProof/>
                <w:webHidden/>
              </w:rPr>
              <w:fldChar w:fldCharType="begin"/>
            </w:r>
            <w:r w:rsidR="00FF5932">
              <w:rPr>
                <w:noProof/>
                <w:webHidden/>
              </w:rPr>
              <w:instrText xml:space="preserve"> PAGEREF _Toc219163936 \h </w:instrText>
            </w:r>
            <w:r w:rsidR="00FF5932">
              <w:rPr>
                <w:noProof/>
                <w:webHidden/>
              </w:rPr>
            </w:r>
            <w:r w:rsidR="00FF5932">
              <w:rPr>
                <w:noProof/>
                <w:webHidden/>
              </w:rPr>
              <w:fldChar w:fldCharType="separate"/>
            </w:r>
            <w:r w:rsidR="00FF5932">
              <w:rPr>
                <w:noProof/>
                <w:webHidden/>
              </w:rPr>
              <w:t>23</w:t>
            </w:r>
            <w:r w:rsidR="00FF5932">
              <w:rPr>
                <w:noProof/>
                <w:webHidden/>
              </w:rPr>
              <w:fldChar w:fldCharType="end"/>
            </w:r>
          </w:hyperlink>
        </w:p>
        <w:p w14:paraId="78598249" w14:textId="2C863D52"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37" w:history="1">
            <w:r w:rsidR="00FF5932" w:rsidRPr="00361EC0">
              <w:rPr>
                <w:rStyle w:val="Hyperlink"/>
                <w:noProof/>
              </w:rPr>
              <w:t>2.4.3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Strategic Decision Factors</w:t>
            </w:r>
            <w:r w:rsidR="00FF5932">
              <w:rPr>
                <w:noProof/>
                <w:webHidden/>
              </w:rPr>
              <w:tab/>
            </w:r>
            <w:r w:rsidR="00FF5932">
              <w:rPr>
                <w:noProof/>
                <w:webHidden/>
              </w:rPr>
              <w:fldChar w:fldCharType="begin"/>
            </w:r>
            <w:r w:rsidR="00FF5932">
              <w:rPr>
                <w:noProof/>
                <w:webHidden/>
              </w:rPr>
              <w:instrText xml:space="preserve"> PAGEREF _Toc219163937 \h </w:instrText>
            </w:r>
            <w:r w:rsidR="00FF5932">
              <w:rPr>
                <w:noProof/>
                <w:webHidden/>
              </w:rPr>
            </w:r>
            <w:r w:rsidR="00FF5932">
              <w:rPr>
                <w:noProof/>
                <w:webHidden/>
              </w:rPr>
              <w:fldChar w:fldCharType="separate"/>
            </w:r>
            <w:r w:rsidR="00FF5932">
              <w:rPr>
                <w:noProof/>
                <w:webHidden/>
              </w:rPr>
              <w:t>24</w:t>
            </w:r>
            <w:r w:rsidR="00FF5932">
              <w:rPr>
                <w:noProof/>
                <w:webHidden/>
              </w:rPr>
              <w:fldChar w:fldCharType="end"/>
            </w:r>
          </w:hyperlink>
        </w:p>
        <w:p w14:paraId="1CE82D32" w14:textId="64267874"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38" w:history="1">
            <w:r w:rsidR="00FF5932" w:rsidRPr="00361EC0">
              <w:rPr>
                <w:rStyle w:val="Hyperlink"/>
                <w:noProof/>
              </w:rPr>
              <w:t>2.5</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Capital Rationing and Optimisation</w:t>
            </w:r>
            <w:r w:rsidR="00FF5932">
              <w:rPr>
                <w:noProof/>
                <w:webHidden/>
              </w:rPr>
              <w:tab/>
            </w:r>
            <w:r w:rsidR="00FF5932">
              <w:rPr>
                <w:noProof/>
                <w:webHidden/>
              </w:rPr>
              <w:fldChar w:fldCharType="begin"/>
            </w:r>
            <w:r w:rsidR="00FF5932">
              <w:rPr>
                <w:noProof/>
                <w:webHidden/>
              </w:rPr>
              <w:instrText xml:space="preserve"> PAGEREF _Toc219163938 \h </w:instrText>
            </w:r>
            <w:r w:rsidR="00FF5932">
              <w:rPr>
                <w:noProof/>
                <w:webHidden/>
              </w:rPr>
            </w:r>
            <w:r w:rsidR="00FF5932">
              <w:rPr>
                <w:noProof/>
                <w:webHidden/>
              </w:rPr>
              <w:fldChar w:fldCharType="separate"/>
            </w:r>
            <w:r w:rsidR="00FF5932">
              <w:rPr>
                <w:noProof/>
                <w:webHidden/>
              </w:rPr>
              <w:t>25</w:t>
            </w:r>
            <w:r w:rsidR="00FF5932">
              <w:rPr>
                <w:noProof/>
                <w:webHidden/>
              </w:rPr>
              <w:fldChar w:fldCharType="end"/>
            </w:r>
          </w:hyperlink>
        </w:p>
        <w:p w14:paraId="121AA89D" w14:textId="5C848BDA"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39" w:history="1">
            <w:r w:rsidR="00FF5932" w:rsidRPr="00361EC0">
              <w:rPr>
                <w:rStyle w:val="Hyperlink"/>
                <w:noProof/>
              </w:rPr>
              <w:t>2.6</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Recommendation</w:t>
            </w:r>
            <w:r w:rsidR="00FF5932">
              <w:rPr>
                <w:noProof/>
                <w:webHidden/>
              </w:rPr>
              <w:tab/>
            </w:r>
            <w:r w:rsidR="00FF5932">
              <w:rPr>
                <w:noProof/>
                <w:webHidden/>
              </w:rPr>
              <w:fldChar w:fldCharType="begin"/>
            </w:r>
            <w:r w:rsidR="00FF5932">
              <w:rPr>
                <w:noProof/>
                <w:webHidden/>
              </w:rPr>
              <w:instrText xml:space="preserve"> PAGEREF _Toc219163939 \h </w:instrText>
            </w:r>
            <w:r w:rsidR="00FF5932">
              <w:rPr>
                <w:noProof/>
                <w:webHidden/>
              </w:rPr>
            </w:r>
            <w:r w:rsidR="00FF5932">
              <w:rPr>
                <w:noProof/>
                <w:webHidden/>
              </w:rPr>
              <w:fldChar w:fldCharType="separate"/>
            </w:r>
            <w:r w:rsidR="00FF5932">
              <w:rPr>
                <w:noProof/>
                <w:webHidden/>
              </w:rPr>
              <w:t>26</w:t>
            </w:r>
            <w:r w:rsidR="00FF5932">
              <w:rPr>
                <w:noProof/>
                <w:webHidden/>
              </w:rPr>
              <w:fldChar w:fldCharType="end"/>
            </w:r>
          </w:hyperlink>
        </w:p>
        <w:p w14:paraId="23C35386" w14:textId="6F0C275A"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40" w:history="1">
            <w:r w:rsidR="00FF5932" w:rsidRPr="00361EC0">
              <w:rPr>
                <w:rStyle w:val="Hyperlink"/>
                <w:noProof/>
              </w:rPr>
              <w:t>2.7</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Conclusion</w:t>
            </w:r>
            <w:r w:rsidR="00FF5932">
              <w:rPr>
                <w:noProof/>
                <w:webHidden/>
              </w:rPr>
              <w:tab/>
            </w:r>
            <w:r w:rsidR="00FF5932">
              <w:rPr>
                <w:noProof/>
                <w:webHidden/>
              </w:rPr>
              <w:fldChar w:fldCharType="begin"/>
            </w:r>
            <w:r w:rsidR="00FF5932">
              <w:rPr>
                <w:noProof/>
                <w:webHidden/>
              </w:rPr>
              <w:instrText xml:space="preserve"> PAGEREF _Toc219163940 \h </w:instrText>
            </w:r>
            <w:r w:rsidR="00FF5932">
              <w:rPr>
                <w:noProof/>
                <w:webHidden/>
              </w:rPr>
            </w:r>
            <w:r w:rsidR="00FF5932">
              <w:rPr>
                <w:noProof/>
                <w:webHidden/>
              </w:rPr>
              <w:fldChar w:fldCharType="separate"/>
            </w:r>
            <w:r w:rsidR="00FF5932">
              <w:rPr>
                <w:noProof/>
                <w:webHidden/>
              </w:rPr>
              <w:t>27</w:t>
            </w:r>
            <w:r w:rsidR="00FF5932">
              <w:rPr>
                <w:noProof/>
                <w:webHidden/>
              </w:rPr>
              <w:fldChar w:fldCharType="end"/>
            </w:r>
          </w:hyperlink>
        </w:p>
        <w:p w14:paraId="1767EFE8" w14:textId="35F4BF35" w:rsidR="00FF5932"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63941" w:history="1">
            <w:r w:rsidR="00FF5932" w:rsidRPr="00361EC0">
              <w:rPr>
                <w:rStyle w:val="Hyperlink"/>
                <w:noProof/>
              </w:rPr>
              <w:t>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Bibliography</w:t>
            </w:r>
            <w:r w:rsidR="00FF5932">
              <w:rPr>
                <w:noProof/>
                <w:webHidden/>
              </w:rPr>
              <w:tab/>
            </w:r>
            <w:r w:rsidR="00FF5932">
              <w:rPr>
                <w:noProof/>
                <w:webHidden/>
              </w:rPr>
              <w:fldChar w:fldCharType="begin"/>
            </w:r>
            <w:r w:rsidR="00FF5932">
              <w:rPr>
                <w:noProof/>
                <w:webHidden/>
              </w:rPr>
              <w:instrText xml:space="preserve"> PAGEREF _Toc219163941 \h </w:instrText>
            </w:r>
            <w:r w:rsidR="00FF5932">
              <w:rPr>
                <w:noProof/>
                <w:webHidden/>
              </w:rPr>
            </w:r>
            <w:r w:rsidR="00FF5932">
              <w:rPr>
                <w:noProof/>
                <w:webHidden/>
              </w:rPr>
              <w:fldChar w:fldCharType="separate"/>
            </w:r>
            <w:r w:rsidR="00FF5932">
              <w:rPr>
                <w:noProof/>
                <w:webHidden/>
              </w:rPr>
              <w:t>28</w:t>
            </w:r>
            <w:r w:rsidR="00FF5932">
              <w:rPr>
                <w:noProof/>
                <w:webHidden/>
              </w:rPr>
              <w:fldChar w:fldCharType="end"/>
            </w:r>
          </w:hyperlink>
        </w:p>
        <w:p w14:paraId="096B61EA" w14:textId="713D0D0D" w:rsidR="00FF5932" w:rsidRDefault="00000000">
          <w:pPr>
            <w:pStyle w:val="TOC1"/>
            <w:tabs>
              <w:tab w:val="left" w:pos="480"/>
              <w:tab w:val="right" w:leader="dot" w:pos="9350"/>
            </w:tabs>
            <w:rPr>
              <w:rFonts w:asciiTheme="minorHAnsi" w:eastAsiaTheme="minorEastAsia" w:hAnsiTheme="minorHAnsi" w:cstheme="minorBidi"/>
              <w:noProof/>
              <w:kern w:val="2"/>
              <w:szCs w:val="24"/>
              <w:lang w:val="en-US"/>
              <w14:ligatures w14:val="standardContextual"/>
            </w:rPr>
          </w:pPr>
          <w:hyperlink w:anchor="_Toc219163942" w:history="1">
            <w:r w:rsidR="00FF5932" w:rsidRPr="00361EC0">
              <w:rPr>
                <w:rStyle w:val="Hyperlink"/>
                <w:noProof/>
              </w:rPr>
              <w:t>4.</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Appendices</w:t>
            </w:r>
            <w:r w:rsidR="00FF5932">
              <w:rPr>
                <w:noProof/>
                <w:webHidden/>
              </w:rPr>
              <w:tab/>
            </w:r>
            <w:r w:rsidR="00FF5932">
              <w:rPr>
                <w:noProof/>
                <w:webHidden/>
              </w:rPr>
              <w:fldChar w:fldCharType="begin"/>
            </w:r>
            <w:r w:rsidR="00FF5932">
              <w:rPr>
                <w:noProof/>
                <w:webHidden/>
              </w:rPr>
              <w:instrText xml:space="preserve"> PAGEREF _Toc219163942 \h </w:instrText>
            </w:r>
            <w:r w:rsidR="00FF5932">
              <w:rPr>
                <w:noProof/>
                <w:webHidden/>
              </w:rPr>
            </w:r>
            <w:r w:rsidR="00FF5932">
              <w:rPr>
                <w:noProof/>
                <w:webHidden/>
              </w:rPr>
              <w:fldChar w:fldCharType="separate"/>
            </w:r>
            <w:r w:rsidR="00FF5932">
              <w:rPr>
                <w:noProof/>
                <w:webHidden/>
              </w:rPr>
              <w:t>31</w:t>
            </w:r>
            <w:r w:rsidR="00FF5932">
              <w:rPr>
                <w:noProof/>
                <w:webHidden/>
              </w:rPr>
              <w:fldChar w:fldCharType="end"/>
            </w:r>
          </w:hyperlink>
        </w:p>
        <w:p w14:paraId="7797FE2F" w14:textId="7E50AA5A"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43" w:history="1">
            <w:r w:rsidR="00FF5932" w:rsidRPr="00361EC0">
              <w:rPr>
                <w:rStyle w:val="Hyperlink"/>
                <w:noProof/>
              </w:rPr>
              <w:t>4.1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Appendix A: Financial Data &amp; Calculations</w:t>
            </w:r>
            <w:r w:rsidR="00FF5932">
              <w:rPr>
                <w:noProof/>
                <w:webHidden/>
              </w:rPr>
              <w:tab/>
            </w:r>
            <w:r w:rsidR="00FF5932">
              <w:rPr>
                <w:noProof/>
                <w:webHidden/>
              </w:rPr>
              <w:fldChar w:fldCharType="begin"/>
            </w:r>
            <w:r w:rsidR="00FF5932">
              <w:rPr>
                <w:noProof/>
                <w:webHidden/>
              </w:rPr>
              <w:instrText xml:space="preserve"> PAGEREF _Toc219163943 \h </w:instrText>
            </w:r>
            <w:r w:rsidR="00FF5932">
              <w:rPr>
                <w:noProof/>
                <w:webHidden/>
              </w:rPr>
            </w:r>
            <w:r w:rsidR="00FF5932">
              <w:rPr>
                <w:noProof/>
                <w:webHidden/>
              </w:rPr>
              <w:fldChar w:fldCharType="separate"/>
            </w:r>
            <w:r w:rsidR="00FF5932">
              <w:rPr>
                <w:noProof/>
                <w:webHidden/>
              </w:rPr>
              <w:t>31</w:t>
            </w:r>
            <w:r w:rsidR="00FF5932">
              <w:rPr>
                <w:noProof/>
                <w:webHidden/>
              </w:rPr>
              <w:fldChar w:fldCharType="end"/>
            </w:r>
          </w:hyperlink>
        </w:p>
        <w:p w14:paraId="1CFF4969" w14:textId="664826BE" w:rsidR="00FF5932" w:rsidRDefault="00000000">
          <w:pPr>
            <w:pStyle w:val="TOC2"/>
            <w:tabs>
              <w:tab w:val="left" w:pos="960"/>
              <w:tab w:val="right" w:leader="dot" w:pos="9350"/>
            </w:tabs>
            <w:rPr>
              <w:rFonts w:asciiTheme="minorHAnsi" w:eastAsiaTheme="minorEastAsia" w:hAnsiTheme="minorHAnsi" w:cstheme="minorBidi"/>
              <w:noProof/>
              <w:kern w:val="2"/>
              <w:szCs w:val="24"/>
              <w:lang w:val="en-US"/>
              <w14:ligatures w14:val="standardContextual"/>
            </w:rPr>
          </w:pPr>
          <w:hyperlink w:anchor="_Toc219163944" w:history="1">
            <w:r w:rsidR="00FF5932" w:rsidRPr="00361EC0">
              <w:rPr>
                <w:rStyle w:val="Hyperlink"/>
                <w:noProof/>
              </w:rPr>
              <w:t>4.2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Appendix B: Investment Appraisal Calculations</w:t>
            </w:r>
            <w:r w:rsidR="00FF5932">
              <w:rPr>
                <w:noProof/>
                <w:webHidden/>
              </w:rPr>
              <w:tab/>
            </w:r>
            <w:r w:rsidR="00FF5932">
              <w:rPr>
                <w:noProof/>
                <w:webHidden/>
              </w:rPr>
              <w:fldChar w:fldCharType="begin"/>
            </w:r>
            <w:r w:rsidR="00FF5932">
              <w:rPr>
                <w:noProof/>
                <w:webHidden/>
              </w:rPr>
              <w:instrText xml:space="preserve"> PAGEREF _Toc219163944 \h </w:instrText>
            </w:r>
            <w:r w:rsidR="00FF5932">
              <w:rPr>
                <w:noProof/>
                <w:webHidden/>
              </w:rPr>
            </w:r>
            <w:r w:rsidR="00FF5932">
              <w:rPr>
                <w:noProof/>
                <w:webHidden/>
              </w:rPr>
              <w:fldChar w:fldCharType="separate"/>
            </w:r>
            <w:r w:rsidR="00FF5932">
              <w:rPr>
                <w:noProof/>
                <w:webHidden/>
              </w:rPr>
              <w:t>35</w:t>
            </w:r>
            <w:r w:rsidR="00FF5932">
              <w:rPr>
                <w:noProof/>
                <w:webHidden/>
              </w:rPr>
              <w:fldChar w:fldCharType="end"/>
            </w:r>
          </w:hyperlink>
        </w:p>
        <w:p w14:paraId="08B01033" w14:textId="5C66C6CF"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45" w:history="1">
            <w:r w:rsidR="00FF5932" w:rsidRPr="00361EC0">
              <w:rPr>
                <w:rStyle w:val="Hyperlink"/>
                <w:rFonts w:eastAsia="Google Sans" w:cs="Times New Roman"/>
                <w:noProof/>
              </w:rPr>
              <w:t>4.2.1</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rFonts w:eastAsia="Google Sans" w:cs="Times New Roman"/>
                <w:noProof/>
              </w:rPr>
              <w:t>Option A: Expand Retail Outlet</w:t>
            </w:r>
            <w:r w:rsidR="00FF5932">
              <w:rPr>
                <w:noProof/>
                <w:webHidden/>
              </w:rPr>
              <w:tab/>
            </w:r>
            <w:r w:rsidR="00FF5932">
              <w:rPr>
                <w:noProof/>
                <w:webHidden/>
              </w:rPr>
              <w:fldChar w:fldCharType="begin"/>
            </w:r>
            <w:r w:rsidR="00FF5932">
              <w:rPr>
                <w:noProof/>
                <w:webHidden/>
              </w:rPr>
              <w:instrText xml:space="preserve"> PAGEREF _Toc219163945 \h </w:instrText>
            </w:r>
            <w:r w:rsidR="00FF5932">
              <w:rPr>
                <w:noProof/>
                <w:webHidden/>
              </w:rPr>
            </w:r>
            <w:r w:rsidR="00FF5932">
              <w:rPr>
                <w:noProof/>
                <w:webHidden/>
              </w:rPr>
              <w:fldChar w:fldCharType="separate"/>
            </w:r>
            <w:r w:rsidR="00FF5932">
              <w:rPr>
                <w:noProof/>
                <w:webHidden/>
              </w:rPr>
              <w:t>35</w:t>
            </w:r>
            <w:r w:rsidR="00FF5932">
              <w:rPr>
                <w:noProof/>
                <w:webHidden/>
              </w:rPr>
              <w:fldChar w:fldCharType="end"/>
            </w:r>
          </w:hyperlink>
        </w:p>
        <w:p w14:paraId="656A19D7" w14:textId="6BA38FCB"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46" w:history="1">
            <w:r w:rsidR="00FF5932" w:rsidRPr="00361EC0">
              <w:rPr>
                <w:rStyle w:val="Hyperlink"/>
                <w:rFonts w:eastAsia="Google Sans" w:cs="Times New Roman"/>
                <w:noProof/>
              </w:rPr>
              <w:t>4.2.2</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rFonts w:eastAsia="Google Sans" w:cs="Times New Roman"/>
                <w:noProof/>
              </w:rPr>
              <w:t>Option B: Develop Internet Sales</w:t>
            </w:r>
            <w:r w:rsidR="00FF5932">
              <w:rPr>
                <w:noProof/>
                <w:webHidden/>
              </w:rPr>
              <w:tab/>
            </w:r>
            <w:r w:rsidR="00FF5932">
              <w:rPr>
                <w:noProof/>
                <w:webHidden/>
              </w:rPr>
              <w:fldChar w:fldCharType="begin"/>
            </w:r>
            <w:r w:rsidR="00FF5932">
              <w:rPr>
                <w:noProof/>
                <w:webHidden/>
              </w:rPr>
              <w:instrText xml:space="preserve"> PAGEREF _Toc219163946 \h </w:instrText>
            </w:r>
            <w:r w:rsidR="00FF5932">
              <w:rPr>
                <w:noProof/>
                <w:webHidden/>
              </w:rPr>
            </w:r>
            <w:r w:rsidR="00FF5932">
              <w:rPr>
                <w:noProof/>
                <w:webHidden/>
              </w:rPr>
              <w:fldChar w:fldCharType="separate"/>
            </w:r>
            <w:r w:rsidR="00FF5932">
              <w:rPr>
                <w:noProof/>
                <w:webHidden/>
              </w:rPr>
              <w:t>36</w:t>
            </w:r>
            <w:r w:rsidR="00FF5932">
              <w:rPr>
                <w:noProof/>
                <w:webHidden/>
              </w:rPr>
              <w:fldChar w:fldCharType="end"/>
            </w:r>
          </w:hyperlink>
        </w:p>
        <w:p w14:paraId="326E387B" w14:textId="3C01B772"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47" w:history="1">
            <w:r w:rsidR="00FF5932" w:rsidRPr="00361EC0">
              <w:rPr>
                <w:rStyle w:val="Hyperlink"/>
                <w:rFonts w:eastAsia="Google Sans" w:cs="Times New Roman"/>
                <w:noProof/>
              </w:rPr>
              <w:t>4.2.3</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rFonts w:eastAsia="Google Sans" w:cs="Times New Roman"/>
                <w:noProof/>
              </w:rPr>
              <w:t>Option C: Produce Blinds</w:t>
            </w:r>
            <w:r w:rsidR="00FF5932">
              <w:rPr>
                <w:noProof/>
                <w:webHidden/>
              </w:rPr>
              <w:tab/>
            </w:r>
            <w:r w:rsidR="00FF5932">
              <w:rPr>
                <w:noProof/>
                <w:webHidden/>
              </w:rPr>
              <w:fldChar w:fldCharType="begin"/>
            </w:r>
            <w:r w:rsidR="00FF5932">
              <w:rPr>
                <w:noProof/>
                <w:webHidden/>
              </w:rPr>
              <w:instrText xml:space="preserve"> PAGEREF _Toc219163947 \h </w:instrText>
            </w:r>
            <w:r w:rsidR="00FF5932">
              <w:rPr>
                <w:noProof/>
                <w:webHidden/>
              </w:rPr>
            </w:r>
            <w:r w:rsidR="00FF5932">
              <w:rPr>
                <w:noProof/>
                <w:webHidden/>
              </w:rPr>
              <w:fldChar w:fldCharType="separate"/>
            </w:r>
            <w:r w:rsidR="00FF5932">
              <w:rPr>
                <w:noProof/>
                <w:webHidden/>
              </w:rPr>
              <w:t>37</w:t>
            </w:r>
            <w:r w:rsidR="00FF5932">
              <w:rPr>
                <w:noProof/>
                <w:webHidden/>
              </w:rPr>
              <w:fldChar w:fldCharType="end"/>
            </w:r>
          </w:hyperlink>
        </w:p>
        <w:p w14:paraId="49798553" w14:textId="06476333" w:rsidR="00FF5932" w:rsidRDefault="00000000">
          <w:pPr>
            <w:pStyle w:val="TOC3"/>
            <w:tabs>
              <w:tab w:val="left" w:pos="1440"/>
              <w:tab w:val="right" w:leader="dot" w:pos="9350"/>
            </w:tabs>
            <w:rPr>
              <w:rFonts w:asciiTheme="minorHAnsi" w:eastAsiaTheme="minorEastAsia" w:hAnsiTheme="minorHAnsi" w:cstheme="minorBidi"/>
              <w:noProof/>
              <w:kern w:val="2"/>
              <w:szCs w:val="24"/>
              <w:lang w:val="en-US"/>
              <w14:ligatures w14:val="standardContextual"/>
            </w:rPr>
          </w:pPr>
          <w:hyperlink w:anchor="_Toc219163948" w:history="1">
            <w:r w:rsidR="00FF5932" w:rsidRPr="00361EC0">
              <w:rPr>
                <w:rStyle w:val="Hyperlink"/>
                <w:noProof/>
              </w:rPr>
              <w:t>4.2.4</w:t>
            </w:r>
            <w:r w:rsidR="00FF5932">
              <w:rPr>
                <w:rFonts w:asciiTheme="minorHAnsi" w:eastAsiaTheme="minorEastAsia" w:hAnsiTheme="minorHAnsi" w:cstheme="minorBidi"/>
                <w:noProof/>
                <w:kern w:val="2"/>
                <w:szCs w:val="24"/>
                <w:lang w:val="en-US"/>
                <w14:ligatures w14:val="standardContextual"/>
              </w:rPr>
              <w:tab/>
            </w:r>
            <w:r w:rsidR="00FF5932" w:rsidRPr="00361EC0">
              <w:rPr>
                <w:rStyle w:val="Hyperlink"/>
                <w:noProof/>
              </w:rPr>
              <w:t>Capital Rationing Calculations</w:t>
            </w:r>
            <w:r w:rsidR="00FF5932">
              <w:rPr>
                <w:noProof/>
                <w:webHidden/>
              </w:rPr>
              <w:tab/>
            </w:r>
            <w:r w:rsidR="00FF5932">
              <w:rPr>
                <w:noProof/>
                <w:webHidden/>
              </w:rPr>
              <w:fldChar w:fldCharType="begin"/>
            </w:r>
            <w:r w:rsidR="00FF5932">
              <w:rPr>
                <w:noProof/>
                <w:webHidden/>
              </w:rPr>
              <w:instrText xml:space="preserve"> PAGEREF _Toc219163948 \h </w:instrText>
            </w:r>
            <w:r w:rsidR="00FF5932">
              <w:rPr>
                <w:noProof/>
                <w:webHidden/>
              </w:rPr>
            </w:r>
            <w:r w:rsidR="00FF5932">
              <w:rPr>
                <w:noProof/>
                <w:webHidden/>
              </w:rPr>
              <w:fldChar w:fldCharType="separate"/>
            </w:r>
            <w:r w:rsidR="00FF5932">
              <w:rPr>
                <w:noProof/>
                <w:webHidden/>
              </w:rPr>
              <w:t>38</w:t>
            </w:r>
            <w:r w:rsidR="00FF5932">
              <w:rPr>
                <w:noProof/>
                <w:webHidden/>
              </w:rPr>
              <w:fldChar w:fldCharType="end"/>
            </w:r>
          </w:hyperlink>
        </w:p>
        <w:p w14:paraId="3FFAEB6E" w14:textId="55FC954C" w:rsidR="006D2254" w:rsidRDefault="006D2254">
          <w:r>
            <w:rPr>
              <w:b/>
              <w:bCs/>
              <w:noProof/>
            </w:rPr>
            <w:fldChar w:fldCharType="end"/>
          </w:r>
        </w:p>
      </w:sdtContent>
    </w:sdt>
    <w:p w14:paraId="090DA503" w14:textId="326AB79D" w:rsidR="006D2254" w:rsidRDefault="006D2254">
      <w:pPr>
        <w:spacing w:before="0" w:after="0" w:line="240" w:lineRule="auto"/>
        <w:jc w:val="left"/>
      </w:pPr>
      <w:r>
        <w:br w:type="page"/>
      </w:r>
    </w:p>
    <w:p w14:paraId="1C177350" w14:textId="26398E1D" w:rsidR="00503641" w:rsidRDefault="00503641" w:rsidP="00D35A84">
      <w:pPr>
        <w:pStyle w:val="Heading1"/>
        <w:numPr>
          <w:ilvl w:val="0"/>
          <w:numId w:val="10"/>
        </w:numPr>
      </w:pPr>
      <w:bookmarkStart w:id="0" w:name="_Toc219163912"/>
      <w:r>
        <w:lastRenderedPageBreak/>
        <w:t>Part 1</w:t>
      </w:r>
      <w:bookmarkEnd w:id="0"/>
    </w:p>
    <w:p w14:paraId="6B12AA1E" w14:textId="252874D9" w:rsidR="000047A4" w:rsidRPr="00503641" w:rsidRDefault="00000000" w:rsidP="00503641">
      <w:pPr>
        <w:pStyle w:val="Heading2"/>
        <w:spacing w:before="0"/>
      </w:pPr>
      <w:bookmarkStart w:id="1" w:name="_Toc219163913"/>
      <w:r w:rsidRPr="00503641">
        <w:t>Executive Summary</w:t>
      </w:r>
      <w:bookmarkEnd w:id="1"/>
    </w:p>
    <w:p w14:paraId="0A418278" w14:textId="6C11C28E" w:rsidR="00503641" w:rsidRPr="00DE6DA7" w:rsidRDefault="00503641" w:rsidP="00DE6DA7">
      <w:pPr>
        <w:pBdr>
          <w:top w:val="nil"/>
          <w:left w:val="nil"/>
          <w:bottom w:val="nil"/>
          <w:right w:val="nil"/>
          <w:between w:val="nil"/>
        </w:pBdr>
        <w:spacing w:before="0" w:after="240"/>
        <w:rPr>
          <w:rFonts w:eastAsia="Google Sans Text" w:cs="Times New Roman"/>
          <w:color w:val="1F1F1F"/>
        </w:rPr>
      </w:pPr>
      <w:r w:rsidRPr="00503641">
        <w:rPr>
          <w:rFonts w:eastAsia="Google Sans Text" w:cs="Times New Roman"/>
          <w:color w:val="1F1F1F"/>
        </w:rPr>
        <w:t xml:space="preserve">A full review of the financial performance of J Sainsbury plc, with comparison to FY 24, was undertaken as part of this review of the </w:t>
      </w:r>
      <w:r w:rsidR="00665D61" w:rsidRPr="00503641">
        <w:rPr>
          <w:rFonts w:eastAsia="Google Sans Text" w:cs="Times New Roman"/>
          <w:color w:val="1F1F1F"/>
        </w:rPr>
        <w:t>52-week</w:t>
      </w:r>
      <w:r w:rsidRPr="00503641">
        <w:rPr>
          <w:rFonts w:eastAsia="Google Sans Text" w:cs="Times New Roman"/>
          <w:color w:val="1F1F1F"/>
        </w:rPr>
        <w:t xml:space="preserve"> results to 01 March 2025 (FY 25) for the purposes of assessing the Group's strategic direction ("Next Level") in terms of corporate health; operational efficiency; and, its ability to attract investment. A number of quantitative indicators were used as part of this assessment, including a range of financial ratios based on data contained within the Group's 2025 Annual Report under the headings of Profitability, Liquidity, Efficiency, Solvency and Investor Returns. The "Next Level" strategy has been successful in increasing volume through "Food First", whilst improving margin, partly as a result of increased efficiency, and largely as a result of price increases being absorbed. The statutory profit for the year increased substantially to £242 million (FY 24: £137 million) - a very good level of profitability for the sector. The Group's liquidity position has improved considerably. The current ratio improved to 0.74:1 (FY 24: 0.66:1), largely as a result of a significant increase in cash and cash equivalents of £2.78 billion. Although the working capital cycle still remains negative (a characteristic of the food retail sector), there are benefits of having such a large cash reserve in place, and it therefore represents a lower risk. The speed at which stock turns over remains a key source of competitive advantage. Stock turn increased to 15.8 times, resulting in an average stockholding period of 23.2 days. </w:t>
      </w:r>
      <w:r w:rsidR="00DE6DA7" w:rsidRPr="00DE6DA7">
        <w:rPr>
          <w:rFonts w:eastAsia="Google Sans Text" w:cs="Times New Roman"/>
          <w:color w:val="1F1F1F"/>
        </w:rPr>
        <w:t>Vitally important is the speed of stock turnover keeping the products of acceptable quality and releasing cash in a business in a comparatively low-margin environment. The Group gearing has dropped to a great extent. The gearing ratio decreased to 36.5</w:t>
      </w:r>
      <w:r w:rsidR="00DE6DA7">
        <w:rPr>
          <w:rFonts w:eastAsia="Google Sans Text" w:cs="Times New Roman"/>
          <w:color w:val="1F1F1F"/>
        </w:rPr>
        <w:t>%</w:t>
      </w:r>
      <w:r w:rsidR="00DE6DA7" w:rsidRPr="00DE6DA7">
        <w:rPr>
          <w:rFonts w:eastAsia="Google Sans Text" w:cs="Times New Roman"/>
          <w:color w:val="1F1F1F"/>
        </w:rPr>
        <w:t xml:space="preserve"> (39.9</w:t>
      </w:r>
      <w:r w:rsidR="00DE6DA7">
        <w:rPr>
          <w:rFonts w:eastAsia="Google Sans Text" w:cs="Times New Roman"/>
          <w:color w:val="1F1F1F"/>
        </w:rPr>
        <w:t>%</w:t>
      </w:r>
      <w:r w:rsidR="00DE6DA7" w:rsidRPr="00DE6DA7">
        <w:rPr>
          <w:rFonts w:eastAsia="Google Sans Text" w:cs="Times New Roman"/>
          <w:color w:val="1F1F1F"/>
        </w:rPr>
        <w:t xml:space="preserve"> in FY 24) due to decrease in net debt level, and the Group had a high cash generating ability. The fact that the group has consistently shown a strong interest cover ratio of 3.06 in addition to offering assurance of the company capacity to meet its interest payments implies that even in the event that interest rates increase, the group should be capable of keeping on servicing its debt obligations.</w:t>
      </w:r>
      <w:r w:rsidRPr="00503641">
        <w:rPr>
          <w:rFonts w:eastAsia="Google Sans Text" w:cs="Times New Roman"/>
          <w:color w:val="1F1F1F"/>
        </w:rPr>
        <w:t xml:space="preserve"> In light of these factors, the report makes a number of recommendations concerning the Group's use of capital in future years, including continuing to allocate capital towards high-return retail investments; continuing to integrate the Argos supply chain; and utilising the group's current strong cash balance to either increase the return to shareholders or reduce lease liabilities</w:t>
      </w:r>
      <w:r w:rsidR="00DE6DA7">
        <w:rPr>
          <w:rFonts w:eastAsia="Google Sans Text" w:cs="Times New Roman"/>
          <w:color w:val="1F1F1F"/>
        </w:rPr>
        <w:t>.</w:t>
      </w:r>
      <w:r>
        <w:rPr>
          <w:rFonts w:eastAsia="Google Sans Text" w:cs="Times New Roman"/>
        </w:rPr>
        <w:br w:type="page"/>
      </w:r>
    </w:p>
    <w:p w14:paraId="3317B5F2" w14:textId="72FD06E8" w:rsidR="000047A4" w:rsidRPr="00503641" w:rsidRDefault="00000000" w:rsidP="00503641">
      <w:pPr>
        <w:pStyle w:val="Heading2"/>
      </w:pPr>
      <w:bookmarkStart w:id="2" w:name="_Toc219163914"/>
      <w:r w:rsidRPr="00503641">
        <w:lastRenderedPageBreak/>
        <w:t>Introduction</w:t>
      </w:r>
      <w:bookmarkEnd w:id="2"/>
    </w:p>
    <w:p w14:paraId="472BFC92" w14:textId="77777777" w:rsidR="00503641" w:rsidRPr="00503641" w:rsidRDefault="00503641" w:rsidP="00503641">
      <w:pPr>
        <w:pBdr>
          <w:top w:val="nil"/>
          <w:left w:val="nil"/>
          <w:bottom w:val="nil"/>
          <w:right w:val="nil"/>
          <w:between w:val="nil"/>
        </w:pBdr>
        <w:spacing w:after="240"/>
        <w:rPr>
          <w:rFonts w:eastAsia="Google Sans Text" w:cs="Times New Roman"/>
          <w:color w:val="1F1F1F"/>
        </w:rPr>
      </w:pPr>
      <w:r w:rsidRPr="00503641">
        <w:rPr>
          <w:rFonts w:eastAsia="Google Sans Text" w:cs="Times New Roman"/>
          <w:color w:val="1F1F1F"/>
        </w:rPr>
        <w:t xml:space="preserve">Sainsbury’s is an FTSE 100 listed company and the UK’s second largest supermarket with a market share of around 15.6% (The Grocer, 2025; Kantar Worldpanel, 2025). Sainsbury’s operates as a multi-channel business model, consisting of three main areas of operation – retail (food), general merchandise (including Argos, Habitat and Tu) and financial services. The reporting year for this study (2024-2025) represents an important stage of Sainsbury’s “Next Level Sainsbury’s” strategic plan. Sainsbury’s intends to increase its market share significantly through both increased investment in value for money offers and through the use of data analytics to develop loyalty schemes (Mintel, 2025). </w:t>
      </w:r>
    </w:p>
    <w:p w14:paraId="6AEA9959" w14:textId="77777777" w:rsidR="00DE6DA7" w:rsidRPr="00DE6DA7" w:rsidRDefault="00503641" w:rsidP="00DE6DA7">
      <w:pPr>
        <w:pBdr>
          <w:top w:val="nil"/>
          <w:left w:val="nil"/>
          <w:bottom w:val="nil"/>
          <w:right w:val="nil"/>
          <w:between w:val="nil"/>
        </w:pBdr>
        <w:spacing w:after="240"/>
        <w:rPr>
          <w:rFonts w:eastAsia="Google Sans Text" w:cs="Times New Roman"/>
          <w:color w:val="1F1F1F"/>
        </w:rPr>
      </w:pPr>
      <w:r w:rsidRPr="00503641">
        <w:rPr>
          <w:rFonts w:eastAsia="Google Sans Text" w:cs="Times New Roman"/>
          <w:color w:val="1F1F1F"/>
        </w:rPr>
        <w:t>The UK food industry is a highly competitive and marginally profitable industry with high operational gearing (Porter, 1980). In addition to well-established brands such as Tesco and Sainsbury’s, the UK food retail market has recently experienced disruption caused by the rapid growth of the limited assortment discounters Aldi and Lidl, who are attracting price-sensitive shoppers (Retail Gazette, 202</w:t>
      </w:r>
      <w:r w:rsidR="00AA25C7">
        <w:rPr>
          <w:rFonts w:eastAsia="Google Sans Text" w:cs="Times New Roman"/>
          <w:color w:val="1F1F1F"/>
        </w:rPr>
        <w:t>5</w:t>
      </w:r>
      <w:r w:rsidRPr="00503641">
        <w:rPr>
          <w:rFonts w:eastAsia="Google Sans Text" w:cs="Times New Roman"/>
          <w:color w:val="1F1F1F"/>
        </w:rPr>
        <w:t xml:space="preserve">). </w:t>
      </w:r>
      <w:r w:rsidR="00DE6DA7" w:rsidRPr="00DE6DA7">
        <w:rPr>
          <w:rFonts w:eastAsia="Google Sans Text" w:cs="Times New Roman"/>
          <w:color w:val="1F1F1F"/>
        </w:rPr>
        <w:t>The UK economy was still struggling in FY25 but there were signs that it had reached the bottom (Bank of England, 2025). Even though the rate of headline inflation is lower than it was at its peak in earlier years, the operating costs remain high among the UK retailers: these include labour costs, which are on the rise (National Living Wage), as well as energy prices, which are rising (ONS, 2025).</w:t>
      </w:r>
    </w:p>
    <w:p w14:paraId="4509E0F8"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It is within this context that Sainsbury has been working on its strategy of Food First. Food First places more emphasis on the price cuts and loyalty scheme called Nectar Prices as the means of retaining its customers and enhancing operational productivity to ensure that the profit margins are safeguarded (Marketing Week, 2025). With the help of this two-pronged strategy, Sainsbury will be able to nullify the price edge of the discounters and take advantage of its better product offer (IG Group, 2025).</w:t>
      </w:r>
    </w:p>
    <w:p w14:paraId="0E070370" w14:textId="27086AD4" w:rsidR="000047A4" w:rsidRPr="00503641"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 xml:space="preserve">This paper will critically evaluate how Sainsbury strategic decision-making activity has influenced its financial performance using the latest FY25 data. Based on the information reflected in the 2025 annual reports, the research will determine whether the Food First strategic initiative(s) have brought concrete positive changes to the profitability, liquidity and shareholder wealth of Sainsbury. The research will be based on the existing theoretical foundations and ratio analysis </w:t>
      </w:r>
      <w:r w:rsidRPr="00DE6DA7">
        <w:rPr>
          <w:rFonts w:eastAsia="Google Sans Text" w:cs="Times New Roman"/>
          <w:color w:val="1F1F1F"/>
        </w:rPr>
        <w:lastRenderedPageBreak/>
        <w:t xml:space="preserve">procedures (Dyson, 2020; </w:t>
      </w:r>
      <w:proofErr w:type="spellStart"/>
      <w:r w:rsidRPr="00DE6DA7">
        <w:rPr>
          <w:rFonts w:eastAsia="Google Sans Text" w:cs="Times New Roman"/>
          <w:color w:val="1F1F1F"/>
        </w:rPr>
        <w:t>Atrill</w:t>
      </w:r>
      <w:proofErr w:type="spellEnd"/>
      <w:r w:rsidRPr="00DE6DA7">
        <w:rPr>
          <w:rFonts w:eastAsia="Google Sans Text" w:cs="Times New Roman"/>
          <w:color w:val="1F1F1F"/>
        </w:rPr>
        <w:t xml:space="preserve"> and McLaney, 2019) to offer an in-depth analysis of the financial performance and financial status held by Sainsbury.</w:t>
      </w:r>
    </w:p>
    <w:p w14:paraId="3E1B9830" w14:textId="29EC7ECE" w:rsidR="000047A4" w:rsidRPr="00503641" w:rsidRDefault="00000000" w:rsidP="00503641">
      <w:pPr>
        <w:pStyle w:val="Heading2"/>
      </w:pPr>
      <w:bookmarkStart w:id="3" w:name="_Toc219163915"/>
      <w:r w:rsidRPr="00503641">
        <w:t>Main Findings: Ratio Analysis</w:t>
      </w:r>
      <w:bookmarkEnd w:id="3"/>
    </w:p>
    <w:p w14:paraId="1C4CC682" w14:textId="77777777" w:rsidR="00503641" w:rsidRPr="00503641" w:rsidRDefault="00503641" w:rsidP="00503641">
      <w:pPr>
        <w:pBdr>
          <w:top w:val="nil"/>
          <w:left w:val="nil"/>
          <w:bottom w:val="nil"/>
          <w:right w:val="nil"/>
          <w:between w:val="nil"/>
        </w:pBdr>
        <w:spacing w:after="240"/>
        <w:rPr>
          <w:rFonts w:eastAsia="Google Sans Text" w:cs="Times New Roman"/>
          <w:color w:val="1F1F1F"/>
        </w:rPr>
      </w:pPr>
      <w:r w:rsidRPr="00503641">
        <w:rPr>
          <w:rFonts w:eastAsia="Google Sans Text" w:cs="Times New Roman"/>
          <w:color w:val="1F1F1F"/>
        </w:rPr>
        <w:t>This analysis uses the specific financial information available to provide a comparison between the two years as it pertains to the 52 weeks that ended on 1 March 2025 and 2 March 2024 (J Sainsbury plc, 2025).</w:t>
      </w:r>
    </w:p>
    <w:p w14:paraId="48682CBD" w14:textId="41F90F30" w:rsidR="00503641" w:rsidRPr="00503641" w:rsidRDefault="00503641" w:rsidP="00503641">
      <w:pPr>
        <w:pStyle w:val="Heading3"/>
      </w:pPr>
      <w:bookmarkStart w:id="4" w:name="_Toc219163916"/>
      <w:r w:rsidRPr="00503641">
        <w:t>Profitability Ratios</w:t>
      </w:r>
      <w:bookmarkEnd w:id="4"/>
      <w:r w:rsidRPr="00503641">
        <w:t xml:space="preserve"> </w:t>
      </w:r>
    </w:p>
    <w:p w14:paraId="76B7E570" w14:textId="0AD164A0" w:rsidR="000047A4" w:rsidRPr="00503641" w:rsidRDefault="00503641" w:rsidP="00503641">
      <w:pPr>
        <w:pBdr>
          <w:top w:val="nil"/>
          <w:left w:val="nil"/>
          <w:bottom w:val="nil"/>
          <w:right w:val="nil"/>
          <w:between w:val="nil"/>
        </w:pBdr>
        <w:spacing w:after="240"/>
        <w:rPr>
          <w:rFonts w:eastAsia="Google Sans Text" w:cs="Times New Roman"/>
          <w:color w:val="1F1F1F"/>
        </w:rPr>
      </w:pPr>
      <w:r w:rsidRPr="00503641">
        <w:rPr>
          <w:rFonts w:eastAsia="Google Sans Text" w:cs="Times New Roman"/>
          <w:color w:val="1F1F1F"/>
        </w:rPr>
        <w:t>The profitability ratios will indicate a firm’s competitiveness and its managers’ skills. The profit ratios measure the ability of the firm to earn profits per unit of sales, per unit of asset and per unit of equity (capital) (Watson and Head, 2019). As such these measures enable stakeholders to evaluate whether or not the business has been effective in generating shareholder returns from sales (</w:t>
      </w:r>
      <w:r w:rsidR="00A60FFF" w:rsidRPr="00503641">
        <w:rPr>
          <w:rFonts w:eastAsia="Google Sans Text" w:cs="Times New Roman"/>
          <w:color w:val="1F1F1F"/>
        </w:rPr>
        <w:t>Horngren</w:t>
      </w:r>
      <w:r w:rsidRPr="00503641">
        <w:rPr>
          <w:rFonts w:eastAsia="Google Sans Text" w:cs="Times New Roman"/>
          <w:color w:val="1F1F1F"/>
        </w:rPr>
        <w:t>,</w:t>
      </w:r>
      <w:r w:rsidR="003F030F">
        <w:rPr>
          <w:rFonts w:eastAsia="Google Sans Text" w:cs="Times New Roman"/>
          <w:color w:val="1F1F1F"/>
        </w:rPr>
        <w:t xml:space="preserve"> </w:t>
      </w:r>
      <w:r w:rsidR="003F030F" w:rsidRPr="00FF5932">
        <w:t>Datar</w:t>
      </w:r>
      <w:r w:rsidR="003F030F">
        <w:t xml:space="preserve"> and Rajan,</w:t>
      </w:r>
      <w:r w:rsidRPr="00503641">
        <w:rPr>
          <w:rFonts w:eastAsia="Google Sans Text" w:cs="Times New Roman"/>
          <w:color w:val="1F1F1F"/>
        </w:rPr>
        <w:t xml:space="preserve"> 2023).</w:t>
      </w:r>
    </w:p>
    <w:p w14:paraId="07E9E61D" w14:textId="77777777" w:rsidR="000047A4" w:rsidRPr="00503641" w:rsidRDefault="00000000" w:rsidP="00503641">
      <w:pPr>
        <w:pBdr>
          <w:top w:val="nil"/>
          <w:left w:val="nil"/>
          <w:bottom w:val="nil"/>
          <w:right w:val="nil"/>
          <w:between w:val="nil"/>
        </w:pBdr>
        <w:spacing w:after="240"/>
        <w:jc w:val="center"/>
        <w:rPr>
          <w:rFonts w:eastAsia="Google Sans Text" w:cs="Times New Roman"/>
          <w:b/>
          <w:bCs/>
          <w:color w:val="1F1F1F"/>
        </w:rPr>
      </w:pPr>
      <w:r w:rsidRPr="00503641">
        <w:rPr>
          <w:rFonts w:eastAsia="Google Sans Text" w:cs="Times New Roman"/>
          <w:b/>
          <w:bCs/>
          <w:color w:val="1F1F1F"/>
        </w:rPr>
        <w:t>Table 1: Profitability Ratios</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0047A4" w:rsidRPr="00503641" w14:paraId="5973137A" w14:textId="77777777" w:rsidTr="00503641">
        <w:tc>
          <w:tcPr>
            <w:tcW w:w="1872" w:type="dxa"/>
          </w:tcPr>
          <w:p w14:paraId="332D93B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w:t>
            </w:r>
          </w:p>
        </w:tc>
        <w:tc>
          <w:tcPr>
            <w:tcW w:w="1872" w:type="dxa"/>
          </w:tcPr>
          <w:p w14:paraId="7688C19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w:t>
            </w:r>
          </w:p>
        </w:tc>
        <w:tc>
          <w:tcPr>
            <w:tcW w:w="1872" w:type="dxa"/>
          </w:tcPr>
          <w:p w14:paraId="7778F16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1872" w:type="dxa"/>
          </w:tcPr>
          <w:p w14:paraId="75D244B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c>
          <w:tcPr>
            <w:tcW w:w="1872" w:type="dxa"/>
          </w:tcPr>
          <w:p w14:paraId="1EA2751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Change</w:t>
            </w:r>
          </w:p>
        </w:tc>
      </w:tr>
      <w:tr w:rsidR="000047A4" w:rsidRPr="00503641" w14:paraId="785096CA" w14:textId="77777777" w:rsidTr="00503641">
        <w:tc>
          <w:tcPr>
            <w:tcW w:w="1872" w:type="dxa"/>
          </w:tcPr>
          <w:p w14:paraId="2EBF0F8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Gross Profit Margin</w:t>
            </w:r>
          </w:p>
        </w:tc>
        <w:tc>
          <w:tcPr>
            <w:tcW w:w="1872" w:type="dxa"/>
          </w:tcPr>
          <w:p w14:paraId="72C3909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sales - COGS/Total sales x100</w:t>
            </w:r>
          </w:p>
        </w:tc>
        <w:tc>
          <w:tcPr>
            <w:tcW w:w="1872" w:type="dxa"/>
          </w:tcPr>
          <w:p w14:paraId="538E2BC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7.01%</w:t>
            </w:r>
          </w:p>
        </w:tc>
        <w:tc>
          <w:tcPr>
            <w:tcW w:w="1872" w:type="dxa"/>
          </w:tcPr>
          <w:p w14:paraId="103212C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6.91%</w:t>
            </w:r>
          </w:p>
        </w:tc>
        <w:tc>
          <w:tcPr>
            <w:tcW w:w="1872" w:type="dxa"/>
          </w:tcPr>
          <w:p w14:paraId="6C078A46"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+0.10%</w:t>
            </w:r>
          </w:p>
        </w:tc>
      </w:tr>
      <w:tr w:rsidR="000047A4" w:rsidRPr="00503641" w14:paraId="0806C71E" w14:textId="77777777" w:rsidTr="00503641">
        <w:tc>
          <w:tcPr>
            <w:tcW w:w="1872" w:type="dxa"/>
          </w:tcPr>
          <w:p w14:paraId="46B5AADC"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Operating Profit Margin</w:t>
            </w:r>
          </w:p>
        </w:tc>
        <w:tc>
          <w:tcPr>
            <w:tcW w:w="1872" w:type="dxa"/>
          </w:tcPr>
          <w:p w14:paraId="42688DE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Operating profit/Net sales</w:t>
            </w:r>
          </w:p>
        </w:tc>
        <w:tc>
          <w:tcPr>
            <w:tcW w:w="1872" w:type="dxa"/>
          </w:tcPr>
          <w:p w14:paraId="40193B9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3.14%</w:t>
            </w:r>
          </w:p>
        </w:tc>
        <w:tc>
          <w:tcPr>
            <w:tcW w:w="1872" w:type="dxa"/>
          </w:tcPr>
          <w:p w14:paraId="2310448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2.94%</w:t>
            </w:r>
          </w:p>
        </w:tc>
        <w:tc>
          <w:tcPr>
            <w:tcW w:w="1872" w:type="dxa"/>
          </w:tcPr>
          <w:p w14:paraId="42210698"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+0.20%</w:t>
            </w:r>
          </w:p>
        </w:tc>
      </w:tr>
      <w:tr w:rsidR="000047A4" w:rsidRPr="00503641" w14:paraId="0CECE057" w14:textId="77777777" w:rsidTr="00503641">
        <w:tc>
          <w:tcPr>
            <w:tcW w:w="1872" w:type="dxa"/>
          </w:tcPr>
          <w:p w14:paraId="071191D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Net Profit Margin</w:t>
            </w:r>
          </w:p>
        </w:tc>
        <w:tc>
          <w:tcPr>
            <w:tcW w:w="1872" w:type="dxa"/>
          </w:tcPr>
          <w:p w14:paraId="48145A3E"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profit / Revenue x100</w:t>
            </w:r>
          </w:p>
        </w:tc>
        <w:tc>
          <w:tcPr>
            <w:tcW w:w="1872" w:type="dxa"/>
          </w:tcPr>
          <w:p w14:paraId="4FD6C96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0.74%</w:t>
            </w:r>
          </w:p>
        </w:tc>
        <w:tc>
          <w:tcPr>
            <w:tcW w:w="1872" w:type="dxa"/>
          </w:tcPr>
          <w:p w14:paraId="7DF935D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0.42%</w:t>
            </w:r>
          </w:p>
        </w:tc>
        <w:tc>
          <w:tcPr>
            <w:tcW w:w="1872" w:type="dxa"/>
          </w:tcPr>
          <w:p w14:paraId="5C92F5C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+0.32%</w:t>
            </w:r>
          </w:p>
        </w:tc>
      </w:tr>
      <w:tr w:rsidR="000047A4" w:rsidRPr="00503641" w14:paraId="2014C3F0" w14:textId="77777777" w:rsidTr="00503641">
        <w:tc>
          <w:tcPr>
            <w:tcW w:w="1872" w:type="dxa"/>
          </w:tcPr>
          <w:p w14:paraId="766730C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 xml:space="preserve">Return on Capital Employed </w:t>
            </w:r>
            <w:r w:rsidRPr="00503641">
              <w:rPr>
                <w:rFonts w:eastAsia="Google Sans Text" w:cs="Times New Roman"/>
                <w:b/>
                <w:bCs/>
                <w:color w:val="1F1F1F"/>
              </w:rPr>
              <w:lastRenderedPageBreak/>
              <w:t>(ROCE)</w:t>
            </w:r>
          </w:p>
        </w:tc>
        <w:tc>
          <w:tcPr>
            <w:tcW w:w="1872" w:type="dxa"/>
          </w:tcPr>
          <w:p w14:paraId="6FC77E49"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lastRenderedPageBreak/>
              <w:t xml:space="preserve">EBIT/Capital employed (Total Assets - Current </w:t>
            </w:r>
            <w:r w:rsidRPr="00503641">
              <w:rPr>
                <w:rFonts w:eastAsia="Google Sans Text" w:cs="Times New Roman"/>
                <w:color w:val="1F1F1F"/>
              </w:rPr>
              <w:lastRenderedPageBreak/>
              <w:t>Liabilities)</w:t>
            </w:r>
          </w:p>
        </w:tc>
        <w:tc>
          <w:tcPr>
            <w:tcW w:w="1872" w:type="dxa"/>
          </w:tcPr>
          <w:p w14:paraId="5344ACA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lastRenderedPageBreak/>
              <w:t>7.8%</w:t>
            </w:r>
          </w:p>
        </w:tc>
        <w:tc>
          <w:tcPr>
            <w:tcW w:w="1872" w:type="dxa"/>
          </w:tcPr>
          <w:p w14:paraId="0CA17A4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7.0%</w:t>
            </w:r>
          </w:p>
        </w:tc>
        <w:tc>
          <w:tcPr>
            <w:tcW w:w="1872" w:type="dxa"/>
          </w:tcPr>
          <w:p w14:paraId="29DD0BA7"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+0.8%</w:t>
            </w:r>
          </w:p>
        </w:tc>
      </w:tr>
    </w:tbl>
    <w:p w14:paraId="1A2CB3C8" w14:textId="77777777" w:rsidR="00503641" w:rsidRDefault="00503641" w:rsidP="00503641">
      <w:pPr>
        <w:pBdr>
          <w:top w:val="nil"/>
          <w:left w:val="nil"/>
          <w:bottom w:val="nil"/>
          <w:right w:val="nil"/>
          <w:between w:val="nil"/>
        </w:pBdr>
        <w:rPr>
          <w:rFonts w:eastAsia="Google Sans Text" w:cs="Times New Roman"/>
          <w:i/>
          <w:iCs/>
          <w:color w:val="1F1F1F"/>
        </w:rPr>
      </w:pPr>
    </w:p>
    <w:p w14:paraId="752C69B4" w14:textId="77777777" w:rsidR="00503641" w:rsidRPr="00503641" w:rsidRDefault="00503641" w:rsidP="00503641">
      <w:pPr>
        <w:pBdr>
          <w:top w:val="nil"/>
          <w:left w:val="nil"/>
          <w:bottom w:val="nil"/>
          <w:right w:val="nil"/>
          <w:between w:val="nil"/>
        </w:pBdr>
        <w:rPr>
          <w:rFonts w:eastAsia="Google Sans Text" w:cs="Times New Roman"/>
          <w:b/>
          <w:bCs/>
        </w:rPr>
      </w:pPr>
      <w:r w:rsidRPr="00503641">
        <w:rPr>
          <w:rFonts w:eastAsia="Google Sans Text" w:cs="Times New Roman"/>
          <w:b/>
          <w:bCs/>
        </w:rPr>
        <w:t xml:space="preserve">Gross Profit Margin </w:t>
      </w:r>
    </w:p>
    <w:p w14:paraId="5830D7EE" w14:textId="0249FD56" w:rsidR="00503641" w:rsidRDefault="00503641" w:rsidP="00503641">
      <w:pPr>
        <w:pBdr>
          <w:top w:val="nil"/>
          <w:left w:val="nil"/>
          <w:bottom w:val="nil"/>
          <w:right w:val="nil"/>
          <w:between w:val="nil"/>
        </w:pBdr>
        <w:rPr>
          <w:rFonts w:eastAsia="Google Sans Text" w:cs="Times New Roman"/>
        </w:rPr>
      </w:pPr>
      <w:r w:rsidRPr="00503641">
        <w:rPr>
          <w:rFonts w:eastAsia="Google Sans Text" w:cs="Times New Roman"/>
        </w:rPr>
        <w:t>Sainsbury’s Underlying Gross Profit Margin was 7.01% for FY25 (as opposed to 6.91% for FY24) (J Sainsbury Plc., 2025). The gross profit margin is determined by dividing the Gross Profit by the Revenue. The improvement is statistically significant given the competitive nature of the market. Sainsbury’s has reduced their cost of sales relative to sales despite the Nectar Price initiative having led to lower shelf prices for consumers (J Sainsbury Plc., 2025). The Save to Invest efficiency program has therefore delivered sustainable cost reductions within the supply chain (CIPS, 2025). Through better negotiation of terms with suppliers and optimi</w:t>
      </w:r>
      <w:r w:rsidR="0020750C">
        <w:rPr>
          <w:rFonts w:eastAsia="Google Sans Text" w:cs="Times New Roman"/>
        </w:rPr>
        <w:t>s</w:t>
      </w:r>
      <w:r w:rsidRPr="00503641">
        <w:rPr>
          <w:rFonts w:eastAsia="Google Sans Text" w:cs="Times New Roman"/>
        </w:rPr>
        <w:t>ation of logistics, the company have been able to transfer these efficiencies to consumers whilst increasing the margin gap. This stability of Gross Margin is indicative that the company are not simply purchasing volume at the expense of profitability (Drury, 2018).</w:t>
      </w:r>
    </w:p>
    <w:p w14:paraId="0439CAA1" w14:textId="4680D9D0" w:rsidR="00503641" w:rsidRPr="00503641" w:rsidRDefault="00503641" w:rsidP="00503641">
      <w:pPr>
        <w:pBdr>
          <w:top w:val="nil"/>
          <w:left w:val="nil"/>
          <w:bottom w:val="nil"/>
          <w:right w:val="nil"/>
          <w:between w:val="nil"/>
        </w:pBdr>
        <w:rPr>
          <w:rFonts w:eastAsia="Google Sans Text" w:cs="Times New Roman"/>
        </w:rPr>
      </w:pPr>
      <w:r w:rsidRPr="00503641">
        <w:rPr>
          <w:rFonts w:eastAsia="Google Sans Text" w:cs="Times New Roman"/>
          <w:b/>
          <w:bCs/>
        </w:rPr>
        <w:t xml:space="preserve">Operating Profit Margin </w:t>
      </w:r>
    </w:p>
    <w:p w14:paraId="381F24CE" w14:textId="4B541FFD" w:rsidR="00503641" w:rsidRPr="00503641" w:rsidRDefault="00503641" w:rsidP="00503641">
      <w:pPr>
        <w:pBdr>
          <w:top w:val="nil"/>
          <w:left w:val="nil"/>
          <w:bottom w:val="nil"/>
          <w:right w:val="nil"/>
          <w:between w:val="nil"/>
        </w:pBdr>
        <w:rPr>
          <w:rFonts w:eastAsia="Google Sans Text" w:cs="Times New Roman"/>
        </w:rPr>
      </w:pPr>
      <w:r w:rsidRPr="00503641">
        <w:rPr>
          <w:rFonts w:eastAsia="Google Sans Text" w:cs="Times New Roman"/>
        </w:rPr>
        <w:t>The Underlying Operating Profit Margin increased to 3.14%, a threshold level that is both psychological and financially significant in the low-margin grocery industry (Reuters, 2025). The operating profit margin measures the proportion of revenue remaining after payment of variable and fixed costs associated with production (e.g. wages, rent etc.). An Underlying Operating Profit of £1029m is testament to the resilience demonstrated by the company (J Sainsbury Plc., 2025). It is also indicative that the volume growth generated from the Food First Strategy created enough operational leverage to offset the growing overheads. Administrative costs were effectively contained at £1325m; evidence of disciplined cost control in an inflationary economic environment (Financial Times, 202</w:t>
      </w:r>
      <w:r w:rsidR="00AA25C7">
        <w:rPr>
          <w:rFonts w:eastAsia="Google Sans Text" w:cs="Times New Roman"/>
        </w:rPr>
        <w:t>4</w:t>
      </w:r>
      <w:r w:rsidRPr="00503641">
        <w:rPr>
          <w:rFonts w:eastAsia="Google Sans Text" w:cs="Times New Roman"/>
        </w:rPr>
        <w:t>).</w:t>
      </w:r>
    </w:p>
    <w:p w14:paraId="1DD3D405" w14:textId="77777777" w:rsidR="00503641" w:rsidRPr="00503641" w:rsidRDefault="00503641" w:rsidP="00503641">
      <w:pPr>
        <w:pBdr>
          <w:top w:val="nil"/>
          <w:left w:val="nil"/>
          <w:bottom w:val="nil"/>
          <w:right w:val="nil"/>
          <w:between w:val="nil"/>
        </w:pBdr>
        <w:rPr>
          <w:rFonts w:eastAsia="Google Sans Text" w:cs="Times New Roman"/>
          <w:b/>
          <w:bCs/>
        </w:rPr>
      </w:pPr>
      <w:r w:rsidRPr="00503641">
        <w:rPr>
          <w:rFonts w:eastAsia="Google Sans Text" w:cs="Times New Roman"/>
          <w:b/>
          <w:bCs/>
        </w:rPr>
        <w:t xml:space="preserve">Net Profit Margin </w:t>
      </w:r>
    </w:p>
    <w:p w14:paraId="62798DD8" w14:textId="5FE9E06D" w:rsidR="00503641" w:rsidRPr="00503641" w:rsidRDefault="00503641" w:rsidP="00503641">
      <w:pPr>
        <w:pBdr>
          <w:top w:val="nil"/>
          <w:left w:val="nil"/>
          <w:bottom w:val="nil"/>
          <w:right w:val="nil"/>
          <w:between w:val="nil"/>
        </w:pBdr>
        <w:rPr>
          <w:rFonts w:eastAsia="Google Sans Text" w:cs="Times New Roman"/>
        </w:rPr>
      </w:pPr>
      <w:r w:rsidRPr="00503641">
        <w:rPr>
          <w:rFonts w:eastAsia="Google Sans Text" w:cs="Times New Roman"/>
        </w:rPr>
        <w:t>The Statutory Net Profit Margin increased to 0.74%, representing a statutory profit for the year of £242m (J Sainsbury Plc., 2025). Whilst this profit margin appears thin when compared to other sectors, there has been a significant improvement from 0.42% in FY24. This ratio is the final indicator of return to shareholders; accounting for all costs, including finance costs and taxation (</w:t>
      </w:r>
      <w:proofErr w:type="spellStart"/>
      <w:r w:rsidRPr="00503641">
        <w:rPr>
          <w:rFonts w:eastAsia="Google Sans Text" w:cs="Times New Roman"/>
        </w:rPr>
        <w:t>Atrill</w:t>
      </w:r>
      <w:proofErr w:type="spellEnd"/>
      <w:r w:rsidRPr="00503641">
        <w:rPr>
          <w:rFonts w:eastAsia="Google Sans Text" w:cs="Times New Roman"/>
        </w:rPr>
        <w:t xml:space="preserve">, 2020). The improvement is primarily due to the flow through of greater operating profits </w:t>
      </w:r>
      <w:r w:rsidRPr="00503641">
        <w:rPr>
          <w:rFonts w:eastAsia="Google Sans Text" w:cs="Times New Roman"/>
        </w:rPr>
        <w:lastRenderedPageBreak/>
        <w:t>and lower non-underlying charges than in the preceding year. FY25 Non-Underlying Charges amounted to a charge of £297m, as opposed to £379m in FY24; indicative of a cleaner balance sheet as the restructuring costs diminishes.</w:t>
      </w:r>
    </w:p>
    <w:p w14:paraId="6C4382FD" w14:textId="77777777" w:rsidR="00503641" w:rsidRPr="00503641" w:rsidRDefault="00503641" w:rsidP="00503641">
      <w:pPr>
        <w:pBdr>
          <w:top w:val="nil"/>
          <w:left w:val="nil"/>
          <w:bottom w:val="nil"/>
          <w:right w:val="nil"/>
          <w:between w:val="nil"/>
        </w:pBdr>
        <w:rPr>
          <w:rFonts w:eastAsia="Google Sans Text" w:cs="Times New Roman"/>
          <w:b/>
          <w:bCs/>
        </w:rPr>
      </w:pPr>
      <w:r w:rsidRPr="00503641">
        <w:rPr>
          <w:rFonts w:eastAsia="Google Sans Text" w:cs="Times New Roman"/>
          <w:b/>
          <w:bCs/>
        </w:rPr>
        <w:t xml:space="preserve">Return on Capital Employed (ROCE) </w:t>
      </w:r>
    </w:p>
    <w:p w14:paraId="5F24B833" w14:textId="6E64C9D8" w:rsidR="000047A4" w:rsidRPr="00503641" w:rsidRDefault="00503641" w:rsidP="00503641">
      <w:pPr>
        <w:pBdr>
          <w:top w:val="nil"/>
          <w:left w:val="nil"/>
          <w:bottom w:val="nil"/>
          <w:right w:val="nil"/>
          <w:between w:val="nil"/>
        </w:pBdr>
        <w:rPr>
          <w:rFonts w:eastAsia="Google Sans Text" w:cs="Times New Roman"/>
        </w:rPr>
      </w:pPr>
      <w:r w:rsidRPr="00503641">
        <w:rPr>
          <w:rFonts w:eastAsia="Google Sans Text" w:cs="Times New Roman"/>
        </w:rPr>
        <w:t>ROCE improved to 7.8%, based on Capital Employed defined as total assets fewer current liabilities (J Sainsbury Plc., 2025). ROCE is the most important ratio used to assess the long-term investment efficiency of a company (McLaney, 2020). The upward trend of ROCE is confirmation that the capital released from the disposal of the financial services arm and other dispositions is being utili</w:t>
      </w:r>
      <w:r w:rsidR="0020750C">
        <w:rPr>
          <w:rFonts w:eastAsia="Google Sans Text" w:cs="Times New Roman"/>
        </w:rPr>
        <w:t>s</w:t>
      </w:r>
      <w:r w:rsidRPr="00503641">
        <w:rPr>
          <w:rFonts w:eastAsia="Google Sans Text" w:cs="Times New Roman"/>
        </w:rPr>
        <w:t>ed effectively to enhance returns from the high-return core retail business. A rise of 80 basis points implies that for each £100 of capital invested in the business, the managers of the business are currently generating £0.80 of operating profit more than they did last year.</w:t>
      </w:r>
    </w:p>
    <w:p w14:paraId="1EBB6AE6" w14:textId="080CB9C0" w:rsidR="000047A4" w:rsidRPr="00503641" w:rsidRDefault="00000000" w:rsidP="00503641">
      <w:pPr>
        <w:pStyle w:val="Heading3"/>
        <w:spacing w:before="0" w:after="120"/>
        <w:rPr>
          <w:rFonts w:eastAsia="Google Sans" w:cs="Times New Roman"/>
          <w:color w:val="1F1F1F"/>
        </w:rPr>
      </w:pPr>
      <w:bookmarkStart w:id="5" w:name="_Toc219163917"/>
      <w:r w:rsidRPr="00503641">
        <w:rPr>
          <w:rFonts w:eastAsia="Google Sans" w:cs="Times New Roman"/>
          <w:color w:val="1F1F1F"/>
        </w:rPr>
        <w:t>Liquidity Ratios</w:t>
      </w:r>
      <w:bookmarkEnd w:id="5"/>
    </w:p>
    <w:p w14:paraId="1700C263" w14:textId="405F2EC9" w:rsidR="000047A4" w:rsidRPr="00503641" w:rsidRDefault="0070224F" w:rsidP="00503641">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Liquidity ratios provide an assessment of the corporation's capability to meet their obligations as they come due. A key aspect to avoid bankruptcy and ensure ongoing operations of the organi</w:t>
      </w:r>
      <w:r w:rsidR="0020750C">
        <w:rPr>
          <w:rFonts w:eastAsia="Google Sans Text" w:cs="Times New Roman"/>
          <w:color w:val="1F1F1F"/>
        </w:rPr>
        <w:t>s</w:t>
      </w:r>
      <w:r w:rsidRPr="0070224F">
        <w:rPr>
          <w:rFonts w:eastAsia="Google Sans Text" w:cs="Times New Roman"/>
          <w:color w:val="1F1F1F"/>
        </w:rPr>
        <w:t>ation (</w:t>
      </w:r>
      <w:proofErr w:type="spellStart"/>
      <w:r w:rsidRPr="0070224F">
        <w:rPr>
          <w:rFonts w:eastAsia="Google Sans Text" w:cs="Times New Roman"/>
          <w:color w:val="1F1F1F"/>
        </w:rPr>
        <w:t>Atrill</w:t>
      </w:r>
      <w:proofErr w:type="spellEnd"/>
      <w:r w:rsidRPr="0070224F">
        <w:rPr>
          <w:rFonts w:eastAsia="Google Sans Text" w:cs="Times New Roman"/>
          <w:color w:val="1F1F1F"/>
        </w:rPr>
        <w:t>, 2020).</w:t>
      </w:r>
    </w:p>
    <w:p w14:paraId="132E18B9" w14:textId="77777777" w:rsidR="000047A4" w:rsidRPr="00503641" w:rsidRDefault="00000000" w:rsidP="0070224F">
      <w:pPr>
        <w:pBdr>
          <w:top w:val="nil"/>
          <w:left w:val="nil"/>
          <w:bottom w:val="nil"/>
          <w:right w:val="nil"/>
          <w:between w:val="nil"/>
        </w:pBdr>
        <w:spacing w:after="240"/>
        <w:jc w:val="center"/>
        <w:rPr>
          <w:rFonts w:eastAsia="Google Sans Text" w:cs="Times New Roman"/>
          <w:b/>
          <w:bCs/>
          <w:color w:val="1F1F1F"/>
        </w:rPr>
      </w:pPr>
      <w:r w:rsidRPr="00503641">
        <w:rPr>
          <w:rFonts w:eastAsia="Google Sans Text" w:cs="Times New Roman"/>
          <w:b/>
          <w:bCs/>
          <w:color w:val="1F1F1F"/>
        </w:rPr>
        <w:t>Table 2: Liquidity Ratios</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0047A4" w:rsidRPr="00503641" w14:paraId="4EDA3A04" w14:textId="77777777" w:rsidTr="0070224F">
        <w:tc>
          <w:tcPr>
            <w:tcW w:w="1872" w:type="dxa"/>
          </w:tcPr>
          <w:p w14:paraId="6A7732F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w:t>
            </w:r>
          </w:p>
        </w:tc>
        <w:tc>
          <w:tcPr>
            <w:tcW w:w="1872" w:type="dxa"/>
          </w:tcPr>
          <w:p w14:paraId="79EC268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w:t>
            </w:r>
          </w:p>
        </w:tc>
        <w:tc>
          <w:tcPr>
            <w:tcW w:w="1872" w:type="dxa"/>
          </w:tcPr>
          <w:p w14:paraId="738F8E6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1872" w:type="dxa"/>
          </w:tcPr>
          <w:p w14:paraId="655681B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c>
          <w:tcPr>
            <w:tcW w:w="1872" w:type="dxa"/>
          </w:tcPr>
          <w:p w14:paraId="42BC5A1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Change</w:t>
            </w:r>
          </w:p>
        </w:tc>
      </w:tr>
      <w:tr w:rsidR="000047A4" w:rsidRPr="00503641" w14:paraId="182E463E" w14:textId="77777777" w:rsidTr="0070224F">
        <w:tc>
          <w:tcPr>
            <w:tcW w:w="1872" w:type="dxa"/>
          </w:tcPr>
          <w:p w14:paraId="24F094B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Current Ratio</w:t>
            </w:r>
          </w:p>
        </w:tc>
        <w:tc>
          <w:tcPr>
            <w:tcW w:w="1872" w:type="dxa"/>
          </w:tcPr>
          <w:p w14:paraId="3C868547"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Current Assets/Current Liabilities</w:t>
            </w:r>
          </w:p>
        </w:tc>
        <w:tc>
          <w:tcPr>
            <w:tcW w:w="1872" w:type="dxa"/>
          </w:tcPr>
          <w:p w14:paraId="0FB3C93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0.74 : 1</w:t>
            </w:r>
          </w:p>
        </w:tc>
        <w:tc>
          <w:tcPr>
            <w:tcW w:w="1872" w:type="dxa"/>
          </w:tcPr>
          <w:p w14:paraId="7F3BF7D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0.66 : 1</w:t>
            </w:r>
          </w:p>
        </w:tc>
        <w:tc>
          <w:tcPr>
            <w:tcW w:w="1872" w:type="dxa"/>
          </w:tcPr>
          <w:p w14:paraId="3A9F9BF1"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+0.08</w:t>
            </w:r>
          </w:p>
        </w:tc>
      </w:tr>
      <w:tr w:rsidR="000047A4" w:rsidRPr="00503641" w14:paraId="6D53A7B3" w14:textId="77777777" w:rsidTr="0070224F">
        <w:tc>
          <w:tcPr>
            <w:tcW w:w="1872" w:type="dxa"/>
          </w:tcPr>
          <w:p w14:paraId="42497C4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Quick Ratio</w:t>
            </w:r>
          </w:p>
        </w:tc>
        <w:tc>
          <w:tcPr>
            <w:tcW w:w="1872" w:type="dxa"/>
          </w:tcPr>
          <w:p w14:paraId="1830D19C"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Current Assets−Inventory − Prepaid Expenses / Current Liabilities</w:t>
            </w:r>
          </w:p>
        </w:tc>
        <w:tc>
          <w:tcPr>
            <w:tcW w:w="1872" w:type="dxa"/>
          </w:tcPr>
          <w:p w14:paraId="23E61B2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0.57 : 1</w:t>
            </w:r>
          </w:p>
        </w:tc>
        <w:tc>
          <w:tcPr>
            <w:tcW w:w="1872" w:type="dxa"/>
          </w:tcPr>
          <w:p w14:paraId="4DAC539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0.49 : 1</w:t>
            </w:r>
          </w:p>
        </w:tc>
        <w:tc>
          <w:tcPr>
            <w:tcW w:w="1872" w:type="dxa"/>
          </w:tcPr>
          <w:p w14:paraId="671009C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+0.08</w:t>
            </w:r>
          </w:p>
        </w:tc>
      </w:tr>
    </w:tbl>
    <w:p w14:paraId="56662CDE" w14:textId="77777777" w:rsidR="0070224F" w:rsidRDefault="0070224F" w:rsidP="0070224F">
      <w:pPr>
        <w:pBdr>
          <w:top w:val="nil"/>
          <w:left w:val="nil"/>
          <w:bottom w:val="nil"/>
          <w:right w:val="nil"/>
          <w:between w:val="nil"/>
        </w:pBdr>
        <w:spacing w:after="240"/>
        <w:rPr>
          <w:rFonts w:eastAsia="Google Sans Text" w:cs="Times New Roman"/>
          <w:b/>
          <w:bCs/>
        </w:rPr>
      </w:pPr>
    </w:p>
    <w:p w14:paraId="27931033" w14:textId="26F31480" w:rsidR="0070224F" w:rsidRPr="0070224F" w:rsidRDefault="0070224F" w:rsidP="0070224F">
      <w:pPr>
        <w:pBdr>
          <w:top w:val="nil"/>
          <w:left w:val="nil"/>
          <w:bottom w:val="nil"/>
          <w:right w:val="nil"/>
          <w:between w:val="nil"/>
        </w:pBdr>
        <w:spacing w:after="240"/>
        <w:rPr>
          <w:rFonts w:eastAsia="Google Sans Text" w:cs="Times New Roman"/>
          <w:b/>
          <w:bCs/>
        </w:rPr>
      </w:pPr>
      <w:r w:rsidRPr="0070224F">
        <w:rPr>
          <w:rFonts w:eastAsia="Google Sans Text" w:cs="Times New Roman"/>
          <w:b/>
          <w:bCs/>
        </w:rPr>
        <w:lastRenderedPageBreak/>
        <w:t xml:space="preserve">Current Ratio </w:t>
      </w:r>
    </w:p>
    <w:p w14:paraId="0F941454" w14:textId="28D42D99"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The Current Ratio has substantially increased to 0.74:1 in FY25 (J Sainsbury plc, 2025) and represents a comparison of the corporation's current assets compared to their current liabilities. The increase in the Current Ratio was primarily driven by a considerable increase in current assets, most notably Cash and Cash Equivalents increasing to £2,777m and a decrease in current liabilities. Although the Current Ratio being under 1.0 indicates a negative working capital cycle; this is typical of supermarket companies who sell inventory prior to payment from suppliers; the shift towards 0.74 shows a substantial improvement in the company's liquidity buffer over recent years (Dyson, 2020). The ratio therefore illustrates that the company now has a greater financial buffer to support the company in meeting its short term commitments than it did previously, thereby improving the risk profile.</w:t>
      </w:r>
    </w:p>
    <w:p w14:paraId="3EDC81B4" w14:textId="77777777" w:rsidR="0070224F" w:rsidRPr="0070224F" w:rsidRDefault="0070224F" w:rsidP="0070224F">
      <w:pPr>
        <w:pBdr>
          <w:top w:val="nil"/>
          <w:left w:val="nil"/>
          <w:bottom w:val="nil"/>
          <w:right w:val="nil"/>
          <w:between w:val="nil"/>
        </w:pBdr>
        <w:spacing w:after="240"/>
        <w:rPr>
          <w:rFonts w:eastAsia="Google Sans Text" w:cs="Times New Roman"/>
          <w:b/>
          <w:bCs/>
        </w:rPr>
      </w:pPr>
      <w:r w:rsidRPr="0070224F">
        <w:rPr>
          <w:rFonts w:eastAsia="Google Sans Text" w:cs="Times New Roman"/>
          <w:b/>
          <w:bCs/>
        </w:rPr>
        <w:t xml:space="preserve">Quick Ratio </w:t>
      </w:r>
    </w:p>
    <w:p w14:paraId="473AB93C" w14:textId="30C20AC0"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The Quick Ratio or Acid Test is at 0.57:1 and improved from 0.49:1 (J Sainsbury plc, 2025). The Quick Ratio excludes inventory from the calculations as inventory is not always immediately capable of conversion into cash. Therefore, the increase in the Quick Ratio supports the fact that Sainsbury's possesses sufficient liquid funds available to satisfy immediate obligations without reliance on the sale of inventory. In addition, the large cash balance of £2.8bn provides the Board with numerous options in relation to the deployment of funds such as paying down debt, increasing dividend payments, or funding further price increases if there are future upward pressures on inflation (Bloomberg, 202</w:t>
      </w:r>
      <w:r w:rsidR="00AA25C7">
        <w:rPr>
          <w:rFonts w:eastAsia="Google Sans Text" w:cs="Times New Roman"/>
        </w:rPr>
        <w:t>6</w:t>
      </w:r>
      <w:r w:rsidRPr="0070224F">
        <w:rPr>
          <w:rFonts w:eastAsia="Google Sans Text" w:cs="Times New Roman"/>
        </w:rPr>
        <w:t>).</w:t>
      </w:r>
    </w:p>
    <w:p w14:paraId="32E1104F" w14:textId="576CB859" w:rsidR="0070224F" w:rsidRPr="0070224F" w:rsidRDefault="0070224F" w:rsidP="0070224F">
      <w:pPr>
        <w:pStyle w:val="Heading3"/>
      </w:pPr>
      <w:bookmarkStart w:id="6" w:name="_Toc219163918"/>
      <w:r w:rsidRPr="0070224F">
        <w:t>Efficiency Ratios</w:t>
      </w:r>
      <w:bookmarkEnd w:id="6"/>
    </w:p>
    <w:p w14:paraId="71715440" w14:textId="7E7B865F" w:rsid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Efficiency ratios, also referred to as activity ratios, represent the efficiency with which the management utili</w:t>
      </w:r>
      <w:r w:rsidR="0020750C">
        <w:rPr>
          <w:rFonts w:eastAsia="Google Sans Text" w:cs="Times New Roman"/>
        </w:rPr>
        <w:t>s</w:t>
      </w:r>
      <w:r w:rsidRPr="0070224F">
        <w:rPr>
          <w:rFonts w:eastAsia="Google Sans Text" w:cs="Times New Roman"/>
        </w:rPr>
        <w:t>es the assets available to them (McLaney, 2020). These ratios illustrate the speed at which the business operates.</w:t>
      </w:r>
    </w:p>
    <w:p w14:paraId="7507005D" w14:textId="09C54EEB" w:rsidR="000047A4" w:rsidRPr="0070224F" w:rsidRDefault="00000000" w:rsidP="0070224F">
      <w:pPr>
        <w:pBdr>
          <w:top w:val="nil"/>
          <w:left w:val="nil"/>
          <w:bottom w:val="nil"/>
          <w:right w:val="nil"/>
          <w:between w:val="nil"/>
        </w:pBdr>
        <w:spacing w:after="240"/>
        <w:jc w:val="center"/>
        <w:rPr>
          <w:rFonts w:eastAsia="Google Sans Text" w:cs="Times New Roman"/>
        </w:rPr>
      </w:pPr>
      <w:r w:rsidRPr="00503641">
        <w:rPr>
          <w:rFonts w:eastAsia="Google Sans Text" w:cs="Times New Roman"/>
          <w:b/>
          <w:bCs/>
          <w:color w:val="1F1F1F"/>
        </w:rPr>
        <w:t>Table 3: Efficiency Ratios</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0047A4" w:rsidRPr="00503641" w14:paraId="48DF1FE3" w14:textId="77777777" w:rsidTr="00222FD2">
        <w:tc>
          <w:tcPr>
            <w:tcW w:w="1872" w:type="dxa"/>
          </w:tcPr>
          <w:p w14:paraId="28A5E93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w:t>
            </w:r>
          </w:p>
        </w:tc>
        <w:tc>
          <w:tcPr>
            <w:tcW w:w="1872" w:type="dxa"/>
          </w:tcPr>
          <w:p w14:paraId="7FF1DA4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w:t>
            </w:r>
          </w:p>
        </w:tc>
        <w:tc>
          <w:tcPr>
            <w:tcW w:w="1872" w:type="dxa"/>
          </w:tcPr>
          <w:p w14:paraId="7C50693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1872" w:type="dxa"/>
          </w:tcPr>
          <w:p w14:paraId="33E1CB2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c>
          <w:tcPr>
            <w:tcW w:w="1872" w:type="dxa"/>
          </w:tcPr>
          <w:p w14:paraId="783CA050"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Change</w:t>
            </w:r>
          </w:p>
        </w:tc>
      </w:tr>
      <w:tr w:rsidR="000047A4" w:rsidRPr="00503641" w14:paraId="5DCD678D" w14:textId="77777777" w:rsidTr="00222FD2">
        <w:tc>
          <w:tcPr>
            <w:tcW w:w="1872" w:type="dxa"/>
          </w:tcPr>
          <w:p w14:paraId="32D72700"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lastRenderedPageBreak/>
              <w:t>Inventory Turnover</w:t>
            </w:r>
          </w:p>
        </w:tc>
        <w:tc>
          <w:tcPr>
            <w:tcW w:w="1872" w:type="dxa"/>
          </w:tcPr>
          <w:p w14:paraId="02FFF52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Cost of Goods Sold / Average Inventory</w:t>
            </w:r>
          </w:p>
        </w:tc>
        <w:tc>
          <w:tcPr>
            <w:tcW w:w="1872" w:type="dxa"/>
          </w:tcPr>
          <w:p w14:paraId="306DB8C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15.8 times</w:t>
            </w:r>
          </w:p>
        </w:tc>
        <w:tc>
          <w:tcPr>
            <w:tcW w:w="1872" w:type="dxa"/>
          </w:tcPr>
          <w:p w14:paraId="7C57A18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15.6 times</w:t>
            </w:r>
          </w:p>
        </w:tc>
        <w:tc>
          <w:tcPr>
            <w:tcW w:w="1872" w:type="dxa"/>
          </w:tcPr>
          <w:p w14:paraId="48DCE86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+0.2</w:t>
            </w:r>
          </w:p>
        </w:tc>
      </w:tr>
      <w:tr w:rsidR="000047A4" w:rsidRPr="00503641" w14:paraId="25EF9171" w14:textId="77777777" w:rsidTr="00222FD2">
        <w:tc>
          <w:tcPr>
            <w:tcW w:w="1872" w:type="dxa"/>
          </w:tcPr>
          <w:p w14:paraId="2C0A70C7"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Accounts Payable Turnover</w:t>
            </w:r>
          </w:p>
        </w:tc>
        <w:tc>
          <w:tcPr>
            <w:tcW w:w="1872" w:type="dxa"/>
          </w:tcPr>
          <w:p w14:paraId="279552FE"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Credit Purchases / Average Accounts Payable</w:t>
            </w:r>
          </w:p>
        </w:tc>
        <w:tc>
          <w:tcPr>
            <w:tcW w:w="1872" w:type="dxa"/>
          </w:tcPr>
          <w:p w14:paraId="269DA5C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5.79 times</w:t>
            </w:r>
          </w:p>
        </w:tc>
        <w:tc>
          <w:tcPr>
            <w:tcW w:w="1872" w:type="dxa"/>
          </w:tcPr>
          <w:p w14:paraId="08EE86E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5.88 times</w:t>
            </w:r>
          </w:p>
        </w:tc>
        <w:tc>
          <w:tcPr>
            <w:tcW w:w="1872" w:type="dxa"/>
          </w:tcPr>
          <w:p w14:paraId="41BA5F87"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-0.09</w:t>
            </w:r>
          </w:p>
        </w:tc>
      </w:tr>
      <w:tr w:rsidR="000047A4" w:rsidRPr="00503641" w14:paraId="3663FFFA" w14:textId="77777777" w:rsidTr="00222FD2">
        <w:tc>
          <w:tcPr>
            <w:tcW w:w="1872" w:type="dxa"/>
          </w:tcPr>
          <w:p w14:paraId="72AB55E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Asset Turnover Ratio</w:t>
            </w:r>
          </w:p>
        </w:tc>
        <w:tc>
          <w:tcPr>
            <w:tcW w:w="1872" w:type="dxa"/>
          </w:tcPr>
          <w:p w14:paraId="320B14B9"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Sales / Average Total Assets</w:t>
            </w:r>
          </w:p>
        </w:tc>
        <w:tc>
          <w:tcPr>
            <w:tcW w:w="1872" w:type="dxa"/>
          </w:tcPr>
          <w:p w14:paraId="6E26D1A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1.33 times</w:t>
            </w:r>
          </w:p>
        </w:tc>
        <w:tc>
          <w:tcPr>
            <w:tcW w:w="1872" w:type="dxa"/>
          </w:tcPr>
          <w:p w14:paraId="6245C257"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1.29 times</w:t>
            </w:r>
          </w:p>
        </w:tc>
        <w:tc>
          <w:tcPr>
            <w:tcW w:w="1872" w:type="dxa"/>
          </w:tcPr>
          <w:p w14:paraId="293D795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+0.04</w:t>
            </w:r>
          </w:p>
        </w:tc>
      </w:tr>
    </w:tbl>
    <w:p w14:paraId="1D228185" w14:textId="3F58F997" w:rsidR="0070224F" w:rsidRPr="00222FD2" w:rsidRDefault="0070224F" w:rsidP="0070224F">
      <w:pPr>
        <w:pBdr>
          <w:top w:val="nil"/>
          <w:left w:val="nil"/>
          <w:bottom w:val="nil"/>
          <w:right w:val="nil"/>
          <w:between w:val="nil"/>
        </w:pBdr>
        <w:spacing w:after="240"/>
        <w:rPr>
          <w:rFonts w:eastAsia="Google Sans Text" w:cs="Times New Roman"/>
          <w:b/>
          <w:bCs/>
        </w:rPr>
      </w:pPr>
      <w:r w:rsidRPr="00222FD2">
        <w:rPr>
          <w:rFonts w:eastAsia="Google Sans Text" w:cs="Times New Roman"/>
          <w:b/>
          <w:bCs/>
        </w:rPr>
        <w:t>Inventory Turnover</w:t>
      </w:r>
    </w:p>
    <w:p w14:paraId="4FCF94D2" w14:textId="7A1B9D6F"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Inventories have been optimi</w:t>
      </w:r>
      <w:r w:rsidR="0020750C">
        <w:rPr>
          <w:rFonts w:eastAsia="Google Sans Text" w:cs="Times New Roman"/>
        </w:rPr>
        <w:t>s</w:t>
      </w:r>
      <w:r w:rsidRPr="0070224F">
        <w:rPr>
          <w:rFonts w:eastAsia="Google Sans Text" w:cs="Times New Roman"/>
        </w:rPr>
        <w:t>ed through inventory turnover of 15.8 times in a year (J Sainsbury plc, 2025), which equates to selling and replacing all inventories of the company nearly 16 times a year. Consequently, the typical product now remains on store shelves for only 23.2 days. The fast inventory turnover rate is quite high and shows that AI-based predictive inventory models, used as part of the "Next Level" initiative, will reduce waste, excess inventory, and related costs associated with holding inventories. Speed of inventory turnover, is a key measure of quality, and margin preservation in the fresh foods category (CIPS, 2025).</w:t>
      </w:r>
    </w:p>
    <w:p w14:paraId="698D28E5" w14:textId="77777777" w:rsidR="0070224F" w:rsidRPr="00222FD2" w:rsidRDefault="0070224F" w:rsidP="0070224F">
      <w:pPr>
        <w:pBdr>
          <w:top w:val="nil"/>
          <w:left w:val="nil"/>
          <w:bottom w:val="nil"/>
          <w:right w:val="nil"/>
          <w:between w:val="nil"/>
        </w:pBdr>
        <w:spacing w:after="240"/>
        <w:rPr>
          <w:rFonts w:eastAsia="Google Sans Text" w:cs="Times New Roman"/>
          <w:b/>
          <w:bCs/>
        </w:rPr>
      </w:pPr>
      <w:r w:rsidRPr="00222FD2">
        <w:rPr>
          <w:rFonts w:eastAsia="Google Sans Text" w:cs="Times New Roman"/>
          <w:b/>
          <w:bCs/>
        </w:rPr>
        <w:t>Payables Payment Period</w:t>
      </w:r>
    </w:p>
    <w:p w14:paraId="6766D139" w14:textId="77777777"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 xml:space="preserve">The Company’s products sell out in 23 days; however, it takes the Company approximately 63 days to pay their suppliers, as indicated by the Trade Payables of £5,278 million (J Sainsbury plc, 2025). The number of days to settle accounts payable represents the length of time it takes to settle the account payable. The 63 days to pay suppliers creates a funding gap of approximately 40 days, where the company retains the cash generated from sales prior to paying the supplier. This represents a cost free source of working capital finance for the company. If the Company extends the payment terms to over 60 days, this may put pressure on the relationship between the Company </w:t>
      </w:r>
      <w:r w:rsidRPr="0070224F">
        <w:rPr>
          <w:rFonts w:eastAsia="Google Sans Text" w:cs="Times New Roman"/>
        </w:rPr>
        <w:lastRenderedPageBreak/>
        <w:t>and the suppliers and may create a strategic risk that will need careful management to ensure continuity of the supply chain (The Grocer, 2025).</w:t>
      </w:r>
    </w:p>
    <w:p w14:paraId="6E757775" w14:textId="77777777" w:rsidR="0070224F" w:rsidRPr="00222FD2" w:rsidRDefault="0070224F" w:rsidP="0070224F">
      <w:pPr>
        <w:pBdr>
          <w:top w:val="nil"/>
          <w:left w:val="nil"/>
          <w:bottom w:val="nil"/>
          <w:right w:val="nil"/>
          <w:between w:val="nil"/>
        </w:pBdr>
        <w:spacing w:after="240"/>
        <w:rPr>
          <w:rFonts w:eastAsia="Google Sans Text" w:cs="Times New Roman"/>
          <w:b/>
          <w:bCs/>
        </w:rPr>
      </w:pPr>
      <w:r w:rsidRPr="00222FD2">
        <w:rPr>
          <w:rFonts w:eastAsia="Google Sans Text" w:cs="Times New Roman"/>
          <w:b/>
          <w:bCs/>
        </w:rPr>
        <w:t>Asset Turnover Ratio</w:t>
      </w:r>
    </w:p>
    <w:p w14:paraId="2B74B818" w14:textId="552155C3"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The asset utili</w:t>
      </w:r>
      <w:r w:rsidR="0020750C">
        <w:rPr>
          <w:rFonts w:eastAsia="Google Sans Text" w:cs="Times New Roman"/>
        </w:rPr>
        <w:t>s</w:t>
      </w:r>
      <w:r w:rsidRPr="0070224F">
        <w:rPr>
          <w:rFonts w:eastAsia="Google Sans Text" w:cs="Times New Roman"/>
        </w:rPr>
        <w:t>ation ratio increased to 1.33 times, meaning the Company generated $1.33 of sales for each dollar of assets owned (J Sainsbury plc, 2025). The improved asset utili</w:t>
      </w:r>
      <w:r w:rsidR="0020750C">
        <w:rPr>
          <w:rFonts w:eastAsia="Google Sans Text" w:cs="Times New Roman"/>
        </w:rPr>
        <w:t>s</w:t>
      </w:r>
      <w:r w:rsidRPr="0070224F">
        <w:rPr>
          <w:rFonts w:eastAsia="Google Sans Text" w:cs="Times New Roman"/>
        </w:rPr>
        <w:t>ation was achieved through an increase in revenue ($32.8 billion) at a lower total asset value than previous years ($24.6 billion vs $25.1 billion). The decrease in assets is primarily the result of the divestment of the financial services segment. Therefore, the "utili</w:t>
      </w:r>
      <w:r w:rsidR="0020750C">
        <w:rPr>
          <w:rFonts w:eastAsia="Google Sans Text" w:cs="Times New Roman"/>
        </w:rPr>
        <w:t>s</w:t>
      </w:r>
      <w:r w:rsidRPr="0070224F">
        <w:rPr>
          <w:rFonts w:eastAsia="Google Sans Text" w:cs="Times New Roman"/>
        </w:rPr>
        <w:t>ation" of the Company's assets has improved since they are being utili</w:t>
      </w:r>
      <w:r w:rsidR="0020750C">
        <w:rPr>
          <w:rFonts w:eastAsia="Google Sans Text" w:cs="Times New Roman"/>
        </w:rPr>
        <w:t>s</w:t>
      </w:r>
      <w:r w:rsidRPr="0070224F">
        <w:rPr>
          <w:rFonts w:eastAsia="Google Sans Text" w:cs="Times New Roman"/>
        </w:rPr>
        <w:t>ed to produce more sales.</w:t>
      </w:r>
    </w:p>
    <w:p w14:paraId="37C73C79" w14:textId="40DE9808" w:rsidR="0070224F" w:rsidRPr="0070224F" w:rsidRDefault="0070224F" w:rsidP="0070224F">
      <w:pPr>
        <w:pStyle w:val="Heading3"/>
      </w:pPr>
      <w:bookmarkStart w:id="7" w:name="_Toc219163919"/>
      <w:r w:rsidRPr="0070224F">
        <w:t>Financial Solvency (Gearing) Ratios</w:t>
      </w:r>
      <w:bookmarkEnd w:id="7"/>
    </w:p>
    <w:p w14:paraId="575BC631" w14:textId="7167B9EE" w:rsidR="000047A4" w:rsidRPr="00503641"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rPr>
        <w:t xml:space="preserve">Financial solvency or gearing ratios measure the long term financial health and debt financing obligations of the Company (Bekaert and </w:t>
      </w:r>
      <w:proofErr w:type="spellStart"/>
      <w:r w:rsidRPr="0070224F">
        <w:rPr>
          <w:rFonts w:eastAsia="Google Sans Text" w:cs="Times New Roman"/>
        </w:rPr>
        <w:t>Hodrick</w:t>
      </w:r>
      <w:proofErr w:type="spellEnd"/>
      <w:r w:rsidRPr="0070224F">
        <w:rPr>
          <w:rFonts w:eastAsia="Google Sans Text" w:cs="Times New Roman"/>
        </w:rPr>
        <w:t>, 2017). These ratios provide critical information to evaluate whether the Company will remain viable in the long term.</w:t>
      </w:r>
    </w:p>
    <w:p w14:paraId="76CF2AE0" w14:textId="77777777" w:rsidR="000047A4" w:rsidRPr="00503641" w:rsidRDefault="00000000" w:rsidP="00222FD2">
      <w:pPr>
        <w:pBdr>
          <w:top w:val="nil"/>
          <w:left w:val="nil"/>
          <w:bottom w:val="nil"/>
          <w:right w:val="nil"/>
          <w:between w:val="nil"/>
        </w:pBdr>
        <w:spacing w:after="240"/>
        <w:jc w:val="center"/>
        <w:rPr>
          <w:rFonts w:eastAsia="Google Sans Text" w:cs="Times New Roman"/>
          <w:b/>
          <w:bCs/>
          <w:color w:val="1F1F1F"/>
        </w:rPr>
      </w:pPr>
      <w:r w:rsidRPr="00503641">
        <w:rPr>
          <w:rFonts w:eastAsia="Google Sans Text" w:cs="Times New Roman"/>
          <w:b/>
          <w:bCs/>
          <w:color w:val="1F1F1F"/>
        </w:rPr>
        <w:t>Table 4: Solvency Ratios</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0047A4" w:rsidRPr="00503641" w14:paraId="2AABCA5D" w14:textId="77777777" w:rsidTr="00222FD2">
        <w:tc>
          <w:tcPr>
            <w:tcW w:w="1872" w:type="dxa"/>
          </w:tcPr>
          <w:p w14:paraId="04ACD4D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w:t>
            </w:r>
          </w:p>
        </w:tc>
        <w:tc>
          <w:tcPr>
            <w:tcW w:w="1872" w:type="dxa"/>
          </w:tcPr>
          <w:p w14:paraId="756E843C"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w:t>
            </w:r>
          </w:p>
        </w:tc>
        <w:tc>
          <w:tcPr>
            <w:tcW w:w="1872" w:type="dxa"/>
          </w:tcPr>
          <w:p w14:paraId="2BD3F83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1872" w:type="dxa"/>
          </w:tcPr>
          <w:p w14:paraId="7DE6511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c>
          <w:tcPr>
            <w:tcW w:w="1872" w:type="dxa"/>
          </w:tcPr>
          <w:p w14:paraId="07C1A38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Change</w:t>
            </w:r>
          </w:p>
        </w:tc>
      </w:tr>
      <w:tr w:rsidR="000047A4" w:rsidRPr="00503641" w14:paraId="1972160B" w14:textId="77777777" w:rsidTr="00222FD2">
        <w:tc>
          <w:tcPr>
            <w:tcW w:w="1872" w:type="dxa"/>
          </w:tcPr>
          <w:p w14:paraId="1B7F147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Gearing Ratio</w:t>
            </w:r>
          </w:p>
        </w:tc>
        <w:tc>
          <w:tcPr>
            <w:tcW w:w="1872" w:type="dxa"/>
          </w:tcPr>
          <w:p w14:paraId="754132C1"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Debt / (Equity + Net Debt)</w:t>
            </w:r>
          </w:p>
        </w:tc>
        <w:tc>
          <w:tcPr>
            <w:tcW w:w="1872" w:type="dxa"/>
          </w:tcPr>
          <w:p w14:paraId="61451D4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36.5%</w:t>
            </w:r>
          </w:p>
        </w:tc>
        <w:tc>
          <w:tcPr>
            <w:tcW w:w="1872" w:type="dxa"/>
          </w:tcPr>
          <w:p w14:paraId="3381471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39.9%</w:t>
            </w:r>
          </w:p>
        </w:tc>
        <w:tc>
          <w:tcPr>
            <w:tcW w:w="1872" w:type="dxa"/>
          </w:tcPr>
          <w:p w14:paraId="0190574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-3.4%</w:t>
            </w:r>
          </w:p>
        </w:tc>
      </w:tr>
      <w:tr w:rsidR="000047A4" w:rsidRPr="00503641" w14:paraId="2F45E5AF" w14:textId="77777777" w:rsidTr="00222FD2">
        <w:tc>
          <w:tcPr>
            <w:tcW w:w="1872" w:type="dxa"/>
          </w:tcPr>
          <w:p w14:paraId="48C45B2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Debt Ratio</w:t>
            </w:r>
          </w:p>
        </w:tc>
        <w:tc>
          <w:tcPr>
            <w:tcW w:w="1872" w:type="dxa"/>
          </w:tcPr>
          <w:p w14:paraId="2FE973C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Liabilities / Total Assets</w:t>
            </w:r>
          </w:p>
        </w:tc>
        <w:tc>
          <w:tcPr>
            <w:tcW w:w="1872" w:type="dxa"/>
          </w:tcPr>
          <w:p w14:paraId="2A0C10B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73.0%</w:t>
            </w:r>
          </w:p>
        </w:tc>
        <w:tc>
          <w:tcPr>
            <w:tcW w:w="1872" w:type="dxa"/>
          </w:tcPr>
          <w:p w14:paraId="2BE9C10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72.6%</w:t>
            </w:r>
          </w:p>
        </w:tc>
        <w:tc>
          <w:tcPr>
            <w:tcW w:w="1872" w:type="dxa"/>
          </w:tcPr>
          <w:p w14:paraId="419FECA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+0.4%</w:t>
            </w:r>
          </w:p>
        </w:tc>
      </w:tr>
      <w:tr w:rsidR="000047A4" w:rsidRPr="00503641" w14:paraId="72A47836" w14:textId="77777777" w:rsidTr="00222FD2">
        <w:tc>
          <w:tcPr>
            <w:tcW w:w="1872" w:type="dxa"/>
          </w:tcPr>
          <w:p w14:paraId="2789347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Interest Coverage Ratio</w:t>
            </w:r>
          </w:p>
        </w:tc>
        <w:tc>
          <w:tcPr>
            <w:tcW w:w="1872" w:type="dxa"/>
          </w:tcPr>
          <w:p w14:paraId="55AE23BA"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EBIT / Interest Expense</w:t>
            </w:r>
          </w:p>
        </w:tc>
        <w:tc>
          <w:tcPr>
            <w:tcW w:w="1872" w:type="dxa"/>
          </w:tcPr>
          <w:p w14:paraId="149D6B6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3.06 times</w:t>
            </w:r>
          </w:p>
        </w:tc>
        <w:tc>
          <w:tcPr>
            <w:tcW w:w="1872" w:type="dxa"/>
          </w:tcPr>
          <w:p w14:paraId="762DA67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2.93 times</w:t>
            </w:r>
          </w:p>
        </w:tc>
        <w:tc>
          <w:tcPr>
            <w:tcW w:w="1872" w:type="dxa"/>
          </w:tcPr>
          <w:p w14:paraId="50589DA4"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+0.13</w:t>
            </w:r>
          </w:p>
        </w:tc>
      </w:tr>
    </w:tbl>
    <w:p w14:paraId="2AA4B571" w14:textId="77777777" w:rsidR="000047A4" w:rsidRPr="0070224F" w:rsidRDefault="00000000" w:rsidP="00503641">
      <w:pPr>
        <w:pBdr>
          <w:top w:val="nil"/>
          <w:left w:val="nil"/>
          <w:bottom w:val="nil"/>
          <w:right w:val="nil"/>
          <w:between w:val="nil"/>
        </w:pBdr>
        <w:spacing w:before="480"/>
        <w:rPr>
          <w:rFonts w:eastAsia="Google Sans Text" w:cs="Times New Roman"/>
          <w:b/>
          <w:bCs/>
        </w:rPr>
      </w:pPr>
      <w:r w:rsidRPr="0070224F">
        <w:rPr>
          <w:rFonts w:eastAsia="Google Sans Text" w:cs="Times New Roman"/>
          <w:b/>
          <w:bCs/>
        </w:rPr>
        <w:t>Gearing Ratio</w:t>
      </w:r>
    </w:p>
    <w:p w14:paraId="32533C96" w14:textId="77777777"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 xml:space="preserve">The Gearing Ratio has improved significantly to 36.5%, compared with 39.9% previously (J </w:t>
      </w:r>
      <w:r w:rsidRPr="0070224F">
        <w:rPr>
          <w:rFonts w:eastAsia="Google Sans Text" w:cs="Times New Roman"/>
        </w:rPr>
        <w:lastRenderedPageBreak/>
        <w:t>Sainsbury plc, 2025). The Gearing Ratio is a measure of the proportion of a company’s capital structure financed using interest bearing debt. The improvement is mainly because of a very strong cash flow performance, increasing the “Net Cash” figure which offsets debt. The lower gearing will make the company less susceptible to interest rate increases and/or recessionary pressures (S&amp;P Global, 2025), and also gives an indication to investors that the company is reducing its leverage and improving its financial footing.</w:t>
      </w:r>
    </w:p>
    <w:p w14:paraId="3E482607" w14:textId="77777777" w:rsidR="0070224F" w:rsidRPr="0070224F" w:rsidRDefault="0070224F" w:rsidP="0070224F">
      <w:pPr>
        <w:pBdr>
          <w:top w:val="nil"/>
          <w:left w:val="nil"/>
          <w:bottom w:val="nil"/>
          <w:right w:val="nil"/>
          <w:between w:val="nil"/>
        </w:pBdr>
        <w:spacing w:after="240"/>
        <w:rPr>
          <w:rFonts w:eastAsia="Google Sans Text" w:cs="Times New Roman"/>
          <w:b/>
          <w:bCs/>
        </w:rPr>
      </w:pPr>
      <w:r w:rsidRPr="0070224F">
        <w:rPr>
          <w:rFonts w:eastAsia="Google Sans Text" w:cs="Times New Roman"/>
          <w:b/>
          <w:bCs/>
        </w:rPr>
        <w:t>Interest Coverage Ratio</w:t>
      </w:r>
    </w:p>
    <w:p w14:paraId="70E7A4B8" w14:textId="77777777" w:rsidR="0070224F" w:rsidRPr="0070224F" w:rsidRDefault="0070224F" w:rsidP="0070224F">
      <w:pPr>
        <w:pBdr>
          <w:top w:val="nil"/>
          <w:left w:val="nil"/>
          <w:bottom w:val="nil"/>
          <w:right w:val="nil"/>
          <w:between w:val="nil"/>
        </w:pBdr>
        <w:spacing w:after="240"/>
        <w:rPr>
          <w:rFonts w:eastAsia="Google Sans Text" w:cs="Times New Roman"/>
        </w:rPr>
      </w:pPr>
      <w:r w:rsidRPr="0070224F">
        <w:rPr>
          <w:rFonts w:eastAsia="Google Sans Text" w:cs="Times New Roman"/>
        </w:rPr>
        <w:t xml:space="preserve">The Interest Coverage Ratio was 3.06 times. The Interest Coverage Ratio shows how many times the operating profits would be able to pay off the net finance costs (J Sainsbury plc, 2025). Although the Finance Costs have risen to £336m (FY24: £324m) due to higher interest rates, the increase in the Operating Profit (£1,029m) outpaced the increased cost of borrowing. In general terms, for a stable cash generating business such as a supermarket, a ratio of over 3.0x is regarded as good, demonstrating that the business is well able to meet its debt repayment commitments. </w:t>
      </w:r>
    </w:p>
    <w:p w14:paraId="01A7204F" w14:textId="231BB703" w:rsidR="0070224F" w:rsidRPr="0070224F" w:rsidRDefault="0070224F" w:rsidP="0070224F">
      <w:pPr>
        <w:pStyle w:val="Heading3"/>
      </w:pPr>
      <w:bookmarkStart w:id="8" w:name="_Toc219163920"/>
      <w:r w:rsidRPr="0070224F">
        <w:t>Investor Ratios</w:t>
      </w:r>
      <w:bookmarkEnd w:id="8"/>
    </w:p>
    <w:p w14:paraId="5EE71B02" w14:textId="038F14C0" w:rsidR="000047A4" w:rsidRPr="00503641"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rPr>
        <w:t>Investor Ratios are of prime importance to both existing and prospective shareholders as they show the level of return that their investment is likely to achieve (Yahoo Finance, 2026).</w:t>
      </w:r>
    </w:p>
    <w:p w14:paraId="63040F0A" w14:textId="77777777" w:rsidR="000047A4" w:rsidRPr="00503641" w:rsidRDefault="00000000" w:rsidP="0070224F">
      <w:pPr>
        <w:pBdr>
          <w:top w:val="nil"/>
          <w:left w:val="nil"/>
          <w:bottom w:val="nil"/>
          <w:right w:val="nil"/>
          <w:between w:val="nil"/>
        </w:pBdr>
        <w:spacing w:after="240"/>
        <w:jc w:val="center"/>
        <w:rPr>
          <w:rFonts w:eastAsia="Google Sans Text" w:cs="Times New Roman"/>
          <w:b/>
          <w:bCs/>
          <w:color w:val="1F1F1F"/>
        </w:rPr>
      </w:pPr>
      <w:r w:rsidRPr="00503641">
        <w:rPr>
          <w:rFonts w:eastAsia="Google Sans Text" w:cs="Times New Roman"/>
          <w:b/>
          <w:bCs/>
          <w:color w:val="1F1F1F"/>
        </w:rPr>
        <w:t>Table 5: Investor Ratios</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0047A4" w:rsidRPr="00503641" w14:paraId="2A12804B" w14:textId="77777777" w:rsidTr="00222FD2">
        <w:tc>
          <w:tcPr>
            <w:tcW w:w="1872" w:type="dxa"/>
          </w:tcPr>
          <w:p w14:paraId="2DC1E161"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w:t>
            </w:r>
          </w:p>
        </w:tc>
        <w:tc>
          <w:tcPr>
            <w:tcW w:w="1872" w:type="dxa"/>
          </w:tcPr>
          <w:p w14:paraId="01F00B8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w:t>
            </w:r>
          </w:p>
        </w:tc>
        <w:tc>
          <w:tcPr>
            <w:tcW w:w="1872" w:type="dxa"/>
          </w:tcPr>
          <w:p w14:paraId="70F7D45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1872" w:type="dxa"/>
          </w:tcPr>
          <w:p w14:paraId="6E9B2A8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c>
          <w:tcPr>
            <w:tcW w:w="1872" w:type="dxa"/>
          </w:tcPr>
          <w:p w14:paraId="51BBBB6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Change</w:t>
            </w:r>
          </w:p>
        </w:tc>
      </w:tr>
      <w:tr w:rsidR="000047A4" w:rsidRPr="00503641" w14:paraId="78622AC6" w14:textId="77777777" w:rsidTr="00222FD2">
        <w:tc>
          <w:tcPr>
            <w:tcW w:w="1872" w:type="dxa"/>
          </w:tcPr>
          <w:p w14:paraId="22D0977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Basic EPS (Underlying)</w:t>
            </w:r>
          </w:p>
        </w:tc>
        <w:tc>
          <w:tcPr>
            <w:tcW w:w="1872" w:type="dxa"/>
          </w:tcPr>
          <w:p w14:paraId="374F580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Underlying Profit / Shares</w:t>
            </w:r>
          </w:p>
        </w:tc>
        <w:tc>
          <w:tcPr>
            <w:tcW w:w="1872" w:type="dxa"/>
          </w:tcPr>
          <w:p w14:paraId="79F07C9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23.1p</w:t>
            </w:r>
          </w:p>
        </w:tc>
        <w:tc>
          <w:tcPr>
            <w:tcW w:w="1872" w:type="dxa"/>
          </w:tcPr>
          <w:p w14:paraId="19E8F00C"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22.1p</w:t>
            </w:r>
          </w:p>
        </w:tc>
        <w:tc>
          <w:tcPr>
            <w:tcW w:w="1872" w:type="dxa"/>
          </w:tcPr>
          <w:p w14:paraId="184DB69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+4.5%</w:t>
            </w:r>
          </w:p>
        </w:tc>
      </w:tr>
      <w:tr w:rsidR="000047A4" w:rsidRPr="00503641" w14:paraId="6CB64668" w14:textId="77777777" w:rsidTr="00222FD2">
        <w:tc>
          <w:tcPr>
            <w:tcW w:w="1872" w:type="dxa"/>
          </w:tcPr>
          <w:p w14:paraId="690FD40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Basic EPS (Total)</w:t>
            </w:r>
          </w:p>
        </w:tc>
        <w:tc>
          <w:tcPr>
            <w:tcW w:w="1872" w:type="dxa"/>
          </w:tcPr>
          <w:p w14:paraId="1F470D1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Profit / Shares</w:t>
            </w:r>
          </w:p>
        </w:tc>
        <w:tc>
          <w:tcPr>
            <w:tcW w:w="1872" w:type="dxa"/>
          </w:tcPr>
          <w:p w14:paraId="03CE8D7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10.4p</w:t>
            </w:r>
          </w:p>
        </w:tc>
        <w:tc>
          <w:tcPr>
            <w:tcW w:w="1872" w:type="dxa"/>
          </w:tcPr>
          <w:p w14:paraId="2616D59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5.9p</w:t>
            </w:r>
          </w:p>
        </w:tc>
        <w:tc>
          <w:tcPr>
            <w:tcW w:w="1872" w:type="dxa"/>
          </w:tcPr>
          <w:p w14:paraId="550CF23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+76%</w:t>
            </w:r>
          </w:p>
        </w:tc>
      </w:tr>
    </w:tbl>
    <w:p w14:paraId="27B7F6B9" w14:textId="77777777" w:rsidR="000047A4" w:rsidRPr="00222FD2" w:rsidRDefault="00000000" w:rsidP="00503641">
      <w:pPr>
        <w:pBdr>
          <w:top w:val="nil"/>
          <w:left w:val="nil"/>
          <w:bottom w:val="nil"/>
          <w:right w:val="nil"/>
          <w:between w:val="nil"/>
        </w:pBdr>
        <w:spacing w:before="480"/>
        <w:rPr>
          <w:rFonts w:eastAsia="Google Sans Text" w:cs="Times New Roman"/>
          <w:b/>
          <w:bCs/>
        </w:rPr>
      </w:pPr>
      <w:r w:rsidRPr="00222FD2">
        <w:rPr>
          <w:rFonts w:eastAsia="Google Sans Text" w:cs="Times New Roman"/>
          <w:b/>
          <w:bCs/>
        </w:rPr>
        <w:t>Earnings Per Share (EPS)</w:t>
      </w:r>
    </w:p>
    <w:p w14:paraId="5780E342" w14:textId="50E0791B" w:rsidR="000047A4" w:rsidRPr="00503641" w:rsidRDefault="0070224F" w:rsidP="00503641">
      <w:pPr>
        <w:pBdr>
          <w:top w:val="nil"/>
          <w:left w:val="nil"/>
          <w:bottom w:val="nil"/>
          <w:right w:val="nil"/>
          <w:between w:val="nil"/>
        </w:pBdr>
        <w:rPr>
          <w:rFonts w:eastAsia="Google Sans Text" w:cs="Times New Roman"/>
        </w:rPr>
      </w:pPr>
      <w:r w:rsidRPr="0070224F">
        <w:rPr>
          <w:rFonts w:eastAsia="Google Sans Text" w:cs="Times New Roman"/>
        </w:rPr>
        <w:t xml:space="preserve">The 4.5% improvement in Underlying Earnings Per Share (EPS) to 23.1p (J Sainsbury plc, 2025), </w:t>
      </w:r>
      <w:r w:rsidRPr="0070224F">
        <w:rPr>
          <w:rFonts w:eastAsia="Google Sans Text" w:cs="Times New Roman"/>
        </w:rPr>
        <w:lastRenderedPageBreak/>
        <w:t>should provide confidence to shareholders regarding their investment; as this represents the largest driving factor of the increase in the company's stock price and ultimately, long-term dividend sustainability. The jump in Statutory (Total) EPS from 5.9p to 10.4p, a 76% increase, also indicates that the company has improved its bottom-line performance. This is due to diminishing structural costs associated with the company's past restructuring and improving profitability. The increase in both metrics will support the sustainability of the company's dividend payments and will allow the company to potentially either continue to grow the dividend or consider share repurchases.</w:t>
      </w:r>
    </w:p>
    <w:p w14:paraId="069B42D5" w14:textId="31F968CF" w:rsidR="000047A4" w:rsidRPr="00503641" w:rsidRDefault="00000000" w:rsidP="00503641">
      <w:pPr>
        <w:pStyle w:val="Heading2"/>
        <w:spacing w:before="0"/>
      </w:pPr>
      <w:bookmarkStart w:id="9" w:name="_Toc219163921"/>
      <w:r w:rsidRPr="00503641">
        <w:t>Critical Evaluation</w:t>
      </w:r>
      <w:bookmarkEnd w:id="9"/>
    </w:p>
    <w:p w14:paraId="0D5F8F6B" w14:textId="48368B2A" w:rsidR="000047A4" w:rsidRPr="00503641" w:rsidRDefault="00000000" w:rsidP="00503641">
      <w:pPr>
        <w:pStyle w:val="Heading3"/>
        <w:spacing w:before="0" w:after="120"/>
        <w:rPr>
          <w:rFonts w:eastAsia="Google Sans" w:cs="Times New Roman"/>
          <w:color w:val="1F1F1F"/>
        </w:rPr>
      </w:pPr>
      <w:bookmarkStart w:id="10" w:name="_Toc219163922"/>
      <w:r w:rsidRPr="00503641">
        <w:rPr>
          <w:rFonts w:eastAsia="Google Sans" w:cs="Times New Roman"/>
          <w:color w:val="1F1F1F"/>
        </w:rPr>
        <w:t>Strategic Performance &amp; The "Food First" Pivot</w:t>
      </w:r>
      <w:bookmarkEnd w:id="10"/>
    </w:p>
    <w:p w14:paraId="052FE706" w14:textId="748874E5"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There is strong qualitative evidence from the FY25 financial results that Sainsbury's "Next Level" strategy is meeting its objectives. The strategic shift to focus on "Food First," with an emphasis on volume growth, price competitiveness, and efficiency through the supply chain, has led to a successful "Goldilocks" scenario where Revenue is increased to £32.8 billion and Operating Margins have been improved to 3.14%.</w:t>
      </w:r>
    </w:p>
    <w:p w14:paraId="3A870EA3" w14:textId="62ABD147"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In the retail industry, there is usually a trade-off between cost and profit: a retailer must either lose margin to increase volume (with a price cut), or lose volume to protect margin (through pricing increases). Sainsbury's has broken this trade-off; they have gained volume while increasing margins. The ratio analysis demonstrates the mechanism for achieving this success: this was largely due to the reduction in the proportion of Cost of Sales to revenue (as evidenced by the improvement in the Gross Margin) and the acceleration of Inventory Turnover to 15.8x. This supports the idea that the "Save to Invest" program is more than simply a slogan — it is financially supported by the funds generated by price investments necessary to allow Sainsbury's to compete with the discounters (The Guardian, 2024).</w:t>
      </w:r>
    </w:p>
    <w:p w14:paraId="1C9D6716" w14:textId="6F85AC69" w:rsidR="0070224F" w:rsidRPr="0070224F" w:rsidRDefault="0070224F" w:rsidP="0070224F">
      <w:pPr>
        <w:pStyle w:val="Heading3"/>
      </w:pPr>
      <w:bookmarkStart w:id="11" w:name="_Toc219163923"/>
      <w:r w:rsidRPr="0070224F">
        <w:t>Financial Structure &amp; Risk</w:t>
      </w:r>
      <w:bookmarkEnd w:id="11"/>
    </w:p>
    <w:p w14:paraId="580FB0BE" w14:textId="0D9FDCD2"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 xml:space="preserve">The Balance Sheet underwent a major "de-risking" in FY25. The large cash reserve approaching £2.8 billion has greatly increased liquidity ratios and decreased net gearing. In the uncertain economic climate of the mid-2020s, liquidity is a valuable commodity. A strong cash balance will allow Sainsbury's to self-fund its technology investments and store refits without having to rely on </w:t>
      </w:r>
      <w:r w:rsidRPr="0070224F">
        <w:rPr>
          <w:rFonts w:eastAsia="Google Sans Text" w:cs="Times New Roman"/>
          <w:color w:val="1F1F1F"/>
        </w:rPr>
        <w:lastRenderedPageBreak/>
        <w:t>expensive debt markets; this is a significant competitive advantage given the current interest rate environment (Bank of England, 2025).</w:t>
      </w:r>
    </w:p>
    <w:p w14:paraId="2846FFCC" w14:textId="60BA6B75" w:rsidR="0070224F" w:rsidRPr="0070224F" w:rsidRDefault="00DE6DA7" w:rsidP="0070224F">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Nevertheless, the analysis indicates that the reliance on supplier credit is also a significant part of the financial organization of Sainsbury. Sainsbury has a Payables Period 63 days, which implies that the company successfully utilizes the credit of suppliers to sustain the working capital requirements of the company. Although this is a good way of financial management, it has a reputational risk. In the event that the suppliers of Sainsbury start experiencing the squeezer effect of terms of trade conditions, this may interfere with the supply chain, or spoil goodwill (CIPS, 2025).</w:t>
      </w:r>
      <w:r w:rsidR="0070224F" w:rsidRPr="0070224F">
        <w:rPr>
          <w:rFonts w:eastAsia="Google Sans Text" w:cs="Times New Roman"/>
          <w:color w:val="1F1F1F"/>
        </w:rPr>
        <w:t xml:space="preserve"> The negative working capital model is very efficient but depends on suppliers maintaining confidence in the supply chain.</w:t>
      </w:r>
    </w:p>
    <w:p w14:paraId="36AC5405" w14:textId="697B84F7" w:rsidR="0070224F" w:rsidRPr="0070224F" w:rsidRDefault="0070224F" w:rsidP="0070224F">
      <w:pPr>
        <w:pStyle w:val="Heading3"/>
      </w:pPr>
      <w:bookmarkStart w:id="12" w:name="_Toc219163924"/>
      <w:r w:rsidRPr="0070224F">
        <w:t>Limitations of Ratio Analysis</w:t>
      </w:r>
      <w:bookmarkEnd w:id="12"/>
    </w:p>
    <w:p w14:paraId="0C20126B" w14:textId="77777777"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 xml:space="preserve">Although ratio analysis provides a structured format for evaluating performance, there are many inherent limitations associated with this method of analysis (Drury, 2018) </w:t>
      </w:r>
    </w:p>
    <w:p w14:paraId="5C06D22E" w14:textId="028A21BA"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Firstly, the Disposal Group Distortion affects the analysis. Due to the continued divestment of Financial Services, the FY25 Balance Sheet contains a number of assets (£2.5 billion) and liabilities (£3.1 billion) that are classified as "held for sale." These assets and liabilities distort normal liquidity and solvency ratios and could create the illusion that the company is more leveraged or liquid than the standalone continuing operations would indicate.</w:t>
      </w:r>
    </w:p>
    <w:p w14:paraId="593CEB81" w14:textId="1D2DD67C"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Secondly, Seasonality has an impact. The FY25 year end of March 1st is immediately following the peak trading period of Christmas and the January sales clearances. As such, the cash balances are typically at their highest level at this point in the year, and the inventory levels are typically lower than the annual average. Consequently, the ratios calculated at this point in the year may not accurately represent the typical financial condition of the business over the course of the year and could result in an overly optimistic assessment of liquidity.</w:t>
      </w:r>
    </w:p>
    <w:p w14:paraId="10DC8F33" w14:textId="7500C296" w:rsidR="000047A4" w:rsidRPr="00503641"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Thirdly, although the recent stabili</w:t>
      </w:r>
      <w:r w:rsidR="006D2254">
        <w:rPr>
          <w:rFonts w:eastAsia="Google Sans Text" w:cs="Times New Roman"/>
          <w:color w:val="1F1F1F"/>
        </w:rPr>
        <w:t>s</w:t>
      </w:r>
      <w:r w:rsidRPr="0070224F">
        <w:rPr>
          <w:rFonts w:eastAsia="Google Sans Text" w:cs="Times New Roman"/>
          <w:color w:val="1F1F1F"/>
        </w:rPr>
        <w:t>ation of inflation, the comparative figures from FY24 and prior years were influenced by the higher inflation rates and therefore can cause distortion in growth rates of revenue and costs (i.e., some of the revenue growth may have been price-driven rather than volume-driven) (ONS, 2025).</w:t>
      </w:r>
    </w:p>
    <w:p w14:paraId="786E4FDF" w14:textId="121D4CA0" w:rsidR="000047A4" w:rsidRPr="00503641" w:rsidRDefault="00000000" w:rsidP="00503641">
      <w:pPr>
        <w:pStyle w:val="Heading2"/>
        <w:spacing w:before="0"/>
      </w:pPr>
      <w:bookmarkStart w:id="13" w:name="_Toc219163925"/>
      <w:r w:rsidRPr="00503641">
        <w:lastRenderedPageBreak/>
        <w:t>Recommendations</w:t>
      </w:r>
      <w:bookmarkEnd w:id="13"/>
    </w:p>
    <w:p w14:paraId="48542426" w14:textId="77777777"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On the basis of the detailed financial review described above, the following key recommendations are made to the Board of Directors:</w:t>
      </w:r>
    </w:p>
    <w:p w14:paraId="5EFBAA35" w14:textId="77777777" w:rsidR="0070224F" w:rsidRPr="0070224F" w:rsidRDefault="0070224F" w:rsidP="0070224F">
      <w:pPr>
        <w:pBdr>
          <w:top w:val="nil"/>
          <w:left w:val="nil"/>
          <w:bottom w:val="nil"/>
          <w:right w:val="nil"/>
          <w:between w:val="nil"/>
        </w:pBdr>
        <w:spacing w:after="240"/>
        <w:rPr>
          <w:rFonts w:eastAsia="Google Sans Text" w:cs="Times New Roman"/>
          <w:b/>
          <w:bCs/>
          <w:color w:val="1F1F1F"/>
        </w:rPr>
      </w:pPr>
      <w:r w:rsidRPr="0070224F">
        <w:rPr>
          <w:rFonts w:eastAsia="Google Sans Text" w:cs="Times New Roman"/>
          <w:b/>
          <w:bCs/>
          <w:color w:val="1F1F1F"/>
        </w:rPr>
        <w:t>Capital Allocation Strategy</w:t>
      </w:r>
    </w:p>
    <w:p w14:paraId="77BD9C60" w14:textId="77777777"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In light of a cash position of £2.78 billion and a gearing ratio of 36.5%, the Board is in a powerful position to return value to shareholders. The Board is therefore advised to consider increasing the pace of the current share buyback programme. A faster rate of share repurchase will have two positive impacts: it will increase the earnings per share; and it will send a clear message to the market about management confidence in the business model and the future prospects of the business.</w:t>
      </w:r>
    </w:p>
    <w:p w14:paraId="40250902" w14:textId="77777777"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Alternatively, the Board may wish to invest the surplus cash in an extension of the automated logistics system of Argos to take advantage of the efficiencies already established and to create additional barriers to entry for competitors who are purely online businesses.</w:t>
      </w:r>
    </w:p>
    <w:p w14:paraId="67D76E90" w14:textId="77777777" w:rsidR="0070224F" w:rsidRPr="0070224F" w:rsidRDefault="0070224F" w:rsidP="0070224F">
      <w:pPr>
        <w:pBdr>
          <w:top w:val="nil"/>
          <w:left w:val="nil"/>
          <w:bottom w:val="nil"/>
          <w:right w:val="nil"/>
          <w:between w:val="nil"/>
        </w:pBdr>
        <w:spacing w:after="240"/>
        <w:rPr>
          <w:rFonts w:eastAsia="Google Sans Text" w:cs="Times New Roman"/>
          <w:b/>
          <w:bCs/>
          <w:color w:val="1F1F1F"/>
        </w:rPr>
      </w:pPr>
      <w:r w:rsidRPr="0070224F">
        <w:rPr>
          <w:rFonts w:eastAsia="Google Sans Text" w:cs="Times New Roman"/>
          <w:b/>
          <w:bCs/>
          <w:color w:val="1F1F1F"/>
        </w:rPr>
        <w:t>Manage Supplier Relationships</w:t>
      </w:r>
    </w:p>
    <w:p w14:paraId="4EB9662D" w14:textId="4B041A3E"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As the efficiency analysis demonstrated, the payables payment period was extended to 63 days. Although there is a benefit to cash flow from a long payables’ payment period, it is clearly longer than the payables collection period. Therefore, Sainsbury's should ensure that it is not putting pressure on suppliers to maintain an unsustainable level of supply chain relationships. As such, the Board is encouraged to monitor supplier satisfaction surveys in conjunction with working capital performance to prevent operational efficiency being achieved at the expense of maintaining a resilient supply chain to support the "Food First" strategy.</w:t>
      </w:r>
    </w:p>
    <w:p w14:paraId="39919A59" w14:textId="77777777" w:rsidR="0070224F" w:rsidRPr="0070224F" w:rsidRDefault="0070224F" w:rsidP="0070224F">
      <w:pPr>
        <w:pBdr>
          <w:top w:val="nil"/>
          <w:left w:val="nil"/>
          <w:bottom w:val="nil"/>
          <w:right w:val="nil"/>
          <w:between w:val="nil"/>
        </w:pBdr>
        <w:spacing w:after="240"/>
        <w:rPr>
          <w:rFonts w:eastAsia="Google Sans Text" w:cs="Times New Roman"/>
          <w:b/>
          <w:bCs/>
          <w:color w:val="1F1F1F"/>
        </w:rPr>
      </w:pPr>
      <w:r w:rsidRPr="0070224F">
        <w:rPr>
          <w:rFonts w:eastAsia="Google Sans Text" w:cs="Times New Roman"/>
          <w:b/>
          <w:bCs/>
          <w:color w:val="1F1F1F"/>
        </w:rPr>
        <w:t>De-lever Lease Liabilities</w:t>
      </w:r>
    </w:p>
    <w:p w14:paraId="21DB258C" w14:textId="0D785004" w:rsidR="0070224F" w:rsidRPr="0070224F" w:rsidRDefault="0070224F" w:rsidP="0070224F">
      <w:pPr>
        <w:pBdr>
          <w:top w:val="nil"/>
          <w:left w:val="nil"/>
          <w:bottom w:val="nil"/>
          <w:right w:val="nil"/>
          <w:between w:val="nil"/>
        </w:pBdr>
        <w:spacing w:after="240"/>
        <w:rPr>
          <w:rFonts w:eastAsia="Google Sans Text" w:cs="Times New Roman"/>
          <w:color w:val="1F1F1F"/>
        </w:rPr>
      </w:pPr>
      <w:r w:rsidRPr="0070224F">
        <w:rPr>
          <w:rFonts w:eastAsia="Google Sans Text" w:cs="Times New Roman"/>
          <w:color w:val="1F1F1F"/>
        </w:rPr>
        <w:t xml:space="preserve">Approximately half of the group's total debt (£5.5bn), relates to lease obligations. In the current climate where borrowing rates remain at historically high levels, the Board should assess whether the opportunity exists to utilise available funds to acquire the freehold of strategic properties. This would result in the elimination of long-term interest payments and a reduction in the lease obligation recorded on the balance sheet. In addition, if the Group were to eliminate the interest </w:t>
      </w:r>
      <w:r w:rsidRPr="0070224F">
        <w:rPr>
          <w:rFonts w:eastAsia="Google Sans Text" w:cs="Times New Roman"/>
          <w:color w:val="1F1F1F"/>
        </w:rPr>
        <w:lastRenderedPageBreak/>
        <w:t>payments on lease obligations relating to specific properties, then the net profit margin of the Group could be enhanced further.</w:t>
      </w:r>
    </w:p>
    <w:p w14:paraId="6F3C1DD6" w14:textId="14C6840B" w:rsidR="0070224F" w:rsidRPr="0070224F" w:rsidRDefault="0070224F" w:rsidP="0070224F">
      <w:pPr>
        <w:pStyle w:val="Heading2"/>
      </w:pPr>
      <w:bookmarkStart w:id="14" w:name="_Toc219163926"/>
      <w:r w:rsidRPr="0070224F">
        <w:t>Conclusion</w:t>
      </w:r>
      <w:bookmarkEnd w:id="14"/>
    </w:p>
    <w:p w14:paraId="4DB31C06"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A strong financial performance of Sainsbury PLC in FY25 confirms the success of the strategy of Next Level. The Company has managed to move through the post-inflationary environment, and attain growth in both turnover and underlying operating margins to attain an admirable 3.14% margin. Liquidity measures and gearing ratios are also improved, which makes the balance sheet significantly better.</w:t>
      </w:r>
    </w:p>
    <w:p w14:paraId="425CD0A6" w14:textId="1BAB240D" w:rsidR="000047A4"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The key move of refocusing the business on core retail and non-core areas, such as financial services has offered a real-life illustration of success in terms of the enhancement of the Return on Capital Employed (ROCE) to 7.8</w:t>
      </w:r>
      <w:r>
        <w:rPr>
          <w:rFonts w:eastAsia="Google Sans Text" w:cs="Times New Roman"/>
          <w:color w:val="1F1F1F"/>
        </w:rPr>
        <w:t>%</w:t>
      </w:r>
      <w:r w:rsidRPr="00DE6DA7">
        <w:rPr>
          <w:rFonts w:eastAsia="Google Sans Text" w:cs="Times New Roman"/>
          <w:color w:val="1F1F1F"/>
        </w:rPr>
        <w:t>. Sainsbury has managed to find a successful mix between the competitive price strategy that enables it to compete with other major retailers and the shareholder value creation process. Unless Sainsbury can stop addressing its cost base and retain its competitive pricing through the Nectar loyalty scheme, the latter is in a strong position to achieve long term growth and value creation.</w:t>
      </w:r>
    </w:p>
    <w:p w14:paraId="200B8F01" w14:textId="7679DB86" w:rsidR="00503641" w:rsidRDefault="00503641">
      <w:pPr>
        <w:spacing w:line="240" w:lineRule="auto"/>
        <w:jc w:val="left"/>
        <w:rPr>
          <w:rFonts w:eastAsia="Google Sans Text" w:cs="Times New Roman"/>
          <w:color w:val="1F1F1F"/>
        </w:rPr>
      </w:pPr>
      <w:r>
        <w:rPr>
          <w:rFonts w:eastAsia="Google Sans Text" w:cs="Times New Roman"/>
          <w:color w:val="1F1F1F"/>
        </w:rPr>
        <w:br w:type="page"/>
      </w:r>
    </w:p>
    <w:p w14:paraId="24C338F1" w14:textId="6C2B65C8" w:rsidR="00503641" w:rsidRPr="000456C5" w:rsidRDefault="00503641" w:rsidP="00D35A84">
      <w:pPr>
        <w:pStyle w:val="Heading1"/>
      </w:pPr>
      <w:bookmarkStart w:id="15" w:name="_Toc219163927"/>
      <w:r w:rsidRPr="000456C5">
        <w:lastRenderedPageBreak/>
        <w:t>Part Two</w:t>
      </w:r>
      <w:bookmarkEnd w:id="15"/>
    </w:p>
    <w:p w14:paraId="03A44377" w14:textId="77777777" w:rsidR="00503641" w:rsidRPr="000456C5" w:rsidRDefault="00503641" w:rsidP="00503641">
      <w:pPr>
        <w:pStyle w:val="Heading2"/>
        <w:spacing w:before="0"/>
      </w:pPr>
      <w:bookmarkStart w:id="16" w:name="_Toc219163928"/>
      <w:r w:rsidRPr="000456C5">
        <w:t>Executive Summary</w:t>
      </w:r>
      <w:bookmarkEnd w:id="16"/>
    </w:p>
    <w:p w14:paraId="1D128697" w14:textId="752973BE" w:rsidR="00503641" w:rsidRDefault="00DE6DA7" w:rsidP="00B613F1">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This study aims to give an in-depth analysis of three of the three ostensible, long-term strategies presented by the Board of Directors of Westward Plc (Options A, B and C); which are, to establish an enlarged space of the current retail shop (Option A), to build a powerful E-Commerce Platform (Option B) and to venture in the manufacture of wooden and Roman blinds (Option C). It will be recommended how Westward Plc should plan its Capital Budget under a four-year strategic cycle according to the objectives of the shareholders whose intention is to maximise their shareholders value. Both the financial viability and risk levels of each of the options will be determined using financial models of Net Present Value (NPV), Payback Period and Internal Rate of Return (IRR).</w:t>
      </w:r>
      <w:r w:rsidR="00B613F1" w:rsidRPr="00B613F1">
        <w:rPr>
          <w:rFonts w:eastAsia="Google Sans Text" w:cs="Times New Roman"/>
          <w:color w:val="1F1F1F"/>
        </w:rPr>
        <w:t xml:space="preserve"> Calculations have been completed to account for a 25% corporation tax rate and 20% straight line capital allowance on all pre-tax cash flows to ensure the accuracy of post-tax cash flow estimates.</w:t>
      </w:r>
      <w:r>
        <w:rPr>
          <w:rFonts w:eastAsia="Google Sans Text" w:cs="Times New Roman"/>
          <w:color w:val="1F1F1F"/>
        </w:rPr>
        <w:t xml:space="preserve"> </w:t>
      </w:r>
      <w:r w:rsidR="00B613F1" w:rsidRPr="00B613F1">
        <w:rPr>
          <w:rFonts w:eastAsia="Google Sans Text" w:cs="Times New Roman"/>
          <w:color w:val="1F1F1F"/>
        </w:rPr>
        <w:t xml:space="preserve">Data collected from financial models indicate that Internet Sales (Option B) represents the most attractive individual </w:t>
      </w:r>
      <w:r w:rsidR="00C70471" w:rsidRPr="00B613F1">
        <w:rPr>
          <w:rFonts w:eastAsia="Google Sans Text" w:cs="Times New Roman"/>
          <w:color w:val="1F1F1F"/>
        </w:rPr>
        <w:t>project,</w:t>
      </w:r>
      <w:r w:rsidR="00B613F1" w:rsidRPr="00B613F1">
        <w:rPr>
          <w:rFonts w:eastAsia="Google Sans Text" w:cs="Times New Roman"/>
          <w:color w:val="1F1F1F"/>
        </w:rPr>
        <w:t xml:space="preserve"> providing the greatest Net Present Value (£792,</w:t>
      </w:r>
      <w:r w:rsidR="00852D94">
        <w:rPr>
          <w:rFonts w:eastAsia="Google Sans Text" w:cs="Times New Roman"/>
          <w:color w:val="1F1F1F"/>
        </w:rPr>
        <w:t>245</w:t>
      </w:r>
      <w:r w:rsidR="00B613F1" w:rsidRPr="00B613F1">
        <w:rPr>
          <w:rFonts w:eastAsia="Google Sans Text" w:cs="Times New Roman"/>
          <w:color w:val="1F1F1F"/>
        </w:rPr>
        <w:t>) along with the best internal rate of return (41.85%). Retail Expansion (Option A) and Blinds Production (Option C) are also viable projects since they both produced positive net present values of £643,</w:t>
      </w:r>
      <w:r w:rsidR="00852D94">
        <w:rPr>
          <w:rFonts w:eastAsia="Google Sans Text" w:cs="Times New Roman"/>
          <w:color w:val="1F1F1F"/>
        </w:rPr>
        <w:t>2</w:t>
      </w:r>
      <w:r w:rsidR="00B613F1" w:rsidRPr="00B613F1">
        <w:rPr>
          <w:rFonts w:eastAsia="Google Sans Text" w:cs="Times New Roman"/>
          <w:color w:val="1F1F1F"/>
        </w:rPr>
        <w:t>00 and £742,</w:t>
      </w:r>
      <w:r w:rsidR="00852D94">
        <w:rPr>
          <w:rFonts w:eastAsia="Google Sans Text" w:cs="Times New Roman"/>
          <w:color w:val="1F1F1F"/>
        </w:rPr>
        <w:t>512</w:t>
      </w:r>
      <w:r w:rsidR="00B613F1" w:rsidRPr="00B613F1">
        <w:rPr>
          <w:rFonts w:eastAsia="Google Sans Text" w:cs="Times New Roman"/>
          <w:color w:val="1F1F1F"/>
        </w:rPr>
        <w:t>, respectively. However, while the payback period indicated that retail expansion would generate the fastest liquidity returns (2.2 years), the ability to create wealth is greater with internet sales, therefore it is the recommended strategy when viewed individually. Since the total amount available for investment was limited to £2.5m, the authors of the report suggest an optimum portfolio strategy: fund options A &amp; B completely and fund a portion of Option C. This combination provided a combined net present value of £1.85m. Finally, the authors recommend a funding mix consisting primarily of retained earnings and debt financing. Debt financing allows the interest paid to be deducted from taxable income thereby reducing the cost of equity; while maintaining the weighted average cost of capital at an acceptable level.</w:t>
      </w:r>
    </w:p>
    <w:p w14:paraId="59A9C8EB" w14:textId="618DD262" w:rsidR="00B613F1" w:rsidRDefault="00B613F1">
      <w:pPr>
        <w:spacing w:before="0" w:after="0" w:line="240" w:lineRule="auto"/>
        <w:jc w:val="left"/>
        <w:rPr>
          <w:rFonts w:eastAsia="Google Sans Text" w:cs="Times New Roman"/>
          <w:color w:val="1F1F1F"/>
        </w:rPr>
      </w:pPr>
      <w:r>
        <w:rPr>
          <w:rFonts w:eastAsia="Google Sans Text" w:cs="Times New Roman"/>
          <w:color w:val="1F1F1F"/>
        </w:rPr>
        <w:br w:type="page"/>
      </w:r>
    </w:p>
    <w:p w14:paraId="6AC21549" w14:textId="098CD18A" w:rsidR="00503641" w:rsidRPr="000456C5" w:rsidRDefault="00503641" w:rsidP="00503641">
      <w:pPr>
        <w:pStyle w:val="Heading2"/>
        <w:spacing w:before="0"/>
      </w:pPr>
      <w:bookmarkStart w:id="17" w:name="_Toc219163929"/>
      <w:r w:rsidRPr="000456C5">
        <w:lastRenderedPageBreak/>
        <w:t>Introduction</w:t>
      </w:r>
      <w:bookmarkEnd w:id="17"/>
    </w:p>
    <w:p w14:paraId="299F3CD2" w14:textId="4FF401F5"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In order to help meet the target of four years of growth for Westward Plc, the company's leadership has identified three different options by which the company could achieve the stated objective. These three options are: Option A – expanding the physical retail footprint; Option B – developing a new e-commerce platform to sell products; and Option C – manufacturing window blinds. This report will provide a comprehensive review of each option from both a financial and strategic perspective in order to determine which one offers the greatest opportunity to enhance shareholder value over the next four years.</w:t>
      </w:r>
    </w:p>
    <w:p w14:paraId="0D148769" w14:textId="43B76D03"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Investment appraisal is a key component of long term strategic financial planning. Investment appraisal involves the evaluation of long term investments made by companies in order to assess whether they have the potential to increase the overall value of the firm. It is a </w:t>
      </w:r>
      <w:proofErr w:type="spellStart"/>
      <w:r w:rsidRPr="00B613F1">
        <w:rPr>
          <w:rFonts w:eastAsia="Google Sans Text" w:cs="Times New Roman"/>
          <w:color w:val="1F1F1F"/>
        </w:rPr>
        <w:t>well accepted</w:t>
      </w:r>
      <w:proofErr w:type="spellEnd"/>
      <w:r w:rsidRPr="00B613F1">
        <w:rPr>
          <w:rFonts w:eastAsia="Google Sans Text" w:cs="Times New Roman"/>
          <w:color w:val="1F1F1F"/>
        </w:rPr>
        <w:t xml:space="preserve"> principle within business that the ultimate goal of every company is to increase the wealth of its shareholders and therefore investment decisions are the primary means through which companies seek to reali</w:t>
      </w:r>
      <w:r w:rsidR="006D2254">
        <w:rPr>
          <w:rFonts w:eastAsia="Google Sans Text" w:cs="Times New Roman"/>
          <w:color w:val="1F1F1F"/>
        </w:rPr>
        <w:t>s</w:t>
      </w:r>
      <w:r w:rsidRPr="00B613F1">
        <w:rPr>
          <w:rFonts w:eastAsia="Google Sans Text" w:cs="Times New Roman"/>
          <w:color w:val="1F1F1F"/>
        </w:rPr>
        <w:t>e this objective (Arnold, 2019).</w:t>
      </w:r>
    </w:p>
    <w:p w14:paraId="50FB8B9C" w14:textId="52910435"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Due to the large amounts of money involved in investment decisions, coupled with the irreversible nature of such decisions, it is essential to subject them to rigorous financial analysis in order to identify the level of risk associated with the proposals and to ensure that the available funds are being utili</w:t>
      </w:r>
      <w:r w:rsidR="006D2254">
        <w:rPr>
          <w:rFonts w:eastAsia="Google Sans Text" w:cs="Times New Roman"/>
          <w:color w:val="1F1F1F"/>
        </w:rPr>
        <w:t>s</w:t>
      </w:r>
      <w:r w:rsidRPr="00B613F1">
        <w:rPr>
          <w:rFonts w:eastAsia="Google Sans Text" w:cs="Times New Roman"/>
          <w:color w:val="1F1F1F"/>
        </w:rPr>
        <w:t>ed in the most effective manner possible.</w:t>
      </w:r>
    </w:p>
    <w:p w14:paraId="568EF913" w14:textId="6AE3271C"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A number of different appraisal tools were employed in this report to facilitate informed decision making. NPV was chosen as the main appraisal tool because of its strong theoretical link to value creation. The </w:t>
      </w:r>
      <w:proofErr w:type="spellStart"/>
      <w:r w:rsidRPr="00B613F1">
        <w:rPr>
          <w:rFonts w:eastAsia="Google Sans Text" w:cs="Times New Roman"/>
          <w:color w:val="1F1F1F"/>
        </w:rPr>
        <w:t>pay back</w:t>
      </w:r>
      <w:proofErr w:type="spellEnd"/>
      <w:r w:rsidRPr="00B613F1">
        <w:rPr>
          <w:rFonts w:eastAsia="Google Sans Text" w:cs="Times New Roman"/>
          <w:color w:val="1F1F1F"/>
        </w:rPr>
        <w:t xml:space="preserve"> period was also employed to measure the liquidity risk associated with each proposal. IRR was used to compare the relative levels of capital efficiency between the two proposals. All of the appraisals were conducted at a 25% corporate tax rate and utili</w:t>
      </w:r>
      <w:r w:rsidR="006D2254">
        <w:rPr>
          <w:rFonts w:eastAsia="Google Sans Text" w:cs="Times New Roman"/>
          <w:color w:val="1F1F1F"/>
        </w:rPr>
        <w:t>s</w:t>
      </w:r>
      <w:r w:rsidRPr="00B613F1">
        <w:rPr>
          <w:rFonts w:eastAsia="Google Sans Text" w:cs="Times New Roman"/>
          <w:color w:val="1F1F1F"/>
        </w:rPr>
        <w:t>ing 20% straight line capital allowances to ensure that all of the recommendations made by the report were based upon realistic after tax cash flows.</w:t>
      </w:r>
    </w:p>
    <w:p w14:paraId="51BD4173" w14:textId="45F625F1" w:rsidR="00503641" w:rsidRPr="000456C5"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In addition to the numerical analysis provided by the report, a critical analysis of each proposal from a management perspective has been undertaken. An investigation of the academic support for DCF methodology has been undertaken as well as an examination of why non-discounting </w:t>
      </w:r>
      <w:r w:rsidRPr="00B613F1">
        <w:rPr>
          <w:rFonts w:eastAsia="Google Sans Text" w:cs="Times New Roman"/>
          <w:color w:val="1F1F1F"/>
        </w:rPr>
        <w:lastRenderedPageBreak/>
        <w:t>appraisal methods continue to be employed in practice. Other factors which may influence the decision of management have also been investigated, including strategic fit and the level of operational risk associated with each proposal. Finally, given the existence of a £2.5 million capital limit, the report has developed an optimum investment mix by employing the profit index method and concluded with a recommendation as to the most appropriate financing strategy for the planned expansion.</w:t>
      </w:r>
    </w:p>
    <w:p w14:paraId="6484A906" w14:textId="3198976C" w:rsidR="00503641" w:rsidRPr="000456C5" w:rsidRDefault="00503641" w:rsidP="00503641">
      <w:pPr>
        <w:pStyle w:val="Heading2"/>
        <w:spacing w:before="0"/>
      </w:pPr>
      <w:bookmarkStart w:id="18" w:name="_Toc219163930"/>
      <w:r w:rsidRPr="000456C5">
        <w:t>Investment Appraisal Analysis</w:t>
      </w:r>
      <w:bookmarkEnd w:id="18"/>
    </w:p>
    <w:p w14:paraId="55D1FB45" w14:textId="298DB44C" w:rsid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The feasibility of the three options of investments have been determined by analysis of the cash flows shown. The details of how each of the options were appraised can be seen in the </w:t>
      </w:r>
      <w:r w:rsidR="00C70471">
        <w:rPr>
          <w:rFonts w:eastAsia="Google Sans Text" w:cs="Times New Roman"/>
          <w:color w:val="1F1F1F"/>
        </w:rPr>
        <w:t>A</w:t>
      </w:r>
      <w:r w:rsidRPr="00B613F1">
        <w:rPr>
          <w:rFonts w:eastAsia="Google Sans Text" w:cs="Times New Roman"/>
          <w:color w:val="1F1F1F"/>
        </w:rPr>
        <w:t>ppendix</w:t>
      </w:r>
      <w:r w:rsidR="00C70471">
        <w:rPr>
          <w:rFonts w:eastAsia="Google Sans Text" w:cs="Times New Roman"/>
          <w:color w:val="1F1F1F"/>
        </w:rPr>
        <w:t xml:space="preserve"> B</w:t>
      </w:r>
      <w:r w:rsidRPr="00B613F1">
        <w:rPr>
          <w:rFonts w:eastAsia="Google Sans Text" w:cs="Times New Roman"/>
          <w:color w:val="1F1F1F"/>
        </w:rPr>
        <w:t>.</w:t>
      </w:r>
    </w:p>
    <w:p w14:paraId="00CF3390" w14:textId="27F9CC05" w:rsidR="00B613F1" w:rsidRDefault="00B613F1" w:rsidP="00B613F1">
      <w:pPr>
        <w:pStyle w:val="Heading3"/>
      </w:pPr>
      <w:bookmarkStart w:id="19" w:name="_Toc219163931"/>
      <w:r w:rsidRPr="00B613F1">
        <w:t>NPV Analysis</w:t>
      </w:r>
      <w:bookmarkEnd w:id="19"/>
      <w:r w:rsidRPr="00B613F1">
        <w:t xml:space="preserve"> </w:t>
      </w:r>
    </w:p>
    <w:p w14:paraId="5CA3DAE1" w14:textId="10F7784F"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Net Present Value (NPV) is the preferred method of investment appraisal and represents the net value created from the time money is spent until the end of the project. Using a firms cost of capital (in this case 6%), it calculates the value today of all future income/losses generated by an investment. If the NPV is greater than zero, the investment creates more value than the cost of capital and therefore increases the value of the company as a whole.</w:t>
      </w:r>
    </w:p>
    <w:p w14:paraId="1510C9CD" w14:textId="4649950F"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As such, Option A (£600,000 investment to extend the retail outlet) has a NPV of £643,</w:t>
      </w:r>
      <w:r w:rsidR="00852D94">
        <w:rPr>
          <w:rFonts w:eastAsia="Google Sans Text" w:cs="Times New Roman"/>
          <w:color w:val="1F1F1F"/>
        </w:rPr>
        <w:t>2</w:t>
      </w:r>
      <w:r w:rsidRPr="00B613F1">
        <w:rPr>
          <w:rFonts w:eastAsia="Google Sans Text" w:cs="Times New Roman"/>
          <w:color w:val="1F1F1F"/>
        </w:rPr>
        <w:t>00 and hence is creating significant amounts of value when considering the size of the investment. The fact that there are a number of identical cash inflows over time will reduce the risk associated with the expansion of a successful business model. As such, it will also increase the reliability of the operation and is considered to be a very safe, value adding option for Westward Plc.</w:t>
      </w:r>
    </w:p>
    <w:p w14:paraId="401A6BB4" w14:textId="03AD3116"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Option B (£1,000,000 investment for e-commerce) has the largest absolute NPV of £792,</w:t>
      </w:r>
      <w:r w:rsidR="00852D94">
        <w:rPr>
          <w:rFonts w:eastAsia="Google Sans Text" w:cs="Times New Roman"/>
          <w:color w:val="1F1F1F"/>
        </w:rPr>
        <w:t>245</w:t>
      </w:r>
      <w:r w:rsidRPr="00B613F1">
        <w:rPr>
          <w:rFonts w:eastAsia="Google Sans Text" w:cs="Times New Roman"/>
          <w:color w:val="1F1F1F"/>
        </w:rPr>
        <w:t xml:space="preserve"> and therefore demonstrates the potential of the internet as a sales platform. Although the initial investment is larger than Option A, the cash inflows generated from the increased sales capability offered by the e-commerce platform will be significantly larger than those available from expanding the retail outlet and therefore represents the largest single source of additional value for shareholders of Westward Plc. The large positive value also supports the view that Westward Plc will create the greatest amount of wealth from investing in digital technology.</w:t>
      </w:r>
    </w:p>
    <w:p w14:paraId="50A2B500" w14:textId="205C9ADC"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lastRenderedPageBreak/>
        <w:t>Option C (£1,600,000 investment to enter the blinds manufacturing industry) is the largest investment of the three options. It produces a positive NPV of £742,</w:t>
      </w:r>
      <w:r w:rsidR="00852D94">
        <w:rPr>
          <w:rFonts w:eastAsia="Google Sans Text" w:cs="Times New Roman"/>
          <w:color w:val="1F1F1F"/>
        </w:rPr>
        <w:t>512</w:t>
      </w:r>
      <w:r w:rsidRPr="00B613F1">
        <w:rPr>
          <w:rFonts w:eastAsia="Google Sans Text" w:cs="Times New Roman"/>
          <w:color w:val="1F1F1F"/>
        </w:rPr>
        <w:t>. While the manufacturing option will generate profits, the option is less profitable than the e-commerce option and will require an additional £600,000 in comparison. Therefore, this may indicate that the manufacturing option will produce a lower marginal return on capital than the e-commerce option as the former will have fixed costs associated with establishing a manufacturing base and the latter will be able to sell products at no incremental fixed cost.</w:t>
      </w:r>
    </w:p>
    <w:p w14:paraId="5CF1BA47" w14:textId="77777777" w:rsid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Therefore, using the NPV criterion for mutually exclusive projects, the e-commerce option (B) is the preferred option in terms of the maximum amount of wealth creation for shareholders of Westward Plc.</w:t>
      </w:r>
    </w:p>
    <w:p w14:paraId="77F02733" w14:textId="531CC251" w:rsidR="00B613F1" w:rsidRDefault="00B613F1" w:rsidP="00B613F1">
      <w:pPr>
        <w:pStyle w:val="Heading3"/>
      </w:pPr>
      <w:bookmarkStart w:id="20" w:name="_Toc219163932"/>
      <w:r w:rsidRPr="00B613F1">
        <w:t>Payback Period Analysis</w:t>
      </w:r>
      <w:bookmarkEnd w:id="20"/>
      <w:r w:rsidRPr="00B613F1">
        <w:t xml:space="preserve"> </w:t>
      </w:r>
    </w:p>
    <w:p w14:paraId="0D06AE53" w14:textId="279771A9"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The payback period represents the length of time it takes for the cumulative net cash inflows to repay the original investment. In addition to being a key measure of liquidity and capital exposure, it is also a useful tool for comparing different investment options.</w:t>
      </w:r>
    </w:p>
    <w:p w14:paraId="5DFDE4CC" w14:textId="77777777" w:rsidR="00DE6DA7" w:rsidRPr="00DE6DA7" w:rsidRDefault="00B613F1" w:rsidP="00DE6DA7">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The payback period of the investment required to expand the retail outlet is approximately 2.22 years, which represents the shortest payback period. Hence, this represents the least amount of liquidity risk. </w:t>
      </w:r>
      <w:r w:rsidR="00DE6DA7" w:rsidRPr="00DE6DA7">
        <w:rPr>
          <w:rFonts w:eastAsia="Google Sans Text" w:cs="Times New Roman"/>
          <w:color w:val="1F1F1F"/>
        </w:rPr>
        <w:t>It will mean that the company can redeploy funds to other investment opportunities quickly considering the accelerated capital repayment. This will be a significant benefit of the firm on its ability to respond swiftly to the evolving retail environment. The low operating risk due to the expansion of an established business model has also been captured by the relatively short payback period.</w:t>
      </w:r>
    </w:p>
    <w:p w14:paraId="703F4976"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The payback period of the investment made to develop an e-commerce platform is approximately 2.44 years although it is longer than that of Option A. This is therefore a decent risk profile of a growth investment opportunity. The payback period would be slightly longer, but the long term cash flows would be superior in this investment as well as the need to develop the digital platform first before they can begin.</w:t>
      </w:r>
    </w:p>
    <w:p w14:paraId="4CFCAE85" w14:textId="46F22E86" w:rsidR="00B613F1" w:rsidRPr="00B613F1"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The 2.76 years payback period is the longest period of payback attached to the blinds manufacturing venture.</w:t>
      </w:r>
      <w:r w:rsidR="00B613F1" w:rsidRPr="00B613F1">
        <w:rPr>
          <w:rFonts w:eastAsia="Google Sans Text" w:cs="Times New Roman"/>
          <w:color w:val="1F1F1F"/>
        </w:rPr>
        <w:t xml:space="preserve"> This represents the largest initial investment, and the resulting cash inflows </w:t>
      </w:r>
      <w:r w:rsidR="00B613F1" w:rsidRPr="00B613F1">
        <w:rPr>
          <w:rFonts w:eastAsia="Google Sans Text" w:cs="Times New Roman"/>
          <w:color w:val="1F1F1F"/>
        </w:rPr>
        <w:lastRenderedPageBreak/>
        <w:t>will grow at a slower rate than those from the two previous options. Hence, the capital will be subject to the greatest risk for the longest period of time. In addition to the operational risks associated with diversification, a payback period close to three years limits the margin for error if the market deteriorates during the remaining year of the plan.</w:t>
      </w:r>
    </w:p>
    <w:p w14:paraId="169CC934" w14:textId="17DF7D9A" w:rsidR="00B613F1" w:rsidRDefault="00B613F1" w:rsidP="00B613F1">
      <w:pPr>
        <w:pStyle w:val="Heading3"/>
      </w:pPr>
      <w:bookmarkStart w:id="21" w:name="_Toc219163933"/>
      <w:r w:rsidRPr="00B613F1">
        <w:t>IRR of Project B</w:t>
      </w:r>
      <w:bookmarkEnd w:id="21"/>
      <w:r w:rsidRPr="00B613F1">
        <w:t xml:space="preserve"> </w:t>
      </w:r>
    </w:p>
    <w:p w14:paraId="14BFF52B" w14:textId="1B7C9CEC"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Given the e-commerce option (B) was selected as the preferred option to pursue alone using the NPV criterion, the internal rate of return (IRR) of this option was computed to determine the efficiency of this investment. The IRR represents the discount rate at which the present values of the inflows equal the initial investment (</w:t>
      </w:r>
      <w:proofErr w:type="spellStart"/>
      <w:r w:rsidRPr="00B613F1">
        <w:rPr>
          <w:rFonts w:eastAsia="Google Sans Text" w:cs="Times New Roman"/>
          <w:color w:val="1F1F1F"/>
        </w:rPr>
        <w:t>ie</w:t>
      </w:r>
      <w:proofErr w:type="spellEnd"/>
      <w:r w:rsidRPr="00B613F1">
        <w:rPr>
          <w:rFonts w:eastAsia="Google Sans Text" w:cs="Times New Roman"/>
          <w:color w:val="1F1F1F"/>
        </w:rPr>
        <w:t xml:space="preserve"> NPV = 0).</w:t>
      </w:r>
    </w:p>
    <w:p w14:paraId="232D25B9" w14:textId="165727FF"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Using standard financial calculation methods (see Appendix </w:t>
      </w:r>
      <w:r w:rsidR="00C70471">
        <w:rPr>
          <w:rFonts w:eastAsia="Google Sans Text" w:cs="Times New Roman"/>
          <w:color w:val="1F1F1F"/>
        </w:rPr>
        <w:t>B</w:t>
      </w:r>
      <w:r w:rsidRPr="00B613F1">
        <w:rPr>
          <w:rFonts w:eastAsia="Google Sans Text" w:cs="Times New Roman"/>
          <w:color w:val="1F1F1F"/>
        </w:rPr>
        <w:t>) the IRR for the e-commerce option (B) was 41.85%.</w:t>
      </w:r>
    </w:p>
    <w:p w14:paraId="1EB8863B" w14:textId="1C4E62AB" w:rsidR="00503641" w:rsidRPr="000456C5" w:rsidRDefault="00B613F1" w:rsidP="0050364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This is a very attractive number. The IRR of 41.85% is approximately seven times the cost of capital for the firm (6%). </w:t>
      </w:r>
      <w:r w:rsidR="00DE6DA7" w:rsidRPr="00DE6DA7">
        <w:rPr>
          <w:rFonts w:eastAsia="Google Sans Text" w:cs="Times New Roman"/>
          <w:color w:val="1F1F1F"/>
        </w:rPr>
        <w:t>The high margin of safety of this IRR compared with the cost of capital is an indicator that the project would be in a position to survive the major prevailing negative movement of interest rates, or negative shift in cash flows and still be profitable. Therefore, IRR substantiates substantially using corporate resources in the e-commerce initiative as one of the most efficient investment projects, and its returns are many times greater than the cost of capital.</w:t>
      </w:r>
    </w:p>
    <w:p w14:paraId="280240DB" w14:textId="3220024B" w:rsidR="00503641" w:rsidRPr="000456C5" w:rsidRDefault="00503641" w:rsidP="00503641">
      <w:pPr>
        <w:pStyle w:val="Heading2"/>
        <w:spacing w:before="0"/>
      </w:pPr>
      <w:bookmarkStart w:id="22" w:name="_Toc219163934"/>
      <w:r w:rsidRPr="000456C5">
        <w:t>Interpretation and Critical Evaluation</w:t>
      </w:r>
      <w:bookmarkEnd w:id="22"/>
    </w:p>
    <w:p w14:paraId="565D4268"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The Board's deliberations require that the findings from this Quantitative Study be located within the broader framework of Financial Theory and Principles of Strategic Management.</w:t>
      </w:r>
    </w:p>
    <w:p w14:paraId="52C9663F" w14:textId="00ABB32D" w:rsidR="00B613F1" w:rsidRPr="00B613F1" w:rsidRDefault="00B613F1" w:rsidP="00B613F1">
      <w:pPr>
        <w:pStyle w:val="Heading3"/>
      </w:pPr>
      <w:bookmarkStart w:id="23" w:name="_Toc219163935"/>
      <w:r w:rsidRPr="00B613F1">
        <w:t>Theoretical Justification for NPV</w:t>
      </w:r>
      <w:bookmarkEnd w:id="23"/>
    </w:p>
    <w:p w14:paraId="0F3340A3" w14:textId="6BC91A62" w:rsidR="00B613F1" w:rsidRPr="00B613F1" w:rsidRDefault="00DE6DA7" w:rsidP="00B613F1">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NPV has become a standard in the academic world as the most appropriate technique of investment appraisal (Fisher, 1930; Brealey, Myers and Allen, 2019). Three major theoretical justifications are given to prove the argument that NPV is the best approach to other investment appraisal methods. To begin with, only NPV enables the direct evaluation of value creation in a financial question, thus leading to an obvious correlation with fiduciary obligation of maximising shareholder wealth.</w:t>
      </w:r>
      <w:r w:rsidR="00B613F1" w:rsidRPr="00B613F1">
        <w:rPr>
          <w:rFonts w:eastAsia="Google Sans Text" w:cs="Times New Roman"/>
          <w:color w:val="1F1F1F"/>
        </w:rPr>
        <w:t xml:space="preserve"> For example, if the NPV of Option B is £792,</w:t>
      </w:r>
      <w:r w:rsidR="00852D94">
        <w:rPr>
          <w:rFonts w:eastAsia="Google Sans Text" w:cs="Times New Roman"/>
          <w:color w:val="1F1F1F"/>
        </w:rPr>
        <w:t>245</w:t>
      </w:r>
      <w:r w:rsidR="00B613F1" w:rsidRPr="00B613F1">
        <w:rPr>
          <w:rFonts w:eastAsia="Google Sans Text" w:cs="Times New Roman"/>
          <w:color w:val="1F1F1F"/>
        </w:rPr>
        <w:t xml:space="preserve">, financial theory would </w:t>
      </w:r>
      <w:r w:rsidR="00B613F1" w:rsidRPr="00B613F1">
        <w:rPr>
          <w:rFonts w:eastAsia="Google Sans Text" w:cs="Times New Roman"/>
          <w:color w:val="1F1F1F"/>
        </w:rPr>
        <w:lastRenderedPageBreak/>
        <w:t>assert that implementation of the project would increase Westward Plc's market value by approximately that amount (Drury, 2020).</w:t>
      </w:r>
    </w:p>
    <w:p w14:paraId="3C436A95"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Secondly, NPV is based upon the strict adherence to the Time Value of Money (TVM) principle. TVM recognises that a pound today has greater value than a pound tomorrow due to its potential to earn a return (opportunity cost), inflation and risk. Therefore, by discounting all future cash inflows at the cost of capital, NPV provides a reliable means of assessing the timing of returns, unlike non-discounting methods, such as Payback, which treat a pound received in Year 4 as equivalent to one received in Year 1.</w:t>
      </w:r>
    </w:p>
    <w:p w14:paraId="015CA6E8"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Finally, one of the main theoretical strengths of NPV lies in the reinvestment assumption, whereby cash generated during a project's lifetime is assumed to be reinvested at the firm's cost of capital (6%). This is a reasonable and pragmatic assumption for an established company. In contrast, IRR assumes that cash generated is reinvested at the project-specific internal rate (for example, 41.85%) which is typically unrealistically high and can result in excessively optimistic assessments of a project's profitability (Ross et al., 2016).</w:t>
      </w:r>
    </w:p>
    <w:p w14:paraId="5A7BBE6A" w14:textId="606C863B" w:rsidR="00B613F1" w:rsidRPr="00B613F1" w:rsidRDefault="00B613F1" w:rsidP="00B613F1">
      <w:pPr>
        <w:pStyle w:val="Heading3"/>
      </w:pPr>
      <w:bookmarkStart w:id="24" w:name="_Toc219163936"/>
      <w:r w:rsidRPr="00B613F1">
        <w:t>Continued Use of Non-Discounting Methods</w:t>
      </w:r>
      <w:bookmarkEnd w:id="24"/>
    </w:p>
    <w:p w14:paraId="7081D624"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Regardless of the theoretical benefits of NPV, empirical studies (Arnold, 2019; Pike, 1996) have proven that non-discounting techniques, in particular, Payback and Accounting rate of Return (ARR), are still widely used by practitioners. The phenomenon can be attributed to a number of reasons. In the first place, non-discounting methods have a great benefit of simplicity and ease of communication. Non-financial stakeholders find the phenomenon of payback easy to comprehend, and it is more likely that by declarations that an investment will pay off in 2.2 years, say, it will be more convincing and comprehensible than the idea that the investment will have a positive NPV with a discount rate of 6%.</w:t>
      </w:r>
    </w:p>
    <w:p w14:paraId="40011E56"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 xml:space="preserve">Also, liquidity rather than the long-run profitability can be of the essence to the company in situations where the company is facing capital constraints or is in an uncertain environment. A quick payback period would be viewed as a hedge against uncertainty, as the quicker cash is recouped the less the company is susceptible to uncertainty in the future. Payback can be a simple risk filter used by a practitioner to eliminate the projects, which consume capital over long </w:t>
      </w:r>
      <w:r w:rsidRPr="00DE6DA7">
        <w:rPr>
          <w:rFonts w:eastAsia="Google Sans Text" w:cs="Times New Roman"/>
          <w:color w:val="1F1F1F"/>
        </w:rPr>
        <w:lastRenderedPageBreak/>
        <w:t>durations (Bhimani et al., 2022).</w:t>
      </w:r>
    </w:p>
    <w:p w14:paraId="73B4A730" w14:textId="05F59B71" w:rsidR="00B613F1" w:rsidRPr="00B613F1"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Lastly, agency theory implies that there might come the conflict of interests between shareholders (creating long-term value) and managers (creating short-term performance). Manager compensation is frequently associated with the annualized performance indicators based on Return on Capital Employed (ROCE) or increase in profit. Therefore, managers can choose projects that will enhance these short-term accounting indicators (as characterized in ARR) or those providing quick payoff (Payback) independent of the long-term NPV of the projects.</w:t>
      </w:r>
    </w:p>
    <w:p w14:paraId="747ED3CC" w14:textId="2718F972" w:rsidR="00B613F1" w:rsidRPr="00B613F1" w:rsidRDefault="00B613F1" w:rsidP="00B613F1">
      <w:pPr>
        <w:pStyle w:val="Heading3"/>
      </w:pPr>
      <w:bookmarkStart w:id="25" w:name="_Toc219163937"/>
      <w:r w:rsidRPr="00B613F1">
        <w:t>Strategic Decision Factors</w:t>
      </w:r>
      <w:bookmarkEnd w:id="25"/>
    </w:p>
    <w:p w14:paraId="25CD03B4" w14:textId="539FA7AB"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 xml:space="preserve">An evaluation that is made on the appropriateness of an investment proposal through the use of quantitative data should be considered in combination with a spectrum of qualitative strategic factors. The Board of Strategic Fit must evaluate Strategic Fit of Westward Plc before funding. Does the proposed project fit the </w:t>
      </w:r>
      <w:r w:rsidR="00660CC2" w:rsidRPr="00DE6DA7">
        <w:rPr>
          <w:rFonts w:eastAsia="Google Sans Text" w:cs="Times New Roman"/>
          <w:color w:val="1F1F1F"/>
        </w:rPr>
        <w:t>long-term</w:t>
      </w:r>
      <w:r w:rsidRPr="00DE6DA7">
        <w:rPr>
          <w:rFonts w:eastAsia="Google Sans Text" w:cs="Times New Roman"/>
          <w:color w:val="1F1F1F"/>
        </w:rPr>
        <w:t xml:space="preserve"> objectives of the organisation? As has been already mentioned, the Internet Sales project (Option B) is aligned with the macro-economic shift towards e-business and online communication. The financial reasons behind the Internet Sales project can scarcely compare to the two alternatives but the strategic implications of not having Internet presence could make the Westward Plc avoid investing in the Internet Sales option such as the abandonment of market shares to competitors. Conversely, the production of blinds (Option C) is a diversification of the operations which can distract the senior management of their main business of retailing (Porter, 2008).</w:t>
      </w:r>
    </w:p>
    <w:p w14:paraId="4513CEF5" w14:textId="77777777" w:rsidR="00DE6DA7" w:rsidRPr="00DE6DA7"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Operational Risk is another critical strategic decision that should be taken into account. There is a big difference in risk of the three alternatives. Option A utilises the retail substantiation and supply chain framework that</w:t>
      </w:r>
    </w:p>
    <w:p w14:paraId="2D4FFCA4" w14:textId="23F75A2F" w:rsidR="00B613F1" w:rsidRPr="00B613F1" w:rsidRDefault="00DE6DA7" w:rsidP="00DE6DA7">
      <w:pPr>
        <w:pBdr>
          <w:top w:val="nil"/>
          <w:left w:val="nil"/>
          <w:bottom w:val="nil"/>
          <w:right w:val="nil"/>
          <w:between w:val="nil"/>
        </w:pBdr>
        <w:spacing w:after="240"/>
        <w:rPr>
          <w:rFonts w:eastAsia="Google Sans Text" w:cs="Times New Roman"/>
          <w:color w:val="1F1F1F"/>
        </w:rPr>
      </w:pPr>
      <w:r w:rsidRPr="00DE6DA7">
        <w:rPr>
          <w:rFonts w:eastAsia="Google Sans Text" w:cs="Times New Roman"/>
          <w:color w:val="1F1F1F"/>
        </w:rPr>
        <w:t xml:space="preserve"> by Westward Plc is in place and, as a result, the operational risk associated with the option is low.</w:t>
      </w:r>
      <w:r w:rsidR="00B613F1" w:rsidRPr="00B613F1">
        <w:rPr>
          <w:rFonts w:eastAsia="Google Sans Text" w:cs="Times New Roman"/>
          <w:color w:val="1F1F1F"/>
        </w:rPr>
        <w:t xml:space="preserve"> Option C requires the organisation to enter a new industry (manufacturing), thus increasing the risk profile in relation to product quality, raw materials sourcing, employee training and so forth. The Board must therefore evaluate the extent to which the organisation has the required capabilities to manage the additional risks introduced by entering the manufacturing sector (Johnson et al., 2017).</w:t>
      </w:r>
    </w:p>
    <w:p w14:paraId="5ABFAB8C" w14:textId="709BE123" w:rsidR="00503641" w:rsidRPr="000456C5"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lastRenderedPageBreak/>
        <w:t>Finally, ESG factors deserve consideration. Manufacturing blinds (Option C) will increase Westward Plc's carbon footprint through the increased use of energy and waste generation. Internet sales (Option B) also involve logistical challenges associated with packaging and shipping products to customers. The Board must weigh the costs of meeting Westward Plc's ESG commitments against any compliance costs and also assess how the Internet sales project will create 'real options' value. Real options value refers to the flexibility to adapt the project later (such as extending the project to foreign markets), which creates strategic value beyond the immediate cash flows created by the project.</w:t>
      </w:r>
    </w:p>
    <w:p w14:paraId="06250682" w14:textId="768BE775" w:rsidR="00503641" w:rsidRPr="000456C5" w:rsidRDefault="00503641" w:rsidP="00503641">
      <w:pPr>
        <w:pStyle w:val="Heading2"/>
        <w:spacing w:before="0"/>
      </w:pPr>
      <w:bookmarkStart w:id="26" w:name="_Toc219163938"/>
      <w:r w:rsidRPr="000456C5">
        <w:t>Capital Rationing and Optimi</w:t>
      </w:r>
      <w:r w:rsidR="006D2254">
        <w:t>s</w:t>
      </w:r>
      <w:r w:rsidRPr="000456C5">
        <w:t>ation</w:t>
      </w:r>
      <w:bookmarkEnd w:id="26"/>
    </w:p>
    <w:p w14:paraId="013E7E33"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The board has also set a fixed investment limit of £2,500,000 for the next period; however, the estimated total required to execute all three potentially viable options (A, B &amp; C) amounts to £3,200,000 (£600,000 + £1,000,000 + £1,600,000). Therefore, we have a classic case of “hard capital rationing,” whereby there are more profitable projects available to invest in than there is money to invest. Consequently, in this situation, selecting projects based solely upon the highest absolute NPV (Option B) would be inefficient as it would ignore the dollar amount of value created per dollar of investment made.</w:t>
      </w:r>
    </w:p>
    <w:p w14:paraId="557C0F9E"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In order to solve this problem of resource allocation, an evaluation method will need to be employed which evaluates each project relative to its potential to create value per pound of investment. That evaluation method is the Profitability Index (PI), which is calculated by taking the total present value of all future expected cash flows and dividing them by the initial investment made. In other words, it measures how much value will be produced per dollar invested. The higher the Profitability Index, the better the investment opportunity, so the best option to choose is the one that produces the most value per dollar invested. Using the results presented in Appendix B, Option A represents the highest level of capital efficiency with a Profitability Index of 2.07, creating £1.07 of excess value for each £1 invested. Option B ranks second with a PI of 1.79, and Option C ranks last with a PI of 1.46.</w:t>
      </w:r>
    </w:p>
    <w:p w14:paraId="136FF6DF" w14:textId="77777777" w:rsidR="00B613F1" w:rsidRPr="00B613F1"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 xml:space="preserve">Thus, when evaluating the best way to allocate the firm’s limited funds among its available investment opportunities, the best strategy will be to rank the projects using the Profitability Index, and then fund the highest ranked projects first until all of the available funds are exhausted. </w:t>
      </w:r>
      <w:r w:rsidRPr="00B613F1">
        <w:rPr>
          <w:rFonts w:eastAsia="Google Sans Text" w:cs="Times New Roman"/>
          <w:color w:val="1F1F1F"/>
        </w:rPr>
        <w:lastRenderedPageBreak/>
        <w:t>Therefore, Westward Plc should fund Options A ($600,000) and B ($1,000,000) in their entirety. Together these investments require $1,600,000 of the available resources, leaving the firm with a remaining budget of $900,000. Because the guidelines state that projects may be partially funded, Westward Plc can use the remaining funds to partially fund the third-ranked investment, Option C.</w:t>
      </w:r>
    </w:p>
    <w:p w14:paraId="1A1F7275" w14:textId="65DA683F" w:rsidR="00503641" w:rsidRPr="000456C5" w:rsidRDefault="00B613F1" w:rsidP="00B613F1">
      <w:pPr>
        <w:pBdr>
          <w:top w:val="nil"/>
          <w:left w:val="nil"/>
          <w:bottom w:val="nil"/>
          <w:right w:val="nil"/>
          <w:between w:val="nil"/>
        </w:pBdr>
        <w:spacing w:after="240"/>
        <w:rPr>
          <w:rFonts w:eastAsia="Google Sans Text" w:cs="Times New Roman"/>
          <w:color w:val="1F1F1F"/>
        </w:rPr>
      </w:pPr>
      <w:r w:rsidRPr="00B613F1">
        <w:rPr>
          <w:rFonts w:eastAsia="Google Sans Text" w:cs="Times New Roman"/>
          <w:color w:val="1F1F1F"/>
        </w:rPr>
        <w:t>Westward Plc should use the remaining $900,000 to fund approximately 56.25% of the blinds manufacturing project. The company may fund Option C, which costs $1,600,000 in its entirety, up to the point of exhausting the remaining funds, i.e., £900,000. At this juncture, the firm has constructed a portfolio of investments which yield a collective Net Present Value of $1,853,1</w:t>
      </w:r>
      <w:r w:rsidR="00852D94">
        <w:rPr>
          <w:rFonts w:eastAsia="Google Sans Text" w:cs="Times New Roman"/>
          <w:color w:val="1F1F1F"/>
        </w:rPr>
        <w:t>08</w:t>
      </w:r>
      <w:r w:rsidRPr="00B613F1">
        <w:rPr>
          <w:rFonts w:eastAsia="Google Sans Text" w:cs="Times New Roman"/>
          <w:color w:val="1F1F1F"/>
        </w:rPr>
        <w:t xml:space="preserve"> (Option A: $64</w:t>
      </w:r>
      <w:r w:rsidR="00852D94">
        <w:rPr>
          <w:rFonts w:eastAsia="Google Sans Text" w:cs="Times New Roman"/>
          <w:color w:val="1F1F1F"/>
        </w:rPr>
        <w:t>3</w:t>
      </w:r>
      <w:r w:rsidRPr="00B613F1">
        <w:rPr>
          <w:rFonts w:eastAsia="Google Sans Text" w:cs="Times New Roman"/>
          <w:color w:val="1F1F1F"/>
        </w:rPr>
        <w:t>,</w:t>
      </w:r>
      <w:r w:rsidR="00852D94">
        <w:rPr>
          <w:rFonts w:eastAsia="Google Sans Text" w:cs="Times New Roman"/>
          <w:color w:val="1F1F1F"/>
        </w:rPr>
        <w:t>2</w:t>
      </w:r>
      <w:r w:rsidRPr="00B613F1">
        <w:rPr>
          <w:rFonts w:eastAsia="Google Sans Text" w:cs="Times New Roman"/>
          <w:color w:val="1F1F1F"/>
        </w:rPr>
        <w:t>00 + Option B: $792,</w:t>
      </w:r>
      <w:r w:rsidR="00852D94">
        <w:rPr>
          <w:rFonts w:eastAsia="Google Sans Text" w:cs="Times New Roman"/>
          <w:color w:val="1F1F1F"/>
        </w:rPr>
        <w:t>245</w:t>
      </w:r>
      <w:r w:rsidRPr="00B613F1">
        <w:rPr>
          <w:rFonts w:eastAsia="Google Sans Text" w:cs="Times New Roman"/>
          <w:color w:val="1F1F1F"/>
        </w:rPr>
        <w:t xml:space="preserve"> + Option C: $417,</w:t>
      </w:r>
      <w:r w:rsidR="00852D94">
        <w:rPr>
          <w:rFonts w:eastAsia="Google Sans Text" w:cs="Times New Roman"/>
          <w:color w:val="1F1F1F"/>
        </w:rPr>
        <w:t>663</w:t>
      </w:r>
      <w:r w:rsidRPr="00B613F1">
        <w:rPr>
          <w:rFonts w:eastAsia="Google Sans Text" w:cs="Times New Roman"/>
          <w:color w:val="1F1F1F"/>
        </w:rPr>
        <w:t>). This collective return is significantly larger than the returns of any individual investment, or any combination of investments, thus ensuring that Westward Plc has maximi</w:t>
      </w:r>
      <w:r w:rsidR="006D2254">
        <w:rPr>
          <w:rFonts w:eastAsia="Google Sans Text" w:cs="Times New Roman"/>
          <w:color w:val="1F1F1F"/>
        </w:rPr>
        <w:t>s</w:t>
      </w:r>
      <w:r w:rsidRPr="00B613F1">
        <w:rPr>
          <w:rFonts w:eastAsia="Google Sans Text" w:cs="Times New Roman"/>
          <w:color w:val="1F1F1F"/>
        </w:rPr>
        <w:t>ed shareholder wealth creation within the confines of its available funds.</w:t>
      </w:r>
    </w:p>
    <w:p w14:paraId="43769F3C" w14:textId="703B6983" w:rsidR="00503641" w:rsidRPr="000456C5" w:rsidRDefault="00503641" w:rsidP="00503641">
      <w:pPr>
        <w:pStyle w:val="Heading2"/>
        <w:spacing w:before="0"/>
      </w:pPr>
      <w:bookmarkStart w:id="27" w:name="_Toc219163939"/>
      <w:r w:rsidRPr="000456C5">
        <w:t>Recommendation</w:t>
      </w:r>
      <w:bookmarkEnd w:id="27"/>
    </w:p>
    <w:p w14:paraId="55246102" w14:textId="77777777"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Based on thorough financial evaluation and an understanding of the limitations of capital, we believe that Westward Plc should pursue the optimal combination of the three options outlined in the previous section. We recommend that the Board approves the full-scale development of the retail store (Option A) and the full scale development of the Internet sales platform (Option B); we further recommend that the remaining funds available be used to enter the blinds manufacturing industry on a reduced basis (Option C).</w:t>
      </w:r>
    </w:p>
    <w:p w14:paraId="327B9571" w14:textId="5EA58B21"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The rationale behind our recommendation is twofold. First, the recommendation balances risk with return. Second, the recommended approach will maximi</w:t>
      </w:r>
      <w:r w:rsidR="006D2254">
        <w:rPr>
          <w:rFonts w:eastAsia="Google Sans Text" w:cs="Times New Roman"/>
          <w:color w:val="1F1F1F"/>
        </w:rPr>
        <w:t>s</w:t>
      </w:r>
      <w:r w:rsidRPr="00C70471">
        <w:rPr>
          <w:rFonts w:eastAsia="Google Sans Text" w:cs="Times New Roman"/>
          <w:color w:val="1F1F1F"/>
        </w:rPr>
        <w:t>e the very low-risk returns generated by the retail expansion (Option A); it will secure the high-absolute wealth generation and strategic imperative of the digital market (Option B); and it will permit the firm to begin expanding revenue streams through manufacturing (Option C) while limiting the extent to which it extends capital.</w:t>
      </w:r>
    </w:p>
    <w:p w14:paraId="1A54C4E8" w14:textId="77777777" w:rsidR="00C70471" w:rsidRPr="00C70471" w:rsidRDefault="00C70471" w:rsidP="00C70471">
      <w:pPr>
        <w:pBdr>
          <w:top w:val="nil"/>
          <w:left w:val="nil"/>
          <w:bottom w:val="nil"/>
          <w:right w:val="nil"/>
          <w:between w:val="nil"/>
        </w:pBdr>
        <w:spacing w:after="240"/>
        <w:rPr>
          <w:rFonts w:eastAsia="Google Sans Text" w:cs="Times New Roman"/>
          <w:b/>
          <w:bCs/>
          <w:color w:val="1F1F1F"/>
        </w:rPr>
      </w:pPr>
      <w:r w:rsidRPr="00C70471">
        <w:rPr>
          <w:rFonts w:eastAsia="Google Sans Text" w:cs="Times New Roman"/>
          <w:b/>
          <w:bCs/>
          <w:color w:val="1F1F1F"/>
        </w:rPr>
        <w:t>Recommendation Regarding Financing:</w:t>
      </w:r>
    </w:p>
    <w:p w14:paraId="40349A8B" w14:textId="364D16BA"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We recommend that the Board utili</w:t>
      </w:r>
      <w:r w:rsidR="006D2254">
        <w:rPr>
          <w:rFonts w:eastAsia="Google Sans Text" w:cs="Times New Roman"/>
          <w:color w:val="1F1F1F"/>
        </w:rPr>
        <w:t>s</w:t>
      </w:r>
      <w:r w:rsidRPr="00C70471">
        <w:rPr>
          <w:rFonts w:eastAsia="Google Sans Text" w:cs="Times New Roman"/>
          <w:color w:val="1F1F1F"/>
        </w:rPr>
        <w:t>e the "Pecking Order Theory" of capital structure in order to fund the proposed $2.5 million program</w:t>
      </w:r>
      <w:r w:rsidR="00A60FFF">
        <w:rPr>
          <w:rFonts w:eastAsia="Google Sans Text" w:cs="Times New Roman"/>
          <w:color w:val="1F1F1F"/>
        </w:rPr>
        <w:t xml:space="preserve"> (</w:t>
      </w:r>
      <w:r w:rsidR="00A60FFF" w:rsidRPr="00A60FFF">
        <w:rPr>
          <w:rFonts w:eastAsia="Google Sans Text" w:cs="Times New Roman"/>
          <w:color w:val="1F1F1F"/>
        </w:rPr>
        <w:t>Modigliani and Miller</w:t>
      </w:r>
      <w:r w:rsidR="00A60FFF">
        <w:rPr>
          <w:rFonts w:eastAsia="Google Sans Text" w:cs="Times New Roman"/>
          <w:color w:val="1F1F1F"/>
        </w:rPr>
        <w:t xml:space="preserve">, </w:t>
      </w:r>
      <w:r w:rsidR="00A60FFF" w:rsidRPr="00A60FFF">
        <w:rPr>
          <w:rFonts w:eastAsia="Google Sans Text" w:cs="Times New Roman"/>
          <w:color w:val="1F1F1F"/>
        </w:rPr>
        <w:t>1963)</w:t>
      </w:r>
      <w:r w:rsidRPr="00C70471">
        <w:rPr>
          <w:rFonts w:eastAsia="Google Sans Text" w:cs="Times New Roman"/>
          <w:color w:val="1F1F1F"/>
        </w:rPr>
        <w:t>.</w:t>
      </w:r>
    </w:p>
    <w:p w14:paraId="133163D3" w14:textId="75E7299E" w:rsidR="00C70471" w:rsidRPr="00C70471" w:rsidRDefault="00C70471" w:rsidP="00C70471">
      <w:pPr>
        <w:pBdr>
          <w:top w:val="nil"/>
          <w:left w:val="nil"/>
          <w:bottom w:val="nil"/>
          <w:right w:val="nil"/>
          <w:between w:val="nil"/>
        </w:pBdr>
        <w:spacing w:after="240"/>
        <w:rPr>
          <w:rFonts w:eastAsia="Google Sans Text" w:cs="Times New Roman"/>
          <w:b/>
          <w:bCs/>
          <w:color w:val="1F1F1F"/>
        </w:rPr>
      </w:pPr>
      <w:r w:rsidRPr="00C70471">
        <w:rPr>
          <w:rFonts w:eastAsia="Google Sans Text" w:cs="Times New Roman"/>
          <w:b/>
          <w:bCs/>
          <w:color w:val="1F1F1F"/>
        </w:rPr>
        <w:lastRenderedPageBreak/>
        <w:t>First Preference: Retained Earnings</w:t>
      </w:r>
    </w:p>
    <w:p w14:paraId="028A07FF" w14:textId="77777777"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Internal funding is the preferred method of raising capital. Internal funding is the least expensive form of capital and avoids the costs associated with issuing capital externally (i.e. flotation costs and covenants associated with borrowed funds). Additionally, internal funding does not result in any loss of control by existing owners.</w:t>
      </w:r>
    </w:p>
    <w:p w14:paraId="4912638F" w14:textId="77777777" w:rsidR="00C70471" w:rsidRPr="00C70471" w:rsidRDefault="00C70471" w:rsidP="00C70471">
      <w:pPr>
        <w:pBdr>
          <w:top w:val="nil"/>
          <w:left w:val="nil"/>
          <w:bottom w:val="nil"/>
          <w:right w:val="nil"/>
          <w:between w:val="nil"/>
        </w:pBdr>
        <w:spacing w:after="240"/>
        <w:rPr>
          <w:rFonts w:eastAsia="Google Sans Text" w:cs="Times New Roman"/>
          <w:b/>
          <w:bCs/>
          <w:color w:val="1F1F1F"/>
        </w:rPr>
      </w:pPr>
      <w:r w:rsidRPr="00C70471">
        <w:rPr>
          <w:rFonts w:eastAsia="Google Sans Text" w:cs="Times New Roman"/>
          <w:b/>
          <w:bCs/>
          <w:color w:val="1F1F1F"/>
        </w:rPr>
        <w:t>Second Preference: Long-Term Debt</w:t>
      </w:r>
    </w:p>
    <w:p w14:paraId="6C37CB75" w14:textId="5CD922C3"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Any shortfall in internal funding should be addressed by using debt financing (e.g., bank loans). As previously discussed, Westward Plc has strong projected cash flows resulting from Options A and B; therefore, the company is well-positioned to service any debt obligations. Furthermore, the use of long-term debt results in a tax shield since the interest paid on the debt is tax-deductible and thus reduces the effective cost of capital to the equity holders.</w:t>
      </w:r>
    </w:p>
    <w:p w14:paraId="52C949F3" w14:textId="77777777" w:rsidR="00C70471" w:rsidRPr="00C70471" w:rsidRDefault="00C70471" w:rsidP="00C70471">
      <w:pPr>
        <w:pBdr>
          <w:top w:val="nil"/>
          <w:left w:val="nil"/>
          <w:bottom w:val="nil"/>
          <w:right w:val="nil"/>
          <w:between w:val="nil"/>
        </w:pBdr>
        <w:spacing w:after="240"/>
        <w:rPr>
          <w:rFonts w:eastAsia="Google Sans Text" w:cs="Times New Roman"/>
          <w:b/>
          <w:bCs/>
          <w:color w:val="1F1F1F"/>
        </w:rPr>
      </w:pPr>
      <w:r w:rsidRPr="00C70471">
        <w:rPr>
          <w:rFonts w:eastAsia="Google Sans Text" w:cs="Times New Roman"/>
          <w:b/>
          <w:bCs/>
          <w:color w:val="1F1F1F"/>
        </w:rPr>
        <w:t>Third Preference: Equity</w:t>
      </w:r>
    </w:p>
    <w:p w14:paraId="6C47C1D4" w14:textId="16E10D56" w:rsid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We discourage the issuance of new stock. The issuance of new stock is the most expensive type of financing and dilutes the attractive returns generated by these specific investments for current shareholders.</w:t>
      </w:r>
    </w:p>
    <w:p w14:paraId="7A8ED715" w14:textId="77777777" w:rsidR="00C70471" w:rsidRDefault="00C70471" w:rsidP="00C70471">
      <w:pPr>
        <w:pStyle w:val="Heading2"/>
      </w:pPr>
      <w:bookmarkStart w:id="28" w:name="_Toc219163940"/>
      <w:r w:rsidRPr="00C70471">
        <w:t>Conclusion</w:t>
      </w:r>
      <w:bookmarkEnd w:id="28"/>
    </w:p>
    <w:p w14:paraId="485944A3" w14:textId="6D4C6131" w:rsidR="00C70471" w:rsidRPr="00C70471" w:rsidRDefault="00C70471" w:rsidP="00C70471">
      <w:pPr>
        <w:pBdr>
          <w:top w:val="nil"/>
          <w:left w:val="nil"/>
          <w:bottom w:val="nil"/>
          <w:right w:val="nil"/>
          <w:between w:val="nil"/>
        </w:pBdr>
        <w:spacing w:after="240"/>
        <w:rPr>
          <w:rFonts w:eastAsia="Google Sans Text" w:cs="Times New Roman"/>
          <w:color w:val="1F1F1F"/>
        </w:rPr>
      </w:pPr>
      <w:r w:rsidRPr="00C70471">
        <w:rPr>
          <w:rFonts w:eastAsia="Google Sans Text" w:cs="Times New Roman"/>
          <w:color w:val="1F1F1F"/>
        </w:rPr>
        <w:t>As stated earlier, Westward Plc has a significant opportunity to create value for shareholders and grow through the implementation of a diversified investment strategy. By utili</w:t>
      </w:r>
      <w:r w:rsidR="006D2254">
        <w:rPr>
          <w:rFonts w:eastAsia="Google Sans Text" w:cs="Times New Roman"/>
          <w:color w:val="1F1F1F"/>
        </w:rPr>
        <w:t>s</w:t>
      </w:r>
      <w:r w:rsidRPr="00C70471">
        <w:rPr>
          <w:rFonts w:eastAsia="Google Sans Text" w:cs="Times New Roman"/>
          <w:color w:val="1F1F1F"/>
        </w:rPr>
        <w:t>ing NPV as the primary method of evaluating and selecting among competing investment alternatives, Westward Plc can select a portfolio of investments that provide the greatest theoretical and economic value.</w:t>
      </w:r>
      <w:r w:rsidRPr="00C70471">
        <w:rPr>
          <w:rFonts w:eastAsia="Google Sans Text" w:cs="Times New Roman"/>
          <w:color w:val="1F1F1F"/>
        </w:rPr>
        <w:br/>
        <w:t>Additionally, by adhering to the capital rationing strategy, the company is able to maximi</w:t>
      </w:r>
      <w:r w:rsidR="006D2254">
        <w:rPr>
          <w:rFonts w:eastAsia="Google Sans Text" w:cs="Times New Roman"/>
          <w:color w:val="1F1F1F"/>
        </w:rPr>
        <w:t>s</w:t>
      </w:r>
      <w:r w:rsidRPr="00C70471">
        <w:rPr>
          <w:rFonts w:eastAsia="Google Sans Text" w:cs="Times New Roman"/>
          <w:color w:val="1F1F1F"/>
        </w:rPr>
        <w:t xml:space="preserve">e the net present value of approximately $1.85 million from the selected portfolio of investments. Although non-discounting measures such as Payback Period have some validity with respect to liquidity issues, the majority of the evidence from discounted cash flow analysis supports the notion that there are significant long-term wealth creation opportunities for Westward Plc through the implementation of these initiatives. Therefore, if the Board chooses to follow the recommended financing plan consisting of retained earnings and debt, Westward Plc should be able to </w:t>
      </w:r>
      <w:r w:rsidRPr="00C70471">
        <w:rPr>
          <w:rFonts w:eastAsia="Google Sans Text" w:cs="Times New Roman"/>
          <w:color w:val="1F1F1F"/>
        </w:rPr>
        <w:lastRenderedPageBreak/>
        <w:t>successfully execute this strategy and enhance its competitive position within both the physical and digital markets while controlling operational risk.</w:t>
      </w:r>
    </w:p>
    <w:p w14:paraId="3BE78C6E" w14:textId="508CE5D0" w:rsidR="00503641" w:rsidRDefault="00503641" w:rsidP="00503641">
      <w:pPr>
        <w:pBdr>
          <w:top w:val="nil"/>
          <w:left w:val="nil"/>
          <w:bottom w:val="nil"/>
          <w:right w:val="nil"/>
          <w:between w:val="nil"/>
        </w:pBdr>
        <w:spacing w:after="240"/>
        <w:rPr>
          <w:rFonts w:eastAsia="Google Sans Text" w:cs="Times New Roman"/>
          <w:color w:val="1F1F1F"/>
        </w:rPr>
      </w:pPr>
    </w:p>
    <w:p w14:paraId="143E09D5" w14:textId="77777777" w:rsidR="00503641" w:rsidRDefault="00503641">
      <w:pPr>
        <w:spacing w:line="240" w:lineRule="auto"/>
        <w:jc w:val="left"/>
        <w:rPr>
          <w:rFonts w:eastAsia="Google Sans Text" w:cs="Times New Roman"/>
          <w:color w:val="1F1F1F"/>
        </w:rPr>
      </w:pPr>
      <w:r>
        <w:rPr>
          <w:rFonts w:eastAsia="Google Sans Text" w:cs="Times New Roman"/>
          <w:color w:val="1F1F1F"/>
        </w:rPr>
        <w:br w:type="page"/>
      </w:r>
    </w:p>
    <w:p w14:paraId="2B0BEA86" w14:textId="3AE2EE3A" w:rsidR="00503641" w:rsidRPr="00503641" w:rsidRDefault="00503641" w:rsidP="00D35A84">
      <w:pPr>
        <w:pStyle w:val="Heading1"/>
      </w:pPr>
      <w:bookmarkStart w:id="29" w:name="_Toc219163941"/>
      <w:r w:rsidRPr="00503641">
        <w:lastRenderedPageBreak/>
        <w:t>Bibliography</w:t>
      </w:r>
      <w:bookmarkEnd w:id="29"/>
    </w:p>
    <w:p w14:paraId="79BB27A9" w14:textId="77777777" w:rsidR="00FF5932" w:rsidRPr="00FF5932" w:rsidRDefault="00FF5932" w:rsidP="00FF5932">
      <w:pPr>
        <w:pStyle w:val="NormalWeb"/>
        <w:spacing w:line="360" w:lineRule="auto"/>
        <w:jc w:val="both"/>
      </w:pPr>
      <w:r w:rsidRPr="00FF5932">
        <w:t xml:space="preserve">Arnold, G. (2019) </w:t>
      </w:r>
      <w:r w:rsidRPr="00FF5932">
        <w:rPr>
          <w:i/>
          <w:iCs/>
        </w:rPr>
        <w:t>Corporate Financial Management</w:t>
      </w:r>
      <w:r w:rsidRPr="00FF5932">
        <w:t xml:space="preserve">. 6th </w:t>
      </w:r>
      <w:proofErr w:type="spellStart"/>
      <w:r w:rsidRPr="00FF5932">
        <w:t>edn</w:t>
      </w:r>
      <w:proofErr w:type="spellEnd"/>
      <w:r w:rsidRPr="00FF5932">
        <w:t>. Harlow: Pearson.</w:t>
      </w:r>
    </w:p>
    <w:p w14:paraId="1BED6CD7" w14:textId="77777777" w:rsidR="00FF5932" w:rsidRPr="00FF5932" w:rsidRDefault="00FF5932" w:rsidP="00FF5932">
      <w:pPr>
        <w:pStyle w:val="NormalWeb"/>
        <w:spacing w:line="360" w:lineRule="auto"/>
        <w:jc w:val="both"/>
      </w:pPr>
      <w:proofErr w:type="spellStart"/>
      <w:r w:rsidRPr="00FF5932">
        <w:t>Atrill</w:t>
      </w:r>
      <w:proofErr w:type="spellEnd"/>
      <w:r w:rsidRPr="00FF5932">
        <w:t xml:space="preserve">, P. (2020) </w:t>
      </w:r>
      <w:r w:rsidRPr="00FF5932">
        <w:rPr>
          <w:i/>
          <w:iCs/>
        </w:rPr>
        <w:t>Financial Management for Decision Makers</w:t>
      </w:r>
      <w:r w:rsidRPr="00FF5932">
        <w:t xml:space="preserve">. 9th </w:t>
      </w:r>
      <w:proofErr w:type="spellStart"/>
      <w:r w:rsidRPr="00FF5932">
        <w:t>edn</w:t>
      </w:r>
      <w:proofErr w:type="spellEnd"/>
      <w:r w:rsidRPr="00FF5932">
        <w:t>. Harlow: Pearson.</w:t>
      </w:r>
    </w:p>
    <w:p w14:paraId="7E75440D" w14:textId="77777777" w:rsidR="00FF5932" w:rsidRPr="00FF5932" w:rsidRDefault="00FF5932" w:rsidP="00FF5932">
      <w:pPr>
        <w:pStyle w:val="NormalWeb"/>
        <w:spacing w:line="360" w:lineRule="auto"/>
        <w:jc w:val="both"/>
      </w:pPr>
      <w:proofErr w:type="spellStart"/>
      <w:r w:rsidRPr="00FF5932">
        <w:t>Atrill</w:t>
      </w:r>
      <w:proofErr w:type="spellEnd"/>
      <w:r w:rsidRPr="00FF5932">
        <w:t xml:space="preserve">, P. and McLaney, E. (2019) </w:t>
      </w:r>
      <w:r w:rsidRPr="00FF5932">
        <w:rPr>
          <w:i/>
          <w:iCs/>
        </w:rPr>
        <w:t>Accounting and Finance for Non-Specialists</w:t>
      </w:r>
      <w:r w:rsidRPr="00FF5932">
        <w:t xml:space="preserve">. 11th </w:t>
      </w:r>
      <w:proofErr w:type="spellStart"/>
      <w:r w:rsidRPr="00FF5932">
        <w:t>edn</w:t>
      </w:r>
      <w:proofErr w:type="spellEnd"/>
      <w:r w:rsidRPr="00FF5932">
        <w:t>. Harlow: Pearson.</w:t>
      </w:r>
    </w:p>
    <w:p w14:paraId="73C09FA7" w14:textId="69BECEDE" w:rsidR="00FF5932" w:rsidRPr="00FF5932" w:rsidRDefault="00FF5932" w:rsidP="00FF5932">
      <w:pPr>
        <w:pStyle w:val="NormalWeb"/>
        <w:spacing w:line="360" w:lineRule="auto"/>
        <w:jc w:val="both"/>
      </w:pPr>
      <w:r w:rsidRPr="00FF5932">
        <w:t xml:space="preserve">Bank of England (2025) </w:t>
      </w:r>
      <w:r w:rsidRPr="00FF5932">
        <w:rPr>
          <w:i/>
          <w:iCs/>
        </w:rPr>
        <w:t>Monetary Policy Report - February 2025</w:t>
      </w:r>
      <w:r w:rsidRPr="00FF5932">
        <w:t>. Available at: https://www.bankofengland.co.uk/monetary-policy-report/2025/february-2025 (Accessed: 10 January 2026).</w:t>
      </w:r>
    </w:p>
    <w:p w14:paraId="3FB9D077" w14:textId="77777777" w:rsidR="00FF5932" w:rsidRPr="00FF5932" w:rsidRDefault="00FF5932" w:rsidP="00FF5932">
      <w:pPr>
        <w:pStyle w:val="NormalWeb"/>
        <w:spacing w:line="360" w:lineRule="auto"/>
        <w:jc w:val="both"/>
      </w:pPr>
      <w:r w:rsidRPr="00FF5932">
        <w:t xml:space="preserve">Bekaert, G. and </w:t>
      </w:r>
      <w:proofErr w:type="spellStart"/>
      <w:r w:rsidRPr="00FF5932">
        <w:t>Hodrick</w:t>
      </w:r>
      <w:proofErr w:type="spellEnd"/>
      <w:r w:rsidRPr="00FF5932">
        <w:t xml:space="preserve">, R. (2017) </w:t>
      </w:r>
      <w:r w:rsidRPr="00FF5932">
        <w:rPr>
          <w:i/>
          <w:iCs/>
        </w:rPr>
        <w:t>International Financial Management</w:t>
      </w:r>
      <w:r w:rsidRPr="00FF5932">
        <w:t xml:space="preserve">. 3rd </w:t>
      </w:r>
      <w:proofErr w:type="spellStart"/>
      <w:r w:rsidRPr="00FF5932">
        <w:t>edn</w:t>
      </w:r>
      <w:proofErr w:type="spellEnd"/>
      <w:r w:rsidRPr="00FF5932">
        <w:t>. Cambridge: Cambridge University Press.</w:t>
      </w:r>
    </w:p>
    <w:p w14:paraId="567F3660" w14:textId="77777777" w:rsidR="00FF5932" w:rsidRPr="00FF5932" w:rsidRDefault="00FF5932" w:rsidP="00FF5932">
      <w:pPr>
        <w:pStyle w:val="NormalWeb"/>
        <w:spacing w:line="360" w:lineRule="auto"/>
        <w:jc w:val="both"/>
      </w:pPr>
      <w:r w:rsidRPr="00FF5932">
        <w:t xml:space="preserve">Bhimani, A., Horngren, C., Datar, S. and Rajan, M. (2022) </w:t>
      </w:r>
      <w:r w:rsidRPr="00FF5932">
        <w:rPr>
          <w:i/>
          <w:iCs/>
        </w:rPr>
        <w:t>Management and Cost Accounting</w:t>
      </w:r>
      <w:r w:rsidRPr="00FF5932">
        <w:t xml:space="preserve">. 8th </w:t>
      </w:r>
      <w:proofErr w:type="spellStart"/>
      <w:r w:rsidRPr="00FF5932">
        <w:t>edn</w:t>
      </w:r>
      <w:proofErr w:type="spellEnd"/>
      <w:r w:rsidRPr="00FF5932">
        <w:t>. London: Pearson.</w:t>
      </w:r>
    </w:p>
    <w:p w14:paraId="6955F636" w14:textId="792FD861" w:rsidR="00FF5932" w:rsidRPr="00FF5932" w:rsidRDefault="00FF5932" w:rsidP="00FF5932">
      <w:pPr>
        <w:pStyle w:val="NormalWeb"/>
        <w:spacing w:line="360" w:lineRule="auto"/>
        <w:jc w:val="both"/>
      </w:pPr>
      <w:r w:rsidRPr="00FF5932">
        <w:t>Bloomberg (202</w:t>
      </w:r>
      <w:r>
        <w:t>6</w:t>
      </w:r>
      <w:r w:rsidRPr="00FF5932">
        <w:t xml:space="preserve">) ‘https://www.bloomberg.com/news/articles/2026-01-07/uk-grocers-set-for-profit-jump-after-2025-inflation-cyberattack, </w:t>
      </w:r>
      <w:r w:rsidRPr="00FF5932">
        <w:rPr>
          <w:i/>
          <w:iCs/>
        </w:rPr>
        <w:t>Bloomberg Intelligence</w:t>
      </w:r>
      <w:r w:rsidRPr="00FF5932">
        <w:t xml:space="preserve">, </w:t>
      </w:r>
      <w:r>
        <w:t>7</w:t>
      </w:r>
      <w:r w:rsidRPr="00FF5932">
        <w:t xml:space="preserve"> </w:t>
      </w:r>
      <w:r>
        <w:t>January</w:t>
      </w:r>
      <w:r w:rsidRPr="00FF5932">
        <w:t>. Available at: https://www.bloomberg.com/news/articles/2026-01-07/uk-grocers-set-for-profit-jump-after-2025-inflation-cyberattack (Accessed: 12 January 2026).</w:t>
      </w:r>
    </w:p>
    <w:p w14:paraId="21D360B1" w14:textId="77777777" w:rsidR="00FF5932" w:rsidRPr="00FF5932" w:rsidRDefault="00FF5932" w:rsidP="00FF5932">
      <w:pPr>
        <w:pStyle w:val="NormalWeb"/>
        <w:spacing w:line="360" w:lineRule="auto"/>
        <w:jc w:val="both"/>
      </w:pPr>
      <w:r w:rsidRPr="00FF5932">
        <w:t xml:space="preserve">Brealey, R.A., Myers, S.C. and Allen, F. (2019) </w:t>
      </w:r>
      <w:r w:rsidRPr="00FF5932">
        <w:rPr>
          <w:i/>
          <w:iCs/>
        </w:rPr>
        <w:t>Principles of Corporate Finance</w:t>
      </w:r>
      <w:r w:rsidRPr="00FF5932">
        <w:t xml:space="preserve">. 13th </w:t>
      </w:r>
      <w:proofErr w:type="spellStart"/>
      <w:r w:rsidRPr="00FF5932">
        <w:t>edn</w:t>
      </w:r>
      <w:proofErr w:type="spellEnd"/>
      <w:r w:rsidRPr="00FF5932">
        <w:t>. New York: McGraw-Hill Education.</w:t>
      </w:r>
    </w:p>
    <w:p w14:paraId="45312F6E" w14:textId="3448005D" w:rsidR="00FF5932" w:rsidRPr="00FF5932" w:rsidRDefault="00FF5932" w:rsidP="00FF5932">
      <w:pPr>
        <w:pStyle w:val="NormalWeb"/>
        <w:spacing w:line="360" w:lineRule="auto"/>
        <w:jc w:val="both"/>
      </w:pPr>
      <w:r w:rsidRPr="00FF5932">
        <w:t xml:space="preserve">CIPS (2025) </w:t>
      </w:r>
      <w:r w:rsidR="00AA25C7" w:rsidRPr="00AA25C7">
        <w:rPr>
          <w:i/>
          <w:iCs/>
        </w:rPr>
        <w:t>CIPS Global State of Procurement &amp; Supply 2025</w:t>
      </w:r>
      <w:r w:rsidRPr="00FF5932">
        <w:t xml:space="preserve">. Chartered Institute of Procurement &amp; Supply. Available at: </w:t>
      </w:r>
      <w:r w:rsidR="00AA25C7" w:rsidRPr="00AA25C7">
        <w:t>https://cips-download.cips.org/expert-reports/global-state-of-procurement-supply-2025</w:t>
      </w:r>
      <w:r w:rsidRPr="00FF5932">
        <w:t xml:space="preserve"> (Accessed: 12 January 2026).</w:t>
      </w:r>
    </w:p>
    <w:p w14:paraId="0AF57398" w14:textId="77777777" w:rsidR="00FF5932" w:rsidRPr="00FF5932" w:rsidRDefault="00FF5932" w:rsidP="00FF5932">
      <w:pPr>
        <w:pStyle w:val="NormalWeb"/>
        <w:spacing w:line="360" w:lineRule="auto"/>
        <w:jc w:val="both"/>
      </w:pPr>
      <w:r w:rsidRPr="00FF5932">
        <w:t xml:space="preserve">Drury, C. (2018) </w:t>
      </w:r>
      <w:r w:rsidRPr="00FF5932">
        <w:rPr>
          <w:i/>
          <w:iCs/>
        </w:rPr>
        <w:t>Management and Cost Accounting</w:t>
      </w:r>
      <w:r w:rsidRPr="00FF5932">
        <w:t xml:space="preserve">. 10th </w:t>
      </w:r>
      <w:proofErr w:type="spellStart"/>
      <w:r w:rsidRPr="00FF5932">
        <w:t>edn</w:t>
      </w:r>
      <w:proofErr w:type="spellEnd"/>
      <w:r w:rsidRPr="00FF5932">
        <w:t>. Andover: Cengage Learning EMEA.</w:t>
      </w:r>
    </w:p>
    <w:p w14:paraId="05603F87" w14:textId="77777777" w:rsidR="00FF5932" w:rsidRPr="00FF5932" w:rsidRDefault="00FF5932" w:rsidP="00FF5932">
      <w:pPr>
        <w:pStyle w:val="NormalWeb"/>
        <w:spacing w:line="360" w:lineRule="auto"/>
        <w:jc w:val="both"/>
      </w:pPr>
      <w:r w:rsidRPr="00FF5932">
        <w:lastRenderedPageBreak/>
        <w:t xml:space="preserve">Drury, C. (2020) </w:t>
      </w:r>
      <w:r w:rsidRPr="00FF5932">
        <w:rPr>
          <w:i/>
          <w:iCs/>
        </w:rPr>
        <w:t>Management and Cost Accounting</w:t>
      </w:r>
      <w:r w:rsidRPr="00FF5932">
        <w:t xml:space="preserve">. 11th </w:t>
      </w:r>
      <w:proofErr w:type="spellStart"/>
      <w:r w:rsidRPr="00FF5932">
        <w:t>edn</w:t>
      </w:r>
      <w:proofErr w:type="spellEnd"/>
      <w:r w:rsidRPr="00FF5932">
        <w:t>. Andover: Cengage Learning EMEA.</w:t>
      </w:r>
    </w:p>
    <w:p w14:paraId="5871BF16" w14:textId="77777777" w:rsidR="00FF5932" w:rsidRPr="00FF5932" w:rsidRDefault="00FF5932" w:rsidP="00FF5932">
      <w:pPr>
        <w:pStyle w:val="NormalWeb"/>
        <w:spacing w:line="360" w:lineRule="auto"/>
        <w:jc w:val="both"/>
      </w:pPr>
      <w:r w:rsidRPr="00FF5932">
        <w:t xml:space="preserve">Dyson, J.R. (2020) </w:t>
      </w:r>
      <w:r w:rsidRPr="00FF5932">
        <w:rPr>
          <w:i/>
          <w:iCs/>
        </w:rPr>
        <w:t>Accounting for Non-Accounting Students</w:t>
      </w:r>
      <w:r w:rsidRPr="00FF5932">
        <w:t xml:space="preserve">. 10th </w:t>
      </w:r>
      <w:proofErr w:type="spellStart"/>
      <w:r w:rsidRPr="00FF5932">
        <w:t>edn</w:t>
      </w:r>
      <w:proofErr w:type="spellEnd"/>
      <w:r w:rsidRPr="00FF5932">
        <w:t>. Harlow: Pearson.</w:t>
      </w:r>
    </w:p>
    <w:p w14:paraId="1EBC8CCE" w14:textId="29D3CD70" w:rsidR="00FF5932" w:rsidRPr="00FF5932" w:rsidRDefault="00FF5932" w:rsidP="00FF5932">
      <w:pPr>
        <w:pStyle w:val="NormalWeb"/>
        <w:spacing w:line="360" w:lineRule="auto"/>
        <w:jc w:val="both"/>
      </w:pPr>
      <w:r w:rsidRPr="00FF5932">
        <w:t>Financial Times (202</w:t>
      </w:r>
      <w:r w:rsidR="00AA25C7">
        <w:t>4</w:t>
      </w:r>
      <w:r w:rsidRPr="00FF5932">
        <w:t xml:space="preserve">) ‘Sainsbury’s exits banking to focus on food’, </w:t>
      </w:r>
      <w:r w:rsidRPr="00FF5932">
        <w:rPr>
          <w:i/>
          <w:iCs/>
        </w:rPr>
        <w:t>Financial Times</w:t>
      </w:r>
      <w:r w:rsidRPr="00FF5932">
        <w:t xml:space="preserve">, </w:t>
      </w:r>
      <w:r w:rsidR="00AA25C7">
        <w:t>18</w:t>
      </w:r>
      <w:r w:rsidRPr="00FF5932">
        <w:t xml:space="preserve"> January. Available at: </w:t>
      </w:r>
      <w:r w:rsidR="00AA25C7" w:rsidRPr="00AA25C7">
        <w:t>https://www.ft.com/content/9d03e18a-9783-4c2f-85b9-fbc54417b090</w:t>
      </w:r>
      <w:r w:rsidRPr="00FF5932">
        <w:t xml:space="preserve"> (Accessed: 5 January 2026).</w:t>
      </w:r>
    </w:p>
    <w:p w14:paraId="42727E32" w14:textId="77777777" w:rsidR="00FF5932" w:rsidRPr="00FF5932" w:rsidRDefault="00FF5932" w:rsidP="00FF5932">
      <w:pPr>
        <w:pStyle w:val="NormalWeb"/>
        <w:spacing w:line="360" w:lineRule="auto"/>
        <w:jc w:val="both"/>
      </w:pPr>
      <w:r w:rsidRPr="00FF5932">
        <w:t xml:space="preserve">Fisher, I. (1930) </w:t>
      </w:r>
      <w:r w:rsidRPr="00FF5932">
        <w:rPr>
          <w:i/>
          <w:iCs/>
        </w:rPr>
        <w:t>The Theory of Interest</w:t>
      </w:r>
      <w:r w:rsidRPr="00FF5932">
        <w:t>. New York: Macmillan.</w:t>
      </w:r>
    </w:p>
    <w:p w14:paraId="3D602951" w14:textId="77777777" w:rsidR="00FF5932" w:rsidRPr="00FF5932" w:rsidRDefault="00FF5932" w:rsidP="00FF5932">
      <w:pPr>
        <w:pStyle w:val="NormalWeb"/>
        <w:spacing w:line="360" w:lineRule="auto"/>
        <w:jc w:val="both"/>
      </w:pPr>
      <w:r w:rsidRPr="00FF5932">
        <w:t xml:space="preserve">Horngren, C.T., Datar, S.M. and Rajan, M.V. (2023) </w:t>
      </w:r>
      <w:r w:rsidRPr="00FF5932">
        <w:rPr>
          <w:i/>
          <w:iCs/>
        </w:rPr>
        <w:t>Cost Accounting: A Managerial Emphasis</w:t>
      </w:r>
      <w:r w:rsidRPr="00FF5932">
        <w:t xml:space="preserve">. 17th </w:t>
      </w:r>
      <w:proofErr w:type="spellStart"/>
      <w:r w:rsidRPr="00FF5932">
        <w:t>edn</w:t>
      </w:r>
      <w:proofErr w:type="spellEnd"/>
      <w:r w:rsidRPr="00FF5932">
        <w:t>. Harlow: Pearson.</w:t>
      </w:r>
    </w:p>
    <w:p w14:paraId="2D1DEA82" w14:textId="54C9470A" w:rsidR="00FF5932" w:rsidRPr="00FF5932" w:rsidRDefault="00FF5932" w:rsidP="00FF5932">
      <w:pPr>
        <w:pStyle w:val="NormalWeb"/>
        <w:spacing w:line="360" w:lineRule="auto"/>
        <w:jc w:val="both"/>
      </w:pPr>
      <w:r w:rsidRPr="00FF5932">
        <w:t xml:space="preserve">IG Group (2025) </w:t>
      </w:r>
      <w:r w:rsidRPr="00FF5932">
        <w:rPr>
          <w:i/>
          <w:iCs/>
        </w:rPr>
        <w:t>Sainsbury’s Share Price Analysis</w:t>
      </w:r>
      <w:r w:rsidRPr="00FF5932">
        <w:t xml:space="preserve">. Available at: </w:t>
      </w:r>
      <w:r w:rsidR="00AA25C7" w:rsidRPr="00AA25C7">
        <w:t>https://www.ig.com/uk/shares/markets-shares/sainsburys-plc-SBRY-UK</w:t>
      </w:r>
      <w:r w:rsidRPr="00FF5932">
        <w:t xml:space="preserve"> (Accessed: 5 January 2026).</w:t>
      </w:r>
    </w:p>
    <w:p w14:paraId="6FBA4E26" w14:textId="06EF935E" w:rsidR="00FF5932" w:rsidRPr="00FF5932" w:rsidRDefault="00FF5932" w:rsidP="00FF5932">
      <w:pPr>
        <w:pStyle w:val="NormalWeb"/>
        <w:spacing w:line="360" w:lineRule="auto"/>
        <w:jc w:val="both"/>
      </w:pPr>
      <w:r w:rsidRPr="00FF5932">
        <w:t xml:space="preserve">J Sainsbury plc (2024) </w:t>
      </w:r>
      <w:r w:rsidRPr="00FF5932">
        <w:rPr>
          <w:i/>
          <w:iCs/>
        </w:rPr>
        <w:t>Annual Report and Financial Statements 2024</w:t>
      </w:r>
      <w:r w:rsidRPr="00FF5932">
        <w:t xml:space="preserve">. London: J Sainsbury plc. Available at: </w:t>
      </w:r>
      <w:r w:rsidR="00AA25C7" w:rsidRPr="00AA25C7">
        <w:t>https://corporate.sainsburys.co.uk/media/n3bdgevz/sainsbury-annual-report-and-financial-statements-2024.pdf</w:t>
      </w:r>
      <w:r w:rsidRPr="00FF5932">
        <w:t xml:space="preserve"> (Accessed: 12 January 2026).</w:t>
      </w:r>
    </w:p>
    <w:p w14:paraId="5954E83C" w14:textId="1F7E9C71" w:rsidR="00FF5932" w:rsidRPr="00FF5932" w:rsidRDefault="00FF5932" w:rsidP="00FF5932">
      <w:pPr>
        <w:pStyle w:val="NormalWeb"/>
        <w:spacing w:line="360" w:lineRule="auto"/>
        <w:jc w:val="both"/>
      </w:pPr>
      <w:r w:rsidRPr="00FF5932">
        <w:t xml:space="preserve">J Sainsbury plc (2025) </w:t>
      </w:r>
      <w:r w:rsidRPr="00FF5932">
        <w:rPr>
          <w:i/>
          <w:iCs/>
        </w:rPr>
        <w:t>Annual Report and Financial Statements 2025</w:t>
      </w:r>
      <w:r w:rsidRPr="00FF5932">
        <w:t xml:space="preserve">. London: J Sainsbury plc. Available at: </w:t>
      </w:r>
      <w:r w:rsidR="00AA25C7" w:rsidRPr="00AA25C7">
        <w:t>https://corporate.sainsburys.co.uk/media/e1lfnybd/sainsbury-annual-report-and-financial-statements-2025.pdf</w:t>
      </w:r>
      <w:r w:rsidRPr="00FF5932">
        <w:t xml:space="preserve"> (Accessed: 12 January 2026).</w:t>
      </w:r>
    </w:p>
    <w:p w14:paraId="295E3D4F" w14:textId="77777777" w:rsidR="00FF5932" w:rsidRPr="00FF5932" w:rsidRDefault="00FF5932" w:rsidP="00FF5932">
      <w:pPr>
        <w:pStyle w:val="NormalWeb"/>
        <w:spacing w:line="360" w:lineRule="auto"/>
        <w:jc w:val="both"/>
      </w:pPr>
      <w:r w:rsidRPr="00FF5932">
        <w:t xml:space="preserve">Johnson, G., Whittington, R. and Scholes, K. (2017) </w:t>
      </w:r>
      <w:r w:rsidRPr="00FF5932">
        <w:rPr>
          <w:i/>
          <w:iCs/>
        </w:rPr>
        <w:t>Exploring Strategy</w:t>
      </w:r>
      <w:r w:rsidRPr="00FF5932">
        <w:t xml:space="preserve">. 11th </w:t>
      </w:r>
      <w:proofErr w:type="spellStart"/>
      <w:r w:rsidRPr="00FF5932">
        <w:t>edn</w:t>
      </w:r>
      <w:proofErr w:type="spellEnd"/>
      <w:r w:rsidRPr="00FF5932">
        <w:t>. Harlow: Pearson.</w:t>
      </w:r>
    </w:p>
    <w:p w14:paraId="1F62CEAD" w14:textId="406CF6F2" w:rsidR="00FF5932" w:rsidRPr="00FF5932" w:rsidRDefault="00FF5932" w:rsidP="00FF5932">
      <w:pPr>
        <w:pStyle w:val="NormalWeb"/>
        <w:spacing w:line="360" w:lineRule="auto"/>
        <w:jc w:val="both"/>
      </w:pPr>
      <w:r w:rsidRPr="00FF5932">
        <w:t xml:space="preserve">Kantar Worldpanel (2025) </w:t>
      </w:r>
      <w:r w:rsidRPr="00FF5932">
        <w:rPr>
          <w:i/>
          <w:iCs/>
        </w:rPr>
        <w:t>Grocery Market Share Update: March 2025</w:t>
      </w:r>
      <w:r w:rsidRPr="00FF5932">
        <w:t xml:space="preserve">. Available at: </w:t>
      </w:r>
      <w:r w:rsidR="00AA25C7" w:rsidRPr="00AA25C7">
        <w:t>https://www.kantar.com/campaigns/grocery-market-share</w:t>
      </w:r>
      <w:r w:rsidRPr="00FF5932">
        <w:t xml:space="preserve"> (Accessed: 10 January 2026).</w:t>
      </w:r>
    </w:p>
    <w:p w14:paraId="2C9F878F" w14:textId="3FEE21EE" w:rsidR="00FF5932" w:rsidRPr="00FF5932" w:rsidRDefault="00FF5932" w:rsidP="00FF5932">
      <w:pPr>
        <w:pStyle w:val="NormalWeb"/>
        <w:spacing w:line="360" w:lineRule="auto"/>
        <w:jc w:val="both"/>
      </w:pPr>
      <w:r w:rsidRPr="00FF5932">
        <w:lastRenderedPageBreak/>
        <w:t xml:space="preserve">Marketing Week (2025) </w:t>
      </w:r>
      <w:r w:rsidR="00AA25C7" w:rsidRPr="00AA25C7">
        <w:t>Loyalty is the nectar of the supermarket</w:t>
      </w:r>
      <w:r w:rsidRPr="00FF5932">
        <w:t xml:space="preserve">, </w:t>
      </w:r>
      <w:r w:rsidRPr="00FF5932">
        <w:rPr>
          <w:i/>
          <w:iCs/>
        </w:rPr>
        <w:t>Marketing Week</w:t>
      </w:r>
      <w:r w:rsidRPr="00FF5932">
        <w:t xml:space="preserve">, 12 April. Available at: </w:t>
      </w:r>
      <w:r w:rsidR="00AA25C7" w:rsidRPr="00AA25C7">
        <w:t>https://www.marketingweek.com/loyalty-is-the-nectar-of-the-supermarket/</w:t>
      </w:r>
      <w:r w:rsidRPr="00FF5932">
        <w:t xml:space="preserve"> (Accessed: 12 January 2026).</w:t>
      </w:r>
    </w:p>
    <w:p w14:paraId="7F204213" w14:textId="77777777" w:rsidR="00FF5932" w:rsidRPr="00FF5932" w:rsidRDefault="00FF5932" w:rsidP="00FF5932">
      <w:pPr>
        <w:pStyle w:val="NormalWeb"/>
        <w:spacing w:line="360" w:lineRule="auto"/>
        <w:jc w:val="both"/>
      </w:pPr>
      <w:r w:rsidRPr="00FF5932">
        <w:t xml:space="preserve">McLaney, E. (2020) </w:t>
      </w:r>
      <w:r w:rsidRPr="00FF5932">
        <w:rPr>
          <w:i/>
          <w:iCs/>
        </w:rPr>
        <w:t>Business Finance: Theory and Practice</w:t>
      </w:r>
      <w:r w:rsidRPr="00FF5932">
        <w:t xml:space="preserve">. 11th </w:t>
      </w:r>
      <w:proofErr w:type="spellStart"/>
      <w:r w:rsidRPr="00FF5932">
        <w:t>edn</w:t>
      </w:r>
      <w:proofErr w:type="spellEnd"/>
      <w:r w:rsidRPr="00FF5932">
        <w:t>. Harlow: Pearson.</w:t>
      </w:r>
    </w:p>
    <w:p w14:paraId="1393DDE6" w14:textId="460B343F" w:rsidR="00FF5932" w:rsidRPr="00FF5932" w:rsidRDefault="00FF5932" w:rsidP="00FF5932">
      <w:pPr>
        <w:pStyle w:val="NormalWeb"/>
        <w:spacing w:line="360" w:lineRule="auto"/>
        <w:jc w:val="both"/>
      </w:pPr>
      <w:r w:rsidRPr="00FF5932">
        <w:t xml:space="preserve">Mintel (2025) </w:t>
      </w:r>
      <w:r w:rsidRPr="00FF5932">
        <w:rPr>
          <w:i/>
          <w:iCs/>
        </w:rPr>
        <w:t>UK Supermarkets Report 2025</w:t>
      </w:r>
      <w:r w:rsidRPr="00FF5932">
        <w:t xml:space="preserve">. London: Mintel Group. Available at: </w:t>
      </w:r>
      <w:r w:rsidR="00AA25C7" w:rsidRPr="00AA25C7">
        <w:t>https://store.mintel.com/report/uk-supermarkets-market-report</w:t>
      </w:r>
      <w:r w:rsidRPr="00FF5932">
        <w:t xml:space="preserve"> (Accessed: 12 January 2026).</w:t>
      </w:r>
    </w:p>
    <w:p w14:paraId="2AB471EF" w14:textId="2FBE80F9" w:rsidR="00FF5932" w:rsidRPr="00FF5932" w:rsidRDefault="00FF5932" w:rsidP="00FF5932">
      <w:pPr>
        <w:pStyle w:val="NormalWeb"/>
        <w:spacing w:line="360" w:lineRule="auto"/>
        <w:jc w:val="both"/>
      </w:pPr>
      <w:r w:rsidRPr="00FF5932">
        <w:t xml:space="preserve">Modigliani, F. and Miller, M.H. (1963) 'Corporate income taxes and the cost of capital: a correction', </w:t>
      </w:r>
      <w:r w:rsidRPr="00FF5932">
        <w:rPr>
          <w:i/>
          <w:iCs/>
        </w:rPr>
        <w:t>The American Economic Review</w:t>
      </w:r>
      <w:r w:rsidRPr="00FF5932">
        <w:t xml:space="preserve">, 53(3), pp. 433-443. Available at: </w:t>
      </w:r>
      <w:r w:rsidR="00AA25C7" w:rsidRPr="00AA25C7">
        <w:t>https://www.jstor.org/stable/1809167</w:t>
      </w:r>
      <w:r w:rsidR="00AA25C7">
        <w:t>.</w:t>
      </w:r>
    </w:p>
    <w:p w14:paraId="6783AC32" w14:textId="12BF89E5" w:rsidR="00FF5932" w:rsidRPr="00FF5932" w:rsidRDefault="00FF5932" w:rsidP="00FF5932">
      <w:pPr>
        <w:pStyle w:val="NormalWeb"/>
        <w:spacing w:line="360" w:lineRule="auto"/>
        <w:jc w:val="both"/>
      </w:pPr>
      <w:r w:rsidRPr="00FF5932">
        <w:t xml:space="preserve">Office for National Statistics (2025) </w:t>
      </w:r>
      <w:r w:rsidRPr="00FF5932">
        <w:rPr>
          <w:i/>
          <w:iCs/>
        </w:rPr>
        <w:t>Retail Sales Index bulletin: February 2025</w:t>
      </w:r>
      <w:r w:rsidRPr="00FF5932">
        <w:t xml:space="preserve">. Available at: </w:t>
      </w:r>
      <w:r w:rsidR="00AA25C7" w:rsidRPr="00AA25C7">
        <w:t>https://www.ons.gov.uk/businessindustryandtrade/retailindustry/bulletins/retailsales/february2025</w:t>
      </w:r>
      <w:r w:rsidRPr="00FF5932">
        <w:t xml:space="preserve"> (Accessed: 9 January 2026).</w:t>
      </w:r>
    </w:p>
    <w:p w14:paraId="4171FA37" w14:textId="77777777" w:rsidR="00FF5932" w:rsidRPr="00FF5932" w:rsidRDefault="00FF5932" w:rsidP="00FF5932">
      <w:pPr>
        <w:pStyle w:val="NormalWeb"/>
        <w:spacing w:line="360" w:lineRule="auto"/>
        <w:jc w:val="both"/>
      </w:pPr>
      <w:r w:rsidRPr="00FF5932">
        <w:t xml:space="preserve">Pike, R. (1996) 'A longitudinal survey on capital budgeting practices', </w:t>
      </w:r>
      <w:r w:rsidRPr="00FF5932">
        <w:rPr>
          <w:i/>
          <w:iCs/>
        </w:rPr>
        <w:t>Journal of Business Finance &amp; Accounting</w:t>
      </w:r>
      <w:r w:rsidRPr="00FF5932">
        <w:t xml:space="preserve">, 23(1), pp. 79-92. </w:t>
      </w:r>
      <w:proofErr w:type="spellStart"/>
      <w:r w:rsidRPr="00FF5932">
        <w:t>doi</w:t>
      </w:r>
      <w:proofErr w:type="spellEnd"/>
      <w:r w:rsidRPr="00FF5932">
        <w:t>: 10.1111/j.1468-5957.1996.tb00403.x.</w:t>
      </w:r>
    </w:p>
    <w:p w14:paraId="4C98FA14" w14:textId="77777777" w:rsidR="00FF5932" w:rsidRPr="00FF5932" w:rsidRDefault="00FF5932" w:rsidP="00FF5932">
      <w:pPr>
        <w:pStyle w:val="NormalWeb"/>
        <w:spacing w:line="360" w:lineRule="auto"/>
        <w:jc w:val="both"/>
      </w:pPr>
      <w:r w:rsidRPr="00FF5932">
        <w:t xml:space="preserve">Porter, M.E. (1980) </w:t>
      </w:r>
      <w:r w:rsidRPr="00FF5932">
        <w:rPr>
          <w:i/>
          <w:iCs/>
        </w:rPr>
        <w:t>Competitive Strategy: Techniques for Analyzing Industries and Competitors</w:t>
      </w:r>
      <w:r w:rsidRPr="00FF5932">
        <w:t>. New York: Free Press.</w:t>
      </w:r>
    </w:p>
    <w:p w14:paraId="23BEB2E6" w14:textId="77777777" w:rsidR="00FF5932" w:rsidRPr="00FF5932" w:rsidRDefault="00FF5932" w:rsidP="00FF5932">
      <w:pPr>
        <w:pStyle w:val="NormalWeb"/>
        <w:spacing w:line="360" w:lineRule="auto"/>
        <w:jc w:val="both"/>
      </w:pPr>
      <w:r w:rsidRPr="00FF5932">
        <w:t xml:space="preserve">Porter, M.E. (2008) 'The Five Competitive Forces That Shape Strategy', </w:t>
      </w:r>
      <w:r w:rsidRPr="00FF5932">
        <w:rPr>
          <w:i/>
          <w:iCs/>
        </w:rPr>
        <w:t>Harvard Business Review</w:t>
      </w:r>
      <w:r w:rsidRPr="00FF5932">
        <w:t>, 86(1), pp. 78-93.</w:t>
      </w:r>
    </w:p>
    <w:p w14:paraId="65E1EF07" w14:textId="0F71B873" w:rsidR="00FF5932" w:rsidRPr="00FF5932" w:rsidRDefault="00FF5932" w:rsidP="00FF5932">
      <w:pPr>
        <w:pStyle w:val="NormalWeb"/>
        <w:spacing w:line="360" w:lineRule="auto"/>
        <w:jc w:val="both"/>
      </w:pPr>
      <w:r w:rsidRPr="00FF5932">
        <w:t>Retail Gazette (202</w:t>
      </w:r>
      <w:r w:rsidR="00AA25C7">
        <w:t>5</w:t>
      </w:r>
      <w:r w:rsidRPr="00FF5932">
        <w:t xml:space="preserve">) </w:t>
      </w:r>
      <w:r w:rsidR="00AA25C7" w:rsidRPr="00AA25C7">
        <w:t>Tesco and Sainsbury’s: How the two grocery giants won Christmas</w:t>
      </w:r>
      <w:r w:rsidRPr="00FF5932">
        <w:t xml:space="preserve">, </w:t>
      </w:r>
      <w:r w:rsidRPr="00FF5932">
        <w:rPr>
          <w:i/>
          <w:iCs/>
        </w:rPr>
        <w:t>Retail Gazette</w:t>
      </w:r>
      <w:r w:rsidRPr="00FF5932">
        <w:t xml:space="preserve">, 10 </w:t>
      </w:r>
      <w:r w:rsidR="00AA25C7">
        <w:t>January</w:t>
      </w:r>
      <w:r w:rsidRPr="00FF5932">
        <w:t xml:space="preserve">. Available at: </w:t>
      </w:r>
      <w:r w:rsidR="00AA25C7" w:rsidRPr="00AA25C7">
        <w:t>https://www.retailgazette.co.uk/blog/2025/01/tesco-sainsburys-christmas/</w:t>
      </w:r>
      <w:r w:rsidRPr="00FF5932">
        <w:t xml:space="preserve"> (Accessed: 12 January 2026).</w:t>
      </w:r>
    </w:p>
    <w:p w14:paraId="279BD8B4" w14:textId="1C785A02" w:rsidR="00FF5932" w:rsidRPr="00FF5932" w:rsidRDefault="00FF5932" w:rsidP="00FF5932">
      <w:pPr>
        <w:pStyle w:val="NormalWeb"/>
        <w:spacing w:line="360" w:lineRule="auto"/>
        <w:jc w:val="both"/>
      </w:pPr>
      <w:r w:rsidRPr="00FF5932">
        <w:t>Reuters (2025) ‘</w:t>
      </w:r>
      <w:r w:rsidR="00AA25C7" w:rsidRPr="00AA25C7">
        <w:t>Sainsbury's upbeat on Christmas prospects as it raises profit outlook</w:t>
      </w:r>
      <w:r w:rsidRPr="00FF5932">
        <w:t xml:space="preserve">, </w:t>
      </w:r>
      <w:r w:rsidRPr="00FF5932">
        <w:rPr>
          <w:i/>
          <w:iCs/>
        </w:rPr>
        <w:t>Reuters Business</w:t>
      </w:r>
      <w:r w:rsidRPr="00FF5932">
        <w:t xml:space="preserve">, </w:t>
      </w:r>
      <w:r w:rsidR="00AA25C7">
        <w:t>6</w:t>
      </w:r>
      <w:r w:rsidRPr="00FF5932">
        <w:t xml:space="preserve"> </w:t>
      </w:r>
      <w:r w:rsidR="00AA25C7">
        <w:t>November</w:t>
      </w:r>
      <w:r w:rsidRPr="00FF5932">
        <w:t xml:space="preserve">. Available at: </w:t>
      </w:r>
      <w:r w:rsidR="00AA25C7" w:rsidRPr="00AA25C7">
        <w:t>https://www.reuters.com/world/uk/britains-sainsburys-raises-full-year-profit-outlook-2025-11-06/</w:t>
      </w:r>
      <w:r w:rsidRPr="00FF5932">
        <w:t xml:space="preserve"> (Accessed: 12 January 2026).</w:t>
      </w:r>
    </w:p>
    <w:p w14:paraId="20D54038" w14:textId="77777777" w:rsidR="00FF5932" w:rsidRPr="00FF5932" w:rsidRDefault="00FF5932" w:rsidP="00FF5932">
      <w:pPr>
        <w:pStyle w:val="NormalWeb"/>
        <w:spacing w:line="360" w:lineRule="auto"/>
        <w:jc w:val="both"/>
      </w:pPr>
      <w:r w:rsidRPr="00FF5932">
        <w:lastRenderedPageBreak/>
        <w:t xml:space="preserve">Ross, S.A., </w:t>
      </w:r>
      <w:proofErr w:type="spellStart"/>
      <w:r w:rsidRPr="00FF5932">
        <w:t>Westerfield</w:t>
      </w:r>
      <w:proofErr w:type="spellEnd"/>
      <w:r w:rsidRPr="00FF5932">
        <w:t xml:space="preserve">, R.W. and Jaffe, J. (2016) </w:t>
      </w:r>
      <w:r w:rsidRPr="00FF5932">
        <w:rPr>
          <w:i/>
          <w:iCs/>
        </w:rPr>
        <w:t>Corporate Finance</w:t>
      </w:r>
      <w:r w:rsidRPr="00FF5932">
        <w:t xml:space="preserve">. 11th </w:t>
      </w:r>
      <w:proofErr w:type="spellStart"/>
      <w:r w:rsidRPr="00FF5932">
        <w:t>edn</w:t>
      </w:r>
      <w:proofErr w:type="spellEnd"/>
      <w:r w:rsidRPr="00FF5932">
        <w:t>. New York: McGraw-Hill Education.</w:t>
      </w:r>
    </w:p>
    <w:p w14:paraId="300D5B1E" w14:textId="11E073B6" w:rsidR="00FF5932" w:rsidRPr="00FF5932" w:rsidRDefault="00FF5932" w:rsidP="00FF5932">
      <w:pPr>
        <w:pStyle w:val="NormalWeb"/>
        <w:spacing w:line="360" w:lineRule="auto"/>
        <w:jc w:val="both"/>
      </w:pPr>
      <w:r w:rsidRPr="00FF5932">
        <w:t xml:space="preserve">S&amp;P Global (2025) </w:t>
      </w:r>
      <w:r w:rsidRPr="00FF5932">
        <w:rPr>
          <w:i/>
          <w:iCs/>
        </w:rPr>
        <w:t>J Sainsbury plc: Credit Rating Report</w:t>
      </w:r>
      <w:r w:rsidRPr="00FF5932">
        <w:t xml:space="preserve">. Available at: </w:t>
      </w:r>
      <w:r w:rsidR="00AA25C7" w:rsidRPr="00AA25C7">
        <w:t>https://www.spglobal.com/ratings/en/regulatory/article/-/view/sourceId/101611404</w:t>
      </w:r>
      <w:r w:rsidRPr="00FF5932">
        <w:t xml:space="preserve"> (Accessed: 8 January 2026).</w:t>
      </w:r>
    </w:p>
    <w:p w14:paraId="0B6D5F46" w14:textId="45EF16D0" w:rsidR="00FF5932" w:rsidRPr="00FF5932" w:rsidRDefault="00FF5932" w:rsidP="00FF5932">
      <w:pPr>
        <w:pStyle w:val="NormalWeb"/>
        <w:spacing w:line="360" w:lineRule="auto"/>
        <w:jc w:val="both"/>
      </w:pPr>
      <w:r w:rsidRPr="00FF5932">
        <w:t xml:space="preserve">The Grocer (2025) ‘Ranking the Top </w:t>
      </w:r>
      <w:r w:rsidR="00AA25C7">
        <w:t>100</w:t>
      </w:r>
      <w:r w:rsidRPr="00FF5932">
        <w:t xml:space="preserve"> UK Grocers’, </w:t>
      </w:r>
      <w:r w:rsidRPr="00FF5932">
        <w:rPr>
          <w:i/>
          <w:iCs/>
        </w:rPr>
        <w:t>The Grocer</w:t>
      </w:r>
      <w:r w:rsidRPr="00FF5932">
        <w:t xml:space="preserve">, May Issue. Available at: </w:t>
      </w:r>
      <w:r w:rsidR="00AA25C7" w:rsidRPr="00AA25C7">
        <w:t>https://www.thegrocer.co.uk/rankings/britains-biggest-brands-2025-the-top-100/702278.article</w:t>
      </w:r>
      <w:r w:rsidRPr="00FF5932">
        <w:t xml:space="preserve"> (Accessed: 12 January 2026).</w:t>
      </w:r>
    </w:p>
    <w:p w14:paraId="7DECBDF1" w14:textId="5F725757" w:rsidR="00FF5932" w:rsidRPr="00FF5932" w:rsidRDefault="00FF5932" w:rsidP="00FF5932">
      <w:pPr>
        <w:pStyle w:val="NormalWeb"/>
        <w:spacing w:line="360" w:lineRule="auto"/>
        <w:jc w:val="both"/>
      </w:pPr>
      <w:r w:rsidRPr="00FF5932">
        <w:t xml:space="preserve">The Guardian (2024) </w:t>
      </w:r>
      <w:r w:rsidR="00AA25C7" w:rsidRPr="00AA25C7">
        <w:t>Sales in UK shops bounce back as inflation slows</w:t>
      </w:r>
      <w:r w:rsidRPr="00FF5932">
        <w:t xml:space="preserve">, </w:t>
      </w:r>
      <w:r w:rsidRPr="00FF5932">
        <w:rPr>
          <w:i/>
          <w:iCs/>
        </w:rPr>
        <w:t>The Guardian</w:t>
      </w:r>
      <w:r w:rsidRPr="00FF5932">
        <w:t xml:space="preserve">, </w:t>
      </w:r>
      <w:r w:rsidR="00AA25C7">
        <w:t>28 May</w:t>
      </w:r>
      <w:r w:rsidRPr="00FF5932">
        <w:t xml:space="preserve">. Available at: </w:t>
      </w:r>
      <w:r w:rsidR="00AA25C7" w:rsidRPr="00AA25C7">
        <w:t>https://www.theguardian.com/business/article/2024/may/28/sales-in-uk-shops-bounce-back-as-inflation-slows</w:t>
      </w:r>
      <w:r w:rsidRPr="00FF5932">
        <w:t xml:space="preserve"> (Accessed: 12 January 2026).</w:t>
      </w:r>
    </w:p>
    <w:p w14:paraId="7E3FCB9F" w14:textId="77777777" w:rsidR="00FF5932" w:rsidRPr="00FF5932" w:rsidRDefault="00FF5932" w:rsidP="00FF5932">
      <w:pPr>
        <w:pStyle w:val="NormalWeb"/>
        <w:spacing w:line="360" w:lineRule="auto"/>
        <w:jc w:val="both"/>
      </w:pPr>
      <w:r w:rsidRPr="00FF5932">
        <w:t xml:space="preserve">Watson, D. and Head, A. (2019) </w:t>
      </w:r>
      <w:r w:rsidRPr="00FF5932">
        <w:rPr>
          <w:i/>
          <w:iCs/>
        </w:rPr>
        <w:t>Corporate Finance: Principles and Practice</w:t>
      </w:r>
      <w:r w:rsidRPr="00FF5932">
        <w:t xml:space="preserve">. 8th </w:t>
      </w:r>
      <w:proofErr w:type="spellStart"/>
      <w:r w:rsidRPr="00FF5932">
        <w:t>edn</w:t>
      </w:r>
      <w:proofErr w:type="spellEnd"/>
      <w:r w:rsidRPr="00FF5932">
        <w:t>. Harlow: Pearson.</w:t>
      </w:r>
    </w:p>
    <w:p w14:paraId="70738360" w14:textId="19A829DF" w:rsidR="00FF5932" w:rsidRPr="00FF5932" w:rsidRDefault="00FF5932" w:rsidP="00FF5932">
      <w:pPr>
        <w:pStyle w:val="NormalWeb"/>
        <w:spacing w:line="360" w:lineRule="auto"/>
        <w:jc w:val="both"/>
      </w:pPr>
      <w:r w:rsidRPr="00FF5932">
        <w:t xml:space="preserve">Yahoo Finance (2026) </w:t>
      </w:r>
      <w:r w:rsidRPr="00FF5932">
        <w:rPr>
          <w:i/>
          <w:iCs/>
        </w:rPr>
        <w:t>J Sainsbury plc (SBRY.L) Historical Data</w:t>
      </w:r>
      <w:r w:rsidRPr="00FF5932">
        <w:t>. Available at: https://finance.yahoo.com/quote/SBRY.L/history (Accessed: 9 January 2026).</w:t>
      </w:r>
    </w:p>
    <w:p w14:paraId="4242F5B8" w14:textId="594DAEF6" w:rsidR="00503641" w:rsidRPr="00503641" w:rsidRDefault="00503641" w:rsidP="00503641">
      <w:pPr>
        <w:spacing w:after="0" w:line="240" w:lineRule="auto"/>
        <w:jc w:val="left"/>
        <w:rPr>
          <w:rFonts w:eastAsia="Google Sans Text" w:cs="Times New Roman"/>
          <w:color w:val="1F1F1F"/>
        </w:rPr>
      </w:pPr>
      <w:r>
        <w:rPr>
          <w:rFonts w:eastAsia="Google Sans Text" w:cs="Times New Roman"/>
          <w:color w:val="1F1F1F"/>
        </w:rPr>
        <w:br w:type="page"/>
      </w:r>
    </w:p>
    <w:p w14:paraId="457436BC" w14:textId="2F18A86F" w:rsidR="00503641" w:rsidRDefault="00503641" w:rsidP="00D35A84">
      <w:pPr>
        <w:pStyle w:val="Heading1"/>
      </w:pPr>
      <w:bookmarkStart w:id="30" w:name="_Toc219163942"/>
      <w:r>
        <w:lastRenderedPageBreak/>
        <w:t>Appendices</w:t>
      </w:r>
      <w:bookmarkEnd w:id="30"/>
    </w:p>
    <w:p w14:paraId="7DBD36F5" w14:textId="3201CB22" w:rsidR="000047A4" w:rsidRPr="00503641" w:rsidRDefault="00000000" w:rsidP="00503641">
      <w:pPr>
        <w:pStyle w:val="Heading2"/>
        <w:spacing w:before="0"/>
      </w:pPr>
      <w:bookmarkStart w:id="31" w:name="_Toc219163943"/>
      <w:r w:rsidRPr="00503641">
        <w:t>Appendix</w:t>
      </w:r>
      <w:r w:rsidR="00503641">
        <w:t xml:space="preserve"> A</w:t>
      </w:r>
      <w:r w:rsidRPr="00503641">
        <w:t>: Financial Data &amp; Calculations</w:t>
      </w:r>
      <w:bookmarkEnd w:id="31"/>
    </w:p>
    <w:p w14:paraId="5EF26038" w14:textId="77777777" w:rsidR="000047A4" w:rsidRPr="00503641" w:rsidRDefault="00000000" w:rsidP="00503641">
      <w:pPr>
        <w:pBdr>
          <w:top w:val="nil"/>
          <w:left w:val="nil"/>
          <w:bottom w:val="nil"/>
          <w:right w:val="nil"/>
          <w:between w:val="nil"/>
        </w:pBdr>
        <w:spacing w:after="240"/>
        <w:rPr>
          <w:rFonts w:eastAsia="Google Sans Text" w:cs="Times New Roman"/>
          <w:b/>
          <w:bCs/>
          <w:color w:val="1F1F1F"/>
        </w:rPr>
      </w:pPr>
      <w:r w:rsidRPr="00503641">
        <w:rPr>
          <w:rFonts w:eastAsia="Google Sans Text" w:cs="Times New Roman"/>
          <w:b/>
          <w:bCs/>
          <w:color w:val="1F1F1F"/>
        </w:rPr>
        <w:t>Detailed Financial Calculations Table (FY 2025 vs FY 2024)</w:t>
      </w:r>
    </w:p>
    <w:p w14:paraId="13623111" w14:textId="77777777" w:rsidR="000047A4" w:rsidRPr="00503641" w:rsidRDefault="00000000" w:rsidP="00503641">
      <w:pPr>
        <w:pBdr>
          <w:top w:val="nil"/>
          <w:left w:val="nil"/>
          <w:bottom w:val="nil"/>
          <w:right w:val="nil"/>
          <w:between w:val="nil"/>
        </w:pBdr>
        <w:spacing w:after="240"/>
        <w:rPr>
          <w:rFonts w:eastAsia="Google Sans Text" w:cs="Times New Roman"/>
          <w:i/>
          <w:iCs/>
          <w:color w:val="1F1F1F"/>
        </w:rPr>
      </w:pPr>
      <w:r w:rsidRPr="00503641">
        <w:rPr>
          <w:rFonts w:eastAsia="Google Sans Text" w:cs="Times New Roman"/>
          <w:i/>
          <w:iCs/>
          <w:color w:val="1F1F1F"/>
        </w:rPr>
        <w:t>Figures based on Annual Report 2025 Data provided.</w:t>
      </w:r>
    </w:p>
    <w:tbl>
      <w:tblPr>
        <w:tblStyle w:val="a4"/>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60"/>
        <w:gridCol w:w="1560"/>
        <w:gridCol w:w="1560"/>
        <w:gridCol w:w="1560"/>
        <w:gridCol w:w="1560"/>
        <w:gridCol w:w="1560"/>
      </w:tblGrid>
      <w:tr w:rsidR="000047A4" w:rsidRPr="00503641" w14:paraId="3A3B60E2" w14:textId="77777777" w:rsidTr="00222FD2">
        <w:tc>
          <w:tcPr>
            <w:tcW w:w="1560" w:type="dxa"/>
            <w:shd w:val="clear" w:color="auto" w:fill="auto"/>
            <w:tcMar>
              <w:top w:w="120" w:type="dxa"/>
              <w:left w:w="180" w:type="dxa"/>
              <w:bottom w:w="120" w:type="dxa"/>
              <w:right w:w="180" w:type="dxa"/>
            </w:tcMar>
          </w:tcPr>
          <w:p w14:paraId="3901222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 Category</w:t>
            </w:r>
          </w:p>
        </w:tc>
        <w:tc>
          <w:tcPr>
            <w:tcW w:w="1560" w:type="dxa"/>
            <w:shd w:val="clear" w:color="auto" w:fill="auto"/>
            <w:tcMar>
              <w:top w:w="120" w:type="dxa"/>
              <w:left w:w="180" w:type="dxa"/>
              <w:bottom w:w="120" w:type="dxa"/>
              <w:right w:w="180" w:type="dxa"/>
            </w:tcMar>
          </w:tcPr>
          <w:p w14:paraId="7B882F3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Ratio Name</w:t>
            </w:r>
          </w:p>
        </w:tc>
        <w:tc>
          <w:tcPr>
            <w:tcW w:w="1560" w:type="dxa"/>
            <w:shd w:val="clear" w:color="auto" w:fill="auto"/>
            <w:tcMar>
              <w:top w:w="120" w:type="dxa"/>
              <w:left w:w="180" w:type="dxa"/>
              <w:bottom w:w="120" w:type="dxa"/>
              <w:right w:w="180" w:type="dxa"/>
            </w:tcMar>
          </w:tcPr>
          <w:p w14:paraId="32887D9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Formula Used (Financial Ratios.docx)</w:t>
            </w:r>
          </w:p>
        </w:tc>
        <w:tc>
          <w:tcPr>
            <w:tcW w:w="1560" w:type="dxa"/>
            <w:shd w:val="clear" w:color="auto" w:fill="auto"/>
            <w:tcMar>
              <w:top w:w="120" w:type="dxa"/>
              <w:left w:w="180" w:type="dxa"/>
              <w:bottom w:w="120" w:type="dxa"/>
              <w:right w:w="180" w:type="dxa"/>
            </w:tcMar>
          </w:tcPr>
          <w:p w14:paraId="3947DD0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Calculation (FY 2025)</w:t>
            </w:r>
          </w:p>
        </w:tc>
        <w:tc>
          <w:tcPr>
            <w:tcW w:w="1560" w:type="dxa"/>
            <w:shd w:val="clear" w:color="auto" w:fill="auto"/>
            <w:tcMar>
              <w:top w:w="120" w:type="dxa"/>
              <w:left w:w="180" w:type="dxa"/>
              <w:bottom w:w="120" w:type="dxa"/>
              <w:right w:w="180" w:type="dxa"/>
            </w:tcMar>
          </w:tcPr>
          <w:p w14:paraId="14F846F1"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Result 2025</w:t>
            </w:r>
          </w:p>
        </w:tc>
        <w:tc>
          <w:tcPr>
            <w:tcW w:w="1560" w:type="dxa"/>
            <w:shd w:val="clear" w:color="auto" w:fill="auto"/>
            <w:tcMar>
              <w:top w:w="120" w:type="dxa"/>
              <w:left w:w="180" w:type="dxa"/>
              <w:bottom w:w="120" w:type="dxa"/>
              <w:right w:w="180" w:type="dxa"/>
            </w:tcMar>
          </w:tcPr>
          <w:p w14:paraId="13C651C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Result 2024</w:t>
            </w:r>
          </w:p>
        </w:tc>
      </w:tr>
      <w:tr w:rsidR="000047A4" w:rsidRPr="00503641" w14:paraId="300DB949" w14:textId="77777777" w:rsidTr="00222FD2">
        <w:tc>
          <w:tcPr>
            <w:tcW w:w="1560" w:type="dxa"/>
            <w:shd w:val="clear" w:color="auto" w:fill="auto"/>
            <w:tcMar>
              <w:top w:w="120" w:type="dxa"/>
              <w:left w:w="180" w:type="dxa"/>
              <w:bottom w:w="120" w:type="dxa"/>
              <w:right w:w="180" w:type="dxa"/>
            </w:tcMar>
          </w:tcPr>
          <w:p w14:paraId="13009D0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Profitability</w:t>
            </w:r>
          </w:p>
        </w:tc>
        <w:tc>
          <w:tcPr>
            <w:tcW w:w="1560" w:type="dxa"/>
            <w:shd w:val="clear" w:color="auto" w:fill="auto"/>
            <w:tcMar>
              <w:top w:w="120" w:type="dxa"/>
              <w:left w:w="180" w:type="dxa"/>
              <w:bottom w:w="120" w:type="dxa"/>
              <w:right w:w="180" w:type="dxa"/>
            </w:tcMar>
          </w:tcPr>
          <w:p w14:paraId="1995416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Gross Profit Margin Ratio</w:t>
            </w:r>
          </w:p>
        </w:tc>
        <w:tc>
          <w:tcPr>
            <w:tcW w:w="1560" w:type="dxa"/>
            <w:shd w:val="clear" w:color="auto" w:fill="auto"/>
            <w:tcMar>
              <w:top w:w="120" w:type="dxa"/>
              <w:left w:w="180" w:type="dxa"/>
              <w:bottom w:w="120" w:type="dxa"/>
              <w:right w:w="180" w:type="dxa"/>
            </w:tcMar>
          </w:tcPr>
          <w:p w14:paraId="0DFBE6AA"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sales - COGS/Total sales x100</w:t>
            </w:r>
          </w:p>
        </w:tc>
        <w:tc>
          <w:tcPr>
            <w:tcW w:w="1560" w:type="dxa"/>
            <w:shd w:val="clear" w:color="auto" w:fill="auto"/>
            <w:tcMar>
              <w:top w:w="120" w:type="dxa"/>
              <w:left w:w="180" w:type="dxa"/>
              <w:bottom w:w="120" w:type="dxa"/>
              <w:right w:w="180" w:type="dxa"/>
            </w:tcMar>
          </w:tcPr>
          <w:p w14:paraId="13CCC919"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(£32,812 - £30,513) / £32,812 x 100</w:t>
            </w:r>
          </w:p>
        </w:tc>
        <w:tc>
          <w:tcPr>
            <w:tcW w:w="1560" w:type="dxa"/>
            <w:shd w:val="clear" w:color="auto" w:fill="auto"/>
            <w:tcMar>
              <w:top w:w="120" w:type="dxa"/>
              <w:left w:w="180" w:type="dxa"/>
              <w:bottom w:w="120" w:type="dxa"/>
              <w:right w:w="180" w:type="dxa"/>
            </w:tcMar>
          </w:tcPr>
          <w:p w14:paraId="324B868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7.01%</w:t>
            </w:r>
          </w:p>
        </w:tc>
        <w:tc>
          <w:tcPr>
            <w:tcW w:w="1560" w:type="dxa"/>
            <w:shd w:val="clear" w:color="auto" w:fill="auto"/>
            <w:tcMar>
              <w:top w:w="120" w:type="dxa"/>
              <w:left w:w="180" w:type="dxa"/>
              <w:bottom w:w="120" w:type="dxa"/>
              <w:right w:w="180" w:type="dxa"/>
            </w:tcMar>
          </w:tcPr>
          <w:p w14:paraId="167560C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6.91%</w:t>
            </w:r>
          </w:p>
        </w:tc>
      </w:tr>
      <w:tr w:rsidR="000047A4" w:rsidRPr="00503641" w14:paraId="2357C67A" w14:textId="77777777" w:rsidTr="00222FD2">
        <w:tc>
          <w:tcPr>
            <w:tcW w:w="1560" w:type="dxa"/>
            <w:shd w:val="clear" w:color="auto" w:fill="auto"/>
            <w:tcMar>
              <w:top w:w="120" w:type="dxa"/>
              <w:left w:w="180" w:type="dxa"/>
              <w:bottom w:w="120" w:type="dxa"/>
              <w:right w:w="180" w:type="dxa"/>
            </w:tcMar>
          </w:tcPr>
          <w:p w14:paraId="1989F1F3"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5C13B53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Operating Profit Margin Ratio</w:t>
            </w:r>
          </w:p>
        </w:tc>
        <w:tc>
          <w:tcPr>
            <w:tcW w:w="1560" w:type="dxa"/>
            <w:shd w:val="clear" w:color="auto" w:fill="auto"/>
            <w:tcMar>
              <w:top w:w="120" w:type="dxa"/>
              <w:left w:w="180" w:type="dxa"/>
              <w:bottom w:w="120" w:type="dxa"/>
              <w:right w:w="180" w:type="dxa"/>
            </w:tcMar>
          </w:tcPr>
          <w:p w14:paraId="7B1CEDA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Operating profit/Net sales</w:t>
            </w:r>
          </w:p>
        </w:tc>
        <w:tc>
          <w:tcPr>
            <w:tcW w:w="1560" w:type="dxa"/>
            <w:shd w:val="clear" w:color="auto" w:fill="auto"/>
            <w:tcMar>
              <w:top w:w="120" w:type="dxa"/>
              <w:left w:w="180" w:type="dxa"/>
              <w:bottom w:w="120" w:type="dxa"/>
              <w:right w:w="180" w:type="dxa"/>
            </w:tcMar>
          </w:tcPr>
          <w:p w14:paraId="1FD7041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£1,029 / £32,812 x 100</w:t>
            </w:r>
          </w:p>
        </w:tc>
        <w:tc>
          <w:tcPr>
            <w:tcW w:w="1560" w:type="dxa"/>
            <w:shd w:val="clear" w:color="auto" w:fill="auto"/>
            <w:tcMar>
              <w:top w:w="120" w:type="dxa"/>
              <w:left w:w="180" w:type="dxa"/>
              <w:bottom w:w="120" w:type="dxa"/>
              <w:right w:w="180" w:type="dxa"/>
            </w:tcMar>
          </w:tcPr>
          <w:p w14:paraId="16C535D6"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3.14%</w:t>
            </w:r>
          </w:p>
        </w:tc>
        <w:tc>
          <w:tcPr>
            <w:tcW w:w="1560" w:type="dxa"/>
            <w:shd w:val="clear" w:color="auto" w:fill="auto"/>
            <w:tcMar>
              <w:top w:w="120" w:type="dxa"/>
              <w:left w:w="180" w:type="dxa"/>
              <w:bottom w:w="120" w:type="dxa"/>
              <w:right w:w="180" w:type="dxa"/>
            </w:tcMar>
          </w:tcPr>
          <w:p w14:paraId="26AF04CC"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2.94%</w:t>
            </w:r>
          </w:p>
        </w:tc>
      </w:tr>
      <w:tr w:rsidR="000047A4" w:rsidRPr="00503641" w14:paraId="1890B6DB" w14:textId="77777777" w:rsidTr="00222FD2">
        <w:tc>
          <w:tcPr>
            <w:tcW w:w="1560" w:type="dxa"/>
            <w:shd w:val="clear" w:color="auto" w:fill="auto"/>
            <w:tcMar>
              <w:top w:w="120" w:type="dxa"/>
              <w:left w:w="180" w:type="dxa"/>
              <w:bottom w:w="120" w:type="dxa"/>
              <w:right w:w="180" w:type="dxa"/>
            </w:tcMar>
          </w:tcPr>
          <w:p w14:paraId="7965EAEB"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55F226D7"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Net profit margin ratios</w:t>
            </w:r>
          </w:p>
        </w:tc>
        <w:tc>
          <w:tcPr>
            <w:tcW w:w="1560" w:type="dxa"/>
            <w:shd w:val="clear" w:color="auto" w:fill="auto"/>
            <w:tcMar>
              <w:top w:w="120" w:type="dxa"/>
              <w:left w:w="180" w:type="dxa"/>
              <w:bottom w:w="120" w:type="dxa"/>
              <w:right w:w="180" w:type="dxa"/>
            </w:tcMar>
          </w:tcPr>
          <w:p w14:paraId="45C8EE7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profit / Revenue x100</w:t>
            </w:r>
          </w:p>
        </w:tc>
        <w:tc>
          <w:tcPr>
            <w:tcW w:w="1560" w:type="dxa"/>
            <w:shd w:val="clear" w:color="auto" w:fill="auto"/>
            <w:tcMar>
              <w:top w:w="120" w:type="dxa"/>
              <w:left w:w="180" w:type="dxa"/>
              <w:bottom w:w="120" w:type="dxa"/>
              <w:right w:w="180" w:type="dxa"/>
            </w:tcMar>
          </w:tcPr>
          <w:p w14:paraId="4871BF7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£242 / £32,812 x 100</w:t>
            </w:r>
          </w:p>
        </w:tc>
        <w:tc>
          <w:tcPr>
            <w:tcW w:w="1560" w:type="dxa"/>
            <w:shd w:val="clear" w:color="auto" w:fill="auto"/>
            <w:tcMar>
              <w:top w:w="120" w:type="dxa"/>
              <w:left w:w="180" w:type="dxa"/>
              <w:bottom w:w="120" w:type="dxa"/>
              <w:right w:w="180" w:type="dxa"/>
            </w:tcMar>
          </w:tcPr>
          <w:p w14:paraId="4ECC4AA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0.74%</w:t>
            </w:r>
          </w:p>
        </w:tc>
        <w:tc>
          <w:tcPr>
            <w:tcW w:w="1560" w:type="dxa"/>
            <w:shd w:val="clear" w:color="auto" w:fill="auto"/>
            <w:tcMar>
              <w:top w:w="120" w:type="dxa"/>
              <w:left w:w="180" w:type="dxa"/>
              <w:bottom w:w="120" w:type="dxa"/>
              <w:right w:w="180" w:type="dxa"/>
            </w:tcMar>
          </w:tcPr>
          <w:p w14:paraId="0E5972A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0.42%</w:t>
            </w:r>
          </w:p>
        </w:tc>
      </w:tr>
      <w:tr w:rsidR="000047A4" w:rsidRPr="00503641" w14:paraId="66D634FF" w14:textId="77777777" w:rsidTr="00222FD2">
        <w:tc>
          <w:tcPr>
            <w:tcW w:w="1560" w:type="dxa"/>
            <w:shd w:val="clear" w:color="auto" w:fill="auto"/>
            <w:tcMar>
              <w:top w:w="120" w:type="dxa"/>
              <w:left w:w="180" w:type="dxa"/>
              <w:bottom w:w="120" w:type="dxa"/>
              <w:right w:w="180" w:type="dxa"/>
            </w:tcMar>
          </w:tcPr>
          <w:p w14:paraId="02C3B3E6"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28D924D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 xml:space="preserve">Return on Capital </w:t>
            </w:r>
            <w:r w:rsidRPr="00503641">
              <w:rPr>
                <w:rFonts w:eastAsia="Google Sans Text" w:cs="Times New Roman"/>
                <w:b/>
                <w:bCs/>
                <w:color w:val="1F1F1F"/>
              </w:rPr>
              <w:lastRenderedPageBreak/>
              <w:t>employed</w:t>
            </w:r>
          </w:p>
        </w:tc>
        <w:tc>
          <w:tcPr>
            <w:tcW w:w="1560" w:type="dxa"/>
            <w:shd w:val="clear" w:color="auto" w:fill="auto"/>
            <w:tcMar>
              <w:top w:w="120" w:type="dxa"/>
              <w:left w:w="180" w:type="dxa"/>
              <w:bottom w:w="120" w:type="dxa"/>
              <w:right w:w="180" w:type="dxa"/>
            </w:tcMar>
          </w:tcPr>
          <w:p w14:paraId="2D674558"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lastRenderedPageBreak/>
              <w:t xml:space="preserve">EBIT/Capital employed (Total </w:t>
            </w:r>
            <w:r w:rsidRPr="00503641">
              <w:rPr>
                <w:rFonts w:eastAsia="Google Sans Text" w:cs="Times New Roman"/>
                <w:color w:val="1F1F1F"/>
              </w:rPr>
              <w:lastRenderedPageBreak/>
              <w:t>Assets - Current Liabilities)</w:t>
            </w:r>
          </w:p>
        </w:tc>
        <w:tc>
          <w:tcPr>
            <w:tcW w:w="1560" w:type="dxa"/>
            <w:shd w:val="clear" w:color="auto" w:fill="auto"/>
            <w:tcMar>
              <w:top w:w="120" w:type="dxa"/>
              <w:left w:w="180" w:type="dxa"/>
              <w:bottom w:w="120" w:type="dxa"/>
              <w:right w:w="180" w:type="dxa"/>
            </w:tcMar>
          </w:tcPr>
          <w:p w14:paraId="6DDC0766"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lastRenderedPageBreak/>
              <w:t xml:space="preserve">£1,029 / (£24,648 - </w:t>
            </w:r>
            <w:r w:rsidRPr="00503641">
              <w:rPr>
                <w:rFonts w:eastAsia="Google Sans Text" w:cs="Times New Roman"/>
                <w:color w:val="1F1F1F"/>
              </w:rPr>
              <w:lastRenderedPageBreak/>
              <w:t>£11,417)</w:t>
            </w:r>
          </w:p>
        </w:tc>
        <w:tc>
          <w:tcPr>
            <w:tcW w:w="1560" w:type="dxa"/>
            <w:shd w:val="clear" w:color="auto" w:fill="auto"/>
            <w:tcMar>
              <w:top w:w="120" w:type="dxa"/>
              <w:left w:w="180" w:type="dxa"/>
              <w:bottom w:w="120" w:type="dxa"/>
              <w:right w:w="180" w:type="dxa"/>
            </w:tcMar>
          </w:tcPr>
          <w:p w14:paraId="2D14CA5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lastRenderedPageBreak/>
              <w:t>7.78%</w:t>
            </w:r>
          </w:p>
        </w:tc>
        <w:tc>
          <w:tcPr>
            <w:tcW w:w="1560" w:type="dxa"/>
            <w:shd w:val="clear" w:color="auto" w:fill="auto"/>
            <w:tcMar>
              <w:top w:w="120" w:type="dxa"/>
              <w:left w:w="180" w:type="dxa"/>
              <w:bottom w:w="120" w:type="dxa"/>
              <w:right w:w="180" w:type="dxa"/>
            </w:tcMar>
          </w:tcPr>
          <w:p w14:paraId="11A44ACC"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6.97%</w:t>
            </w:r>
          </w:p>
        </w:tc>
      </w:tr>
      <w:tr w:rsidR="000047A4" w:rsidRPr="00503641" w14:paraId="2CAE9FF3" w14:textId="77777777" w:rsidTr="00222FD2">
        <w:tc>
          <w:tcPr>
            <w:tcW w:w="1560" w:type="dxa"/>
            <w:shd w:val="clear" w:color="auto" w:fill="auto"/>
            <w:tcMar>
              <w:top w:w="120" w:type="dxa"/>
              <w:left w:w="180" w:type="dxa"/>
              <w:bottom w:w="120" w:type="dxa"/>
              <w:right w:w="180" w:type="dxa"/>
            </w:tcMar>
          </w:tcPr>
          <w:p w14:paraId="42BC000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Liquidity</w:t>
            </w:r>
          </w:p>
        </w:tc>
        <w:tc>
          <w:tcPr>
            <w:tcW w:w="1560" w:type="dxa"/>
            <w:shd w:val="clear" w:color="auto" w:fill="auto"/>
            <w:tcMar>
              <w:top w:w="120" w:type="dxa"/>
              <w:left w:w="180" w:type="dxa"/>
              <w:bottom w:w="120" w:type="dxa"/>
              <w:right w:w="180" w:type="dxa"/>
            </w:tcMar>
          </w:tcPr>
          <w:p w14:paraId="41596A1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Current Ratio</w:t>
            </w:r>
          </w:p>
        </w:tc>
        <w:tc>
          <w:tcPr>
            <w:tcW w:w="1560" w:type="dxa"/>
            <w:shd w:val="clear" w:color="auto" w:fill="auto"/>
            <w:tcMar>
              <w:top w:w="120" w:type="dxa"/>
              <w:left w:w="180" w:type="dxa"/>
              <w:bottom w:w="120" w:type="dxa"/>
              <w:right w:w="180" w:type="dxa"/>
            </w:tcMar>
          </w:tcPr>
          <w:p w14:paraId="1E4745D4"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Current Assets/Current Liabilities</w:t>
            </w:r>
          </w:p>
        </w:tc>
        <w:tc>
          <w:tcPr>
            <w:tcW w:w="1560" w:type="dxa"/>
            <w:shd w:val="clear" w:color="auto" w:fill="auto"/>
            <w:tcMar>
              <w:top w:w="120" w:type="dxa"/>
              <w:left w:w="180" w:type="dxa"/>
              <w:bottom w:w="120" w:type="dxa"/>
              <w:right w:w="180" w:type="dxa"/>
            </w:tcMar>
          </w:tcPr>
          <w:p w14:paraId="2F4E9136"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£8,449 / £11,417</w:t>
            </w:r>
          </w:p>
        </w:tc>
        <w:tc>
          <w:tcPr>
            <w:tcW w:w="1560" w:type="dxa"/>
            <w:shd w:val="clear" w:color="auto" w:fill="auto"/>
            <w:tcMar>
              <w:top w:w="120" w:type="dxa"/>
              <w:left w:w="180" w:type="dxa"/>
              <w:bottom w:w="120" w:type="dxa"/>
              <w:right w:w="180" w:type="dxa"/>
            </w:tcMar>
          </w:tcPr>
          <w:p w14:paraId="74258B1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0.74</w:t>
            </w:r>
          </w:p>
        </w:tc>
        <w:tc>
          <w:tcPr>
            <w:tcW w:w="1560" w:type="dxa"/>
            <w:shd w:val="clear" w:color="auto" w:fill="auto"/>
            <w:tcMar>
              <w:top w:w="120" w:type="dxa"/>
              <w:left w:w="180" w:type="dxa"/>
              <w:bottom w:w="120" w:type="dxa"/>
              <w:right w:w="180" w:type="dxa"/>
            </w:tcMar>
          </w:tcPr>
          <w:p w14:paraId="5F57218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0.66</w:t>
            </w:r>
          </w:p>
        </w:tc>
      </w:tr>
      <w:tr w:rsidR="000047A4" w:rsidRPr="00503641" w14:paraId="391B830A" w14:textId="77777777" w:rsidTr="00222FD2">
        <w:tc>
          <w:tcPr>
            <w:tcW w:w="1560" w:type="dxa"/>
            <w:shd w:val="clear" w:color="auto" w:fill="auto"/>
            <w:tcMar>
              <w:top w:w="120" w:type="dxa"/>
              <w:left w:w="180" w:type="dxa"/>
              <w:bottom w:w="120" w:type="dxa"/>
              <w:right w:w="180" w:type="dxa"/>
            </w:tcMar>
          </w:tcPr>
          <w:p w14:paraId="423AE792"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68D2B20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Quick Ratio</w:t>
            </w:r>
          </w:p>
        </w:tc>
        <w:tc>
          <w:tcPr>
            <w:tcW w:w="1560" w:type="dxa"/>
            <w:shd w:val="clear" w:color="auto" w:fill="auto"/>
            <w:tcMar>
              <w:top w:w="120" w:type="dxa"/>
              <w:left w:w="180" w:type="dxa"/>
              <w:bottom w:w="120" w:type="dxa"/>
              <w:right w:w="180" w:type="dxa"/>
            </w:tcMar>
          </w:tcPr>
          <w:p w14:paraId="7604257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Current Assets−Inventory − Prepaid Expenses / Current Liabilities</w:t>
            </w:r>
          </w:p>
        </w:tc>
        <w:tc>
          <w:tcPr>
            <w:tcW w:w="1560" w:type="dxa"/>
            <w:shd w:val="clear" w:color="auto" w:fill="auto"/>
            <w:tcMar>
              <w:top w:w="120" w:type="dxa"/>
              <w:left w:w="180" w:type="dxa"/>
              <w:bottom w:w="120" w:type="dxa"/>
              <w:right w:w="180" w:type="dxa"/>
            </w:tcMar>
          </w:tcPr>
          <w:p w14:paraId="181DE9D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(£8,449 - £1,946) / £11,417</w:t>
            </w:r>
          </w:p>
        </w:tc>
        <w:tc>
          <w:tcPr>
            <w:tcW w:w="1560" w:type="dxa"/>
            <w:shd w:val="clear" w:color="auto" w:fill="auto"/>
            <w:tcMar>
              <w:top w:w="120" w:type="dxa"/>
              <w:left w:w="180" w:type="dxa"/>
              <w:bottom w:w="120" w:type="dxa"/>
              <w:right w:w="180" w:type="dxa"/>
            </w:tcMar>
          </w:tcPr>
          <w:p w14:paraId="4EA001E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0.57</w:t>
            </w:r>
          </w:p>
        </w:tc>
        <w:tc>
          <w:tcPr>
            <w:tcW w:w="1560" w:type="dxa"/>
            <w:shd w:val="clear" w:color="auto" w:fill="auto"/>
            <w:tcMar>
              <w:top w:w="120" w:type="dxa"/>
              <w:left w:w="180" w:type="dxa"/>
              <w:bottom w:w="120" w:type="dxa"/>
              <w:right w:w="180" w:type="dxa"/>
            </w:tcMar>
          </w:tcPr>
          <w:p w14:paraId="6B766C0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0.49</w:t>
            </w:r>
          </w:p>
        </w:tc>
      </w:tr>
      <w:tr w:rsidR="000047A4" w:rsidRPr="00503641" w14:paraId="0724AC9C" w14:textId="77777777" w:rsidTr="00222FD2">
        <w:tc>
          <w:tcPr>
            <w:tcW w:w="1560" w:type="dxa"/>
            <w:shd w:val="clear" w:color="auto" w:fill="auto"/>
            <w:tcMar>
              <w:top w:w="120" w:type="dxa"/>
              <w:left w:w="180" w:type="dxa"/>
              <w:bottom w:w="120" w:type="dxa"/>
              <w:right w:w="180" w:type="dxa"/>
            </w:tcMar>
          </w:tcPr>
          <w:p w14:paraId="6F7EF48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Efficiency</w:t>
            </w:r>
          </w:p>
        </w:tc>
        <w:tc>
          <w:tcPr>
            <w:tcW w:w="1560" w:type="dxa"/>
            <w:shd w:val="clear" w:color="auto" w:fill="auto"/>
            <w:tcMar>
              <w:top w:w="120" w:type="dxa"/>
              <w:left w:w="180" w:type="dxa"/>
              <w:bottom w:w="120" w:type="dxa"/>
              <w:right w:w="180" w:type="dxa"/>
            </w:tcMar>
          </w:tcPr>
          <w:p w14:paraId="74775CA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Inventory Turnover Ratio</w:t>
            </w:r>
          </w:p>
        </w:tc>
        <w:tc>
          <w:tcPr>
            <w:tcW w:w="1560" w:type="dxa"/>
            <w:shd w:val="clear" w:color="auto" w:fill="auto"/>
            <w:tcMar>
              <w:top w:w="120" w:type="dxa"/>
              <w:left w:w="180" w:type="dxa"/>
              <w:bottom w:w="120" w:type="dxa"/>
              <w:right w:w="180" w:type="dxa"/>
            </w:tcMar>
          </w:tcPr>
          <w:p w14:paraId="222A06FA"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Cost of Goods Sold / Average Inventory</w:t>
            </w:r>
          </w:p>
        </w:tc>
        <w:tc>
          <w:tcPr>
            <w:tcW w:w="1560" w:type="dxa"/>
            <w:shd w:val="clear" w:color="auto" w:fill="auto"/>
            <w:tcMar>
              <w:top w:w="120" w:type="dxa"/>
              <w:left w:w="180" w:type="dxa"/>
              <w:bottom w:w="120" w:type="dxa"/>
              <w:right w:w="180" w:type="dxa"/>
            </w:tcMar>
          </w:tcPr>
          <w:p w14:paraId="415A60F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£30,513 / 1,936.5 (</w:t>
            </w:r>
            <w:proofErr w:type="spellStart"/>
            <w:r w:rsidRPr="00503641">
              <w:rPr>
                <w:rFonts w:eastAsia="Google Sans Text" w:cs="Times New Roman"/>
                <w:color w:val="1F1F1F"/>
              </w:rPr>
              <w:t>Avg</w:t>
            </w:r>
            <w:proofErr w:type="spellEnd"/>
            <w:r w:rsidRPr="00503641">
              <w:rPr>
                <w:rFonts w:eastAsia="Google Sans Text" w:cs="Times New Roman"/>
                <w:color w:val="1F1F1F"/>
              </w:rPr>
              <w:t>)</w:t>
            </w:r>
          </w:p>
        </w:tc>
        <w:tc>
          <w:tcPr>
            <w:tcW w:w="1560" w:type="dxa"/>
            <w:shd w:val="clear" w:color="auto" w:fill="auto"/>
            <w:tcMar>
              <w:top w:w="120" w:type="dxa"/>
              <w:left w:w="180" w:type="dxa"/>
              <w:bottom w:w="120" w:type="dxa"/>
              <w:right w:w="180" w:type="dxa"/>
            </w:tcMar>
          </w:tcPr>
          <w:p w14:paraId="43479E48"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15.76x</w:t>
            </w:r>
          </w:p>
        </w:tc>
        <w:tc>
          <w:tcPr>
            <w:tcW w:w="1560" w:type="dxa"/>
            <w:shd w:val="clear" w:color="auto" w:fill="auto"/>
            <w:tcMar>
              <w:top w:w="120" w:type="dxa"/>
              <w:left w:w="180" w:type="dxa"/>
              <w:bottom w:w="120" w:type="dxa"/>
              <w:right w:w="180" w:type="dxa"/>
            </w:tcMar>
          </w:tcPr>
          <w:p w14:paraId="2D8FF7D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15.57x</w:t>
            </w:r>
          </w:p>
        </w:tc>
      </w:tr>
      <w:tr w:rsidR="000047A4" w:rsidRPr="00503641" w14:paraId="70E8DA97" w14:textId="77777777" w:rsidTr="00222FD2">
        <w:tc>
          <w:tcPr>
            <w:tcW w:w="1560" w:type="dxa"/>
            <w:shd w:val="clear" w:color="auto" w:fill="auto"/>
            <w:tcMar>
              <w:top w:w="120" w:type="dxa"/>
              <w:left w:w="180" w:type="dxa"/>
              <w:bottom w:w="120" w:type="dxa"/>
              <w:right w:w="180" w:type="dxa"/>
            </w:tcMar>
          </w:tcPr>
          <w:p w14:paraId="24FE8F8D"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54D5D48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Accounts Payable Turnover</w:t>
            </w:r>
          </w:p>
        </w:tc>
        <w:tc>
          <w:tcPr>
            <w:tcW w:w="1560" w:type="dxa"/>
            <w:shd w:val="clear" w:color="auto" w:fill="auto"/>
            <w:tcMar>
              <w:top w:w="120" w:type="dxa"/>
              <w:left w:w="180" w:type="dxa"/>
              <w:bottom w:w="120" w:type="dxa"/>
              <w:right w:w="180" w:type="dxa"/>
            </w:tcMar>
          </w:tcPr>
          <w:p w14:paraId="2A467996"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Credit Purchases / Average Accounts Payable</w:t>
            </w:r>
          </w:p>
        </w:tc>
        <w:tc>
          <w:tcPr>
            <w:tcW w:w="1560" w:type="dxa"/>
            <w:shd w:val="clear" w:color="auto" w:fill="auto"/>
            <w:tcMar>
              <w:top w:w="120" w:type="dxa"/>
              <w:left w:w="180" w:type="dxa"/>
              <w:bottom w:w="120" w:type="dxa"/>
              <w:right w:w="180" w:type="dxa"/>
            </w:tcMar>
          </w:tcPr>
          <w:p w14:paraId="6CB33AB8"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365 / (63 days)</w:t>
            </w:r>
          </w:p>
        </w:tc>
        <w:tc>
          <w:tcPr>
            <w:tcW w:w="1560" w:type="dxa"/>
            <w:shd w:val="clear" w:color="auto" w:fill="auto"/>
            <w:tcMar>
              <w:top w:w="120" w:type="dxa"/>
              <w:left w:w="180" w:type="dxa"/>
              <w:bottom w:w="120" w:type="dxa"/>
              <w:right w:w="180" w:type="dxa"/>
            </w:tcMar>
          </w:tcPr>
          <w:p w14:paraId="32E08CC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5.79x</w:t>
            </w:r>
          </w:p>
        </w:tc>
        <w:tc>
          <w:tcPr>
            <w:tcW w:w="1560" w:type="dxa"/>
            <w:shd w:val="clear" w:color="auto" w:fill="auto"/>
            <w:tcMar>
              <w:top w:w="120" w:type="dxa"/>
              <w:left w:w="180" w:type="dxa"/>
              <w:bottom w:w="120" w:type="dxa"/>
              <w:right w:w="180" w:type="dxa"/>
            </w:tcMar>
          </w:tcPr>
          <w:p w14:paraId="6B853901"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5.88x</w:t>
            </w:r>
          </w:p>
        </w:tc>
      </w:tr>
      <w:tr w:rsidR="000047A4" w:rsidRPr="00503641" w14:paraId="5DF1D4AE" w14:textId="77777777" w:rsidTr="00222FD2">
        <w:tc>
          <w:tcPr>
            <w:tcW w:w="1560" w:type="dxa"/>
            <w:shd w:val="clear" w:color="auto" w:fill="auto"/>
            <w:tcMar>
              <w:top w:w="120" w:type="dxa"/>
              <w:left w:w="180" w:type="dxa"/>
              <w:bottom w:w="120" w:type="dxa"/>
              <w:right w:w="180" w:type="dxa"/>
            </w:tcMar>
          </w:tcPr>
          <w:p w14:paraId="3016BD2E"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73645DF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Asset Turnover Ratio</w:t>
            </w:r>
          </w:p>
        </w:tc>
        <w:tc>
          <w:tcPr>
            <w:tcW w:w="1560" w:type="dxa"/>
            <w:shd w:val="clear" w:color="auto" w:fill="auto"/>
            <w:tcMar>
              <w:top w:w="120" w:type="dxa"/>
              <w:left w:w="180" w:type="dxa"/>
              <w:bottom w:w="120" w:type="dxa"/>
              <w:right w:w="180" w:type="dxa"/>
            </w:tcMar>
          </w:tcPr>
          <w:p w14:paraId="6C756E7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Sales / Average Total Assets</w:t>
            </w:r>
          </w:p>
        </w:tc>
        <w:tc>
          <w:tcPr>
            <w:tcW w:w="1560" w:type="dxa"/>
            <w:shd w:val="clear" w:color="auto" w:fill="auto"/>
            <w:tcMar>
              <w:top w:w="120" w:type="dxa"/>
              <w:left w:w="180" w:type="dxa"/>
              <w:bottom w:w="120" w:type="dxa"/>
              <w:right w:w="180" w:type="dxa"/>
            </w:tcMar>
          </w:tcPr>
          <w:p w14:paraId="701B01B9"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£32,812 / £24,648</w:t>
            </w:r>
          </w:p>
        </w:tc>
        <w:tc>
          <w:tcPr>
            <w:tcW w:w="1560" w:type="dxa"/>
            <w:shd w:val="clear" w:color="auto" w:fill="auto"/>
            <w:tcMar>
              <w:top w:w="120" w:type="dxa"/>
              <w:left w:w="180" w:type="dxa"/>
              <w:bottom w:w="120" w:type="dxa"/>
              <w:right w:w="180" w:type="dxa"/>
            </w:tcMar>
          </w:tcPr>
          <w:p w14:paraId="571E0F37"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1.33x</w:t>
            </w:r>
          </w:p>
        </w:tc>
        <w:tc>
          <w:tcPr>
            <w:tcW w:w="1560" w:type="dxa"/>
            <w:shd w:val="clear" w:color="auto" w:fill="auto"/>
            <w:tcMar>
              <w:top w:w="120" w:type="dxa"/>
              <w:left w:w="180" w:type="dxa"/>
              <w:bottom w:w="120" w:type="dxa"/>
              <w:right w:w="180" w:type="dxa"/>
            </w:tcMar>
          </w:tcPr>
          <w:p w14:paraId="373A984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1.29x</w:t>
            </w:r>
          </w:p>
        </w:tc>
      </w:tr>
      <w:tr w:rsidR="000047A4" w:rsidRPr="00503641" w14:paraId="6150D61A" w14:textId="77777777" w:rsidTr="00222FD2">
        <w:tc>
          <w:tcPr>
            <w:tcW w:w="1560" w:type="dxa"/>
            <w:shd w:val="clear" w:color="auto" w:fill="auto"/>
            <w:tcMar>
              <w:top w:w="120" w:type="dxa"/>
              <w:left w:w="180" w:type="dxa"/>
              <w:bottom w:w="120" w:type="dxa"/>
              <w:right w:w="180" w:type="dxa"/>
            </w:tcMar>
          </w:tcPr>
          <w:p w14:paraId="21790A14"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Solvency</w:t>
            </w:r>
          </w:p>
        </w:tc>
        <w:tc>
          <w:tcPr>
            <w:tcW w:w="1560" w:type="dxa"/>
            <w:shd w:val="clear" w:color="auto" w:fill="auto"/>
            <w:tcMar>
              <w:top w:w="120" w:type="dxa"/>
              <w:left w:w="180" w:type="dxa"/>
              <w:bottom w:w="120" w:type="dxa"/>
              <w:right w:w="180" w:type="dxa"/>
            </w:tcMar>
          </w:tcPr>
          <w:p w14:paraId="3B84663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Gearing (Debt/</w:t>
            </w:r>
            <w:proofErr w:type="spellStart"/>
            <w:r w:rsidRPr="00503641">
              <w:rPr>
                <w:rFonts w:eastAsia="Google Sans Text" w:cs="Times New Roman"/>
                <w:b/>
                <w:bCs/>
                <w:color w:val="1F1F1F"/>
              </w:rPr>
              <w:t>Equity+Debt</w:t>
            </w:r>
            <w:proofErr w:type="spellEnd"/>
            <w:r w:rsidRPr="00503641">
              <w:rPr>
                <w:rFonts w:eastAsia="Google Sans Text" w:cs="Times New Roman"/>
                <w:b/>
                <w:bCs/>
                <w:color w:val="1F1F1F"/>
              </w:rPr>
              <w:t>)</w:t>
            </w:r>
          </w:p>
        </w:tc>
        <w:tc>
          <w:tcPr>
            <w:tcW w:w="1560" w:type="dxa"/>
            <w:shd w:val="clear" w:color="auto" w:fill="auto"/>
            <w:tcMar>
              <w:top w:w="120" w:type="dxa"/>
              <w:left w:w="180" w:type="dxa"/>
              <w:bottom w:w="120" w:type="dxa"/>
              <w:right w:w="180" w:type="dxa"/>
            </w:tcMar>
          </w:tcPr>
          <w:p w14:paraId="61519090"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Debt / (Equity + Net Debt)</w:t>
            </w:r>
          </w:p>
        </w:tc>
        <w:tc>
          <w:tcPr>
            <w:tcW w:w="1560" w:type="dxa"/>
            <w:shd w:val="clear" w:color="auto" w:fill="auto"/>
            <w:tcMar>
              <w:top w:w="120" w:type="dxa"/>
              <w:left w:w="180" w:type="dxa"/>
              <w:bottom w:w="120" w:type="dxa"/>
              <w:right w:w="180" w:type="dxa"/>
            </w:tcMar>
          </w:tcPr>
          <w:p w14:paraId="1123BC9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£3,831 / (£6,651 + £3,831)</w:t>
            </w:r>
          </w:p>
        </w:tc>
        <w:tc>
          <w:tcPr>
            <w:tcW w:w="1560" w:type="dxa"/>
            <w:shd w:val="clear" w:color="auto" w:fill="auto"/>
            <w:tcMar>
              <w:top w:w="120" w:type="dxa"/>
              <w:left w:w="180" w:type="dxa"/>
              <w:bottom w:w="120" w:type="dxa"/>
              <w:right w:w="180" w:type="dxa"/>
            </w:tcMar>
          </w:tcPr>
          <w:p w14:paraId="2306528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36.5%</w:t>
            </w:r>
          </w:p>
        </w:tc>
        <w:tc>
          <w:tcPr>
            <w:tcW w:w="1560" w:type="dxa"/>
            <w:shd w:val="clear" w:color="auto" w:fill="auto"/>
            <w:tcMar>
              <w:top w:w="120" w:type="dxa"/>
              <w:left w:w="180" w:type="dxa"/>
              <w:bottom w:w="120" w:type="dxa"/>
              <w:right w:w="180" w:type="dxa"/>
            </w:tcMar>
          </w:tcPr>
          <w:p w14:paraId="4499F4C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39.9%</w:t>
            </w:r>
          </w:p>
        </w:tc>
      </w:tr>
      <w:tr w:rsidR="000047A4" w:rsidRPr="00503641" w14:paraId="6960B7F1" w14:textId="77777777" w:rsidTr="00222FD2">
        <w:tc>
          <w:tcPr>
            <w:tcW w:w="1560" w:type="dxa"/>
            <w:shd w:val="clear" w:color="auto" w:fill="auto"/>
            <w:tcMar>
              <w:top w:w="120" w:type="dxa"/>
              <w:left w:w="180" w:type="dxa"/>
              <w:bottom w:w="120" w:type="dxa"/>
              <w:right w:w="180" w:type="dxa"/>
            </w:tcMar>
          </w:tcPr>
          <w:p w14:paraId="753292C9"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3036261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Interest Coverage Ratio</w:t>
            </w:r>
          </w:p>
        </w:tc>
        <w:tc>
          <w:tcPr>
            <w:tcW w:w="1560" w:type="dxa"/>
            <w:shd w:val="clear" w:color="auto" w:fill="auto"/>
            <w:tcMar>
              <w:top w:w="120" w:type="dxa"/>
              <w:left w:w="180" w:type="dxa"/>
              <w:bottom w:w="120" w:type="dxa"/>
              <w:right w:w="180" w:type="dxa"/>
            </w:tcMar>
          </w:tcPr>
          <w:p w14:paraId="285F86E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EBIT / Interest Expense</w:t>
            </w:r>
          </w:p>
        </w:tc>
        <w:tc>
          <w:tcPr>
            <w:tcW w:w="1560" w:type="dxa"/>
            <w:shd w:val="clear" w:color="auto" w:fill="auto"/>
            <w:tcMar>
              <w:top w:w="120" w:type="dxa"/>
              <w:left w:w="180" w:type="dxa"/>
              <w:bottom w:w="120" w:type="dxa"/>
              <w:right w:w="180" w:type="dxa"/>
            </w:tcMar>
          </w:tcPr>
          <w:p w14:paraId="73C68016"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£1,029 / £336</w:t>
            </w:r>
          </w:p>
        </w:tc>
        <w:tc>
          <w:tcPr>
            <w:tcW w:w="1560" w:type="dxa"/>
            <w:shd w:val="clear" w:color="auto" w:fill="auto"/>
            <w:tcMar>
              <w:top w:w="120" w:type="dxa"/>
              <w:left w:w="180" w:type="dxa"/>
              <w:bottom w:w="120" w:type="dxa"/>
              <w:right w:w="180" w:type="dxa"/>
            </w:tcMar>
          </w:tcPr>
          <w:p w14:paraId="212CD317"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3.06x</w:t>
            </w:r>
          </w:p>
        </w:tc>
        <w:tc>
          <w:tcPr>
            <w:tcW w:w="1560" w:type="dxa"/>
            <w:shd w:val="clear" w:color="auto" w:fill="auto"/>
            <w:tcMar>
              <w:top w:w="120" w:type="dxa"/>
              <w:left w:w="180" w:type="dxa"/>
              <w:bottom w:w="120" w:type="dxa"/>
              <w:right w:w="180" w:type="dxa"/>
            </w:tcMar>
          </w:tcPr>
          <w:p w14:paraId="4FAAE00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2.93x</w:t>
            </w:r>
          </w:p>
        </w:tc>
      </w:tr>
      <w:tr w:rsidR="000047A4" w:rsidRPr="00503641" w14:paraId="08403732" w14:textId="77777777" w:rsidTr="00222FD2">
        <w:tc>
          <w:tcPr>
            <w:tcW w:w="1560" w:type="dxa"/>
            <w:shd w:val="clear" w:color="auto" w:fill="auto"/>
            <w:tcMar>
              <w:top w:w="120" w:type="dxa"/>
              <w:left w:w="180" w:type="dxa"/>
              <w:bottom w:w="120" w:type="dxa"/>
              <w:right w:w="180" w:type="dxa"/>
            </w:tcMar>
          </w:tcPr>
          <w:p w14:paraId="3E7D851F" w14:textId="77777777" w:rsidR="000047A4" w:rsidRPr="00503641" w:rsidRDefault="000047A4" w:rsidP="00503641">
            <w:pPr>
              <w:pBdr>
                <w:top w:val="nil"/>
                <w:left w:val="nil"/>
                <w:bottom w:val="nil"/>
                <w:right w:val="nil"/>
                <w:between w:val="nil"/>
              </w:pBdr>
              <w:rPr>
                <w:rFonts w:eastAsia="Google Sans Text" w:cs="Times New Roman"/>
                <w:b/>
                <w:bCs/>
                <w:color w:val="1F1F1F"/>
              </w:rPr>
            </w:pPr>
          </w:p>
        </w:tc>
        <w:tc>
          <w:tcPr>
            <w:tcW w:w="1560" w:type="dxa"/>
            <w:shd w:val="clear" w:color="auto" w:fill="auto"/>
            <w:tcMar>
              <w:top w:w="120" w:type="dxa"/>
              <w:left w:w="180" w:type="dxa"/>
              <w:bottom w:w="120" w:type="dxa"/>
              <w:right w:w="180" w:type="dxa"/>
            </w:tcMar>
          </w:tcPr>
          <w:p w14:paraId="7068D7AA"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Debt Ratio</w:t>
            </w:r>
          </w:p>
        </w:tc>
        <w:tc>
          <w:tcPr>
            <w:tcW w:w="1560" w:type="dxa"/>
            <w:shd w:val="clear" w:color="auto" w:fill="auto"/>
            <w:tcMar>
              <w:top w:w="120" w:type="dxa"/>
              <w:left w:w="180" w:type="dxa"/>
              <w:bottom w:w="120" w:type="dxa"/>
              <w:right w:w="180" w:type="dxa"/>
            </w:tcMar>
          </w:tcPr>
          <w:p w14:paraId="01269A0F"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Total Liabilities / Total Assets</w:t>
            </w:r>
          </w:p>
        </w:tc>
        <w:tc>
          <w:tcPr>
            <w:tcW w:w="1560" w:type="dxa"/>
            <w:shd w:val="clear" w:color="auto" w:fill="auto"/>
            <w:tcMar>
              <w:top w:w="120" w:type="dxa"/>
              <w:left w:w="180" w:type="dxa"/>
              <w:bottom w:w="120" w:type="dxa"/>
              <w:right w:w="180" w:type="dxa"/>
            </w:tcMar>
          </w:tcPr>
          <w:p w14:paraId="40F0EA5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£17,997 / £24,648</w:t>
            </w:r>
          </w:p>
        </w:tc>
        <w:tc>
          <w:tcPr>
            <w:tcW w:w="1560" w:type="dxa"/>
            <w:shd w:val="clear" w:color="auto" w:fill="auto"/>
            <w:tcMar>
              <w:top w:w="120" w:type="dxa"/>
              <w:left w:w="180" w:type="dxa"/>
              <w:bottom w:w="120" w:type="dxa"/>
              <w:right w:w="180" w:type="dxa"/>
            </w:tcMar>
          </w:tcPr>
          <w:p w14:paraId="755A207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73.0%</w:t>
            </w:r>
          </w:p>
        </w:tc>
        <w:tc>
          <w:tcPr>
            <w:tcW w:w="1560" w:type="dxa"/>
            <w:shd w:val="clear" w:color="auto" w:fill="auto"/>
            <w:tcMar>
              <w:top w:w="120" w:type="dxa"/>
              <w:left w:w="180" w:type="dxa"/>
              <w:bottom w:w="120" w:type="dxa"/>
              <w:right w:w="180" w:type="dxa"/>
            </w:tcMar>
          </w:tcPr>
          <w:p w14:paraId="1D9C178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72.6%</w:t>
            </w:r>
          </w:p>
        </w:tc>
      </w:tr>
      <w:tr w:rsidR="000047A4" w:rsidRPr="00503641" w14:paraId="2C8BE067" w14:textId="77777777" w:rsidTr="00222FD2">
        <w:tc>
          <w:tcPr>
            <w:tcW w:w="1560" w:type="dxa"/>
            <w:shd w:val="clear" w:color="auto" w:fill="auto"/>
            <w:tcMar>
              <w:top w:w="120" w:type="dxa"/>
              <w:left w:w="180" w:type="dxa"/>
              <w:bottom w:w="120" w:type="dxa"/>
              <w:right w:w="180" w:type="dxa"/>
            </w:tcMar>
          </w:tcPr>
          <w:p w14:paraId="22922AC5"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Investor</w:t>
            </w:r>
          </w:p>
        </w:tc>
        <w:tc>
          <w:tcPr>
            <w:tcW w:w="1560" w:type="dxa"/>
            <w:shd w:val="clear" w:color="auto" w:fill="auto"/>
            <w:tcMar>
              <w:top w:w="120" w:type="dxa"/>
              <w:left w:w="180" w:type="dxa"/>
              <w:bottom w:w="120" w:type="dxa"/>
              <w:right w:w="180" w:type="dxa"/>
            </w:tcMar>
          </w:tcPr>
          <w:p w14:paraId="5C7F847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EPS (Underlying)</w:t>
            </w:r>
          </w:p>
        </w:tc>
        <w:tc>
          <w:tcPr>
            <w:tcW w:w="1560" w:type="dxa"/>
            <w:shd w:val="clear" w:color="auto" w:fill="auto"/>
            <w:tcMar>
              <w:top w:w="120" w:type="dxa"/>
              <w:left w:w="180" w:type="dxa"/>
              <w:bottom w:w="120" w:type="dxa"/>
              <w:right w:w="180" w:type="dxa"/>
            </w:tcMar>
          </w:tcPr>
          <w:p w14:paraId="230A5660"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Net Income / Shares</w:t>
            </w:r>
          </w:p>
        </w:tc>
        <w:tc>
          <w:tcPr>
            <w:tcW w:w="1560" w:type="dxa"/>
            <w:shd w:val="clear" w:color="auto" w:fill="auto"/>
            <w:tcMar>
              <w:top w:w="120" w:type="dxa"/>
              <w:left w:w="180" w:type="dxa"/>
              <w:bottom w:w="120" w:type="dxa"/>
              <w:right w:w="180" w:type="dxa"/>
            </w:tcMar>
          </w:tcPr>
          <w:p w14:paraId="5EA065BC"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Reported</w:t>
            </w:r>
          </w:p>
        </w:tc>
        <w:tc>
          <w:tcPr>
            <w:tcW w:w="1560" w:type="dxa"/>
            <w:shd w:val="clear" w:color="auto" w:fill="auto"/>
            <w:tcMar>
              <w:top w:w="120" w:type="dxa"/>
              <w:left w:w="180" w:type="dxa"/>
              <w:bottom w:w="120" w:type="dxa"/>
              <w:right w:w="180" w:type="dxa"/>
            </w:tcMar>
          </w:tcPr>
          <w:p w14:paraId="4A6BB45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23.1p</w:t>
            </w:r>
          </w:p>
        </w:tc>
        <w:tc>
          <w:tcPr>
            <w:tcW w:w="1560" w:type="dxa"/>
            <w:shd w:val="clear" w:color="auto" w:fill="auto"/>
            <w:tcMar>
              <w:top w:w="120" w:type="dxa"/>
              <w:left w:w="180" w:type="dxa"/>
              <w:bottom w:w="120" w:type="dxa"/>
              <w:right w:w="180" w:type="dxa"/>
            </w:tcMar>
          </w:tcPr>
          <w:p w14:paraId="20F3302D"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22.1p</w:t>
            </w:r>
          </w:p>
        </w:tc>
      </w:tr>
    </w:tbl>
    <w:p w14:paraId="0D2C8FC9" w14:textId="77777777" w:rsidR="000047A4" w:rsidRPr="00503641" w:rsidRDefault="00000000" w:rsidP="00503641">
      <w:pPr>
        <w:pBdr>
          <w:top w:val="nil"/>
          <w:left w:val="nil"/>
          <w:bottom w:val="nil"/>
          <w:right w:val="nil"/>
          <w:between w:val="nil"/>
        </w:pBdr>
        <w:spacing w:before="480" w:after="240"/>
        <w:rPr>
          <w:rFonts w:eastAsia="Google Sans Text" w:cs="Times New Roman"/>
          <w:b/>
          <w:bCs/>
          <w:color w:val="1F1F1F"/>
        </w:rPr>
      </w:pPr>
      <w:r w:rsidRPr="00503641">
        <w:rPr>
          <w:rFonts w:eastAsia="Google Sans Text" w:cs="Times New Roman"/>
          <w:b/>
          <w:bCs/>
          <w:color w:val="1F1F1F"/>
        </w:rPr>
        <w:t>Input Data Table (Values in £ millions)</w:t>
      </w:r>
    </w:p>
    <w:tbl>
      <w:tblPr>
        <w:tblStyle w:val="TableGrid"/>
        <w:tblW w:w="9360" w:type="dxa"/>
        <w:tblLayout w:type="fixed"/>
        <w:tblLook w:val="0600" w:firstRow="0" w:lastRow="0" w:firstColumn="0" w:lastColumn="0" w:noHBand="1" w:noVBand="1"/>
      </w:tblPr>
      <w:tblGrid>
        <w:gridCol w:w="3120"/>
        <w:gridCol w:w="3120"/>
        <w:gridCol w:w="3120"/>
      </w:tblGrid>
      <w:tr w:rsidR="000047A4" w:rsidRPr="00503641" w14:paraId="05860D97" w14:textId="77777777" w:rsidTr="00222FD2">
        <w:tc>
          <w:tcPr>
            <w:tcW w:w="3120" w:type="dxa"/>
          </w:tcPr>
          <w:p w14:paraId="0194C6A0"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Item</w:t>
            </w:r>
          </w:p>
        </w:tc>
        <w:tc>
          <w:tcPr>
            <w:tcW w:w="3120" w:type="dxa"/>
          </w:tcPr>
          <w:p w14:paraId="439488DE"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2025</w:t>
            </w:r>
          </w:p>
        </w:tc>
        <w:tc>
          <w:tcPr>
            <w:tcW w:w="3120" w:type="dxa"/>
          </w:tcPr>
          <w:p w14:paraId="345394F3"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FY 2024</w:t>
            </w:r>
          </w:p>
        </w:tc>
      </w:tr>
      <w:tr w:rsidR="000047A4" w:rsidRPr="00503641" w14:paraId="56A28221" w14:textId="77777777" w:rsidTr="00222FD2">
        <w:tc>
          <w:tcPr>
            <w:tcW w:w="3120" w:type="dxa"/>
          </w:tcPr>
          <w:p w14:paraId="02C40F2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Revenue</w:t>
            </w:r>
          </w:p>
        </w:tc>
        <w:tc>
          <w:tcPr>
            <w:tcW w:w="3120" w:type="dxa"/>
          </w:tcPr>
          <w:p w14:paraId="3685447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32,812</w:t>
            </w:r>
          </w:p>
        </w:tc>
        <w:tc>
          <w:tcPr>
            <w:tcW w:w="3120" w:type="dxa"/>
          </w:tcPr>
          <w:p w14:paraId="319FB2FE"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32,238</w:t>
            </w:r>
          </w:p>
        </w:tc>
      </w:tr>
      <w:tr w:rsidR="000047A4" w:rsidRPr="00503641" w14:paraId="57FCFCD0" w14:textId="77777777" w:rsidTr="00222FD2">
        <w:tc>
          <w:tcPr>
            <w:tcW w:w="3120" w:type="dxa"/>
          </w:tcPr>
          <w:p w14:paraId="33670D3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Cost of Sales (Underlying)</w:t>
            </w:r>
          </w:p>
        </w:tc>
        <w:tc>
          <w:tcPr>
            <w:tcW w:w="3120" w:type="dxa"/>
          </w:tcPr>
          <w:p w14:paraId="1373FAE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(30,513)</w:t>
            </w:r>
          </w:p>
        </w:tc>
        <w:tc>
          <w:tcPr>
            <w:tcW w:w="3120" w:type="dxa"/>
          </w:tcPr>
          <w:p w14:paraId="636C9780"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(30,009)</w:t>
            </w:r>
          </w:p>
        </w:tc>
      </w:tr>
      <w:tr w:rsidR="000047A4" w:rsidRPr="00503641" w14:paraId="413FF32F" w14:textId="77777777" w:rsidTr="00222FD2">
        <w:tc>
          <w:tcPr>
            <w:tcW w:w="3120" w:type="dxa"/>
          </w:tcPr>
          <w:p w14:paraId="1F7BA64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Gross Profit (Underlying)</w:t>
            </w:r>
          </w:p>
        </w:tc>
        <w:tc>
          <w:tcPr>
            <w:tcW w:w="3120" w:type="dxa"/>
          </w:tcPr>
          <w:p w14:paraId="65A7EA0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2,299</w:t>
            </w:r>
          </w:p>
        </w:tc>
        <w:tc>
          <w:tcPr>
            <w:tcW w:w="3120" w:type="dxa"/>
          </w:tcPr>
          <w:p w14:paraId="75C9293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2,229</w:t>
            </w:r>
          </w:p>
        </w:tc>
      </w:tr>
      <w:tr w:rsidR="000047A4" w:rsidRPr="00503641" w14:paraId="14D3A99B" w14:textId="77777777" w:rsidTr="00222FD2">
        <w:tc>
          <w:tcPr>
            <w:tcW w:w="3120" w:type="dxa"/>
          </w:tcPr>
          <w:p w14:paraId="4D612CD0"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lastRenderedPageBreak/>
              <w:t>Operating Profit (Underlying)</w:t>
            </w:r>
          </w:p>
        </w:tc>
        <w:tc>
          <w:tcPr>
            <w:tcW w:w="3120" w:type="dxa"/>
          </w:tcPr>
          <w:p w14:paraId="24010021"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1,029</w:t>
            </w:r>
          </w:p>
        </w:tc>
        <w:tc>
          <w:tcPr>
            <w:tcW w:w="3120" w:type="dxa"/>
          </w:tcPr>
          <w:p w14:paraId="556EC04A"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948</w:t>
            </w:r>
          </w:p>
        </w:tc>
      </w:tr>
      <w:tr w:rsidR="000047A4" w:rsidRPr="00503641" w14:paraId="233218AE" w14:textId="77777777" w:rsidTr="00222FD2">
        <w:tc>
          <w:tcPr>
            <w:tcW w:w="3120" w:type="dxa"/>
          </w:tcPr>
          <w:p w14:paraId="171E672B"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Profit for Period (Total)</w:t>
            </w:r>
          </w:p>
        </w:tc>
        <w:tc>
          <w:tcPr>
            <w:tcW w:w="3120" w:type="dxa"/>
          </w:tcPr>
          <w:p w14:paraId="04689785"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242</w:t>
            </w:r>
          </w:p>
        </w:tc>
        <w:tc>
          <w:tcPr>
            <w:tcW w:w="3120" w:type="dxa"/>
          </w:tcPr>
          <w:p w14:paraId="3B8973F4"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137</w:t>
            </w:r>
          </w:p>
        </w:tc>
      </w:tr>
      <w:tr w:rsidR="000047A4" w:rsidRPr="00503641" w14:paraId="7120B9FA" w14:textId="77777777" w:rsidTr="00222FD2">
        <w:tc>
          <w:tcPr>
            <w:tcW w:w="3120" w:type="dxa"/>
          </w:tcPr>
          <w:p w14:paraId="53E9982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Current Assets (</w:t>
            </w:r>
            <w:proofErr w:type="spellStart"/>
            <w:r w:rsidRPr="00503641">
              <w:rPr>
                <w:rFonts w:eastAsia="Google Sans Text" w:cs="Times New Roman"/>
                <w:b/>
                <w:bCs/>
                <w:color w:val="1F1F1F"/>
              </w:rPr>
              <w:t>inc</w:t>
            </w:r>
            <w:proofErr w:type="spellEnd"/>
            <w:r w:rsidRPr="00503641">
              <w:rPr>
                <w:rFonts w:eastAsia="Google Sans Text" w:cs="Times New Roman"/>
                <w:b/>
                <w:bCs/>
                <w:color w:val="1F1F1F"/>
              </w:rPr>
              <w:t xml:space="preserve"> Disposal)</w:t>
            </w:r>
          </w:p>
        </w:tc>
        <w:tc>
          <w:tcPr>
            <w:tcW w:w="3120" w:type="dxa"/>
          </w:tcPr>
          <w:p w14:paraId="437F4BA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8,449</w:t>
            </w:r>
          </w:p>
        </w:tc>
        <w:tc>
          <w:tcPr>
            <w:tcW w:w="3120" w:type="dxa"/>
          </w:tcPr>
          <w:p w14:paraId="058597E4"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7,581</w:t>
            </w:r>
          </w:p>
        </w:tc>
      </w:tr>
      <w:tr w:rsidR="000047A4" w:rsidRPr="00503641" w14:paraId="7147F5BC" w14:textId="77777777" w:rsidTr="00222FD2">
        <w:tc>
          <w:tcPr>
            <w:tcW w:w="3120" w:type="dxa"/>
          </w:tcPr>
          <w:p w14:paraId="0F8B95D9"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Current Liabilities (</w:t>
            </w:r>
            <w:proofErr w:type="spellStart"/>
            <w:r w:rsidRPr="00503641">
              <w:rPr>
                <w:rFonts w:eastAsia="Google Sans Text" w:cs="Times New Roman"/>
                <w:b/>
                <w:bCs/>
                <w:color w:val="1F1F1F"/>
              </w:rPr>
              <w:t>inc</w:t>
            </w:r>
            <w:proofErr w:type="spellEnd"/>
            <w:r w:rsidRPr="00503641">
              <w:rPr>
                <w:rFonts w:eastAsia="Google Sans Text" w:cs="Times New Roman"/>
                <w:b/>
                <w:bCs/>
                <w:color w:val="1F1F1F"/>
              </w:rPr>
              <w:t xml:space="preserve"> Disposal)</w:t>
            </w:r>
          </w:p>
        </w:tc>
        <w:tc>
          <w:tcPr>
            <w:tcW w:w="3120" w:type="dxa"/>
          </w:tcPr>
          <w:p w14:paraId="79005A34"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(11,417)</w:t>
            </w:r>
          </w:p>
        </w:tc>
        <w:tc>
          <w:tcPr>
            <w:tcW w:w="3120" w:type="dxa"/>
          </w:tcPr>
          <w:p w14:paraId="1D917BD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(11,452)</w:t>
            </w:r>
          </w:p>
        </w:tc>
      </w:tr>
      <w:tr w:rsidR="000047A4" w:rsidRPr="00503641" w14:paraId="4E415547" w14:textId="77777777" w:rsidTr="00222FD2">
        <w:tc>
          <w:tcPr>
            <w:tcW w:w="3120" w:type="dxa"/>
          </w:tcPr>
          <w:p w14:paraId="70AB3451"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Inventory</w:t>
            </w:r>
          </w:p>
        </w:tc>
        <w:tc>
          <w:tcPr>
            <w:tcW w:w="3120" w:type="dxa"/>
          </w:tcPr>
          <w:p w14:paraId="7302ED8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1,946</w:t>
            </w:r>
          </w:p>
        </w:tc>
        <w:tc>
          <w:tcPr>
            <w:tcW w:w="3120" w:type="dxa"/>
          </w:tcPr>
          <w:p w14:paraId="52602A3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1,927</w:t>
            </w:r>
          </w:p>
        </w:tc>
      </w:tr>
      <w:tr w:rsidR="000047A4" w:rsidRPr="00503641" w14:paraId="1EC87B7F" w14:textId="77777777" w:rsidTr="00222FD2">
        <w:tc>
          <w:tcPr>
            <w:tcW w:w="3120" w:type="dxa"/>
          </w:tcPr>
          <w:p w14:paraId="3B716CF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Trade Payables</w:t>
            </w:r>
          </w:p>
        </w:tc>
        <w:tc>
          <w:tcPr>
            <w:tcW w:w="3120" w:type="dxa"/>
          </w:tcPr>
          <w:p w14:paraId="096D45D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(5,278)</w:t>
            </w:r>
          </w:p>
        </w:tc>
        <w:tc>
          <w:tcPr>
            <w:tcW w:w="3120" w:type="dxa"/>
          </w:tcPr>
          <w:p w14:paraId="401C7530"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(5,091)</w:t>
            </w:r>
          </w:p>
        </w:tc>
      </w:tr>
      <w:tr w:rsidR="000047A4" w:rsidRPr="00503641" w14:paraId="7A22F301" w14:textId="77777777" w:rsidTr="00222FD2">
        <w:tc>
          <w:tcPr>
            <w:tcW w:w="3120" w:type="dxa"/>
          </w:tcPr>
          <w:p w14:paraId="0C366E70"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Total Assets</w:t>
            </w:r>
          </w:p>
        </w:tc>
        <w:tc>
          <w:tcPr>
            <w:tcW w:w="3120" w:type="dxa"/>
          </w:tcPr>
          <w:p w14:paraId="1F37741D"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24,648</w:t>
            </w:r>
          </w:p>
        </w:tc>
        <w:tc>
          <w:tcPr>
            <w:tcW w:w="3120" w:type="dxa"/>
          </w:tcPr>
          <w:p w14:paraId="2D6E439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25,061</w:t>
            </w:r>
          </w:p>
        </w:tc>
      </w:tr>
      <w:tr w:rsidR="000047A4" w:rsidRPr="00503641" w14:paraId="6979A624" w14:textId="77777777" w:rsidTr="00222FD2">
        <w:tc>
          <w:tcPr>
            <w:tcW w:w="3120" w:type="dxa"/>
          </w:tcPr>
          <w:p w14:paraId="29D16BB2"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Total Equity</w:t>
            </w:r>
          </w:p>
        </w:tc>
        <w:tc>
          <w:tcPr>
            <w:tcW w:w="3120" w:type="dxa"/>
          </w:tcPr>
          <w:p w14:paraId="621D48BB"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6,651</w:t>
            </w:r>
          </w:p>
        </w:tc>
        <w:tc>
          <w:tcPr>
            <w:tcW w:w="3120" w:type="dxa"/>
          </w:tcPr>
          <w:p w14:paraId="187C0933"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6,868</w:t>
            </w:r>
          </w:p>
        </w:tc>
      </w:tr>
      <w:tr w:rsidR="000047A4" w:rsidRPr="00503641" w14:paraId="0C126668" w14:textId="77777777" w:rsidTr="00222FD2">
        <w:tc>
          <w:tcPr>
            <w:tcW w:w="3120" w:type="dxa"/>
          </w:tcPr>
          <w:p w14:paraId="7AE7B141"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Net Debt (Calculated)</w:t>
            </w:r>
          </w:p>
        </w:tc>
        <w:tc>
          <w:tcPr>
            <w:tcW w:w="3120" w:type="dxa"/>
          </w:tcPr>
          <w:p w14:paraId="25880652"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3,831</w:t>
            </w:r>
          </w:p>
        </w:tc>
        <w:tc>
          <w:tcPr>
            <w:tcW w:w="3120" w:type="dxa"/>
          </w:tcPr>
          <w:p w14:paraId="6E674D6E"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4,562</w:t>
            </w:r>
          </w:p>
        </w:tc>
      </w:tr>
      <w:tr w:rsidR="000047A4" w:rsidRPr="00503641" w14:paraId="7F9CC0B2" w14:textId="77777777" w:rsidTr="00222FD2">
        <w:tc>
          <w:tcPr>
            <w:tcW w:w="3120" w:type="dxa"/>
          </w:tcPr>
          <w:p w14:paraId="38EF578F" w14:textId="77777777" w:rsidR="000047A4" w:rsidRPr="00503641" w:rsidRDefault="00000000" w:rsidP="00503641">
            <w:pPr>
              <w:pBdr>
                <w:top w:val="nil"/>
                <w:left w:val="nil"/>
                <w:bottom w:val="nil"/>
                <w:right w:val="nil"/>
                <w:between w:val="nil"/>
              </w:pBdr>
              <w:rPr>
                <w:rFonts w:eastAsia="Google Sans Text" w:cs="Times New Roman"/>
                <w:b/>
                <w:bCs/>
                <w:color w:val="1F1F1F"/>
              </w:rPr>
            </w:pPr>
            <w:r w:rsidRPr="00503641">
              <w:rPr>
                <w:rFonts w:eastAsia="Google Sans Text" w:cs="Times New Roman"/>
                <w:b/>
                <w:bCs/>
                <w:color w:val="1F1F1F"/>
              </w:rPr>
              <w:t>Total Liabilities</w:t>
            </w:r>
          </w:p>
        </w:tc>
        <w:tc>
          <w:tcPr>
            <w:tcW w:w="3120" w:type="dxa"/>
          </w:tcPr>
          <w:p w14:paraId="50FED021"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17,997</w:t>
            </w:r>
          </w:p>
        </w:tc>
        <w:tc>
          <w:tcPr>
            <w:tcW w:w="3120" w:type="dxa"/>
          </w:tcPr>
          <w:p w14:paraId="5A837141" w14:textId="77777777" w:rsidR="000047A4" w:rsidRPr="00503641" w:rsidRDefault="00000000" w:rsidP="00503641">
            <w:pPr>
              <w:pBdr>
                <w:top w:val="nil"/>
                <w:left w:val="nil"/>
                <w:bottom w:val="nil"/>
                <w:right w:val="nil"/>
                <w:between w:val="nil"/>
              </w:pBdr>
              <w:rPr>
                <w:rFonts w:eastAsia="Google Sans Text" w:cs="Times New Roman"/>
                <w:color w:val="1F1F1F"/>
              </w:rPr>
            </w:pPr>
            <w:r w:rsidRPr="00503641">
              <w:rPr>
                <w:rFonts w:eastAsia="Google Sans Text" w:cs="Times New Roman"/>
                <w:color w:val="1F1F1F"/>
              </w:rPr>
              <w:t>18,193</w:t>
            </w:r>
          </w:p>
        </w:tc>
      </w:tr>
    </w:tbl>
    <w:p w14:paraId="7152372E" w14:textId="27B9EC21" w:rsidR="00C70471" w:rsidRDefault="00C70471" w:rsidP="00C70471"/>
    <w:p w14:paraId="22A4795E" w14:textId="77777777" w:rsidR="00C70471" w:rsidRDefault="00C70471">
      <w:pPr>
        <w:spacing w:before="0" w:after="0" w:line="240" w:lineRule="auto"/>
        <w:jc w:val="left"/>
      </w:pPr>
      <w:r>
        <w:br w:type="page"/>
      </w:r>
    </w:p>
    <w:p w14:paraId="56E4A286" w14:textId="20838A02" w:rsidR="00503641" w:rsidRPr="000456C5" w:rsidRDefault="00503641" w:rsidP="00503641">
      <w:pPr>
        <w:pStyle w:val="Heading2"/>
        <w:spacing w:before="0"/>
      </w:pPr>
      <w:bookmarkStart w:id="32" w:name="_Toc219163944"/>
      <w:r w:rsidRPr="000456C5">
        <w:lastRenderedPageBreak/>
        <w:t xml:space="preserve">Appendix </w:t>
      </w:r>
      <w:r w:rsidR="00C70471">
        <w:t>B</w:t>
      </w:r>
      <w:r w:rsidRPr="000456C5">
        <w:t>: Investment Appraisal Calculations</w:t>
      </w:r>
      <w:bookmarkEnd w:id="32"/>
    </w:p>
    <w:p w14:paraId="1C3BE1D9" w14:textId="77777777" w:rsidR="00503641" w:rsidRPr="000456C5" w:rsidRDefault="00503641" w:rsidP="00503641">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Assumptions:</w:t>
      </w:r>
    </w:p>
    <w:p w14:paraId="4053FC47" w14:textId="77777777" w:rsidR="00503641" w:rsidRPr="000456C5" w:rsidRDefault="00503641" w:rsidP="00503641">
      <w:pPr>
        <w:numPr>
          <w:ilvl w:val="0"/>
          <w:numId w:val="4"/>
        </w:numPr>
        <w:pBdr>
          <w:top w:val="nil"/>
          <w:left w:val="nil"/>
          <w:bottom w:val="nil"/>
          <w:right w:val="nil"/>
          <w:between w:val="nil"/>
        </w:pBdr>
        <w:rPr>
          <w:rFonts w:cs="Times New Roman"/>
        </w:rPr>
      </w:pPr>
      <w:r w:rsidRPr="000456C5">
        <w:rPr>
          <w:rFonts w:eastAsia="Google Sans Text" w:cs="Times New Roman"/>
          <w:color w:val="1F1F1F"/>
        </w:rPr>
        <w:t>Corporation Tax: 25% applied to Taxable Profit.</w:t>
      </w:r>
    </w:p>
    <w:p w14:paraId="7101FD57" w14:textId="77777777" w:rsidR="00503641" w:rsidRPr="000456C5" w:rsidRDefault="00503641" w:rsidP="00503641">
      <w:pPr>
        <w:numPr>
          <w:ilvl w:val="0"/>
          <w:numId w:val="4"/>
        </w:numPr>
        <w:pBdr>
          <w:top w:val="nil"/>
          <w:left w:val="nil"/>
          <w:bottom w:val="nil"/>
          <w:right w:val="nil"/>
          <w:between w:val="nil"/>
        </w:pBdr>
        <w:rPr>
          <w:rFonts w:cs="Times New Roman"/>
        </w:rPr>
      </w:pPr>
      <w:r w:rsidRPr="000456C5">
        <w:rPr>
          <w:rFonts w:eastAsia="Google Sans Text" w:cs="Times New Roman"/>
          <w:color w:val="1F1F1F"/>
        </w:rPr>
        <w:t>Capital Allowance: 20% Straight Line (SL) on Initial Investment.</w:t>
      </w:r>
    </w:p>
    <w:p w14:paraId="7460F2BB" w14:textId="77777777" w:rsidR="00503641" w:rsidRPr="000456C5" w:rsidRDefault="00503641" w:rsidP="00503641">
      <w:pPr>
        <w:numPr>
          <w:ilvl w:val="0"/>
          <w:numId w:val="4"/>
        </w:numPr>
        <w:pBdr>
          <w:top w:val="nil"/>
          <w:left w:val="nil"/>
          <w:bottom w:val="nil"/>
          <w:right w:val="nil"/>
          <w:between w:val="nil"/>
        </w:pBdr>
        <w:rPr>
          <w:rFonts w:cs="Times New Roman"/>
        </w:rPr>
      </w:pPr>
      <w:r w:rsidRPr="000456C5">
        <w:rPr>
          <w:rFonts w:eastAsia="Google Sans Text" w:cs="Times New Roman"/>
          <w:color w:val="1F1F1F"/>
        </w:rPr>
        <w:t>Taxable Profit: Operating Cash Flow minus Capital Allowance.</w:t>
      </w:r>
    </w:p>
    <w:p w14:paraId="464CE126" w14:textId="77777777" w:rsidR="00503641" w:rsidRPr="000456C5" w:rsidRDefault="00503641" w:rsidP="00503641">
      <w:pPr>
        <w:numPr>
          <w:ilvl w:val="0"/>
          <w:numId w:val="4"/>
        </w:numPr>
        <w:pBdr>
          <w:top w:val="nil"/>
          <w:left w:val="nil"/>
          <w:bottom w:val="nil"/>
          <w:right w:val="nil"/>
          <w:between w:val="nil"/>
        </w:pBdr>
        <w:rPr>
          <w:rFonts w:cs="Times New Roman"/>
        </w:rPr>
      </w:pPr>
      <w:r w:rsidRPr="000456C5">
        <w:rPr>
          <w:rFonts w:eastAsia="Google Sans Text" w:cs="Times New Roman"/>
          <w:color w:val="1F1F1F"/>
        </w:rPr>
        <w:t>Net Cash Flow: Operating Cash Flow minus Tax Paid.</w:t>
      </w:r>
    </w:p>
    <w:p w14:paraId="0E665A55" w14:textId="77777777" w:rsidR="00503641" w:rsidRPr="000456C5" w:rsidRDefault="00503641" w:rsidP="00503641">
      <w:pPr>
        <w:numPr>
          <w:ilvl w:val="0"/>
          <w:numId w:val="4"/>
        </w:numPr>
        <w:pBdr>
          <w:top w:val="nil"/>
          <w:left w:val="nil"/>
          <w:bottom w:val="nil"/>
          <w:right w:val="nil"/>
          <w:between w:val="nil"/>
        </w:pBdr>
        <w:rPr>
          <w:rFonts w:cs="Times New Roman"/>
        </w:rPr>
      </w:pPr>
      <w:r w:rsidRPr="000456C5">
        <w:rPr>
          <w:rFonts w:eastAsia="Google Sans Text" w:cs="Times New Roman"/>
          <w:color w:val="1F1F1F"/>
        </w:rPr>
        <w:t>Discount Rate: 6%.</w:t>
      </w:r>
    </w:p>
    <w:p w14:paraId="07A41519" w14:textId="77777777" w:rsidR="00503641" w:rsidRPr="000456C5" w:rsidRDefault="00503641" w:rsidP="00503641">
      <w:pPr>
        <w:pStyle w:val="Heading3"/>
        <w:spacing w:before="120" w:after="120"/>
        <w:rPr>
          <w:rFonts w:eastAsia="Google Sans" w:cs="Times New Roman"/>
          <w:color w:val="1F1F1F"/>
        </w:rPr>
      </w:pPr>
      <w:bookmarkStart w:id="33" w:name="_Toc219163945"/>
      <w:r w:rsidRPr="000456C5">
        <w:rPr>
          <w:rFonts w:eastAsia="Google Sans" w:cs="Times New Roman"/>
          <w:color w:val="1F1F1F"/>
        </w:rPr>
        <w:t>Option A: Expand Retail Outlet</w:t>
      </w:r>
      <w:bookmarkEnd w:id="33"/>
    </w:p>
    <w:p w14:paraId="3CCA059F"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Initial Investment: £600,000</w:t>
      </w:r>
    </w:p>
    <w:p w14:paraId="2D467EAD"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Capital Allowance: £600,000 × 20% = £120,000 per year.</w:t>
      </w:r>
    </w:p>
    <w:tbl>
      <w:tblPr>
        <w:tblStyle w:val="TableGrid"/>
        <w:tblW w:w="9360" w:type="dxa"/>
        <w:tblLayout w:type="fixed"/>
        <w:tblLook w:val="0600" w:firstRow="0" w:lastRow="0" w:firstColumn="0" w:lastColumn="0" w:noHBand="1" w:noVBand="1"/>
      </w:tblPr>
      <w:tblGrid>
        <w:gridCol w:w="1170"/>
        <w:gridCol w:w="1170"/>
        <w:gridCol w:w="1170"/>
        <w:gridCol w:w="1170"/>
        <w:gridCol w:w="1170"/>
        <w:gridCol w:w="1170"/>
        <w:gridCol w:w="1170"/>
        <w:gridCol w:w="1170"/>
      </w:tblGrid>
      <w:tr w:rsidR="00503641" w:rsidRPr="000456C5" w14:paraId="533C3621" w14:textId="77777777" w:rsidTr="00222FD2">
        <w:tc>
          <w:tcPr>
            <w:tcW w:w="1170" w:type="dxa"/>
          </w:tcPr>
          <w:p w14:paraId="04768B7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Year</w:t>
            </w:r>
          </w:p>
        </w:tc>
        <w:tc>
          <w:tcPr>
            <w:tcW w:w="1170" w:type="dxa"/>
          </w:tcPr>
          <w:p w14:paraId="52D20FA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Operating Cash Flow (£)</w:t>
            </w:r>
          </w:p>
        </w:tc>
        <w:tc>
          <w:tcPr>
            <w:tcW w:w="1170" w:type="dxa"/>
          </w:tcPr>
          <w:p w14:paraId="5FB054CF"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Less: Cap Allowance (£)</w:t>
            </w:r>
          </w:p>
        </w:tc>
        <w:tc>
          <w:tcPr>
            <w:tcW w:w="1170" w:type="dxa"/>
          </w:tcPr>
          <w:p w14:paraId="0AB277CC"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Taxable Profit (£)</w:t>
            </w:r>
          </w:p>
        </w:tc>
        <w:tc>
          <w:tcPr>
            <w:tcW w:w="1170" w:type="dxa"/>
          </w:tcPr>
          <w:p w14:paraId="7BAA847A"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 @ 25% (£)</w:t>
            </w:r>
          </w:p>
        </w:tc>
        <w:tc>
          <w:tcPr>
            <w:tcW w:w="1170" w:type="dxa"/>
          </w:tcPr>
          <w:p w14:paraId="57A94570"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Net Cash Flow (£)</w:t>
            </w:r>
          </w:p>
        </w:tc>
        <w:tc>
          <w:tcPr>
            <w:tcW w:w="1170" w:type="dxa"/>
          </w:tcPr>
          <w:p w14:paraId="13D9C31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Discount Factor (6%)</w:t>
            </w:r>
          </w:p>
        </w:tc>
        <w:tc>
          <w:tcPr>
            <w:tcW w:w="1170" w:type="dxa"/>
          </w:tcPr>
          <w:p w14:paraId="241EF8D1"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Present Value (£)</w:t>
            </w:r>
          </w:p>
        </w:tc>
      </w:tr>
      <w:tr w:rsidR="00503641" w:rsidRPr="000456C5" w14:paraId="7CF06CDA" w14:textId="77777777" w:rsidTr="00222FD2">
        <w:tc>
          <w:tcPr>
            <w:tcW w:w="1170" w:type="dxa"/>
          </w:tcPr>
          <w:p w14:paraId="47F55F6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w:t>
            </w:r>
          </w:p>
        </w:tc>
        <w:tc>
          <w:tcPr>
            <w:tcW w:w="1170" w:type="dxa"/>
          </w:tcPr>
          <w:p w14:paraId="2B5A2DA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(600,000)</w:t>
            </w:r>
          </w:p>
        </w:tc>
        <w:tc>
          <w:tcPr>
            <w:tcW w:w="1170" w:type="dxa"/>
          </w:tcPr>
          <w:p w14:paraId="3D96A98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57F2608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086F107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27D84A4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(600,000)</w:t>
            </w:r>
          </w:p>
        </w:tc>
        <w:tc>
          <w:tcPr>
            <w:tcW w:w="1170" w:type="dxa"/>
          </w:tcPr>
          <w:p w14:paraId="2FA6487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w:t>
            </w:r>
          </w:p>
        </w:tc>
        <w:tc>
          <w:tcPr>
            <w:tcW w:w="1170" w:type="dxa"/>
          </w:tcPr>
          <w:p w14:paraId="1937637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(600,000)</w:t>
            </w:r>
          </w:p>
        </w:tc>
      </w:tr>
      <w:tr w:rsidR="00503641" w:rsidRPr="000456C5" w14:paraId="24B55778" w14:textId="77777777" w:rsidTr="00222FD2">
        <w:tc>
          <w:tcPr>
            <w:tcW w:w="1170" w:type="dxa"/>
          </w:tcPr>
          <w:p w14:paraId="2E8CDB1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w:t>
            </w:r>
          </w:p>
        </w:tc>
        <w:tc>
          <w:tcPr>
            <w:tcW w:w="1170" w:type="dxa"/>
          </w:tcPr>
          <w:p w14:paraId="6CBE9B0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674D93C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(120,000)</w:t>
            </w:r>
          </w:p>
        </w:tc>
        <w:tc>
          <w:tcPr>
            <w:tcW w:w="1170" w:type="dxa"/>
          </w:tcPr>
          <w:p w14:paraId="262A796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80,000</w:t>
            </w:r>
          </w:p>
        </w:tc>
        <w:tc>
          <w:tcPr>
            <w:tcW w:w="1170" w:type="dxa"/>
          </w:tcPr>
          <w:p w14:paraId="467F5A6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w:t>
            </w:r>
          </w:p>
        </w:tc>
        <w:tc>
          <w:tcPr>
            <w:tcW w:w="1170" w:type="dxa"/>
          </w:tcPr>
          <w:p w14:paraId="1EBBE4E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180,000</w:t>
            </w:r>
          </w:p>
        </w:tc>
        <w:tc>
          <w:tcPr>
            <w:tcW w:w="1170" w:type="dxa"/>
          </w:tcPr>
          <w:p w14:paraId="294A4B3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0.943</w:t>
            </w:r>
          </w:p>
        </w:tc>
        <w:tc>
          <w:tcPr>
            <w:tcW w:w="1170" w:type="dxa"/>
          </w:tcPr>
          <w:p w14:paraId="22334A4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169,740</w:t>
            </w:r>
          </w:p>
        </w:tc>
      </w:tr>
      <w:tr w:rsidR="00503641" w:rsidRPr="000456C5" w14:paraId="6E5906D3" w14:textId="77777777" w:rsidTr="00222FD2">
        <w:tc>
          <w:tcPr>
            <w:tcW w:w="1170" w:type="dxa"/>
          </w:tcPr>
          <w:p w14:paraId="5BE9499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w:t>
            </w:r>
          </w:p>
        </w:tc>
        <w:tc>
          <w:tcPr>
            <w:tcW w:w="1170" w:type="dxa"/>
          </w:tcPr>
          <w:p w14:paraId="1FBA26F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400,000</w:t>
            </w:r>
          </w:p>
        </w:tc>
        <w:tc>
          <w:tcPr>
            <w:tcW w:w="1170" w:type="dxa"/>
          </w:tcPr>
          <w:p w14:paraId="437683A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(120,000)</w:t>
            </w:r>
          </w:p>
        </w:tc>
        <w:tc>
          <w:tcPr>
            <w:tcW w:w="1170" w:type="dxa"/>
          </w:tcPr>
          <w:p w14:paraId="34A5DCB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280,000</w:t>
            </w:r>
          </w:p>
        </w:tc>
        <w:tc>
          <w:tcPr>
            <w:tcW w:w="1170" w:type="dxa"/>
          </w:tcPr>
          <w:p w14:paraId="5A11F92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(70,000)</w:t>
            </w:r>
          </w:p>
        </w:tc>
        <w:tc>
          <w:tcPr>
            <w:tcW w:w="1170" w:type="dxa"/>
          </w:tcPr>
          <w:p w14:paraId="7E912E3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330,000</w:t>
            </w:r>
          </w:p>
        </w:tc>
        <w:tc>
          <w:tcPr>
            <w:tcW w:w="1170" w:type="dxa"/>
          </w:tcPr>
          <w:p w14:paraId="22A7631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0.890</w:t>
            </w:r>
          </w:p>
        </w:tc>
        <w:tc>
          <w:tcPr>
            <w:tcW w:w="1170" w:type="dxa"/>
          </w:tcPr>
          <w:p w14:paraId="0A90C16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293,700</w:t>
            </w:r>
          </w:p>
        </w:tc>
      </w:tr>
      <w:tr w:rsidR="00503641" w:rsidRPr="000456C5" w14:paraId="4C59CEA2" w14:textId="77777777" w:rsidTr="00222FD2">
        <w:tc>
          <w:tcPr>
            <w:tcW w:w="1170" w:type="dxa"/>
          </w:tcPr>
          <w:p w14:paraId="6867CE8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w:t>
            </w:r>
          </w:p>
        </w:tc>
        <w:tc>
          <w:tcPr>
            <w:tcW w:w="1170" w:type="dxa"/>
          </w:tcPr>
          <w:p w14:paraId="7169FC7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500,000</w:t>
            </w:r>
          </w:p>
        </w:tc>
        <w:tc>
          <w:tcPr>
            <w:tcW w:w="1170" w:type="dxa"/>
          </w:tcPr>
          <w:p w14:paraId="0A070D4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(120,000)</w:t>
            </w:r>
          </w:p>
        </w:tc>
        <w:tc>
          <w:tcPr>
            <w:tcW w:w="1170" w:type="dxa"/>
          </w:tcPr>
          <w:p w14:paraId="4B95A23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380,000</w:t>
            </w:r>
          </w:p>
        </w:tc>
        <w:tc>
          <w:tcPr>
            <w:tcW w:w="1170" w:type="dxa"/>
          </w:tcPr>
          <w:p w14:paraId="467D7CD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(95,000)</w:t>
            </w:r>
          </w:p>
        </w:tc>
        <w:tc>
          <w:tcPr>
            <w:tcW w:w="1170" w:type="dxa"/>
          </w:tcPr>
          <w:p w14:paraId="572A070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405,000</w:t>
            </w:r>
          </w:p>
        </w:tc>
        <w:tc>
          <w:tcPr>
            <w:tcW w:w="1170" w:type="dxa"/>
          </w:tcPr>
          <w:p w14:paraId="025DBFF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0.840</w:t>
            </w:r>
          </w:p>
        </w:tc>
        <w:tc>
          <w:tcPr>
            <w:tcW w:w="1170" w:type="dxa"/>
          </w:tcPr>
          <w:p w14:paraId="61992CD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340,200</w:t>
            </w:r>
          </w:p>
        </w:tc>
      </w:tr>
      <w:tr w:rsidR="00503641" w:rsidRPr="000456C5" w14:paraId="4AF6FFDE" w14:textId="77777777" w:rsidTr="00222FD2">
        <w:tc>
          <w:tcPr>
            <w:tcW w:w="1170" w:type="dxa"/>
          </w:tcPr>
          <w:p w14:paraId="2C58F2D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w:t>
            </w:r>
          </w:p>
        </w:tc>
        <w:tc>
          <w:tcPr>
            <w:tcW w:w="1170" w:type="dxa"/>
          </w:tcPr>
          <w:p w14:paraId="6B6A1C9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700,000</w:t>
            </w:r>
          </w:p>
        </w:tc>
        <w:tc>
          <w:tcPr>
            <w:tcW w:w="1170" w:type="dxa"/>
          </w:tcPr>
          <w:p w14:paraId="60D6D26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(120,000)</w:t>
            </w:r>
          </w:p>
        </w:tc>
        <w:tc>
          <w:tcPr>
            <w:tcW w:w="1170" w:type="dxa"/>
          </w:tcPr>
          <w:p w14:paraId="2C535AD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580,000</w:t>
            </w:r>
          </w:p>
        </w:tc>
        <w:tc>
          <w:tcPr>
            <w:tcW w:w="1170" w:type="dxa"/>
          </w:tcPr>
          <w:p w14:paraId="14D1C42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(145,000)</w:t>
            </w:r>
          </w:p>
        </w:tc>
        <w:tc>
          <w:tcPr>
            <w:tcW w:w="1170" w:type="dxa"/>
          </w:tcPr>
          <w:p w14:paraId="4E5DD26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555,000</w:t>
            </w:r>
          </w:p>
        </w:tc>
        <w:tc>
          <w:tcPr>
            <w:tcW w:w="1170" w:type="dxa"/>
          </w:tcPr>
          <w:p w14:paraId="005E481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0.792</w:t>
            </w:r>
          </w:p>
        </w:tc>
        <w:tc>
          <w:tcPr>
            <w:tcW w:w="1170" w:type="dxa"/>
          </w:tcPr>
          <w:p w14:paraId="3BFF449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439,560</w:t>
            </w:r>
          </w:p>
        </w:tc>
      </w:tr>
      <w:tr w:rsidR="00503641" w:rsidRPr="000456C5" w14:paraId="29BAFCA0" w14:textId="77777777" w:rsidTr="00222FD2">
        <w:tc>
          <w:tcPr>
            <w:tcW w:w="1170" w:type="dxa"/>
          </w:tcPr>
          <w:p w14:paraId="00C2B38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Total</w:t>
            </w:r>
          </w:p>
        </w:tc>
        <w:tc>
          <w:tcPr>
            <w:tcW w:w="1170" w:type="dxa"/>
          </w:tcPr>
          <w:p w14:paraId="486F0223"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65B1D15B"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71B970CA"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7228E253"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257F8E8D"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298C8F91"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NPV</w:t>
            </w:r>
          </w:p>
        </w:tc>
        <w:tc>
          <w:tcPr>
            <w:tcW w:w="1170" w:type="dxa"/>
          </w:tcPr>
          <w:p w14:paraId="106C6713"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£643,200</w:t>
            </w:r>
          </w:p>
        </w:tc>
      </w:tr>
    </w:tbl>
    <w:p w14:paraId="057A4CDC" w14:textId="77777777" w:rsidR="00503641" w:rsidRPr="000456C5" w:rsidRDefault="00503641" w:rsidP="00503641">
      <w:pPr>
        <w:pBdr>
          <w:top w:val="nil"/>
          <w:left w:val="nil"/>
          <w:bottom w:val="nil"/>
          <w:right w:val="nil"/>
          <w:between w:val="nil"/>
        </w:pBdr>
        <w:spacing w:before="480"/>
        <w:rPr>
          <w:rFonts w:eastAsia="Google Sans Text" w:cs="Times New Roman"/>
          <w:b/>
          <w:bCs/>
          <w:color w:val="1F1F1F"/>
        </w:rPr>
      </w:pPr>
      <w:r w:rsidRPr="000456C5">
        <w:rPr>
          <w:rFonts w:eastAsia="Google Sans Text" w:cs="Times New Roman"/>
          <w:b/>
          <w:bCs/>
          <w:color w:val="1F1F1F"/>
        </w:rPr>
        <w:t>Payback Period Calculation (Option A):</w:t>
      </w:r>
    </w:p>
    <w:p w14:paraId="3FE35961" w14:textId="77777777" w:rsidR="00503641" w:rsidRPr="000456C5" w:rsidRDefault="00503641" w:rsidP="00503641">
      <w:pPr>
        <w:numPr>
          <w:ilvl w:val="0"/>
          <w:numId w:val="5"/>
        </w:numPr>
        <w:pBdr>
          <w:top w:val="nil"/>
          <w:left w:val="nil"/>
          <w:bottom w:val="nil"/>
          <w:right w:val="nil"/>
          <w:between w:val="nil"/>
        </w:pBdr>
        <w:rPr>
          <w:rFonts w:cs="Times New Roman"/>
        </w:rPr>
      </w:pPr>
      <w:r w:rsidRPr="000456C5">
        <w:rPr>
          <w:rFonts w:eastAsia="Google Sans Text" w:cs="Times New Roman"/>
          <w:color w:val="1F1F1F"/>
        </w:rPr>
        <w:t>Year 0 Balance: (600,000)</w:t>
      </w:r>
    </w:p>
    <w:p w14:paraId="0FE8C6B1" w14:textId="77777777" w:rsidR="00503641" w:rsidRPr="000456C5" w:rsidRDefault="00503641" w:rsidP="00503641">
      <w:pPr>
        <w:numPr>
          <w:ilvl w:val="0"/>
          <w:numId w:val="5"/>
        </w:numPr>
        <w:pBdr>
          <w:top w:val="nil"/>
          <w:left w:val="nil"/>
          <w:bottom w:val="nil"/>
          <w:right w:val="nil"/>
          <w:between w:val="nil"/>
        </w:pBdr>
        <w:rPr>
          <w:rFonts w:cs="Times New Roman"/>
        </w:rPr>
      </w:pPr>
      <w:r w:rsidRPr="000456C5">
        <w:rPr>
          <w:rFonts w:eastAsia="Google Sans Text" w:cs="Times New Roman"/>
          <w:color w:val="1F1F1F"/>
        </w:rPr>
        <w:lastRenderedPageBreak/>
        <w:t>Year 1 Inflow: 180,000 → Balance: (420,000)</w:t>
      </w:r>
    </w:p>
    <w:p w14:paraId="701B2FB7" w14:textId="77777777" w:rsidR="00503641" w:rsidRPr="000456C5" w:rsidRDefault="00503641" w:rsidP="00503641">
      <w:pPr>
        <w:numPr>
          <w:ilvl w:val="0"/>
          <w:numId w:val="5"/>
        </w:numPr>
        <w:pBdr>
          <w:top w:val="nil"/>
          <w:left w:val="nil"/>
          <w:bottom w:val="nil"/>
          <w:right w:val="nil"/>
          <w:between w:val="nil"/>
        </w:pBdr>
        <w:rPr>
          <w:rFonts w:cs="Times New Roman"/>
        </w:rPr>
      </w:pPr>
      <w:r w:rsidRPr="000456C5">
        <w:rPr>
          <w:rFonts w:eastAsia="Google Sans Text" w:cs="Times New Roman"/>
          <w:color w:val="1F1F1F"/>
        </w:rPr>
        <w:t>Year 2 Inflow: 330,000 → Balance: (90,000)</w:t>
      </w:r>
    </w:p>
    <w:p w14:paraId="5E028141" w14:textId="77777777" w:rsidR="00503641" w:rsidRPr="000456C5" w:rsidRDefault="00503641" w:rsidP="00503641">
      <w:pPr>
        <w:numPr>
          <w:ilvl w:val="0"/>
          <w:numId w:val="5"/>
        </w:numPr>
        <w:pBdr>
          <w:top w:val="nil"/>
          <w:left w:val="nil"/>
          <w:bottom w:val="nil"/>
          <w:right w:val="nil"/>
          <w:between w:val="nil"/>
        </w:pBdr>
        <w:rPr>
          <w:rFonts w:cs="Times New Roman"/>
        </w:rPr>
      </w:pPr>
      <w:r w:rsidRPr="000456C5">
        <w:rPr>
          <w:rFonts w:eastAsia="Google Sans Text" w:cs="Times New Roman"/>
          <w:color w:val="1F1F1F"/>
        </w:rPr>
        <w:t>Year 3 Inflow: 405,000.</w:t>
      </w:r>
    </w:p>
    <w:p w14:paraId="21258B88" w14:textId="77777777" w:rsidR="00503641" w:rsidRPr="000456C5" w:rsidRDefault="00503641" w:rsidP="00503641">
      <w:pPr>
        <w:numPr>
          <w:ilvl w:val="0"/>
          <w:numId w:val="5"/>
        </w:numPr>
        <w:pBdr>
          <w:top w:val="nil"/>
          <w:left w:val="nil"/>
          <w:bottom w:val="nil"/>
          <w:right w:val="nil"/>
          <w:between w:val="nil"/>
        </w:pBdr>
        <w:rPr>
          <w:rFonts w:cs="Times New Roman"/>
        </w:rPr>
      </w:pPr>
      <w:r w:rsidRPr="000456C5">
        <w:rPr>
          <w:rFonts w:eastAsia="Google Sans Text" w:cs="Times New Roman"/>
          <w:b/>
          <w:bCs/>
          <w:color w:val="1F1F1F"/>
        </w:rPr>
        <w:t>Payback = 2 Years + (90,000 / 405,000) = 2.22 Years.</w:t>
      </w:r>
    </w:p>
    <w:p w14:paraId="3866AFFB" w14:textId="77777777" w:rsidR="00503641" w:rsidRPr="000456C5" w:rsidRDefault="00503641" w:rsidP="00503641">
      <w:pPr>
        <w:pStyle w:val="Heading3"/>
        <w:spacing w:before="120" w:after="120"/>
        <w:rPr>
          <w:rFonts w:eastAsia="Google Sans" w:cs="Times New Roman"/>
          <w:color w:val="1F1F1F"/>
        </w:rPr>
      </w:pPr>
      <w:bookmarkStart w:id="34" w:name="_Toc219163946"/>
      <w:r w:rsidRPr="000456C5">
        <w:rPr>
          <w:rFonts w:eastAsia="Google Sans" w:cs="Times New Roman"/>
          <w:color w:val="1F1F1F"/>
        </w:rPr>
        <w:t>Option B: Develop Internet Sales</w:t>
      </w:r>
      <w:bookmarkEnd w:id="34"/>
    </w:p>
    <w:p w14:paraId="567A0646"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Initial Investment: £1,000,000</w:t>
      </w:r>
    </w:p>
    <w:p w14:paraId="224FA052"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Capital Allowance: £1,000,000 × 20% = £200,000 per year.</w:t>
      </w:r>
    </w:p>
    <w:tbl>
      <w:tblPr>
        <w:tblStyle w:val="TableGrid"/>
        <w:tblW w:w="9360" w:type="dxa"/>
        <w:tblLayout w:type="fixed"/>
        <w:tblLook w:val="0600" w:firstRow="0" w:lastRow="0" w:firstColumn="0" w:lastColumn="0" w:noHBand="1" w:noVBand="1"/>
      </w:tblPr>
      <w:tblGrid>
        <w:gridCol w:w="1170"/>
        <w:gridCol w:w="1170"/>
        <w:gridCol w:w="1170"/>
        <w:gridCol w:w="1170"/>
        <w:gridCol w:w="1170"/>
        <w:gridCol w:w="1170"/>
        <w:gridCol w:w="1170"/>
        <w:gridCol w:w="1170"/>
      </w:tblGrid>
      <w:tr w:rsidR="00503641" w:rsidRPr="000456C5" w14:paraId="41C096DC" w14:textId="77777777" w:rsidTr="00222FD2">
        <w:tc>
          <w:tcPr>
            <w:tcW w:w="1170" w:type="dxa"/>
          </w:tcPr>
          <w:p w14:paraId="63C62B0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Year</w:t>
            </w:r>
          </w:p>
        </w:tc>
        <w:tc>
          <w:tcPr>
            <w:tcW w:w="1170" w:type="dxa"/>
          </w:tcPr>
          <w:p w14:paraId="446E7394"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Operating Cash Flow (£)</w:t>
            </w:r>
          </w:p>
        </w:tc>
        <w:tc>
          <w:tcPr>
            <w:tcW w:w="1170" w:type="dxa"/>
          </w:tcPr>
          <w:p w14:paraId="5C54D725"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Less: Cap Allowance (£)</w:t>
            </w:r>
          </w:p>
        </w:tc>
        <w:tc>
          <w:tcPr>
            <w:tcW w:w="1170" w:type="dxa"/>
          </w:tcPr>
          <w:p w14:paraId="3DCE933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Taxable Profit (£)</w:t>
            </w:r>
          </w:p>
        </w:tc>
        <w:tc>
          <w:tcPr>
            <w:tcW w:w="1170" w:type="dxa"/>
          </w:tcPr>
          <w:p w14:paraId="38F35B1C"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 @ 25% (£)</w:t>
            </w:r>
          </w:p>
        </w:tc>
        <w:tc>
          <w:tcPr>
            <w:tcW w:w="1170" w:type="dxa"/>
          </w:tcPr>
          <w:p w14:paraId="6AFB13B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Net Cash Flow (£)</w:t>
            </w:r>
          </w:p>
        </w:tc>
        <w:tc>
          <w:tcPr>
            <w:tcW w:w="1170" w:type="dxa"/>
          </w:tcPr>
          <w:p w14:paraId="3D31404F"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Discount Factor (6%)</w:t>
            </w:r>
          </w:p>
        </w:tc>
        <w:tc>
          <w:tcPr>
            <w:tcW w:w="1170" w:type="dxa"/>
          </w:tcPr>
          <w:p w14:paraId="257CD9E9"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Present Value (£)</w:t>
            </w:r>
          </w:p>
        </w:tc>
      </w:tr>
      <w:tr w:rsidR="00503641" w:rsidRPr="000456C5" w14:paraId="0B615F71" w14:textId="77777777" w:rsidTr="00222FD2">
        <w:tc>
          <w:tcPr>
            <w:tcW w:w="1170" w:type="dxa"/>
          </w:tcPr>
          <w:p w14:paraId="1468604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w:t>
            </w:r>
          </w:p>
        </w:tc>
        <w:tc>
          <w:tcPr>
            <w:tcW w:w="1170" w:type="dxa"/>
          </w:tcPr>
          <w:p w14:paraId="0341211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(1,000,000)</w:t>
            </w:r>
          </w:p>
        </w:tc>
        <w:tc>
          <w:tcPr>
            <w:tcW w:w="1170" w:type="dxa"/>
          </w:tcPr>
          <w:p w14:paraId="749E23E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71D50F0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15AE0E2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5161D83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(1,000,000)</w:t>
            </w:r>
          </w:p>
        </w:tc>
        <w:tc>
          <w:tcPr>
            <w:tcW w:w="1170" w:type="dxa"/>
          </w:tcPr>
          <w:p w14:paraId="31AFAA7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w:t>
            </w:r>
          </w:p>
        </w:tc>
        <w:tc>
          <w:tcPr>
            <w:tcW w:w="1170" w:type="dxa"/>
          </w:tcPr>
          <w:p w14:paraId="3B2B68D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(1,000,000)</w:t>
            </w:r>
          </w:p>
        </w:tc>
      </w:tr>
      <w:tr w:rsidR="00503641" w:rsidRPr="000456C5" w14:paraId="62F55653" w14:textId="77777777" w:rsidTr="00222FD2">
        <w:tc>
          <w:tcPr>
            <w:tcW w:w="1170" w:type="dxa"/>
          </w:tcPr>
          <w:p w14:paraId="31971E0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w:t>
            </w:r>
          </w:p>
        </w:tc>
        <w:tc>
          <w:tcPr>
            <w:tcW w:w="1170" w:type="dxa"/>
          </w:tcPr>
          <w:p w14:paraId="0D680AA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400,000</w:t>
            </w:r>
          </w:p>
        </w:tc>
        <w:tc>
          <w:tcPr>
            <w:tcW w:w="1170" w:type="dxa"/>
          </w:tcPr>
          <w:p w14:paraId="6B6D51C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5BE81AF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725F220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(50,000)</w:t>
            </w:r>
          </w:p>
        </w:tc>
        <w:tc>
          <w:tcPr>
            <w:tcW w:w="1170" w:type="dxa"/>
          </w:tcPr>
          <w:p w14:paraId="46A8B45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350,000</w:t>
            </w:r>
          </w:p>
        </w:tc>
        <w:tc>
          <w:tcPr>
            <w:tcW w:w="1170" w:type="dxa"/>
          </w:tcPr>
          <w:p w14:paraId="511B532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0.943</w:t>
            </w:r>
          </w:p>
        </w:tc>
        <w:tc>
          <w:tcPr>
            <w:tcW w:w="1170" w:type="dxa"/>
          </w:tcPr>
          <w:p w14:paraId="20511DE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330,050</w:t>
            </w:r>
          </w:p>
        </w:tc>
      </w:tr>
      <w:tr w:rsidR="00503641" w:rsidRPr="000456C5" w14:paraId="35A2AA59" w14:textId="77777777" w:rsidTr="00222FD2">
        <w:tc>
          <w:tcPr>
            <w:tcW w:w="1170" w:type="dxa"/>
          </w:tcPr>
          <w:p w14:paraId="78FD907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w:t>
            </w:r>
          </w:p>
        </w:tc>
        <w:tc>
          <w:tcPr>
            <w:tcW w:w="1170" w:type="dxa"/>
          </w:tcPr>
          <w:p w14:paraId="329BBE5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450,000</w:t>
            </w:r>
          </w:p>
        </w:tc>
        <w:tc>
          <w:tcPr>
            <w:tcW w:w="1170" w:type="dxa"/>
          </w:tcPr>
          <w:p w14:paraId="1BE1970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386B9A5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250,000</w:t>
            </w:r>
          </w:p>
        </w:tc>
        <w:tc>
          <w:tcPr>
            <w:tcW w:w="1170" w:type="dxa"/>
          </w:tcPr>
          <w:p w14:paraId="130D01A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(62,500)</w:t>
            </w:r>
          </w:p>
        </w:tc>
        <w:tc>
          <w:tcPr>
            <w:tcW w:w="1170" w:type="dxa"/>
          </w:tcPr>
          <w:p w14:paraId="75053BC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387,500</w:t>
            </w:r>
          </w:p>
        </w:tc>
        <w:tc>
          <w:tcPr>
            <w:tcW w:w="1170" w:type="dxa"/>
          </w:tcPr>
          <w:p w14:paraId="64D358D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0.890</w:t>
            </w:r>
          </w:p>
        </w:tc>
        <w:tc>
          <w:tcPr>
            <w:tcW w:w="1170" w:type="dxa"/>
          </w:tcPr>
          <w:p w14:paraId="1B054E8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344,875</w:t>
            </w:r>
          </w:p>
        </w:tc>
      </w:tr>
      <w:tr w:rsidR="00503641" w:rsidRPr="000456C5" w14:paraId="05523BB4" w14:textId="77777777" w:rsidTr="00222FD2">
        <w:tc>
          <w:tcPr>
            <w:tcW w:w="1170" w:type="dxa"/>
          </w:tcPr>
          <w:p w14:paraId="3C6DE43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w:t>
            </w:r>
          </w:p>
        </w:tc>
        <w:tc>
          <w:tcPr>
            <w:tcW w:w="1170" w:type="dxa"/>
          </w:tcPr>
          <w:p w14:paraId="5ED9ABB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720,000</w:t>
            </w:r>
          </w:p>
        </w:tc>
        <w:tc>
          <w:tcPr>
            <w:tcW w:w="1170" w:type="dxa"/>
          </w:tcPr>
          <w:p w14:paraId="5F9D3DC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2E5710B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520,000</w:t>
            </w:r>
          </w:p>
        </w:tc>
        <w:tc>
          <w:tcPr>
            <w:tcW w:w="1170" w:type="dxa"/>
          </w:tcPr>
          <w:p w14:paraId="5D2A3DF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(130,000)</w:t>
            </w:r>
          </w:p>
        </w:tc>
        <w:tc>
          <w:tcPr>
            <w:tcW w:w="1170" w:type="dxa"/>
          </w:tcPr>
          <w:p w14:paraId="3898DB2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590,000</w:t>
            </w:r>
          </w:p>
        </w:tc>
        <w:tc>
          <w:tcPr>
            <w:tcW w:w="1170" w:type="dxa"/>
          </w:tcPr>
          <w:p w14:paraId="5B1BD1D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0.840</w:t>
            </w:r>
          </w:p>
        </w:tc>
        <w:tc>
          <w:tcPr>
            <w:tcW w:w="1170" w:type="dxa"/>
          </w:tcPr>
          <w:p w14:paraId="554CFB5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495,600</w:t>
            </w:r>
          </w:p>
        </w:tc>
      </w:tr>
      <w:tr w:rsidR="00503641" w:rsidRPr="000456C5" w14:paraId="30F1B32F" w14:textId="77777777" w:rsidTr="00222FD2">
        <w:tc>
          <w:tcPr>
            <w:tcW w:w="1170" w:type="dxa"/>
          </w:tcPr>
          <w:p w14:paraId="3EC923B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w:t>
            </w:r>
          </w:p>
        </w:tc>
        <w:tc>
          <w:tcPr>
            <w:tcW w:w="1170" w:type="dxa"/>
          </w:tcPr>
          <w:p w14:paraId="456CB7B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980,000</w:t>
            </w:r>
          </w:p>
        </w:tc>
        <w:tc>
          <w:tcPr>
            <w:tcW w:w="1170" w:type="dxa"/>
          </w:tcPr>
          <w:p w14:paraId="76D1C2B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(200,000)</w:t>
            </w:r>
          </w:p>
        </w:tc>
        <w:tc>
          <w:tcPr>
            <w:tcW w:w="1170" w:type="dxa"/>
          </w:tcPr>
          <w:p w14:paraId="68271C3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780,000</w:t>
            </w:r>
          </w:p>
        </w:tc>
        <w:tc>
          <w:tcPr>
            <w:tcW w:w="1170" w:type="dxa"/>
          </w:tcPr>
          <w:p w14:paraId="3F72B6C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(195,000)</w:t>
            </w:r>
          </w:p>
        </w:tc>
        <w:tc>
          <w:tcPr>
            <w:tcW w:w="1170" w:type="dxa"/>
          </w:tcPr>
          <w:p w14:paraId="2EDA1A9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785,000</w:t>
            </w:r>
          </w:p>
        </w:tc>
        <w:tc>
          <w:tcPr>
            <w:tcW w:w="1170" w:type="dxa"/>
          </w:tcPr>
          <w:p w14:paraId="003A5B0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0.792</w:t>
            </w:r>
          </w:p>
        </w:tc>
        <w:tc>
          <w:tcPr>
            <w:tcW w:w="1170" w:type="dxa"/>
          </w:tcPr>
          <w:p w14:paraId="59C335B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621,720</w:t>
            </w:r>
          </w:p>
        </w:tc>
      </w:tr>
      <w:tr w:rsidR="00503641" w:rsidRPr="000456C5" w14:paraId="4BB3B73B" w14:textId="77777777" w:rsidTr="00222FD2">
        <w:tc>
          <w:tcPr>
            <w:tcW w:w="1170" w:type="dxa"/>
          </w:tcPr>
          <w:p w14:paraId="4373EF49"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Total</w:t>
            </w:r>
          </w:p>
        </w:tc>
        <w:tc>
          <w:tcPr>
            <w:tcW w:w="1170" w:type="dxa"/>
          </w:tcPr>
          <w:p w14:paraId="51AF9BDC"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58FB26AE"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3607C04C"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6268EA57"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6DF2F76D"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1D0AF90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NPV</w:t>
            </w:r>
          </w:p>
        </w:tc>
        <w:tc>
          <w:tcPr>
            <w:tcW w:w="1170" w:type="dxa"/>
          </w:tcPr>
          <w:p w14:paraId="4901234A"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£792,245</w:t>
            </w:r>
          </w:p>
        </w:tc>
      </w:tr>
    </w:tbl>
    <w:p w14:paraId="48893B1C" w14:textId="77777777" w:rsidR="00503641" w:rsidRPr="000456C5" w:rsidRDefault="00503641" w:rsidP="00503641">
      <w:pPr>
        <w:pBdr>
          <w:top w:val="nil"/>
          <w:left w:val="nil"/>
          <w:bottom w:val="nil"/>
          <w:right w:val="nil"/>
          <w:between w:val="nil"/>
        </w:pBdr>
        <w:spacing w:before="480"/>
        <w:rPr>
          <w:rFonts w:eastAsia="Google Sans Text" w:cs="Times New Roman"/>
          <w:b/>
          <w:bCs/>
          <w:color w:val="1F1F1F"/>
        </w:rPr>
      </w:pPr>
      <w:r w:rsidRPr="000456C5">
        <w:rPr>
          <w:rFonts w:eastAsia="Google Sans Text" w:cs="Times New Roman"/>
          <w:b/>
          <w:bCs/>
          <w:color w:val="1F1F1F"/>
        </w:rPr>
        <w:t>Payback Period Calculation (Option B):</w:t>
      </w:r>
    </w:p>
    <w:p w14:paraId="53AD717E" w14:textId="77777777" w:rsidR="00503641" w:rsidRPr="000456C5" w:rsidRDefault="00503641" w:rsidP="00503641">
      <w:pPr>
        <w:numPr>
          <w:ilvl w:val="0"/>
          <w:numId w:val="6"/>
        </w:numPr>
        <w:pBdr>
          <w:top w:val="nil"/>
          <w:left w:val="nil"/>
          <w:bottom w:val="nil"/>
          <w:right w:val="nil"/>
          <w:between w:val="nil"/>
        </w:pBdr>
        <w:rPr>
          <w:rFonts w:cs="Times New Roman"/>
        </w:rPr>
      </w:pPr>
      <w:r w:rsidRPr="000456C5">
        <w:rPr>
          <w:rFonts w:eastAsia="Google Sans Text" w:cs="Times New Roman"/>
          <w:color w:val="1F1F1F"/>
        </w:rPr>
        <w:t>Year 0 Balance: (1,000,000)</w:t>
      </w:r>
    </w:p>
    <w:p w14:paraId="3FE7E430" w14:textId="77777777" w:rsidR="00503641" w:rsidRPr="000456C5" w:rsidRDefault="00503641" w:rsidP="00503641">
      <w:pPr>
        <w:numPr>
          <w:ilvl w:val="0"/>
          <w:numId w:val="6"/>
        </w:numPr>
        <w:pBdr>
          <w:top w:val="nil"/>
          <w:left w:val="nil"/>
          <w:bottom w:val="nil"/>
          <w:right w:val="nil"/>
          <w:between w:val="nil"/>
        </w:pBdr>
        <w:rPr>
          <w:rFonts w:cs="Times New Roman"/>
        </w:rPr>
      </w:pPr>
      <w:r w:rsidRPr="000456C5">
        <w:rPr>
          <w:rFonts w:eastAsia="Google Sans Text" w:cs="Times New Roman"/>
          <w:color w:val="1F1F1F"/>
        </w:rPr>
        <w:t>Year 1 Inflow: 350,000 → Balance: (650,000)</w:t>
      </w:r>
    </w:p>
    <w:p w14:paraId="3E29D11E" w14:textId="77777777" w:rsidR="00503641" w:rsidRPr="000456C5" w:rsidRDefault="00503641" w:rsidP="00503641">
      <w:pPr>
        <w:numPr>
          <w:ilvl w:val="0"/>
          <w:numId w:val="6"/>
        </w:numPr>
        <w:pBdr>
          <w:top w:val="nil"/>
          <w:left w:val="nil"/>
          <w:bottom w:val="nil"/>
          <w:right w:val="nil"/>
          <w:between w:val="nil"/>
        </w:pBdr>
        <w:rPr>
          <w:rFonts w:cs="Times New Roman"/>
        </w:rPr>
      </w:pPr>
      <w:r w:rsidRPr="000456C5">
        <w:rPr>
          <w:rFonts w:eastAsia="Google Sans Text" w:cs="Times New Roman"/>
          <w:color w:val="1F1F1F"/>
        </w:rPr>
        <w:t>Year 2 Inflow: 387,500 → Balance: (262,500)</w:t>
      </w:r>
    </w:p>
    <w:p w14:paraId="654830E8" w14:textId="77777777" w:rsidR="00503641" w:rsidRPr="000456C5" w:rsidRDefault="00503641" w:rsidP="00503641">
      <w:pPr>
        <w:numPr>
          <w:ilvl w:val="0"/>
          <w:numId w:val="6"/>
        </w:numPr>
        <w:pBdr>
          <w:top w:val="nil"/>
          <w:left w:val="nil"/>
          <w:bottom w:val="nil"/>
          <w:right w:val="nil"/>
          <w:between w:val="nil"/>
        </w:pBdr>
        <w:rPr>
          <w:rFonts w:cs="Times New Roman"/>
        </w:rPr>
      </w:pPr>
      <w:r w:rsidRPr="000456C5">
        <w:rPr>
          <w:rFonts w:eastAsia="Google Sans Text" w:cs="Times New Roman"/>
          <w:color w:val="1F1F1F"/>
        </w:rPr>
        <w:t>Year 3 Inflow: 590,000.</w:t>
      </w:r>
    </w:p>
    <w:p w14:paraId="1D891949" w14:textId="77777777" w:rsidR="00503641" w:rsidRPr="000456C5" w:rsidRDefault="00503641" w:rsidP="00503641">
      <w:pPr>
        <w:numPr>
          <w:ilvl w:val="0"/>
          <w:numId w:val="6"/>
        </w:numPr>
        <w:pBdr>
          <w:top w:val="nil"/>
          <w:left w:val="nil"/>
          <w:bottom w:val="nil"/>
          <w:right w:val="nil"/>
          <w:between w:val="nil"/>
        </w:pBdr>
        <w:rPr>
          <w:rFonts w:cs="Times New Roman"/>
        </w:rPr>
      </w:pPr>
      <w:r w:rsidRPr="000456C5">
        <w:rPr>
          <w:rFonts w:eastAsia="Google Sans Text" w:cs="Times New Roman"/>
          <w:b/>
          <w:bCs/>
          <w:color w:val="1F1F1F"/>
        </w:rPr>
        <w:lastRenderedPageBreak/>
        <w:t>Payback = 2 Years + (262,500 / 590,000) = 2.44 Years.</w:t>
      </w:r>
    </w:p>
    <w:p w14:paraId="2F9BD9AA"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IRR Calculation (Option B):</w:t>
      </w:r>
    </w:p>
    <w:p w14:paraId="08FA27ED"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Calculated using Excel function =IRR({-1000000, 350000, 387500, 590000, 785000}) = 41.85%.</w:t>
      </w:r>
    </w:p>
    <w:p w14:paraId="7FDA686A" w14:textId="77777777" w:rsidR="00503641" w:rsidRPr="000456C5" w:rsidRDefault="00503641" w:rsidP="00503641">
      <w:pPr>
        <w:pStyle w:val="Heading3"/>
        <w:spacing w:before="0" w:after="120"/>
        <w:rPr>
          <w:rFonts w:eastAsia="Google Sans" w:cs="Times New Roman"/>
          <w:color w:val="1F1F1F"/>
        </w:rPr>
      </w:pPr>
      <w:bookmarkStart w:id="35" w:name="_Toc219163947"/>
      <w:r w:rsidRPr="000456C5">
        <w:rPr>
          <w:rFonts w:eastAsia="Google Sans" w:cs="Times New Roman"/>
          <w:color w:val="1F1F1F"/>
        </w:rPr>
        <w:t>Option C: Produce Blinds</w:t>
      </w:r>
      <w:bookmarkEnd w:id="35"/>
    </w:p>
    <w:p w14:paraId="78E4A8FC"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Initial Investment: £1,600,000</w:t>
      </w:r>
    </w:p>
    <w:p w14:paraId="7733BCC3"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Capital Allowance: £1,600,000 × 20% = £320,000 per year.</w:t>
      </w:r>
    </w:p>
    <w:tbl>
      <w:tblPr>
        <w:tblStyle w:val="TableGrid"/>
        <w:tblW w:w="9360" w:type="dxa"/>
        <w:tblLayout w:type="fixed"/>
        <w:tblLook w:val="0600" w:firstRow="0" w:lastRow="0" w:firstColumn="0" w:lastColumn="0" w:noHBand="1" w:noVBand="1"/>
      </w:tblPr>
      <w:tblGrid>
        <w:gridCol w:w="1170"/>
        <w:gridCol w:w="1170"/>
        <w:gridCol w:w="1170"/>
        <w:gridCol w:w="1170"/>
        <w:gridCol w:w="1170"/>
        <w:gridCol w:w="1170"/>
        <w:gridCol w:w="1170"/>
        <w:gridCol w:w="1170"/>
      </w:tblGrid>
      <w:tr w:rsidR="00503641" w:rsidRPr="000456C5" w14:paraId="5AF87C6F" w14:textId="77777777" w:rsidTr="00222FD2">
        <w:tc>
          <w:tcPr>
            <w:tcW w:w="1170" w:type="dxa"/>
          </w:tcPr>
          <w:p w14:paraId="16DD705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Year</w:t>
            </w:r>
          </w:p>
        </w:tc>
        <w:tc>
          <w:tcPr>
            <w:tcW w:w="1170" w:type="dxa"/>
          </w:tcPr>
          <w:p w14:paraId="482C6C70"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Operating Cash Flow (£)</w:t>
            </w:r>
          </w:p>
        </w:tc>
        <w:tc>
          <w:tcPr>
            <w:tcW w:w="1170" w:type="dxa"/>
          </w:tcPr>
          <w:p w14:paraId="6B48D78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Less: Cap Allowance (£)</w:t>
            </w:r>
          </w:p>
        </w:tc>
        <w:tc>
          <w:tcPr>
            <w:tcW w:w="1170" w:type="dxa"/>
          </w:tcPr>
          <w:p w14:paraId="64825EB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Taxable Profit (£)</w:t>
            </w:r>
          </w:p>
        </w:tc>
        <w:tc>
          <w:tcPr>
            <w:tcW w:w="1170" w:type="dxa"/>
          </w:tcPr>
          <w:p w14:paraId="7879781C"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Tax @ 25% (£)</w:t>
            </w:r>
          </w:p>
        </w:tc>
        <w:tc>
          <w:tcPr>
            <w:tcW w:w="1170" w:type="dxa"/>
          </w:tcPr>
          <w:p w14:paraId="6701C940"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Net Cash Flow (£)</w:t>
            </w:r>
          </w:p>
        </w:tc>
        <w:tc>
          <w:tcPr>
            <w:tcW w:w="1170" w:type="dxa"/>
          </w:tcPr>
          <w:p w14:paraId="4A92787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Discount Factor (6%)</w:t>
            </w:r>
          </w:p>
        </w:tc>
        <w:tc>
          <w:tcPr>
            <w:tcW w:w="1170" w:type="dxa"/>
          </w:tcPr>
          <w:p w14:paraId="70251DE3"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Present Value (£)</w:t>
            </w:r>
          </w:p>
        </w:tc>
      </w:tr>
      <w:tr w:rsidR="00503641" w:rsidRPr="000456C5" w14:paraId="7815399F" w14:textId="77777777" w:rsidTr="00222FD2">
        <w:tc>
          <w:tcPr>
            <w:tcW w:w="1170" w:type="dxa"/>
          </w:tcPr>
          <w:p w14:paraId="09CA889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w:t>
            </w:r>
          </w:p>
        </w:tc>
        <w:tc>
          <w:tcPr>
            <w:tcW w:w="1170" w:type="dxa"/>
          </w:tcPr>
          <w:p w14:paraId="39E7C42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(1,600,000)</w:t>
            </w:r>
          </w:p>
        </w:tc>
        <w:tc>
          <w:tcPr>
            <w:tcW w:w="1170" w:type="dxa"/>
          </w:tcPr>
          <w:p w14:paraId="0B5CF33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07EA95A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4D7B6B3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w:t>
            </w:r>
          </w:p>
        </w:tc>
        <w:tc>
          <w:tcPr>
            <w:tcW w:w="1170" w:type="dxa"/>
          </w:tcPr>
          <w:p w14:paraId="12CC6D5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(1,600,000)</w:t>
            </w:r>
          </w:p>
        </w:tc>
        <w:tc>
          <w:tcPr>
            <w:tcW w:w="1170" w:type="dxa"/>
          </w:tcPr>
          <w:p w14:paraId="478AF54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w:t>
            </w:r>
          </w:p>
        </w:tc>
        <w:tc>
          <w:tcPr>
            <w:tcW w:w="1170" w:type="dxa"/>
          </w:tcPr>
          <w:p w14:paraId="38F05C6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(1,600,000)</w:t>
            </w:r>
          </w:p>
        </w:tc>
      </w:tr>
      <w:tr w:rsidR="00503641" w:rsidRPr="000456C5" w14:paraId="030128F1" w14:textId="77777777" w:rsidTr="00222FD2">
        <w:tc>
          <w:tcPr>
            <w:tcW w:w="1170" w:type="dxa"/>
          </w:tcPr>
          <w:p w14:paraId="61508C0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w:t>
            </w:r>
          </w:p>
        </w:tc>
        <w:tc>
          <w:tcPr>
            <w:tcW w:w="1170" w:type="dxa"/>
          </w:tcPr>
          <w:p w14:paraId="6A19181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450,000</w:t>
            </w:r>
          </w:p>
        </w:tc>
        <w:tc>
          <w:tcPr>
            <w:tcW w:w="1170" w:type="dxa"/>
          </w:tcPr>
          <w:p w14:paraId="5FBE675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(320,000)</w:t>
            </w:r>
          </w:p>
        </w:tc>
        <w:tc>
          <w:tcPr>
            <w:tcW w:w="1170" w:type="dxa"/>
          </w:tcPr>
          <w:p w14:paraId="268EB8B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130,000</w:t>
            </w:r>
          </w:p>
        </w:tc>
        <w:tc>
          <w:tcPr>
            <w:tcW w:w="1170" w:type="dxa"/>
          </w:tcPr>
          <w:p w14:paraId="4C51FF7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(32,500)</w:t>
            </w:r>
          </w:p>
        </w:tc>
        <w:tc>
          <w:tcPr>
            <w:tcW w:w="1170" w:type="dxa"/>
          </w:tcPr>
          <w:p w14:paraId="00C2DCD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417,500</w:t>
            </w:r>
          </w:p>
        </w:tc>
        <w:tc>
          <w:tcPr>
            <w:tcW w:w="1170" w:type="dxa"/>
          </w:tcPr>
          <w:p w14:paraId="4E9EDEB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0.943</w:t>
            </w:r>
          </w:p>
        </w:tc>
        <w:tc>
          <w:tcPr>
            <w:tcW w:w="1170" w:type="dxa"/>
          </w:tcPr>
          <w:p w14:paraId="3FD2548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393,702</w:t>
            </w:r>
          </w:p>
        </w:tc>
      </w:tr>
      <w:tr w:rsidR="00503641" w:rsidRPr="000456C5" w14:paraId="7B0C2C0D" w14:textId="77777777" w:rsidTr="00222FD2">
        <w:tc>
          <w:tcPr>
            <w:tcW w:w="1170" w:type="dxa"/>
          </w:tcPr>
          <w:p w14:paraId="5E8C68F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w:t>
            </w:r>
          </w:p>
        </w:tc>
        <w:tc>
          <w:tcPr>
            <w:tcW w:w="1170" w:type="dxa"/>
          </w:tcPr>
          <w:p w14:paraId="4BA477A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700,000</w:t>
            </w:r>
          </w:p>
        </w:tc>
        <w:tc>
          <w:tcPr>
            <w:tcW w:w="1170" w:type="dxa"/>
          </w:tcPr>
          <w:p w14:paraId="7F8FD01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(320,000)</w:t>
            </w:r>
          </w:p>
        </w:tc>
        <w:tc>
          <w:tcPr>
            <w:tcW w:w="1170" w:type="dxa"/>
          </w:tcPr>
          <w:p w14:paraId="4B2EA43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380,000</w:t>
            </w:r>
          </w:p>
        </w:tc>
        <w:tc>
          <w:tcPr>
            <w:tcW w:w="1170" w:type="dxa"/>
          </w:tcPr>
          <w:p w14:paraId="575EFC71"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(95,000)</w:t>
            </w:r>
          </w:p>
        </w:tc>
        <w:tc>
          <w:tcPr>
            <w:tcW w:w="1170" w:type="dxa"/>
          </w:tcPr>
          <w:p w14:paraId="72075DC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605,000</w:t>
            </w:r>
          </w:p>
        </w:tc>
        <w:tc>
          <w:tcPr>
            <w:tcW w:w="1170" w:type="dxa"/>
          </w:tcPr>
          <w:p w14:paraId="1FA6911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0.890</w:t>
            </w:r>
          </w:p>
        </w:tc>
        <w:tc>
          <w:tcPr>
            <w:tcW w:w="1170" w:type="dxa"/>
          </w:tcPr>
          <w:p w14:paraId="5419C0F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538,450</w:t>
            </w:r>
          </w:p>
        </w:tc>
      </w:tr>
      <w:tr w:rsidR="00503641" w:rsidRPr="000456C5" w14:paraId="4AE88DA4" w14:textId="77777777" w:rsidTr="00222FD2">
        <w:tc>
          <w:tcPr>
            <w:tcW w:w="1170" w:type="dxa"/>
          </w:tcPr>
          <w:p w14:paraId="1D02DFA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w:t>
            </w:r>
          </w:p>
        </w:tc>
        <w:tc>
          <w:tcPr>
            <w:tcW w:w="1170" w:type="dxa"/>
          </w:tcPr>
          <w:p w14:paraId="124A663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900,000</w:t>
            </w:r>
          </w:p>
        </w:tc>
        <w:tc>
          <w:tcPr>
            <w:tcW w:w="1170" w:type="dxa"/>
          </w:tcPr>
          <w:p w14:paraId="4B409C2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(320,000)</w:t>
            </w:r>
          </w:p>
        </w:tc>
        <w:tc>
          <w:tcPr>
            <w:tcW w:w="1170" w:type="dxa"/>
          </w:tcPr>
          <w:p w14:paraId="08B28EC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580,000</w:t>
            </w:r>
          </w:p>
        </w:tc>
        <w:tc>
          <w:tcPr>
            <w:tcW w:w="1170" w:type="dxa"/>
          </w:tcPr>
          <w:p w14:paraId="451B6A1D"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(145,000)</w:t>
            </w:r>
          </w:p>
        </w:tc>
        <w:tc>
          <w:tcPr>
            <w:tcW w:w="1170" w:type="dxa"/>
          </w:tcPr>
          <w:p w14:paraId="47C2B8D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755,000</w:t>
            </w:r>
          </w:p>
        </w:tc>
        <w:tc>
          <w:tcPr>
            <w:tcW w:w="1170" w:type="dxa"/>
          </w:tcPr>
          <w:p w14:paraId="143B10C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0.840</w:t>
            </w:r>
          </w:p>
        </w:tc>
        <w:tc>
          <w:tcPr>
            <w:tcW w:w="1170" w:type="dxa"/>
          </w:tcPr>
          <w:p w14:paraId="38FFDDB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634,200</w:t>
            </w:r>
          </w:p>
        </w:tc>
      </w:tr>
      <w:tr w:rsidR="00503641" w:rsidRPr="000456C5" w14:paraId="24E478FC" w14:textId="77777777" w:rsidTr="00222FD2">
        <w:tc>
          <w:tcPr>
            <w:tcW w:w="1170" w:type="dxa"/>
          </w:tcPr>
          <w:p w14:paraId="568EAB3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w:t>
            </w:r>
          </w:p>
        </w:tc>
        <w:tc>
          <w:tcPr>
            <w:tcW w:w="1170" w:type="dxa"/>
          </w:tcPr>
          <w:p w14:paraId="3A4B204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1,200,000</w:t>
            </w:r>
          </w:p>
        </w:tc>
        <w:tc>
          <w:tcPr>
            <w:tcW w:w="1170" w:type="dxa"/>
          </w:tcPr>
          <w:p w14:paraId="6F21AEE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(320,000)</w:t>
            </w:r>
          </w:p>
        </w:tc>
        <w:tc>
          <w:tcPr>
            <w:tcW w:w="1170" w:type="dxa"/>
          </w:tcPr>
          <w:p w14:paraId="7A3F20A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880,000</w:t>
            </w:r>
          </w:p>
        </w:tc>
        <w:tc>
          <w:tcPr>
            <w:tcW w:w="1170" w:type="dxa"/>
          </w:tcPr>
          <w:p w14:paraId="62D510AB"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(220,000)</w:t>
            </w:r>
          </w:p>
        </w:tc>
        <w:tc>
          <w:tcPr>
            <w:tcW w:w="1170" w:type="dxa"/>
          </w:tcPr>
          <w:p w14:paraId="22ED542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980,000</w:t>
            </w:r>
          </w:p>
        </w:tc>
        <w:tc>
          <w:tcPr>
            <w:tcW w:w="1170" w:type="dxa"/>
          </w:tcPr>
          <w:p w14:paraId="05C22274"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0.792</w:t>
            </w:r>
          </w:p>
        </w:tc>
        <w:tc>
          <w:tcPr>
            <w:tcW w:w="1170" w:type="dxa"/>
          </w:tcPr>
          <w:p w14:paraId="03B07E2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776,160</w:t>
            </w:r>
          </w:p>
        </w:tc>
      </w:tr>
      <w:tr w:rsidR="00503641" w:rsidRPr="000456C5" w14:paraId="3CD70024" w14:textId="77777777" w:rsidTr="00222FD2">
        <w:tc>
          <w:tcPr>
            <w:tcW w:w="1170" w:type="dxa"/>
          </w:tcPr>
          <w:p w14:paraId="6C0214B7"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Total</w:t>
            </w:r>
          </w:p>
        </w:tc>
        <w:tc>
          <w:tcPr>
            <w:tcW w:w="1170" w:type="dxa"/>
          </w:tcPr>
          <w:p w14:paraId="26E1A106"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38EB366D"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3293C5DF"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6A1AC06B"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1F54C2DB"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170" w:type="dxa"/>
          </w:tcPr>
          <w:p w14:paraId="11C41A50"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NPV</w:t>
            </w:r>
          </w:p>
        </w:tc>
        <w:tc>
          <w:tcPr>
            <w:tcW w:w="1170" w:type="dxa"/>
          </w:tcPr>
          <w:p w14:paraId="2B321ED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£742,512</w:t>
            </w:r>
          </w:p>
        </w:tc>
      </w:tr>
    </w:tbl>
    <w:p w14:paraId="1F2D4896" w14:textId="77777777" w:rsidR="00503641" w:rsidRPr="000456C5" w:rsidRDefault="00503641" w:rsidP="00503641">
      <w:pPr>
        <w:pBdr>
          <w:top w:val="nil"/>
          <w:left w:val="nil"/>
          <w:bottom w:val="nil"/>
          <w:right w:val="nil"/>
          <w:between w:val="nil"/>
        </w:pBdr>
        <w:spacing w:before="480"/>
        <w:rPr>
          <w:rFonts w:eastAsia="Google Sans Text" w:cs="Times New Roman"/>
          <w:b/>
          <w:bCs/>
          <w:color w:val="1F1F1F"/>
        </w:rPr>
      </w:pPr>
      <w:r w:rsidRPr="000456C5">
        <w:rPr>
          <w:rFonts w:eastAsia="Google Sans Text" w:cs="Times New Roman"/>
          <w:b/>
          <w:bCs/>
          <w:color w:val="1F1F1F"/>
        </w:rPr>
        <w:t>Payback Period Calculation (Option C):</w:t>
      </w:r>
    </w:p>
    <w:p w14:paraId="27465E5D" w14:textId="77777777" w:rsidR="00503641" w:rsidRPr="000456C5" w:rsidRDefault="00503641" w:rsidP="00503641">
      <w:pPr>
        <w:numPr>
          <w:ilvl w:val="0"/>
          <w:numId w:val="7"/>
        </w:numPr>
        <w:pBdr>
          <w:top w:val="nil"/>
          <w:left w:val="nil"/>
          <w:bottom w:val="nil"/>
          <w:right w:val="nil"/>
          <w:between w:val="nil"/>
        </w:pBdr>
        <w:rPr>
          <w:rFonts w:cs="Times New Roman"/>
        </w:rPr>
      </w:pPr>
      <w:r w:rsidRPr="000456C5">
        <w:rPr>
          <w:rFonts w:eastAsia="Google Sans Text" w:cs="Times New Roman"/>
          <w:color w:val="1F1F1F"/>
        </w:rPr>
        <w:t>Year 0 Balance: (1,600,000)</w:t>
      </w:r>
    </w:p>
    <w:p w14:paraId="519ECE48" w14:textId="77777777" w:rsidR="00503641" w:rsidRPr="000456C5" w:rsidRDefault="00503641" w:rsidP="00503641">
      <w:pPr>
        <w:numPr>
          <w:ilvl w:val="0"/>
          <w:numId w:val="7"/>
        </w:numPr>
        <w:pBdr>
          <w:top w:val="nil"/>
          <w:left w:val="nil"/>
          <w:bottom w:val="nil"/>
          <w:right w:val="nil"/>
          <w:between w:val="nil"/>
        </w:pBdr>
        <w:rPr>
          <w:rFonts w:cs="Times New Roman"/>
        </w:rPr>
      </w:pPr>
      <w:r w:rsidRPr="000456C5">
        <w:rPr>
          <w:rFonts w:eastAsia="Google Sans Text" w:cs="Times New Roman"/>
          <w:color w:val="1F1F1F"/>
        </w:rPr>
        <w:t>Year 1 Inflow: 417,500 → Balance: (1,182,500)</w:t>
      </w:r>
    </w:p>
    <w:p w14:paraId="545C7859" w14:textId="77777777" w:rsidR="00503641" w:rsidRPr="000456C5" w:rsidRDefault="00503641" w:rsidP="00503641">
      <w:pPr>
        <w:numPr>
          <w:ilvl w:val="0"/>
          <w:numId w:val="7"/>
        </w:numPr>
        <w:pBdr>
          <w:top w:val="nil"/>
          <w:left w:val="nil"/>
          <w:bottom w:val="nil"/>
          <w:right w:val="nil"/>
          <w:between w:val="nil"/>
        </w:pBdr>
        <w:rPr>
          <w:rFonts w:cs="Times New Roman"/>
        </w:rPr>
      </w:pPr>
      <w:r w:rsidRPr="000456C5">
        <w:rPr>
          <w:rFonts w:eastAsia="Google Sans Text" w:cs="Times New Roman"/>
          <w:color w:val="1F1F1F"/>
        </w:rPr>
        <w:t>Year 2 Inflow: 605,000 → Balance: (577,500)</w:t>
      </w:r>
    </w:p>
    <w:p w14:paraId="7A81C027" w14:textId="77777777" w:rsidR="00503641" w:rsidRPr="000456C5" w:rsidRDefault="00503641" w:rsidP="00503641">
      <w:pPr>
        <w:numPr>
          <w:ilvl w:val="0"/>
          <w:numId w:val="7"/>
        </w:numPr>
        <w:pBdr>
          <w:top w:val="nil"/>
          <w:left w:val="nil"/>
          <w:bottom w:val="nil"/>
          <w:right w:val="nil"/>
          <w:between w:val="nil"/>
        </w:pBdr>
        <w:rPr>
          <w:rFonts w:cs="Times New Roman"/>
        </w:rPr>
      </w:pPr>
      <w:r w:rsidRPr="000456C5">
        <w:rPr>
          <w:rFonts w:eastAsia="Google Sans Text" w:cs="Times New Roman"/>
          <w:color w:val="1F1F1F"/>
        </w:rPr>
        <w:t>Year 3 Inflow: 755,000.</w:t>
      </w:r>
    </w:p>
    <w:p w14:paraId="5EB57F7E" w14:textId="77777777" w:rsidR="00503641" w:rsidRPr="000456C5" w:rsidRDefault="00503641" w:rsidP="00503641">
      <w:pPr>
        <w:numPr>
          <w:ilvl w:val="0"/>
          <w:numId w:val="7"/>
        </w:numPr>
        <w:pBdr>
          <w:top w:val="nil"/>
          <w:left w:val="nil"/>
          <w:bottom w:val="nil"/>
          <w:right w:val="nil"/>
          <w:between w:val="nil"/>
        </w:pBdr>
        <w:rPr>
          <w:rFonts w:cs="Times New Roman"/>
        </w:rPr>
      </w:pPr>
      <w:r w:rsidRPr="000456C5">
        <w:rPr>
          <w:rFonts w:eastAsia="Google Sans Text" w:cs="Times New Roman"/>
          <w:b/>
          <w:bCs/>
          <w:color w:val="1F1F1F"/>
        </w:rPr>
        <w:lastRenderedPageBreak/>
        <w:t>Payback = 2 Years + (577,500 / 755,000) = 2.76 Years.</w:t>
      </w:r>
    </w:p>
    <w:p w14:paraId="73E8F131" w14:textId="11176A96" w:rsidR="00503641" w:rsidRPr="000456C5" w:rsidRDefault="00503641" w:rsidP="00C70471">
      <w:pPr>
        <w:pStyle w:val="Heading3"/>
      </w:pPr>
      <w:bookmarkStart w:id="36" w:name="_Toc219163948"/>
      <w:r w:rsidRPr="000456C5">
        <w:t>Capital Rationing Calculations</w:t>
      </w:r>
      <w:bookmarkEnd w:id="36"/>
    </w:p>
    <w:p w14:paraId="4A79DEA2"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Profitability Index (PI) Ranking</w:t>
      </w:r>
    </w:p>
    <w:p w14:paraId="405ED42E" w14:textId="77777777" w:rsidR="00503641" w:rsidRPr="000456C5" w:rsidRDefault="00503641" w:rsidP="00503641">
      <w:pPr>
        <w:pBdr>
          <w:top w:val="nil"/>
          <w:left w:val="nil"/>
          <w:bottom w:val="nil"/>
          <w:right w:val="nil"/>
          <w:between w:val="nil"/>
        </w:pBdr>
        <w:rPr>
          <w:rFonts w:eastAsia="Google Sans Text" w:cs="Times New Roman"/>
        </w:rPr>
      </w:pPr>
      <w:r w:rsidRPr="000456C5">
        <w:rPr>
          <w:rFonts w:eastAsia="Google Sans Text" w:cs="Times New Roman"/>
        </w:rPr>
        <w:t>Formula: PI = (NPV + Initial Investment) / Initial Investment</w:t>
      </w:r>
    </w:p>
    <w:tbl>
      <w:tblPr>
        <w:tblStyle w:val="TableGrid"/>
        <w:tblW w:w="9360" w:type="dxa"/>
        <w:tblLayout w:type="fixed"/>
        <w:tblLook w:val="0600" w:firstRow="0" w:lastRow="0" w:firstColumn="0" w:lastColumn="0" w:noHBand="1" w:noVBand="1"/>
      </w:tblPr>
      <w:tblGrid>
        <w:gridCol w:w="1560"/>
        <w:gridCol w:w="1560"/>
        <w:gridCol w:w="1560"/>
        <w:gridCol w:w="1560"/>
        <w:gridCol w:w="1560"/>
        <w:gridCol w:w="1560"/>
      </w:tblGrid>
      <w:tr w:rsidR="00503641" w:rsidRPr="000456C5" w14:paraId="598CAF28" w14:textId="77777777" w:rsidTr="00222FD2">
        <w:tc>
          <w:tcPr>
            <w:tcW w:w="1560" w:type="dxa"/>
          </w:tcPr>
          <w:p w14:paraId="10FEAEB2"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Project</w:t>
            </w:r>
          </w:p>
        </w:tc>
        <w:tc>
          <w:tcPr>
            <w:tcW w:w="1560" w:type="dxa"/>
          </w:tcPr>
          <w:p w14:paraId="1580AF2B"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NPV (£)</w:t>
            </w:r>
          </w:p>
        </w:tc>
        <w:tc>
          <w:tcPr>
            <w:tcW w:w="1560" w:type="dxa"/>
          </w:tcPr>
          <w:p w14:paraId="04CCC98F"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Initial Investment (£)</w:t>
            </w:r>
          </w:p>
        </w:tc>
        <w:tc>
          <w:tcPr>
            <w:tcW w:w="1560" w:type="dxa"/>
          </w:tcPr>
          <w:p w14:paraId="3F5D2A9F"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Total PV (£)</w:t>
            </w:r>
          </w:p>
        </w:tc>
        <w:tc>
          <w:tcPr>
            <w:tcW w:w="1560" w:type="dxa"/>
          </w:tcPr>
          <w:p w14:paraId="7438EE06"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Profitability Index</w:t>
            </w:r>
          </w:p>
        </w:tc>
        <w:tc>
          <w:tcPr>
            <w:tcW w:w="1560" w:type="dxa"/>
          </w:tcPr>
          <w:p w14:paraId="47105B55"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Rank</w:t>
            </w:r>
          </w:p>
        </w:tc>
      </w:tr>
      <w:tr w:rsidR="00503641" w:rsidRPr="000456C5" w14:paraId="65ED4A37" w14:textId="77777777" w:rsidTr="00222FD2">
        <w:tc>
          <w:tcPr>
            <w:tcW w:w="1560" w:type="dxa"/>
          </w:tcPr>
          <w:p w14:paraId="0528853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A</w:t>
            </w:r>
          </w:p>
        </w:tc>
        <w:tc>
          <w:tcPr>
            <w:tcW w:w="1560" w:type="dxa"/>
          </w:tcPr>
          <w:p w14:paraId="7E8BA090" w14:textId="551E0AFD"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643,</w:t>
            </w:r>
            <w:r w:rsidR="00852D94">
              <w:rPr>
                <w:rFonts w:eastAsia="Google Sans Text" w:cs="Times New Roman"/>
                <w:color w:val="1F1F1F"/>
              </w:rPr>
              <w:t>2</w:t>
            </w:r>
            <w:r w:rsidRPr="000456C5">
              <w:rPr>
                <w:rFonts w:eastAsia="Google Sans Text" w:cs="Times New Roman"/>
                <w:color w:val="1F1F1F"/>
              </w:rPr>
              <w:t>00</w:t>
            </w:r>
          </w:p>
        </w:tc>
        <w:tc>
          <w:tcPr>
            <w:tcW w:w="1560" w:type="dxa"/>
          </w:tcPr>
          <w:p w14:paraId="4D9BB1B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600,000</w:t>
            </w:r>
          </w:p>
        </w:tc>
        <w:tc>
          <w:tcPr>
            <w:tcW w:w="1560" w:type="dxa"/>
          </w:tcPr>
          <w:p w14:paraId="68FEA28F" w14:textId="7EF157FE"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1,243,</w:t>
            </w:r>
            <w:r w:rsidR="00852D94">
              <w:rPr>
                <w:rFonts w:eastAsia="Google Sans Text" w:cs="Times New Roman"/>
                <w:color w:val="1F1F1F"/>
              </w:rPr>
              <w:t>2</w:t>
            </w:r>
            <w:r w:rsidRPr="000456C5">
              <w:rPr>
                <w:rFonts w:eastAsia="Google Sans Text" w:cs="Times New Roman"/>
                <w:color w:val="1F1F1F"/>
              </w:rPr>
              <w:t>00</w:t>
            </w:r>
          </w:p>
        </w:tc>
        <w:tc>
          <w:tcPr>
            <w:tcW w:w="1560" w:type="dxa"/>
          </w:tcPr>
          <w:p w14:paraId="0BAF2E4E"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2.07</w:t>
            </w:r>
          </w:p>
        </w:tc>
        <w:tc>
          <w:tcPr>
            <w:tcW w:w="1560" w:type="dxa"/>
          </w:tcPr>
          <w:p w14:paraId="5A901E7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w:t>
            </w:r>
          </w:p>
        </w:tc>
      </w:tr>
      <w:tr w:rsidR="00503641" w:rsidRPr="000456C5" w14:paraId="46B8E3E1" w14:textId="77777777" w:rsidTr="00222FD2">
        <w:tc>
          <w:tcPr>
            <w:tcW w:w="1560" w:type="dxa"/>
          </w:tcPr>
          <w:p w14:paraId="5B45066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B</w:t>
            </w:r>
          </w:p>
        </w:tc>
        <w:tc>
          <w:tcPr>
            <w:tcW w:w="1560" w:type="dxa"/>
          </w:tcPr>
          <w:p w14:paraId="0213A93D" w14:textId="29A21519"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792,</w:t>
            </w:r>
            <w:r w:rsidR="00852D94">
              <w:rPr>
                <w:rFonts w:eastAsia="Google Sans Text" w:cs="Times New Roman"/>
                <w:color w:val="1F1F1F"/>
              </w:rPr>
              <w:t>245</w:t>
            </w:r>
          </w:p>
        </w:tc>
        <w:tc>
          <w:tcPr>
            <w:tcW w:w="1560" w:type="dxa"/>
          </w:tcPr>
          <w:p w14:paraId="47503A63"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1,000,000</w:t>
            </w:r>
          </w:p>
        </w:tc>
        <w:tc>
          <w:tcPr>
            <w:tcW w:w="1560" w:type="dxa"/>
          </w:tcPr>
          <w:p w14:paraId="6BDCCEC4" w14:textId="2936ACEA"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1,792,</w:t>
            </w:r>
            <w:r w:rsidR="00852D94">
              <w:rPr>
                <w:rFonts w:eastAsia="Google Sans Text" w:cs="Times New Roman"/>
                <w:color w:val="1F1F1F"/>
              </w:rPr>
              <w:t>245</w:t>
            </w:r>
          </w:p>
        </w:tc>
        <w:tc>
          <w:tcPr>
            <w:tcW w:w="1560" w:type="dxa"/>
          </w:tcPr>
          <w:p w14:paraId="10F52E24"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1.79</w:t>
            </w:r>
          </w:p>
        </w:tc>
        <w:tc>
          <w:tcPr>
            <w:tcW w:w="1560" w:type="dxa"/>
          </w:tcPr>
          <w:p w14:paraId="28F7D526"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w:t>
            </w:r>
          </w:p>
        </w:tc>
      </w:tr>
      <w:tr w:rsidR="00503641" w:rsidRPr="000456C5" w14:paraId="06054DB9" w14:textId="77777777" w:rsidTr="00222FD2">
        <w:tc>
          <w:tcPr>
            <w:tcW w:w="1560" w:type="dxa"/>
          </w:tcPr>
          <w:p w14:paraId="3E0AF6BF"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C</w:t>
            </w:r>
          </w:p>
        </w:tc>
        <w:tc>
          <w:tcPr>
            <w:tcW w:w="1560" w:type="dxa"/>
          </w:tcPr>
          <w:p w14:paraId="45A8C638" w14:textId="55224BB3"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742,</w:t>
            </w:r>
            <w:r w:rsidR="00852D94">
              <w:rPr>
                <w:rFonts w:eastAsia="Google Sans Text" w:cs="Times New Roman"/>
                <w:color w:val="1F1F1F"/>
              </w:rPr>
              <w:t>512</w:t>
            </w:r>
          </w:p>
        </w:tc>
        <w:tc>
          <w:tcPr>
            <w:tcW w:w="1560" w:type="dxa"/>
          </w:tcPr>
          <w:p w14:paraId="76C91B1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1,600,000</w:t>
            </w:r>
          </w:p>
        </w:tc>
        <w:tc>
          <w:tcPr>
            <w:tcW w:w="1560" w:type="dxa"/>
          </w:tcPr>
          <w:p w14:paraId="1C21763C" w14:textId="63171DAA"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2,342,</w:t>
            </w:r>
            <w:r w:rsidR="00852D94">
              <w:rPr>
                <w:rFonts w:eastAsia="Google Sans Text" w:cs="Times New Roman"/>
                <w:color w:val="1F1F1F"/>
              </w:rPr>
              <w:t>512</w:t>
            </w:r>
          </w:p>
        </w:tc>
        <w:tc>
          <w:tcPr>
            <w:tcW w:w="1560" w:type="dxa"/>
          </w:tcPr>
          <w:p w14:paraId="4AC1A1DB"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1.46</w:t>
            </w:r>
          </w:p>
        </w:tc>
        <w:tc>
          <w:tcPr>
            <w:tcW w:w="1560" w:type="dxa"/>
          </w:tcPr>
          <w:p w14:paraId="016B2208"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w:t>
            </w:r>
          </w:p>
        </w:tc>
      </w:tr>
    </w:tbl>
    <w:p w14:paraId="14836A42" w14:textId="77777777" w:rsidR="00503641" w:rsidRPr="000456C5" w:rsidRDefault="00503641" w:rsidP="00503641">
      <w:pPr>
        <w:pBdr>
          <w:top w:val="nil"/>
          <w:left w:val="nil"/>
          <w:bottom w:val="nil"/>
          <w:right w:val="nil"/>
          <w:between w:val="nil"/>
        </w:pBdr>
        <w:spacing w:before="480" w:after="240"/>
        <w:rPr>
          <w:rFonts w:eastAsia="Google Sans Text" w:cs="Times New Roman"/>
          <w:b/>
          <w:bCs/>
          <w:color w:val="1F1F1F"/>
        </w:rPr>
      </w:pPr>
      <w:r w:rsidRPr="000456C5">
        <w:rPr>
          <w:rFonts w:eastAsia="Google Sans Text" w:cs="Times New Roman"/>
          <w:b/>
          <w:bCs/>
          <w:color w:val="1F1F1F"/>
        </w:rPr>
        <w:t>Optimal Portfolio Allocation (Budget: £2,500,000)</w:t>
      </w:r>
    </w:p>
    <w:tbl>
      <w:tblPr>
        <w:tblStyle w:val="TableGrid"/>
        <w:tblW w:w="9360" w:type="dxa"/>
        <w:tblLayout w:type="fixed"/>
        <w:tblLook w:val="0600" w:firstRow="0" w:lastRow="0" w:firstColumn="0" w:lastColumn="0" w:noHBand="1" w:noVBand="1"/>
      </w:tblPr>
      <w:tblGrid>
        <w:gridCol w:w="1872"/>
        <w:gridCol w:w="1872"/>
        <w:gridCol w:w="1872"/>
        <w:gridCol w:w="1872"/>
        <w:gridCol w:w="1872"/>
      </w:tblGrid>
      <w:tr w:rsidR="00503641" w:rsidRPr="000456C5" w14:paraId="50586F24" w14:textId="77777777" w:rsidTr="00222FD2">
        <w:tc>
          <w:tcPr>
            <w:tcW w:w="1872" w:type="dxa"/>
          </w:tcPr>
          <w:p w14:paraId="10901FDB"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Rank</w:t>
            </w:r>
          </w:p>
        </w:tc>
        <w:tc>
          <w:tcPr>
            <w:tcW w:w="1872" w:type="dxa"/>
          </w:tcPr>
          <w:p w14:paraId="0422DFC6"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Project</w:t>
            </w:r>
          </w:p>
        </w:tc>
        <w:tc>
          <w:tcPr>
            <w:tcW w:w="1872" w:type="dxa"/>
          </w:tcPr>
          <w:p w14:paraId="48EF51FA"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Investment Allocated (£)</w:t>
            </w:r>
          </w:p>
        </w:tc>
        <w:tc>
          <w:tcPr>
            <w:tcW w:w="1872" w:type="dxa"/>
          </w:tcPr>
          <w:p w14:paraId="2028C5CF"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 of Project</w:t>
            </w:r>
          </w:p>
        </w:tc>
        <w:tc>
          <w:tcPr>
            <w:tcW w:w="1872" w:type="dxa"/>
          </w:tcPr>
          <w:p w14:paraId="57396805"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NPV Contribution (£)</w:t>
            </w:r>
          </w:p>
        </w:tc>
      </w:tr>
      <w:tr w:rsidR="00503641" w:rsidRPr="000456C5" w14:paraId="7DF87DA7" w14:textId="77777777" w:rsidTr="00222FD2">
        <w:tc>
          <w:tcPr>
            <w:tcW w:w="1872" w:type="dxa"/>
          </w:tcPr>
          <w:p w14:paraId="6BACA46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w:t>
            </w:r>
          </w:p>
        </w:tc>
        <w:tc>
          <w:tcPr>
            <w:tcW w:w="1872" w:type="dxa"/>
          </w:tcPr>
          <w:p w14:paraId="592CB619"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A</w:t>
            </w:r>
          </w:p>
        </w:tc>
        <w:tc>
          <w:tcPr>
            <w:tcW w:w="1872" w:type="dxa"/>
          </w:tcPr>
          <w:p w14:paraId="2352C87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600,000</w:t>
            </w:r>
          </w:p>
        </w:tc>
        <w:tc>
          <w:tcPr>
            <w:tcW w:w="1872" w:type="dxa"/>
          </w:tcPr>
          <w:p w14:paraId="39E0EF25"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w:t>
            </w:r>
          </w:p>
        </w:tc>
        <w:tc>
          <w:tcPr>
            <w:tcW w:w="1872" w:type="dxa"/>
          </w:tcPr>
          <w:p w14:paraId="05433297" w14:textId="54C3E20C"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643,</w:t>
            </w:r>
            <w:r w:rsidR="00852D94">
              <w:rPr>
                <w:rFonts w:eastAsia="Google Sans Text" w:cs="Times New Roman"/>
                <w:color w:val="1F1F1F"/>
              </w:rPr>
              <w:t>2</w:t>
            </w:r>
            <w:r w:rsidRPr="000456C5">
              <w:rPr>
                <w:rFonts w:eastAsia="Google Sans Text" w:cs="Times New Roman"/>
                <w:color w:val="1F1F1F"/>
              </w:rPr>
              <w:t>00</w:t>
            </w:r>
          </w:p>
        </w:tc>
      </w:tr>
      <w:tr w:rsidR="00503641" w:rsidRPr="000456C5" w14:paraId="70CE6465" w14:textId="77777777" w:rsidTr="00222FD2">
        <w:tc>
          <w:tcPr>
            <w:tcW w:w="1872" w:type="dxa"/>
          </w:tcPr>
          <w:p w14:paraId="40F975B7"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2</w:t>
            </w:r>
          </w:p>
        </w:tc>
        <w:tc>
          <w:tcPr>
            <w:tcW w:w="1872" w:type="dxa"/>
          </w:tcPr>
          <w:p w14:paraId="3D25C5AC"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B</w:t>
            </w:r>
          </w:p>
        </w:tc>
        <w:tc>
          <w:tcPr>
            <w:tcW w:w="1872" w:type="dxa"/>
          </w:tcPr>
          <w:p w14:paraId="6D1D294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1,000,000</w:t>
            </w:r>
          </w:p>
        </w:tc>
        <w:tc>
          <w:tcPr>
            <w:tcW w:w="1872" w:type="dxa"/>
          </w:tcPr>
          <w:p w14:paraId="12C67CAA"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100%</w:t>
            </w:r>
          </w:p>
        </w:tc>
        <w:tc>
          <w:tcPr>
            <w:tcW w:w="1872" w:type="dxa"/>
          </w:tcPr>
          <w:p w14:paraId="63A94BD0" w14:textId="7C9270A5"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792,</w:t>
            </w:r>
            <w:r w:rsidR="00852D94">
              <w:rPr>
                <w:rFonts w:eastAsia="Google Sans Text" w:cs="Times New Roman"/>
                <w:color w:val="1F1F1F"/>
              </w:rPr>
              <w:t>245</w:t>
            </w:r>
          </w:p>
        </w:tc>
      </w:tr>
      <w:tr w:rsidR="00503641" w:rsidRPr="000456C5" w14:paraId="374BBFA1" w14:textId="77777777" w:rsidTr="00222FD2">
        <w:tc>
          <w:tcPr>
            <w:tcW w:w="1872" w:type="dxa"/>
          </w:tcPr>
          <w:p w14:paraId="38EE5DD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3</w:t>
            </w:r>
          </w:p>
        </w:tc>
        <w:tc>
          <w:tcPr>
            <w:tcW w:w="1872" w:type="dxa"/>
          </w:tcPr>
          <w:p w14:paraId="2B93EC22"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Option C</w:t>
            </w:r>
          </w:p>
        </w:tc>
        <w:tc>
          <w:tcPr>
            <w:tcW w:w="1872" w:type="dxa"/>
          </w:tcPr>
          <w:p w14:paraId="64D6B010"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900,000</w:t>
            </w:r>
          </w:p>
        </w:tc>
        <w:tc>
          <w:tcPr>
            <w:tcW w:w="1872" w:type="dxa"/>
          </w:tcPr>
          <w:p w14:paraId="1B2D3C3E" w14:textId="77777777"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56.25%</w:t>
            </w:r>
          </w:p>
        </w:tc>
        <w:tc>
          <w:tcPr>
            <w:tcW w:w="1872" w:type="dxa"/>
          </w:tcPr>
          <w:p w14:paraId="316CD59D" w14:textId="0B9DDE6E" w:rsidR="00503641" w:rsidRPr="000456C5" w:rsidRDefault="00503641" w:rsidP="007B2F3A">
            <w:pPr>
              <w:pBdr>
                <w:top w:val="nil"/>
                <w:left w:val="nil"/>
                <w:bottom w:val="nil"/>
                <w:right w:val="nil"/>
                <w:between w:val="nil"/>
              </w:pBdr>
              <w:rPr>
                <w:rFonts w:eastAsia="Google Sans Text" w:cs="Times New Roman"/>
                <w:color w:val="1F1F1F"/>
              </w:rPr>
            </w:pPr>
            <w:r w:rsidRPr="000456C5">
              <w:rPr>
                <w:rFonts w:eastAsia="Google Sans Text" w:cs="Times New Roman"/>
                <w:color w:val="1F1F1F"/>
              </w:rPr>
              <w:t>417,</w:t>
            </w:r>
            <w:r w:rsidR="00852D94">
              <w:rPr>
                <w:rFonts w:eastAsia="Google Sans Text" w:cs="Times New Roman"/>
                <w:color w:val="1F1F1F"/>
              </w:rPr>
              <w:t>663</w:t>
            </w:r>
          </w:p>
        </w:tc>
      </w:tr>
      <w:tr w:rsidR="00503641" w:rsidRPr="000456C5" w14:paraId="6FFCD9B1" w14:textId="77777777" w:rsidTr="00222FD2">
        <w:tc>
          <w:tcPr>
            <w:tcW w:w="1872" w:type="dxa"/>
          </w:tcPr>
          <w:p w14:paraId="700343ED"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Total</w:t>
            </w:r>
          </w:p>
        </w:tc>
        <w:tc>
          <w:tcPr>
            <w:tcW w:w="1872" w:type="dxa"/>
          </w:tcPr>
          <w:p w14:paraId="4851BD07"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872" w:type="dxa"/>
          </w:tcPr>
          <w:p w14:paraId="02CD9EF9" w14:textId="77777777"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2,500,000</w:t>
            </w:r>
          </w:p>
        </w:tc>
        <w:tc>
          <w:tcPr>
            <w:tcW w:w="1872" w:type="dxa"/>
          </w:tcPr>
          <w:p w14:paraId="25585960" w14:textId="77777777" w:rsidR="00503641" w:rsidRPr="000456C5" w:rsidRDefault="00503641" w:rsidP="007B2F3A">
            <w:pPr>
              <w:pBdr>
                <w:top w:val="nil"/>
                <w:left w:val="nil"/>
                <w:bottom w:val="nil"/>
                <w:right w:val="nil"/>
                <w:between w:val="nil"/>
              </w:pBdr>
              <w:rPr>
                <w:rFonts w:eastAsia="Google Sans Text" w:cs="Times New Roman"/>
                <w:b/>
                <w:bCs/>
                <w:color w:val="1F1F1F"/>
              </w:rPr>
            </w:pPr>
          </w:p>
        </w:tc>
        <w:tc>
          <w:tcPr>
            <w:tcW w:w="1872" w:type="dxa"/>
          </w:tcPr>
          <w:p w14:paraId="49698414" w14:textId="15E95F69" w:rsidR="00503641" w:rsidRPr="000456C5" w:rsidRDefault="00503641" w:rsidP="007B2F3A">
            <w:pPr>
              <w:pBdr>
                <w:top w:val="nil"/>
                <w:left w:val="nil"/>
                <w:bottom w:val="nil"/>
                <w:right w:val="nil"/>
                <w:between w:val="nil"/>
              </w:pBdr>
              <w:rPr>
                <w:rFonts w:eastAsia="Google Sans Text" w:cs="Times New Roman"/>
                <w:b/>
                <w:bCs/>
                <w:color w:val="1F1F1F"/>
              </w:rPr>
            </w:pPr>
            <w:r w:rsidRPr="000456C5">
              <w:rPr>
                <w:rFonts w:eastAsia="Google Sans Text" w:cs="Times New Roman"/>
                <w:b/>
                <w:bCs/>
                <w:color w:val="1F1F1F"/>
              </w:rPr>
              <w:t>1,853,1</w:t>
            </w:r>
            <w:r w:rsidR="00852D94">
              <w:rPr>
                <w:rFonts w:eastAsia="Google Sans Text" w:cs="Times New Roman"/>
                <w:b/>
                <w:bCs/>
                <w:color w:val="1F1F1F"/>
              </w:rPr>
              <w:t>08</w:t>
            </w:r>
          </w:p>
        </w:tc>
      </w:tr>
    </w:tbl>
    <w:p w14:paraId="523840C1" w14:textId="77777777" w:rsidR="00503641" w:rsidRPr="000456C5" w:rsidRDefault="00503641" w:rsidP="00503641">
      <w:pPr>
        <w:pBdr>
          <w:top w:val="nil"/>
          <w:left w:val="nil"/>
          <w:bottom w:val="nil"/>
          <w:right w:val="nil"/>
          <w:between w:val="nil"/>
        </w:pBdr>
        <w:spacing w:before="480" w:after="240"/>
        <w:rPr>
          <w:rFonts w:eastAsia="Google Sans Text" w:cs="Times New Roman"/>
          <w:i/>
          <w:iCs/>
          <w:color w:val="1F1F1F"/>
        </w:rPr>
      </w:pPr>
      <w:r w:rsidRPr="000456C5">
        <w:rPr>
          <w:rFonts w:eastAsia="Google Sans Text" w:cs="Times New Roman"/>
          <w:i/>
          <w:iCs/>
          <w:color w:val="1F1F1F"/>
        </w:rPr>
        <w:t>(Note: Option C Fraction = £900,000 remaining budget / £1,600,000 total cost = 0.5625)</w:t>
      </w:r>
    </w:p>
    <w:p w14:paraId="5EF3D667" w14:textId="5AB7D405" w:rsidR="000047A4" w:rsidRPr="00503641" w:rsidRDefault="000047A4" w:rsidP="00CB0FAC"/>
    <w:sectPr w:rsidR="000047A4" w:rsidRPr="00503641">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3ED0E" w14:textId="77777777" w:rsidR="007321C0" w:rsidRDefault="007321C0" w:rsidP="00C70471">
      <w:pPr>
        <w:spacing w:before="0" w:after="0" w:line="240" w:lineRule="auto"/>
      </w:pPr>
      <w:r>
        <w:separator/>
      </w:r>
    </w:p>
  </w:endnote>
  <w:endnote w:type="continuationSeparator" w:id="0">
    <w:p w14:paraId="1F286553" w14:textId="77777777" w:rsidR="007321C0" w:rsidRDefault="007321C0" w:rsidP="00C7047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ogle Sans">
    <w:charset w:val="00"/>
    <w:family w:val="auto"/>
    <w:pitch w:val="default"/>
    <w:embedRegular r:id="rId1" w:fontKey="{40E2A602-23A7-4141-89B8-F3A3B5F22D96}"/>
    <w:embedBold r:id="rId2" w:fontKey="{5A59AC25-F391-482A-BE2E-60304F948D24}"/>
  </w:font>
  <w:font w:name="Calibri">
    <w:panose1 w:val="020F0502020204030204"/>
    <w:charset w:val="00"/>
    <w:family w:val="swiss"/>
    <w:pitch w:val="variable"/>
    <w:sig w:usb0="E00002FF" w:usb1="4000ACFF" w:usb2="00000001" w:usb3="00000000" w:csb0="0000019F" w:csb1="00000000"/>
    <w:embedRegular r:id="rId3" w:fontKey="{01B5497C-D008-4D63-B168-84E27EFC5A6C}"/>
    <w:embedItalic r:id="rId4" w:fontKey="{791BBF26-CE9C-4AB1-A726-D8A0F7C42A5F}"/>
  </w:font>
  <w:font w:name="Georgia">
    <w:panose1 w:val="02040502050405020303"/>
    <w:charset w:val="00"/>
    <w:family w:val="roman"/>
    <w:pitch w:val="variable"/>
    <w:sig w:usb0="00000287" w:usb1="00000000" w:usb2="00000000" w:usb3="00000000" w:csb0="0000009F" w:csb1="00000000"/>
    <w:embedItalic r:id="rId5" w:fontKey="{77EE606E-4F14-48DE-BB4B-39F3969685EB}"/>
  </w:font>
  <w:font w:name="Aptos">
    <w:charset w:val="00"/>
    <w:family w:val="swiss"/>
    <w:pitch w:val="variable"/>
    <w:sig w:usb0="20000287" w:usb1="00000003" w:usb2="00000000" w:usb3="00000000" w:csb0="0000019F" w:csb1="00000000"/>
    <w:embedRegular r:id="rId6" w:fontKey="{EBC129CB-5C3E-452F-A382-24038CB6CC8D}"/>
  </w:font>
  <w:font w:name="Google Sans Text">
    <w:charset w:val="00"/>
    <w:family w:val="auto"/>
    <w:pitch w:val="default"/>
    <w:embedRegular r:id="rId7" w:fontKey="{58D82F79-8FB5-4670-9DD9-357F9680979C}"/>
    <w:embedBold r:id="rId8" w:fontKey="{93095413-BA8A-48CF-9266-9CC1B8CB6C63}"/>
    <w:embedItalic r:id="rId9" w:fontKey="{9F620BF0-B8BB-400E-AA60-04BFBFB41AC9}"/>
  </w:font>
  <w:font w:name="Cambria">
    <w:panose1 w:val="02040503050406030204"/>
    <w:charset w:val="00"/>
    <w:family w:val="roman"/>
    <w:pitch w:val="variable"/>
    <w:sig w:usb0="E00002FF" w:usb1="400004FF" w:usb2="00000000" w:usb3="00000000" w:csb0="0000019F" w:csb1="00000000"/>
    <w:embedRegular r:id="rId10" w:fontKey="{3B136793-68F6-4D97-AC30-D7EC72D9F44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363845"/>
      <w:docPartObj>
        <w:docPartGallery w:val="Page Numbers (Bottom of Page)"/>
        <w:docPartUnique/>
      </w:docPartObj>
    </w:sdtPr>
    <w:sdtEndPr>
      <w:rPr>
        <w:noProof/>
      </w:rPr>
    </w:sdtEndPr>
    <w:sdtContent>
      <w:p w14:paraId="3AD030F7" w14:textId="39ACA715" w:rsidR="00C70471" w:rsidRDefault="00C704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C18772" w14:textId="77777777" w:rsidR="00C70471" w:rsidRDefault="00C70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5F8F6" w14:textId="77777777" w:rsidR="007321C0" w:rsidRDefault="007321C0" w:rsidP="00C70471">
      <w:pPr>
        <w:spacing w:before="0" w:after="0" w:line="240" w:lineRule="auto"/>
      </w:pPr>
      <w:r>
        <w:separator/>
      </w:r>
    </w:p>
  </w:footnote>
  <w:footnote w:type="continuationSeparator" w:id="0">
    <w:p w14:paraId="633AC936" w14:textId="77777777" w:rsidR="007321C0" w:rsidRDefault="007321C0" w:rsidP="00C7047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F0884"/>
    <w:multiLevelType w:val="multilevel"/>
    <w:tmpl w:val="C8BA3D4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CE14D23"/>
    <w:multiLevelType w:val="multilevel"/>
    <w:tmpl w:val="F410C35E"/>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E8F140E"/>
    <w:multiLevelType w:val="multilevel"/>
    <w:tmpl w:val="1D50E6F8"/>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A483E8F"/>
    <w:multiLevelType w:val="multilevel"/>
    <w:tmpl w:val="8E8403C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61E72C3E"/>
    <w:multiLevelType w:val="multilevel"/>
    <w:tmpl w:val="EA56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E8753B"/>
    <w:multiLevelType w:val="multilevel"/>
    <w:tmpl w:val="362221B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6D5B7C90"/>
    <w:multiLevelType w:val="multilevel"/>
    <w:tmpl w:val="D64830F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71BF6DF7"/>
    <w:multiLevelType w:val="multilevel"/>
    <w:tmpl w:val="DD72ECB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74570CDD"/>
    <w:multiLevelType w:val="multilevel"/>
    <w:tmpl w:val="5DC6135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74A05D11"/>
    <w:multiLevelType w:val="multilevel"/>
    <w:tmpl w:val="C4EE7506"/>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70743345">
    <w:abstractNumId w:val="8"/>
  </w:num>
  <w:num w:numId="2" w16cid:durableId="738094724">
    <w:abstractNumId w:val="1"/>
  </w:num>
  <w:num w:numId="3" w16cid:durableId="59837251">
    <w:abstractNumId w:val="5"/>
  </w:num>
  <w:num w:numId="4" w16cid:durableId="221209419">
    <w:abstractNumId w:val="7"/>
  </w:num>
  <w:num w:numId="5" w16cid:durableId="239876501">
    <w:abstractNumId w:val="0"/>
  </w:num>
  <w:num w:numId="6" w16cid:durableId="1924561289">
    <w:abstractNumId w:val="6"/>
  </w:num>
  <w:num w:numId="7" w16cid:durableId="538592234">
    <w:abstractNumId w:val="3"/>
  </w:num>
  <w:num w:numId="8" w16cid:durableId="1659766708">
    <w:abstractNumId w:val="2"/>
  </w:num>
  <w:num w:numId="9" w16cid:durableId="1010184130">
    <w:abstractNumId w:val="9"/>
  </w:num>
  <w:num w:numId="10" w16cid:durableId="15521079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3170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7A4"/>
    <w:rsid w:val="000047A4"/>
    <w:rsid w:val="001B27AA"/>
    <w:rsid w:val="0020750C"/>
    <w:rsid w:val="00222FD2"/>
    <w:rsid w:val="003F030F"/>
    <w:rsid w:val="00503641"/>
    <w:rsid w:val="00660CC2"/>
    <w:rsid w:val="00665D61"/>
    <w:rsid w:val="006D2254"/>
    <w:rsid w:val="0070224F"/>
    <w:rsid w:val="007321C0"/>
    <w:rsid w:val="007515E3"/>
    <w:rsid w:val="00790E99"/>
    <w:rsid w:val="007F743C"/>
    <w:rsid w:val="00842520"/>
    <w:rsid w:val="00852D94"/>
    <w:rsid w:val="0088792A"/>
    <w:rsid w:val="00A60FFF"/>
    <w:rsid w:val="00A720CA"/>
    <w:rsid w:val="00AA25C7"/>
    <w:rsid w:val="00B613F1"/>
    <w:rsid w:val="00C70471"/>
    <w:rsid w:val="00CB0FAC"/>
    <w:rsid w:val="00CE240F"/>
    <w:rsid w:val="00D35A84"/>
    <w:rsid w:val="00DE6DA7"/>
    <w:rsid w:val="00E16F11"/>
    <w:rsid w:val="00EF32CF"/>
    <w:rsid w:val="00FF5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748C3"/>
  <w15:docId w15:val="{ACC53EC9-B3F6-4D9D-A62C-623D6AA3F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641"/>
    <w:pPr>
      <w:spacing w:before="120" w:after="120" w:line="360" w:lineRule="auto"/>
      <w:jc w:val="both"/>
    </w:pPr>
    <w:rPr>
      <w:rFonts w:ascii="Times New Roman" w:hAnsi="Times New Roman"/>
      <w:sz w:val="24"/>
      <w:lang w:val="en-GB"/>
    </w:rPr>
  </w:style>
  <w:style w:type="paragraph" w:styleId="Heading1">
    <w:name w:val="heading 1"/>
    <w:basedOn w:val="Normal"/>
    <w:next w:val="Normal"/>
    <w:autoRedefine/>
    <w:uiPriority w:val="9"/>
    <w:qFormat/>
    <w:rsid w:val="00D35A84"/>
    <w:pPr>
      <w:numPr>
        <w:numId w:val="9"/>
      </w:num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autoRedefine/>
    <w:uiPriority w:val="9"/>
    <w:unhideWhenUsed/>
    <w:qFormat/>
    <w:rsid w:val="00503641"/>
    <w:pPr>
      <w:numPr>
        <w:ilvl w:val="1"/>
        <w:numId w:val="9"/>
      </w:numPr>
      <w:pBdr>
        <w:top w:val="nil"/>
        <w:left w:val="nil"/>
        <w:bottom w:val="nil"/>
        <w:right w:val="nil"/>
        <w:between w:val="nil"/>
      </w:pBdr>
      <w:outlineLvl w:val="1"/>
    </w:pPr>
    <w:rPr>
      <w:rFonts w:eastAsia="Google Sans" w:cs="Times New Roman"/>
      <w:b/>
      <w:bCs/>
      <w:color w:val="1F1F1F"/>
      <w:sz w:val="28"/>
      <w:szCs w:val="36"/>
    </w:rPr>
  </w:style>
  <w:style w:type="paragraph" w:styleId="Heading3">
    <w:name w:val="heading 3"/>
    <w:basedOn w:val="Normal"/>
    <w:next w:val="Normal"/>
    <w:autoRedefine/>
    <w:uiPriority w:val="9"/>
    <w:unhideWhenUsed/>
    <w:qFormat/>
    <w:rsid w:val="00503641"/>
    <w:pPr>
      <w:numPr>
        <w:ilvl w:val="2"/>
        <w:numId w:val="9"/>
      </w:numPr>
      <w:pBdr>
        <w:top w:val="nil"/>
        <w:left w:val="nil"/>
        <w:bottom w:val="nil"/>
        <w:right w:val="nil"/>
        <w:between w:val="nil"/>
      </w:pBdr>
      <w:spacing w:before="240" w:after="240"/>
      <w:outlineLvl w:val="2"/>
    </w:pPr>
    <w:rPr>
      <w:b/>
      <w:bCs/>
      <w:szCs w:val="28"/>
    </w:rPr>
  </w:style>
  <w:style w:type="paragraph" w:styleId="Heading4">
    <w:name w:val="heading 4"/>
    <w:basedOn w:val="Normal"/>
    <w:next w:val="Normal"/>
    <w:uiPriority w:val="9"/>
    <w:semiHidden/>
    <w:unhideWhenUsed/>
    <w:qFormat/>
    <w:pPr>
      <w:numPr>
        <w:ilvl w:val="3"/>
        <w:numId w:val="9"/>
      </w:numPr>
      <w:pBdr>
        <w:top w:val="nil"/>
        <w:left w:val="nil"/>
        <w:bottom w:val="nil"/>
        <w:right w:val="nil"/>
        <w:between w:val="nil"/>
      </w:pBdr>
      <w:spacing w:before="255" w:after="255"/>
      <w:outlineLvl w:val="3"/>
    </w:pPr>
    <w:rPr>
      <w:b/>
      <w:bCs/>
      <w:szCs w:val="24"/>
    </w:rPr>
  </w:style>
  <w:style w:type="paragraph" w:styleId="Heading5">
    <w:name w:val="heading 5"/>
    <w:basedOn w:val="Normal"/>
    <w:next w:val="Normal"/>
    <w:uiPriority w:val="9"/>
    <w:semiHidden/>
    <w:unhideWhenUsed/>
    <w:qFormat/>
    <w:pPr>
      <w:numPr>
        <w:ilvl w:val="4"/>
        <w:numId w:val="9"/>
      </w:num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numPr>
        <w:ilvl w:val="5"/>
        <w:numId w:val="9"/>
      </w:numPr>
      <w:pBdr>
        <w:top w:val="nil"/>
        <w:left w:val="nil"/>
        <w:bottom w:val="nil"/>
        <w:right w:val="nil"/>
        <w:between w:val="nil"/>
      </w:pBdr>
      <w:spacing w:before="360" w:after="360"/>
      <w:outlineLvl w:val="5"/>
    </w:pPr>
    <w:rPr>
      <w:b/>
      <w:bCs/>
      <w:sz w:val="16"/>
      <w:szCs w:val="16"/>
    </w:rPr>
  </w:style>
  <w:style w:type="paragraph" w:styleId="Heading7">
    <w:name w:val="heading 7"/>
    <w:basedOn w:val="Normal"/>
    <w:next w:val="Normal"/>
    <w:link w:val="Heading7Char"/>
    <w:uiPriority w:val="9"/>
    <w:semiHidden/>
    <w:unhideWhenUsed/>
    <w:qFormat/>
    <w:rsid w:val="00D35A84"/>
    <w:pPr>
      <w:keepNext/>
      <w:keepLines/>
      <w:numPr>
        <w:ilvl w:val="6"/>
        <w:numId w:val="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35A84"/>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5A84"/>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styleId="TableGrid">
    <w:name w:val="Table Grid"/>
    <w:basedOn w:val="TableNormal"/>
    <w:uiPriority w:val="39"/>
    <w:rsid w:val="00503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047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70471"/>
    <w:rPr>
      <w:rFonts w:ascii="Times New Roman" w:hAnsi="Times New Roman"/>
      <w:sz w:val="24"/>
    </w:rPr>
  </w:style>
  <w:style w:type="paragraph" w:styleId="Footer">
    <w:name w:val="footer"/>
    <w:basedOn w:val="Normal"/>
    <w:link w:val="FooterChar"/>
    <w:uiPriority w:val="99"/>
    <w:unhideWhenUsed/>
    <w:rsid w:val="00C7047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70471"/>
    <w:rPr>
      <w:rFonts w:ascii="Times New Roman" w:hAnsi="Times New Roman"/>
      <w:sz w:val="24"/>
    </w:rPr>
  </w:style>
  <w:style w:type="paragraph" w:styleId="TOCHeading">
    <w:name w:val="TOC Heading"/>
    <w:basedOn w:val="Heading1"/>
    <w:next w:val="Normal"/>
    <w:uiPriority w:val="39"/>
    <w:unhideWhenUsed/>
    <w:qFormat/>
    <w:rsid w:val="006D2254"/>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6D2254"/>
    <w:pPr>
      <w:spacing w:after="100"/>
    </w:pPr>
  </w:style>
  <w:style w:type="paragraph" w:styleId="TOC2">
    <w:name w:val="toc 2"/>
    <w:basedOn w:val="Normal"/>
    <w:next w:val="Normal"/>
    <w:autoRedefine/>
    <w:uiPriority w:val="39"/>
    <w:unhideWhenUsed/>
    <w:rsid w:val="006D2254"/>
    <w:pPr>
      <w:spacing w:after="100"/>
      <w:ind w:left="240"/>
    </w:pPr>
  </w:style>
  <w:style w:type="paragraph" w:styleId="TOC3">
    <w:name w:val="toc 3"/>
    <w:basedOn w:val="Normal"/>
    <w:next w:val="Normal"/>
    <w:autoRedefine/>
    <w:uiPriority w:val="39"/>
    <w:unhideWhenUsed/>
    <w:rsid w:val="006D2254"/>
    <w:pPr>
      <w:spacing w:after="100"/>
      <w:ind w:left="480"/>
    </w:pPr>
  </w:style>
  <w:style w:type="character" w:styleId="Hyperlink">
    <w:name w:val="Hyperlink"/>
    <w:basedOn w:val="DefaultParagraphFont"/>
    <w:uiPriority w:val="99"/>
    <w:unhideWhenUsed/>
    <w:rsid w:val="006D2254"/>
    <w:rPr>
      <w:color w:val="0000FF" w:themeColor="hyperlink"/>
      <w:u w:val="single"/>
    </w:rPr>
  </w:style>
  <w:style w:type="character" w:customStyle="1" w:styleId="Heading7Char">
    <w:name w:val="Heading 7 Char"/>
    <w:basedOn w:val="DefaultParagraphFont"/>
    <w:link w:val="Heading7"/>
    <w:uiPriority w:val="9"/>
    <w:semiHidden/>
    <w:rsid w:val="00D35A84"/>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D35A84"/>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D35A84"/>
    <w:rPr>
      <w:rFonts w:asciiTheme="majorHAnsi" w:eastAsiaTheme="majorEastAsia" w:hAnsiTheme="majorHAnsi" w:cstheme="majorBidi"/>
      <w:i/>
      <w:iCs/>
      <w:color w:val="272727" w:themeColor="text1" w:themeTint="D8"/>
      <w:sz w:val="21"/>
      <w:szCs w:val="21"/>
      <w:lang w:val="en-GB"/>
    </w:rPr>
  </w:style>
  <w:style w:type="paragraph" w:styleId="NormalWeb">
    <w:name w:val="Normal (Web)"/>
    <w:basedOn w:val="Normal"/>
    <w:uiPriority w:val="99"/>
    <w:semiHidden/>
    <w:unhideWhenUsed/>
    <w:rsid w:val="00FF5932"/>
    <w:pPr>
      <w:widowControl/>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5280">
      <w:bodyDiv w:val="1"/>
      <w:marLeft w:val="0"/>
      <w:marRight w:val="0"/>
      <w:marTop w:val="0"/>
      <w:marBottom w:val="0"/>
      <w:divBdr>
        <w:top w:val="none" w:sz="0" w:space="0" w:color="auto"/>
        <w:left w:val="none" w:sz="0" w:space="0" w:color="auto"/>
        <w:bottom w:val="none" w:sz="0" w:space="0" w:color="auto"/>
        <w:right w:val="none" w:sz="0" w:space="0" w:color="auto"/>
      </w:divBdr>
    </w:div>
    <w:div w:id="61608632">
      <w:bodyDiv w:val="1"/>
      <w:marLeft w:val="0"/>
      <w:marRight w:val="0"/>
      <w:marTop w:val="0"/>
      <w:marBottom w:val="0"/>
      <w:divBdr>
        <w:top w:val="none" w:sz="0" w:space="0" w:color="auto"/>
        <w:left w:val="none" w:sz="0" w:space="0" w:color="auto"/>
        <w:bottom w:val="none" w:sz="0" w:space="0" w:color="auto"/>
        <w:right w:val="none" w:sz="0" w:space="0" w:color="auto"/>
      </w:divBdr>
    </w:div>
    <w:div w:id="69929071">
      <w:bodyDiv w:val="1"/>
      <w:marLeft w:val="0"/>
      <w:marRight w:val="0"/>
      <w:marTop w:val="0"/>
      <w:marBottom w:val="0"/>
      <w:divBdr>
        <w:top w:val="none" w:sz="0" w:space="0" w:color="auto"/>
        <w:left w:val="none" w:sz="0" w:space="0" w:color="auto"/>
        <w:bottom w:val="none" w:sz="0" w:space="0" w:color="auto"/>
        <w:right w:val="none" w:sz="0" w:space="0" w:color="auto"/>
      </w:divBdr>
    </w:div>
    <w:div w:id="85542963">
      <w:bodyDiv w:val="1"/>
      <w:marLeft w:val="0"/>
      <w:marRight w:val="0"/>
      <w:marTop w:val="0"/>
      <w:marBottom w:val="0"/>
      <w:divBdr>
        <w:top w:val="none" w:sz="0" w:space="0" w:color="auto"/>
        <w:left w:val="none" w:sz="0" w:space="0" w:color="auto"/>
        <w:bottom w:val="none" w:sz="0" w:space="0" w:color="auto"/>
        <w:right w:val="none" w:sz="0" w:space="0" w:color="auto"/>
      </w:divBdr>
    </w:div>
    <w:div w:id="123696174">
      <w:bodyDiv w:val="1"/>
      <w:marLeft w:val="0"/>
      <w:marRight w:val="0"/>
      <w:marTop w:val="0"/>
      <w:marBottom w:val="0"/>
      <w:divBdr>
        <w:top w:val="none" w:sz="0" w:space="0" w:color="auto"/>
        <w:left w:val="none" w:sz="0" w:space="0" w:color="auto"/>
        <w:bottom w:val="none" w:sz="0" w:space="0" w:color="auto"/>
        <w:right w:val="none" w:sz="0" w:space="0" w:color="auto"/>
      </w:divBdr>
    </w:div>
    <w:div w:id="186650258">
      <w:bodyDiv w:val="1"/>
      <w:marLeft w:val="0"/>
      <w:marRight w:val="0"/>
      <w:marTop w:val="0"/>
      <w:marBottom w:val="0"/>
      <w:divBdr>
        <w:top w:val="none" w:sz="0" w:space="0" w:color="auto"/>
        <w:left w:val="none" w:sz="0" w:space="0" w:color="auto"/>
        <w:bottom w:val="none" w:sz="0" w:space="0" w:color="auto"/>
        <w:right w:val="none" w:sz="0" w:space="0" w:color="auto"/>
      </w:divBdr>
    </w:div>
    <w:div w:id="237786784">
      <w:bodyDiv w:val="1"/>
      <w:marLeft w:val="0"/>
      <w:marRight w:val="0"/>
      <w:marTop w:val="0"/>
      <w:marBottom w:val="0"/>
      <w:divBdr>
        <w:top w:val="none" w:sz="0" w:space="0" w:color="auto"/>
        <w:left w:val="none" w:sz="0" w:space="0" w:color="auto"/>
        <w:bottom w:val="none" w:sz="0" w:space="0" w:color="auto"/>
        <w:right w:val="none" w:sz="0" w:space="0" w:color="auto"/>
      </w:divBdr>
    </w:div>
    <w:div w:id="323438772">
      <w:bodyDiv w:val="1"/>
      <w:marLeft w:val="0"/>
      <w:marRight w:val="0"/>
      <w:marTop w:val="0"/>
      <w:marBottom w:val="0"/>
      <w:divBdr>
        <w:top w:val="none" w:sz="0" w:space="0" w:color="auto"/>
        <w:left w:val="none" w:sz="0" w:space="0" w:color="auto"/>
        <w:bottom w:val="none" w:sz="0" w:space="0" w:color="auto"/>
        <w:right w:val="none" w:sz="0" w:space="0" w:color="auto"/>
      </w:divBdr>
    </w:div>
    <w:div w:id="624232983">
      <w:bodyDiv w:val="1"/>
      <w:marLeft w:val="0"/>
      <w:marRight w:val="0"/>
      <w:marTop w:val="0"/>
      <w:marBottom w:val="0"/>
      <w:divBdr>
        <w:top w:val="none" w:sz="0" w:space="0" w:color="auto"/>
        <w:left w:val="none" w:sz="0" w:space="0" w:color="auto"/>
        <w:bottom w:val="none" w:sz="0" w:space="0" w:color="auto"/>
        <w:right w:val="none" w:sz="0" w:space="0" w:color="auto"/>
      </w:divBdr>
    </w:div>
    <w:div w:id="648052366">
      <w:bodyDiv w:val="1"/>
      <w:marLeft w:val="0"/>
      <w:marRight w:val="0"/>
      <w:marTop w:val="0"/>
      <w:marBottom w:val="0"/>
      <w:divBdr>
        <w:top w:val="none" w:sz="0" w:space="0" w:color="auto"/>
        <w:left w:val="none" w:sz="0" w:space="0" w:color="auto"/>
        <w:bottom w:val="none" w:sz="0" w:space="0" w:color="auto"/>
        <w:right w:val="none" w:sz="0" w:space="0" w:color="auto"/>
      </w:divBdr>
    </w:div>
    <w:div w:id="803615912">
      <w:bodyDiv w:val="1"/>
      <w:marLeft w:val="0"/>
      <w:marRight w:val="0"/>
      <w:marTop w:val="0"/>
      <w:marBottom w:val="0"/>
      <w:divBdr>
        <w:top w:val="none" w:sz="0" w:space="0" w:color="auto"/>
        <w:left w:val="none" w:sz="0" w:space="0" w:color="auto"/>
        <w:bottom w:val="none" w:sz="0" w:space="0" w:color="auto"/>
        <w:right w:val="none" w:sz="0" w:space="0" w:color="auto"/>
      </w:divBdr>
    </w:div>
    <w:div w:id="1272593878">
      <w:bodyDiv w:val="1"/>
      <w:marLeft w:val="0"/>
      <w:marRight w:val="0"/>
      <w:marTop w:val="0"/>
      <w:marBottom w:val="0"/>
      <w:divBdr>
        <w:top w:val="none" w:sz="0" w:space="0" w:color="auto"/>
        <w:left w:val="none" w:sz="0" w:space="0" w:color="auto"/>
        <w:bottom w:val="none" w:sz="0" w:space="0" w:color="auto"/>
        <w:right w:val="none" w:sz="0" w:space="0" w:color="auto"/>
      </w:divBdr>
    </w:div>
    <w:div w:id="1347440965">
      <w:bodyDiv w:val="1"/>
      <w:marLeft w:val="0"/>
      <w:marRight w:val="0"/>
      <w:marTop w:val="0"/>
      <w:marBottom w:val="0"/>
      <w:divBdr>
        <w:top w:val="none" w:sz="0" w:space="0" w:color="auto"/>
        <w:left w:val="none" w:sz="0" w:space="0" w:color="auto"/>
        <w:bottom w:val="none" w:sz="0" w:space="0" w:color="auto"/>
        <w:right w:val="none" w:sz="0" w:space="0" w:color="auto"/>
      </w:divBdr>
    </w:div>
    <w:div w:id="1489789663">
      <w:bodyDiv w:val="1"/>
      <w:marLeft w:val="0"/>
      <w:marRight w:val="0"/>
      <w:marTop w:val="0"/>
      <w:marBottom w:val="0"/>
      <w:divBdr>
        <w:top w:val="none" w:sz="0" w:space="0" w:color="auto"/>
        <w:left w:val="none" w:sz="0" w:space="0" w:color="auto"/>
        <w:bottom w:val="none" w:sz="0" w:space="0" w:color="auto"/>
        <w:right w:val="none" w:sz="0" w:space="0" w:color="auto"/>
      </w:divBdr>
    </w:div>
    <w:div w:id="1618368234">
      <w:bodyDiv w:val="1"/>
      <w:marLeft w:val="0"/>
      <w:marRight w:val="0"/>
      <w:marTop w:val="0"/>
      <w:marBottom w:val="0"/>
      <w:divBdr>
        <w:top w:val="none" w:sz="0" w:space="0" w:color="auto"/>
        <w:left w:val="none" w:sz="0" w:space="0" w:color="auto"/>
        <w:bottom w:val="none" w:sz="0" w:space="0" w:color="auto"/>
        <w:right w:val="none" w:sz="0" w:space="0" w:color="auto"/>
      </w:divBdr>
    </w:div>
    <w:div w:id="1749573713">
      <w:bodyDiv w:val="1"/>
      <w:marLeft w:val="0"/>
      <w:marRight w:val="0"/>
      <w:marTop w:val="0"/>
      <w:marBottom w:val="0"/>
      <w:divBdr>
        <w:top w:val="none" w:sz="0" w:space="0" w:color="auto"/>
        <w:left w:val="none" w:sz="0" w:space="0" w:color="auto"/>
        <w:bottom w:val="none" w:sz="0" w:space="0" w:color="auto"/>
        <w:right w:val="none" w:sz="0" w:space="0" w:color="auto"/>
      </w:divBdr>
    </w:div>
    <w:div w:id="1817724901">
      <w:bodyDiv w:val="1"/>
      <w:marLeft w:val="0"/>
      <w:marRight w:val="0"/>
      <w:marTop w:val="0"/>
      <w:marBottom w:val="0"/>
      <w:divBdr>
        <w:top w:val="none" w:sz="0" w:space="0" w:color="auto"/>
        <w:left w:val="none" w:sz="0" w:space="0" w:color="auto"/>
        <w:bottom w:val="none" w:sz="0" w:space="0" w:color="auto"/>
        <w:right w:val="none" w:sz="0" w:space="0" w:color="auto"/>
      </w:divBdr>
    </w:div>
    <w:div w:id="1858690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A90D4-DE3F-4C89-A782-B459BF538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39</Pages>
  <Words>9437</Words>
  <Characters>53792</Characters>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2026-01-12T19:52:00Z</dcterms:created>
  <dcterms:modified xsi:type="dcterms:W3CDTF">2026-01-12T22:16:00Z</dcterms:modified>
</cp:coreProperties>
</file>