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7EF47" w14:textId="69507E8B" w:rsidR="00195526" w:rsidRPr="0027372F" w:rsidRDefault="00195526" w:rsidP="0027372F">
      <w:pPr>
        <w:jc w:val="center"/>
        <w:rPr>
          <w:rStyle w:val="Strong"/>
          <w:rFonts w:cs="Arial"/>
          <w:b w:val="0"/>
          <w:bCs w:val="0"/>
          <w:sz w:val="24"/>
          <w:szCs w:val="24"/>
          <w:u w:val="double"/>
        </w:rPr>
      </w:pPr>
      <w:r w:rsidRPr="0027372F">
        <w:rPr>
          <w:rStyle w:val="Strong"/>
          <w:rFonts w:cs="Arial"/>
          <w:b w:val="0"/>
          <w:bCs w:val="0"/>
          <w:sz w:val="24"/>
          <w:szCs w:val="24"/>
          <w:u w:val="double"/>
        </w:rPr>
        <w:t>Research Aim: Analyse completion rates of return to work interviews in the organisation and their impact on sickness absence trends.</w:t>
      </w:r>
    </w:p>
    <w:p w14:paraId="370DBFC0" w14:textId="0CA0BAE9" w:rsidR="00195526" w:rsidRPr="0027372F" w:rsidRDefault="00195526" w:rsidP="007C31F1">
      <w:pPr>
        <w:rPr>
          <w:rStyle w:val="Strong"/>
          <w:rFonts w:cs="Arial"/>
          <w:sz w:val="24"/>
          <w:szCs w:val="24"/>
          <w:u w:val="single"/>
        </w:rPr>
      </w:pPr>
      <w:r w:rsidRPr="0027372F">
        <w:rPr>
          <w:rStyle w:val="Strong"/>
          <w:rFonts w:cs="Arial"/>
          <w:sz w:val="24"/>
          <w:szCs w:val="24"/>
          <w:u w:val="single"/>
        </w:rPr>
        <w:t xml:space="preserve">Why does it matter? </w:t>
      </w:r>
    </w:p>
    <w:p w14:paraId="0FF1D09F" w14:textId="404D67F8" w:rsidR="00195526" w:rsidRPr="0027372F" w:rsidRDefault="00195526" w:rsidP="007C31F1">
      <w:pPr>
        <w:rPr>
          <w:rStyle w:val="Strong"/>
          <w:rFonts w:cs="Arial"/>
          <w:b w:val="0"/>
          <w:bCs w:val="0"/>
          <w:sz w:val="24"/>
          <w:szCs w:val="24"/>
        </w:rPr>
      </w:pPr>
      <w:r w:rsidRPr="0027372F">
        <w:rPr>
          <w:rStyle w:val="Strong"/>
          <w:rFonts w:cs="Arial"/>
          <w:b w:val="0"/>
          <w:bCs w:val="0"/>
          <w:sz w:val="24"/>
          <w:szCs w:val="24"/>
        </w:rPr>
        <w:t xml:space="preserve">Sickness absence accounts for massive economical costs across organisations and the United Kingdom as a whole. Public Health England (2020) estimate that the total cost of sickness absence in the UK accounts for more than £100 billion per calendar year. </w:t>
      </w:r>
    </w:p>
    <w:p w14:paraId="0E24864E" w14:textId="4B31E842" w:rsidR="00195526" w:rsidRPr="0027372F" w:rsidRDefault="00D508BE" w:rsidP="007C31F1">
      <w:pPr>
        <w:rPr>
          <w:rStyle w:val="Strong"/>
          <w:rFonts w:cs="Arial"/>
          <w:b w:val="0"/>
          <w:bCs w:val="0"/>
          <w:sz w:val="24"/>
          <w:szCs w:val="24"/>
        </w:rPr>
      </w:pPr>
      <w:r w:rsidRPr="0027372F">
        <w:rPr>
          <w:rStyle w:val="Strong"/>
          <w:rFonts w:cs="Arial"/>
          <w:b w:val="0"/>
          <w:bCs w:val="0"/>
          <w:sz w:val="24"/>
          <w:szCs w:val="24"/>
        </w:rPr>
        <w:t>Objective 1: Critically analyse the return to work process through theoretical and secondary research</w:t>
      </w:r>
    </w:p>
    <w:p w14:paraId="02C3BD8F" w14:textId="52F5C6D4" w:rsidR="00D508BE" w:rsidRPr="0027372F" w:rsidRDefault="00D508BE" w:rsidP="007C31F1">
      <w:pPr>
        <w:rPr>
          <w:rStyle w:val="Strong"/>
          <w:rFonts w:cs="Arial"/>
          <w:b w:val="0"/>
          <w:bCs w:val="0"/>
          <w:sz w:val="24"/>
          <w:szCs w:val="24"/>
        </w:rPr>
      </w:pPr>
      <w:r w:rsidRPr="0027372F">
        <w:rPr>
          <w:rStyle w:val="Strong"/>
          <w:rFonts w:cs="Arial"/>
          <w:b w:val="0"/>
          <w:bCs w:val="0"/>
          <w:sz w:val="24"/>
          <w:szCs w:val="24"/>
        </w:rPr>
        <w:t>Objective 2: Undertake primary research to evaluate the role of the manager in the return to work process</w:t>
      </w:r>
    </w:p>
    <w:p w14:paraId="39D9A488" w14:textId="3E25B648" w:rsidR="00D508BE" w:rsidRPr="0027372F" w:rsidRDefault="00D508BE" w:rsidP="007C31F1">
      <w:pPr>
        <w:rPr>
          <w:rStyle w:val="Strong"/>
          <w:rFonts w:cs="Arial"/>
          <w:b w:val="0"/>
          <w:bCs w:val="0"/>
          <w:sz w:val="24"/>
          <w:szCs w:val="24"/>
        </w:rPr>
      </w:pPr>
      <w:r w:rsidRPr="0027372F">
        <w:rPr>
          <w:rStyle w:val="Strong"/>
          <w:rFonts w:cs="Arial"/>
          <w:b w:val="0"/>
          <w:bCs w:val="0"/>
          <w:sz w:val="24"/>
          <w:szCs w:val="24"/>
        </w:rPr>
        <w:t>Objective 3: Investigate the link between the return to work completion rates on sickness and absence</w:t>
      </w:r>
    </w:p>
    <w:p w14:paraId="00778C3F" w14:textId="6FD697E8" w:rsidR="00D508BE" w:rsidRPr="0027372F" w:rsidRDefault="00D508BE" w:rsidP="007C31F1">
      <w:pPr>
        <w:rPr>
          <w:rStyle w:val="Strong"/>
          <w:rFonts w:cs="Arial"/>
          <w:b w:val="0"/>
          <w:bCs w:val="0"/>
          <w:sz w:val="24"/>
          <w:szCs w:val="24"/>
        </w:rPr>
      </w:pPr>
      <w:r w:rsidRPr="0027372F">
        <w:rPr>
          <w:rStyle w:val="Strong"/>
          <w:rFonts w:cs="Arial"/>
          <w:b w:val="0"/>
          <w:bCs w:val="0"/>
          <w:sz w:val="24"/>
          <w:szCs w:val="24"/>
        </w:rPr>
        <w:t>Objective 4:</w:t>
      </w:r>
      <w:r w:rsidRPr="0027372F">
        <w:rPr>
          <w:rFonts w:cs="Arial"/>
          <w:sz w:val="24"/>
          <w:szCs w:val="24"/>
        </w:rPr>
        <w:t xml:space="preserve"> </w:t>
      </w:r>
      <w:r w:rsidRPr="0027372F">
        <w:rPr>
          <w:rStyle w:val="Strong"/>
          <w:rFonts w:cs="Arial"/>
          <w:b w:val="0"/>
          <w:bCs w:val="0"/>
          <w:sz w:val="24"/>
          <w:szCs w:val="24"/>
        </w:rPr>
        <w:t>Propose recommendations on how the return to work process can be improved to allow the organisation to effectively support their employees</w:t>
      </w:r>
    </w:p>
    <w:p w14:paraId="1E21F8B9" w14:textId="65C91BD8" w:rsidR="00195526" w:rsidRPr="0027372F" w:rsidRDefault="00195526" w:rsidP="007C31F1">
      <w:pPr>
        <w:rPr>
          <w:rStyle w:val="Strong"/>
          <w:rFonts w:cs="Arial"/>
          <w:sz w:val="24"/>
          <w:szCs w:val="24"/>
          <w:u w:val="single"/>
        </w:rPr>
      </w:pPr>
      <w:r w:rsidRPr="0027372F">
        <w:rPr>
          <w:rStyle w:val="Strong"/>
          <w:rFonts w:cs="Arial"/>
          <w:sz w:val="24"/>
          <w:szCs w:val="24"/>
          <w:u w:val="single"/>
        </w:rPr>
        <w:t>What does the literature say?</w:t>
      </w:r>
    </w:p>
    <w:p w14:paraId="6F3E0EA6" w14:textId="7641C063" w:rsidR="00195526" w:rsidRPr="0027372F" w:rsidRDefault="00196BBF" w:rsidP="005412C3">
      <w:pPr>
        <w:pStyle w:val="ListParagraph"/>
        <w:numPr>
          <w:ilvl w:val="0"/>
          <w:numId w:val="1"/>
        </w:numPr>
        <w:rPr>
          <w:rFonts w:cs="Arial"/>
          <w:b/>
          <w:bCs/>
          <w:sz w:val="24"/>
          <w:szCs w:val="24"/>
          <w:u w:val="single"/>
        </w:rPr>
      </w:pPr>
      <w:r w:rsidRPr="0027372F">
        <w:rPr>
          <w:rFonts w:cs="Arial"/>
          <w:sz w:val="24"/>
          <w:szCs w:val="24"/>
        </w:rPr>
        <w:t xml:space="preserve">An employer should follow a return to work process to ensure </w:t>
      </w:r>
      <w:r w:rsidR="0012236E" w:rsidRPr="0027372F">
        <w:rPr>
          <w:rFonts w:cs="Arial"/>
          <w:sz w:val="24"/>
          <w:szCs w:val="24"/>
        </w:rPr>
        <w:t>th</w:t>
      </w:r>
      <w:r w:rsidR="00B83D36" w:rsidRPr="0027372F">
        <w:rPr>
          <w:rFonts w:cs="Arial"/>
          <w:sz w:val="24"/>
          <w:szCs w:val="24"/>
        </w:rPr>
        <w:t xml:space="preserve">at an employee is psychologically ready to return and understand whether any of the workplace environments or stakeholders needs to be addressed to support the return </w:t>
      </w:r>
      <w:r w:rsidR="0009067B" w:rsidRPr="0027372F">
        <w:rPr>
          <w:rFonts w:cs="Arial"/>
          <w:sz w:val="24"/>
          <w:szCs w:val="24"/>
        </w:rPr>
        <w:t>(</w:t>
      </w:r>
      <w:proofErr w:type="spellStart"/>
      <w:r w:rsidR="0009067B" w:rsidRPr="0027372F">
        <w:rPr>
          <w:rFonts w:cs="Arial"/>
          <w:sz w:val="24"/>
          <w:szCs w:val="24"/>
        </w:rPr>
        <w:t>Klevanger</w:t>
      </w:r>
      <w:proofErr w:type="spellEnd"/>
      <w:r w:rsidR="0009067B" w:rsidRPr="0027372F">
        <w:rPr>
          <w:rFonts w:cs="Arial"/>
          <w:sz w:val="24"/>
          <w:szCs w:val="24"/>
        </w:rPr>
        <w:t xml:space="preserve"> et al.</w:t>
      </w:r>
      <w:r w:rsidR="00A46864" w:rsidRPr="0027372F">
        <w:rPr>
          <w:rFonts w:cs="Arial"/>
          <w:sz w:val="24"/>
          <w:szCs w:val="24"/>
        </w:rPr>
        <w:t xml:space="preserve"> 2021). </w:t>
      </w:r>
    </w:p>
    <w:p w14:paraId="511048A5" w14:textId="1B7A79FA" w:rsidR="005412C3" w:rsidRPr="0027372F" w:rsidRDefault="005412C3" w:rsidP="005412C3">
      <w:pPr>
        <w:pStyle w:val="ListParagraph"/>
        <w:numPr>
          <w:ilvl w:val="0"/>
          <w:numId w:val="1"/>
        </w:numPr>
        <w:rPr>
          <w:rFonts w:cs="Arial"/>
          <w:sz w:val="24"/>
          <w:szCs w:val="24"/>
        </w:rPr>
      </w:pPr>
      <w:r w:rsidRPr="0027372F">
        <w:rPr>
          <w:rFonts w:cs="Arial"/>
          <w:sz w:val="24"/>
          <w:szCs w:val="24"/>
        </w:rPr>
        <w:t>a return-to-work interview should be conducted as soon as possible and ideally on the first day the employee returns to the workplace (HR Specialist Solutions, 2021</w:t>
      </w:r>
      <w:r w:rsidR="0045435E" w:rsidRPr="0027372F">
        <w:rPr>
          <w:rFonts w:cs="Arial"/>
          <w:sz w:val="24"/>
          <w:szCs w:val="24"/>
        </w:rPr>
        <w:t>;</w:t>
      </w:r>
      <w:r w:rsidRPr="0027372F">
        <w:rPr>
          <w:rFonts w:cs="Arial"/>
          <w:sz w:val="24"/>
          <w:szCs w:val="24"/>
        </w:rPr>
        <w:t xml:space="preserve">  Bright HR, 2021).</w:t>
      </w:r>
    </w:p>
    <w:p w14:paraId="00D68232" w14:textId="77777777" w:rsidR="00D508BE" w:rsidRPr="0027372F" w:rsidRDefault="005412C3" w:rsidP="005412C3">
      <w:pPr>
        <w:pStyle w:val="ListParagraph"/>
        <w:numPr>
          <w:ilvl w:val="0"/>
          <w:numId w:val="1"/>
        </w:numPr>
        <w:rPr>
          <w:rStyle w:val="Strong"/>
          <w:rFonts w:cs="Arial"/>
          <w:b w:val="0"/>
          <w:bCs w:val="0"/>
          <w:sz w:val="24"/>
          <w:szCs w:val="24"/>
        </w:rPr>
      </w:pPr>
      <w:r w:rsidRPr="0027372F">
        <w:rPr>
          <w:rStyle w:val="Strong"/>
          <w:rFonts w:cs="Arial"/>
          <w:b w:val="0"/>
          <w:bCs w:val="0"/>
          <w:sz w:val="24"/>
          <w:szCs w:val="24"/>
        </w:rPr>
        <w:t>There is a number of legislation that can be more effectively addressed through return to work interviews including:</w:t>
      </w:r>
    </w:p>
    <w:p w14:paraId="69DFFD96" w14:textId="63424824" w:rsidR="005412C3" w:rsidRPr="0027372F" w:rsidRDefault="005412C3" w:rsidP="00667035">
      <w:pPr>
        <w:rPr>
          <w:rStyle w:val="Strong"/>
          <w:rFonts w:cs="Arial"/>
          <w:b w:val="0"/>
          <w:bCs w:val="0"/>
          <w:sz w:val="24"/>
          <w:szCs w:val="24"/>
        </w:rPr>
      </w:pPr>
      <w:r w:rsidRPr="0027372F">
        <w:rPr>
          <w:rStyle w:val="Strong"/>
          <w:rFonts w:cs="Arial"/>
          <w:b w:val="0"/>
          <w:bCs w:val="0"/>
          <w:sz w:val="24"/>
          <w:szCs w:val="24"/>
        </w:rPr>
        <w:t xml:space="preserve">The Equality Act 2010: specifically the requirement for </w:t>
      </w:r>
      <w:r w:rsidRPr="004822A7">
        <w:rPr>
          <w:rStyle w:val="Strong"/>
          <w:rFonts w:cs="Arial"/>
          <w:b w:val="0"/>
          <w:bCs w:val="0"/>
          <w:sz w:val="24"/>
          <w:szCs w:val="24"/>
        </w:rPr>
        <w:t>organisations to make reasonable adjustments</w:t>
      </w:r>
      <w:r w:rsidR="00D508BE" w:rsidRPr="004822A7">
        <w:rPr>
          <w:rStyle w:val="Strong"/>
          <w:rFonts w:cs="Arial"/>
          <w:b w:val="0"/>
          <w:bCs w:val="0"/>
          <w:sz w:val="24"/>
          <w:szCs w:val="24"/>
        </w:rPr>
        <w:t xml:space="preserve"> particularly for those with disabilities </w:t>
      </w:r>
      <w:r w:rsidR="00D508BE" w:rsidRPr="004822A7">
        <w:rPr>
          <w:rFonts w:cs="Arial"/>
          <w:sz w:val="24"/>
          <w:szCs w:val="24"/>
        </w:rPr>
        <w:t>(Peninsula Group, 2021).</w:t>
      </w:r>
    </w:p>
    <w:p w14:paraId="4DEA982D" w14:textId="044FBE65" w:rsidR="005412C3" w:rsidRPr="0027372F" w:rsidRDefault="005412C3" w:rsidP="007C31F1">
      <w:pPr>
        <w:rPr>
          <w:rStyle w:val="Strong"/>
          <w:rFonts w:cs="Arial"/>
          <w:b w:val="0"/>
          <w:bCs w:val="0"/>
          <w:sz w:val="24"/>
          <w:szCs w:val="24"/>
        </w:rPr>
      </w:pPr>
      <w:r w:rsidRPr="0027372F">
        <w:rPr>
          <w:rStyle w:val="Strong"/>
          <w:rFonts w:cs="Arial"/>
          <w:b w:val="0"/>
          <w:bCs w:val="0"/>
          <w:sz w:val="24"/>
          <w:szCs w:val="24"/>
        </w:rPr>
        <w:t>The Health and Safety Executive (HSE): where incidents occur, the HSE will determine whether all risks have been assessed before determining level of sanction</w:t>
      </w:r>
      <w:r w:rsidR="00D508BE" w:rsidRPr="0027372F">
        <w:rPr>
          <w:rStyle w:val="Strong"/>
          <w:rFonts w:cs="Arial"/>
          <w:b w:val="0"/>
          <w:bCs w:val="0"/>
          <w:sz w:val="24"/>
          <w:szCs w:val="24"/>
        </w:rPr>
        <w:t xml:space="preserve"> </w:t>
      </w:r>
      <w:r w:rsidR="00D508BE" w:rsidRPr="004822A7">
        <w:rPr>
          <w:rFonts w:cs="Arial"/>
          <w:sz w:val="24"/>
          <w:szCs w:val="24"/>
        </w:rPr>
        <w:t>(Health and Safety Executive, 2023).</w:t>
      </w:r>
      <w:r w:rsidR="00D508BE" w:rsidRPr="0027372F">
        <w:rPr>
          <w:rFonts w:cs="Arial"/>
          <w:b/>
          <w:bCs/>
          <w:sz w:val="24"/>
          <w:szCs w:val="24"/>
        </w:rPr>
        <w:t xml:space="preserve">  </w:t>
      </w:r>
    </w:p>
    <w:p w14:paraId="2ED32630" w14:textId="2035383A" w:rsidR="00195526" w:rsidRPr="0027372F" w:rsidRDefault="00195526" w:rsidP="007C31F1">
      <w:pPr>
        <w:rPr>
          <w:rStyle w:val="Strong"/>
          <w:rFonts w:cs="Arial"/>
          <w:sz w:val="24"/>
          <w:szCs w:val="24"/>
          <w:u w:val="single"/>
        </w:rPr>
      </w:pPr>
      <w:r w:rsidRPr="0027372F">
        <w:rPr>
          <w:rStyle w:val="Strong"/>
          <w:rFonts w:cs="Arial"/>
          <w:sz w:val="24"/>
          <w:szCs w:val="24"/>
          <w:u w:val="single"/>
        </w:rPr>
        <w:t>Data collection methods</w:t>
      </w:r>
    </w:p>
    <w:p w14:paraId="34BAD2BA" w14:textId="5697C7AB" w:rsidR="00D508BE" w:rsidRPr="0027372F" w:rsidRDefault="00D508BE" w:rsidP="00D508BE">
      <w:pPr>
        <w:pStyle w:val="ListParagraph"/>
        <w:numPr>
          <w:ilvl w:val="0"/>
          <w:numId w:val="2"/>
        </w:numPr>
        <w:rPr>
          <w:rStyle w:val="Strong"/>
          <w:rFonts w:cs="Arial"/>
          <w:b w:val="0"/>
          <w:bCs w:val="0"/>
          <w:sz w:val="24"/>
          <w:szCs w:val="24"/>
        </w:rPr>
      </w:pPr>
      <w:r w:rsidRPr="0027372F">
        <w:rPr>
          <w:rStyle w:val="Strong"/>
          <w:rFonts w:cs="Arial"/>
          <w:b w:val="0"/>
          <w:bCs w:val="0"/>
          <w:sz w:val="24"/>
          <w:szCs w:val="24"/>
        </w:rPr>
        <w:t xml:space="preserve">A questionnaire posing questions to achieve both qualitative and quantitative data. </w:t>
      </w:r>
    </w:p>
    <w:p w14:paraId="17D3CD21" w14:textId="4C82181F" w:rsidR="00D508BE" w:rsidRPr="0027372F" w:rsidRDefault="00D508BE" w:rsidP="00D508BE">
      <w:pPr>
        <w:pStyle w:val="ListParagraph"/>
        <w:numPr>
          <w:ilvl w:val="0"/>
          <w:numId w:val="2"/>
        </w:numPr>
        <w:rPr>
          <w:rStyle w:val="Strong"/>
          <w:rFonts w:cs="Arial"/>
          <w:b w:val="0"/>
          <w:bCs w:val="0"/>
          <w:sz w:val="24"/>
          <w:szCs w:val="24"/>
        </w:rPr>
      </w:pPr>
      <w:r w:rsidRPr="0027372F">
        <w:rPr>
          <w:rStyle w:val="Strong"/>
          <w:rFonts w:cs="Arial"/>
          <w:b w:val="0"/>
          <w:bCs w:val="0"/>
          <w:sz w:val="24"/>
          <w:szCs w:val="24"/>
        </w:rPr>
        <w:t>Due to the size of the organisation, the data collection was focused to the Hot Rolled Products Department which has a pool of 82 line managers</w:t>
      </w:r>
    </w:p>
    <w:p w14:paraId="35E44BB5" w14:textId="7F15F988" w:rsidR="00D508BE" w:rsidRPr="0027372F" w:rsidRDefault="00D508BE" w:rsidP="00D508BE">
      <w:pPr>
        <w:pStyle w:val="ListParagraph"/>
        <w:numPr>
          <w:ilvl w:val="0"/>
          <w:numId w:val="2"/>
        </w:numPr>
        <w:rPr>
          <w:rStyle w:val="Strong"/>
          <w:rFonts w:cs="Arial"/>
          <w:b w:val="0"/>
          <w:bCs w:val="0"/>
          <w:sz w:val="24"/>
          <w:szCs w:val="24"/>
        </w:rPr>
      </w:pPr>
      <w:r w:rsidRPr="0027372F">
        <w:rPr>
          <w:rStyle w:val="Strong"/>
          <w:rFonts w:cs="Arial"/>
          <w:b w:val="0"/>
          <w:bCs w:val="0"/>
          <w:sz w:val="24"/>
          <w:szCs w:val="24"/>
        </w:rPr>
        <w:t xml:space="preserve">Responses were only gathered from 18 line managers, which is a very small sample of the Tata Steel UK line management population and this must be taken into consideration when reviewing all findings and recommendations. </w:t>
      </w:r>
    </w:p>
    <w:p w14:paraId="102096FF" w14:textId="23BED455" w:rsidR="00D508BE" w:rsidRPr="0027372F" w:rsidRDefault="00361C2C" w:rsidP="007C31F1">
      <w:pPr>
        <w:rPr>
          <w:rStyle w:val="Strong"/>
          <w:rFonts w:cs="Arial"/>
          <w:b w:val="0"/>
          <w:bCs w:val="0"/>
          <w:sz w:val="24"/>
          <w:szCs w:val="24"/>
        </w:rPr>
      </w:pPr>
      <w:r w:rsidRPr="0027372F">
        <w:rPr>
          <w:rStyle w:val="Strong"/>
          <w:rFonts w:cs="Arial"/>
          <w:b w:val="0"/>
          <w:bCs w:val="0"/>
          <w:sz w:val="24"/>
          <w:szCs w:val="24"/>
        </w:rPr>
        <w:lastRenderedPageBreak/>
        <w:t xml:space="preserve">Figure 1 outlines the return to work completion rates for November 2022 to March 2023, during this time, paper return to work forms were part of the standard process. Figure 2 outlines the return to work completion rates for April 2023 to August 2023, in April 2023 the digital return to work forms were introduced and the process changed. Figure 1 and Figure 2 show a clear decrease in return to work completion rates following the implementation of digital forms. However, the trend in Figure 1 clearly depicts that the completion rates were already decreasing prior to the digital forms. </w:t>
      </w:r>
    </w:p>
    <w:p w14:paraId="6856B3EC" w14:textId="672D0941" w:rsidR="00361C2C" w:rsidRPr="0027372F" w:rsidRDefault="00136039" w:rsidP="007C31F1">
      <w:pPr>
        <w:rPr>
          <w:rStyle w:val="Strong"/>
          <w:rFonts w:cs="Arial"/>
          <w:sz w:val="24"/>
          <w:szCs w:val="24"/>
          <w:u w:val="single"/>
        </w:rPr>
      </w:pPr>
      <w:r w:rsidRPr="0027372F">
        <w:rPr>
          <w:rFonts w:cs="Arial"/>
          <w:sz w:val="24"/>
          <w:szCs w:val="24"/>
        </w:rPr>
        <w:t>F</w:t>
      </w:r>
      <w:r w:rsidR="00361C2C" w:rsidRPr="0027372F">
        <w:rPr>
          <w:rFonts w:cs="Arial"/>
          <w:sz w:val="24"/>
          <w:szCs w:val="24"/>
        </w:rPr>
        <w:t xml:space="preserve">igure 3 shows that the majority of line managers who participated in the questionnaire felt they were equipped with the skills and tools to effectively chair a return to work meeting. Although, this contradicts CIPD research where only a minority of organisations (38%) trained line managers in managing absence (Miller, 2017). The data is also questionable based on the lack of return to work training and resources available to line managers at Tata Steel UK. </w:t>
      </w:r>
    </w:p>
    <w:p w14:paraId="6F15C86F" w14:textId="3325F78C" w:rsidR="00361C2C" w:rsidRPr="0027372F" w:rsidRDefault="00FC7463" w:rsidP="007C31F1">
      <w:pPr>
        <w:rPr>
          <w:rFonts w:cs="Arial"/>
          <w:sz w:val="24"/>
          <w:szCs w:val="24"/>
        </w:rPr>
      </w:pPr>
      <w:r w:rsidRPr="0027372F">
        <w:rPr>
          <w:rStyle w:val="Strong"/>
          <w:rFonts w:cs="Arial"/>
          <w:b w:val="0"/>
          <w:bCs w:val="0"/>
          <w:sz w:val="24"/>
          <w:szCs w:val="24"/>
        </w:rPr>
        <w:t xml:space="preserve">Figure 4 </w:t>
      </w:r>
      <w:r w:rsidR="005A0B72" w:rsidRPr="0027372F">
        <w:rPr>
          <w:rStyle w:val="Strong"/>
          <w:rFonts w:cs="Arial"/>
          <w:b w:val="0"/>
          <w:bCs w:val="0"/>
          <w:sz w:val="24"/>
          <w:szCs w:val="24"/>
        </w:rPr>
        <w:t xml:space="preserve">illustrates that </w:t>
      </w:r>
      <w:r w:rsidR="00FA05DB" w:rsidRPr="0027372F">
        <w:rPr>
          <w:rFonts w:cs="Arial"/>
          <w:sz w:val="24"/>
          <w:szCs w:val="24"/>
        </w:rPr>
        <w:t xml:space="preserve">the line managers who participated had at least some understanding of the impact and importance of the return to work process. </w:t>
      </w:r>
      <w:r w:rsidR="00EC5375" w:rsidRPr="0027372F">
        <w:rPr>
          <w:rFonts w:cs="Arial"/>
          <w:sz w:val="24"/>
          <w:szCs w:val="24"/>
        </w:rPr>
        <w:t xml:space="preserve">However, the CIPD (2016) </w:t>
      </w:r>
      <w:r w:rsidR="00653EFB" w:rsidRPr="0027372F">
        <w:rPr>
          <w:rFonts w:cs="Arial"/>
          <w:sz w:val="24"/>
          <w:szCs w:val="24"/>
        </w:rPr>
        <w:t>found that the number of organisations training their managers to deal with absence has decreased.</w:t>
      </w:r>
      <w:r w:rsidR="00E63D1A" w:rsidRPr="0027372F">
        <w:rPr>
          <w:rFonts w:cs="Arial"/>
          <w:sz w:val="24"/>
          <w:szCs w:val="24"/>
        </w:rPr>
        <w:t xml:space="preserve"> It is </w:t>
      </w:r>
      <w:r w:rsidR="004349B9" w:rsidRPr="0027372F">
        <w:rPr>
          <w:rFonts w:cs="Arial"/>
          <w:sz w:val="24"/>
          <w:szCs w:val="24"/>
        </w:rPr>
        <w:t>essential that managers are aware of their role to play in the return to work process</w:t>
      </w:r>
      <w:r w:rsidR="00775B39" w:rsidRPr="0027372F">
        <w:rPr>
          <w:rFonts w:cs="Arial"/>
          <w:sz w:val="24"/>
          <w:szCs w:val="24"/>
        </w:rPr>
        <w:t xml:space="preserve"> as many individuals returning to work may be suffering from stress and anxiety which could add further strain (Nielson and </w:t>
      </w:r>
      <w:proofErr w:type="spellStart"/>
      <w:r w:rsidR="00775B39" w:rsidRPr="0027372F">
        <w:rPr>
          <w:rFonts w:cs="Arial"/>
          <w:sz w:val="24"/>
          <w:szCs w:val="24"/>
        </w:rPr>
        <w:t>Yarker</w:t>
      </w:r>
      <w:proofErr w:type="spellEnd"/>
      <w:r w:rsidR="00775B39" w:rsidRPr="0027372F">
        <w:rPr>
          <w:rFonts w:cs="Arial"/>
          <w:sz w:val="24"/>
          <w:szCs w:val="24"/>
        </w:rPr>
        <w:t>, 2023).</w:t>
      </w:r>
    </w:p>
    <w:p w14:paraId="585D586C" w14:textId="68485383" w:rsidR="00361C2C" w:rsidRPr="0027372F" w:rsidRDefault="00162C2F" w:rsidP="007C31F1">
      <w:pPr>
        <w:rPr>
          <w:rStyle w:val="Strong"/>
          <w:rFonts w:cs="Arial"/>
          <w:b w:val="0"/>
          <w:bCs w:val="0"/>
          <w:sz w:val="24"/>
          <w:szCs w:val="24"/>
        </w:rPr>
      </w:pPr>
      <w:r w:rsidRPr="0027372F">
        <w:rPr>
          <w:rFonts w:cs="Arial"/>
          <w:sz w:val="24"/>
          <w:szCs w:val="24"/>
        </w:rPr>
        <w:t xml:space="preserve">Figure 5 </w:t>
      </w:r>
      <w:r w:rsidR="00C13103" w:rsidRPr="0027372F">
        <w:rPr>
          <w:rFonts w:cs="Arial"/>
          <w:sz w:val="24"/>
          <w:szCs w:val="24"/>
        </w:rPr>
        <w:t>shows that with an exception of June, where the RTW form completion per month increases the sickness rate for the following month decreases.</w:t>
      </w:r>
      <w:r w:rsidR="00FB1299" w:rsidRPr="0027372F">
        <w:rPr>
          <w:rFonts w:cs="Arial"/>
          <w:sz w:val="24"/>
          <w:szCs w:val="24"/>
        </w:rPr>
        <w:t xml:space="preserve"> The graph could show a positive correlation between return to work completion and sickness absence</w:t>
      </w:r>
      <w:r w:rsidR="00750F39" w:rsidRPr="0027372F">
        <w:rPr>
          <w:rFonts w:cs="Arial"/>
          <w:sz w:val="24"/>
          <w:szCs w:val="24"/>
        </w:rPr>
        <w:t xml:space="preserve"> however, over the 10 month period of data collection there are only 3 occasions where the completion of return to work forms increases and therefore it is difficult to determine that a true correlations exists.</w:t>
      </w:r>
    </w:p>
    <w:p w14:paraId="6170EE66" w14:textId="39E0011F" w:rsidR="00195526" w:rsidRPr="0027372F" w:rsidRDefault="00195526" w:rsidP="007C31F1">
      <w:pPr>
        <w:rPr>
          <w:rStyle w:val="Strong"/>
          <w:rFonts w:cs="Arial"/>
          <w:sz w:val="24"/>
          <w:szCs w:val="24"/>
          <w:u w:val="single"/>
        </w:rPr>
      </w:pPr>
      <w:r w:rsidRPr="0027372F">
        <w:rPr>
          <w:rStyle w:val="Strong"/>
          <w:rFonts w:cs="Arial"/>
          <w:sz w:val="24"/>
          <w:szCs w:val="24"/>
          <w:u w:val="single"/>
        </w:rPr>
        <w:t xml:space="preserve">Conclusions </w:t>
      </w:r>
    </w:p>
    <w:p w14:paraId="6197CFA9" w14:textId="1965E790" w:rsidR="00195526" w:rsidRPr="0027372F" w:rsidRDefault="003C1D34" w:rsidP="007C31F1">
      <w:pPr>
        <w:rPr>
          <w:rStyle w:val="Strong"/>
          <w:rFonts w:cs="Arial"/>
          <w:sz w:val="24"/>
          <w:szCs w:val="24"/>
          <w:u w:val="single"/>
        </w:rPr>
      </w:pPr>
      <w:r w:rsidRPr="0027372F">
        <w:rPr>
          <w:rFonts w:cs="Arial"/>
          <w:sz w:val="24"/>
          <w:szCs w:val="24"/>
        </w:rPr>
        <w:t>The necessity of return to work interviews not only lays within creating a positive and caring culture but also to comply with legislation, such as the Equality Act 2010 and more specifically the move to digital forms complying with General Data Protection Regulation.</w:t>
      </w:r>
      <w:r w:rsidR="006B5FD8" w:rsidRPr="0027372F">
        <w:rPr>
          <w:rFonts w:cs="Arial"/>
          <w:sz w:val="24"/>
          <w:szCs w:val="24"/>
        </w:rPr>
        <w:t xml:space="preserve"> This is all whilst being a positive factor in reducing sickness absence trends.</w:t>
      </w:r>
    </w:p>
    <w:p w14:paraId="493937B9" w14:textId="331B820F" w:rsidR="00136039" w:rsidRPr="0027372F" w:rsidRDefault="00136039" w:rsidP="007C31F1">
      <w:pPr>
        <w:rPr>
          <w:rStyle w:val="Strong"/>
          <w:rFonts w:cs="Arial"/>
          <w:sz w:val="24"/>
          <w:szCs w:val="24"/>
          <w:u w:val="single"/>
        </w:rPr>
      </w:pPr>
    </w:p>
    <w:p w14:paraId="415948B9" w14:textId="1947C1CB" w:rsidR="00136039" w:rsidRPr="0027372F" w:rsidRDefault="00136039" w:rsidP="007C31F1">
      <w:pPr>
        <w:rPr>
          <w:rStyle w:val="Strong"/>
          <w:rFonts w:cs="Arial"/>
          <w:sz w:val="24"/>
          <w:szCs w:val="24"/>
          <w:u w:val="single"/>
        </w:rPr>
      </w:pPr>
    </w:p>
    <w:p w14:paraId="70E24164" w14:textId="32F37F75" w:rsidR="00136039" w:rsidRPr="0027372F" w:rsidRDefault="00136039" w:rsidP="007C31F1">
      <w:pPr>
        <w:rPr>
          <w:rStyle w:val="Strong"/>
          <w:rFonts w:cs="Arial"/>
          <w:sz w:val="24"/>
          <w:szCs w:val="24"/>
          <w:u w:val="single"/>
        </w:rPr>
      </w:pPr>
    </w:p>
    <w:p w14:paraId="426D7529" w14:textId="77777777" w:rsidR="00136039" w:rsidRPr="0027372F" w:rsidRDefault="00136039" w:rsidP="007C31F1">
      <w:pPr>
        <w:rPr>
          <w:rStyle w:val="Strong"/>
          <w:rFonts w:cs="Arial"/>
          <w:sz w:val="24"/>
          <w:szCs w:val="24"/>
          <w:u w:val="single"/>
        </w:rPr>
      </w:pPr>
    </w:p>
    <w:p w14:paraId="6D911614" w14:textId="77777777" w:rsidR="003C1D34" w:rsidRPr="0027372F" w:rsidRDefault="003C1D34" w:rsidP="007C31F1">
      <w:pPr>
        <w:rPr>
          <w:rStyle w:val="Strong"/>
          <w:rFonts w:cs="Arial"/>
          <w:sz w:val="24"/>
          <w:szCs w:val="24"/>
          <w:u w:val="single"/>
        </w:rPr>
      </w:pPr>
    </w:p>
    <w:p w14:paraId="02EDC7AB" w14:textId="77777777" w:rsidR="00667035" w:rsidRPr="0027372F" w:rsidRDefault="00667035" w:rsidP="007C31F1">
      <w:pPr>
        <w:rPr>
          <w:rStyle w:val="Strong"/>
          <w:rFonts w:cs="Arial"/>
          <w:sz w:val="24"/>
          <w:szCs w:val="24"/>
          <w:u w:val="single"/>
        </w:rPr>
      </w:pPr>
    </w:p>
    <w:p w14:paraId="77914130" w14:textId="77777777" w:rsidR="00667035" w:rsidRPr="0027372F" w:rsidRDefault="00667035" w:rsidP="007C31F1">
      <w:pPr>
        <w:rPr>
          <w:rStyle w:val="Strong"/>
          <w:rFonts w:cs="Arial"/>
          <w:sz w:val="24"/>
          <w:szCs w:val="24"/>
          <w:u w:val="single"/>
        </w:rPr>
      </w:pPr>
    </w:p>
    <w:p w14:paraId="21D9600F" w14:textId="41CDC05E" w:rsidR="00361C2C" w:rsidRPr="0027372F" w:rsidRDefault="00195526" w:rsidP="00D508BE">
      <w:pPr>
        <w:rPr>
          <w:rFonts w:cs="Arial"/>
          <w:b/>
          <w:bCs/>
          <w:sz w:val="24"/>
          <w:szCs w:val="24"/>
          <w:u w:val="single"/>
        </w:rPr>
      </w:pPr>
      <w:r w:rsidRPr="0027372F">
        <w:rPr>
          <w:rStyle w:val="Strong"/>
          <w:rFonts w:cs="Arial"/>
          <w:sz w:val="24"/>
          <w:szCs w:val="24"/>
          <w:u w:val="single"/>
        </w:rPr>
        <w:lastRenderedPageBreak/>
        <w:t xml:space="preserve">References </w:t>
      </w:r>
    </w:p>
    <w:p w14:paraId="33696186" w14:textId="77777777" w:rsidR="0027372F" w:rsidRPr="0027372F" w:rsidRDefault="0027372F" w:rsidP="003549B9">
      <w:pPr>
        <w:rPr>
          <w:rFonts w:cs="Arial"/>
          <w:sz w:val="24"/>
          <w:szCs w:val="24"/>
        </w:rPr>
      </w:pPr>
      <w:r w:rsidRPr="0027372F">
        <w:rPr>
          <w:rFonts w:cs="Arial"/>
          <w:sz w:val="24"/>
          <w:szCs w:val="24"/>
        </w:rPr>
        <w:t>Bright HR (2021) Return to work interviews. Available at: https://www.brighthr.com/articles/leave-and-absence/return-to-work/employee-return-to-work-interviews/ (Accessed: 17 September 2023).</w:t>
      </w:r>
    </w:p>
    <w:p w14:paraId="6CCF1214" w14:textId="77777777" w:rsidR="0027372F" w:rsidRPr="0027372F" w:rsidRDefault="0027372F" w:rsidP="001E3B6C">
      <w:pPr>
        <w:rPr>
          <w:rFonts w:cs="Arial"/>
          <w:sz w:val="24"/>
          <w:szCs w:val="24"/>
        </w:rPr>
      </w:pPr>
      <w:r w:rsidRPr="0027372F">
        <w:rPr>
          <w:rFonts w:cs="Arial"/>
          <w:sz w:val="24"/>
          <w:szCs w:val="24"/>
        </w:rPr>
        <w:t>CIPD (2016) Absence Management 2016. London: CIPD. Available at: https://www.cipd.org/globalassets/media/knowledge/knowledge-hub/reports/absence-management_2016_tcm18-16360.pdf (Accessed: 23 September 2023).</w:t>
      </w:r>
    </w:p>
    <w:p w14:paraId="5EF57AE5" w14:textId="77777777" w:rsidR="0027372F" w:rsidRPr="0027372F" w:rsidRDefault="0027372F" w:rsidP="00004B28">
      <w:pPr>
        <w:rPr>
          <w:rFonts w:cs="Arial"/>
          <w:sz w:val="24"/>
          <w:szCs w:val="24"/>
        </w:rPr>
      </w:pPr>
      <w:r w:rsidRPr="0027372F">
        <w:rPr>
          <w:rFonts w:cs="Arial"/>
          <w:sz w:val="24"/>
          <w:szCs w:val="24"/>
        </w:rPr>
        <w:t>Health and Safety Executive (2023) Managing sick leave and return to work. Available at: https://www.hse.gov.uk/sicknessabsence/ (Accessed: 17 September 2023).</w:t>
      </w:r>
    </w:p>
    <w:p w14:paraId="0A787B89" w14:textId="77777777" w:rsidR="0027372F" w:rsidRPr="0027372F" w:rsidRDefault="0027372F" w:rsidP="003549B9">
      <w:pPr>
        <w:rPr>
          <w:rFonts w:cs="Arial"/>
          <w:sz w:val="24"/>
          <w:szCs w:val="24"/>
        </w:rPr>
      </w:pPr>
      <w:r w:rsidRPr="0027372F">
        <w:rPr>
          <w:rFonts w:cs="Arial"/>
          <w:sz w:val="24"/>
          <w:szCs w:val="24"/>
        </w:rPr>
        <w:t>HR Specialist Solutions (2021) How do I carry out Return to Work Interviews?. Available at: https://specialisthrsolutions.co.uk/how-do-i-carry-out-return-to-work-interviews/ (Accessed: 17 September 2023).</w:t>
      </w:r>
    </w:p>
    <w:p w14:paraId="4B27F02A" w14:textId="77777777" w:rsidR="0027372F" w:rsidRPr="0027372F" w:rsidRDefault="0027372F" w:rsidP="00B32A1C">
      <w:pPr>
        <w:tabs>
          <w:tab w:val="left" w:pos="1397"/>
        </w:tabs>
        <w:rPr>
          <w:rFonts w:cs="Arial"/>
          <w:sz w:val="24"/>
          <w:szCs w:val="24"/>
        </w:rPr>
      </w:pPr>
      <w:proofErr w:type="spellStart"/>
      <w:r w:rsidRPr="0027372F">
        <w:rPr>
          <w:rFonts w:cs="Arial"/>
          <w:sz w:val="24"/>
          <w:szCs w:val="24"/>
        </w:rPr>
        <w:t>Klevanger</w:t>
      </w:r>
      <w:proofErr w:type="spellEnd"/>
      <w:r w:rsidRPr="0027372F">
        <w:rPr>
          <w:rFonts w:cs="Arial"/>
          <w:sz w:val="24"/>
          <w:szCs w:val="24"/>
        </w:rPr>
        <w:t xml:space="preserve">, N., </w:t>
      </w:r>
      <w:proofErr w:type="spellStart"/>
      <w:r w:rsidRPr="0027372F">
        <w:rPr>
          <w:rFonts w:cs="Arial"/>
          <w:sz w:val="24"/>
          <w:szCs w:val="24"/>
        </w:rPr>
        <w:t>Fimland</w:t>
      </w:r>
      <w:proofErr w:type="spellEnd"/>
      <w:r w:rsidRPr="0027372F">
        <w:rPr>
          <w:rFonts w:cs="Arial"/>
          <w:sz w:val="24"/>
          <w:szCs w:val="24"/>
        </w:rPr>
        <w:t>, M. and Rise, M. (2021) 'Aligning stakeholders’ understandings of the return-to-work process: a qualitative study on workplace meetings in inpatient multimodal occupational rehabilitation', International Journal of Qualitative Studies on Health and Well-Being, volume 6, Page reference. Available at: https://www-tandfonline-com.ezproxy.uwtsd.ac.uk/doi/epdf/10.1080/17482631.2021.1946927?needAccess=true</w:t>
      </w:r>
    </w:p>
    <w:p w14:paraId="56355A57" w14:textId="77777777" w:rsidR="0027372F" w:rsidRPr="0027372F" w:rsidRDefault="0027372F" w:rsidP="004F77D1">
      <w:pPr>
        <w:rPr>
          <w:rFonts w:cs="Arial"/>
          <w:sz w:val="24"/>
          <w:szCs w:val="24"/>
        </w:rPr>
      </w:pPr>
      <w:r w:rsidRPr="0027372F">
        <w:rPr>
          <w:rFonts w:cs="Arial"/>
          <w:sz w:val="24"/>
          <w:szCs w:val="24"/>
        </w:rPr>
        <w:t>Miller, J. (2017) Developing the line on absence and wellbeing. Available at: https://www.cipd.org/uk/views-and-insights/thought-leadership/cipd-voice/archive/absence-well-being-findings/ (Accessed: 23 September 2023).</w:t>
      </w:r>
    </w:p>
    <w:p w14:paraId="57D7A8B3" w14:textId="77777777" w:rsidR="0027372F" w:rsidRPr="0027372F" w:rsidRDefault="0027372F" w:rsidP="00E0327C">
      <w:pPr>
        <w:tabs>
          <w:tab w:val="left" w:pos="1397"/>
        </w:tabs>
        <w:rPr>
          <w:rFonts w:cs="Arial"/>
          <w:sz w:val="24"/>
          <w:szCs w:val="24"/>
        </w:rPr>
      </w:pPr>
      <w:r w:rsidRPr="0027372F">
        <w:rPr>
          <w:rFonts w:cs="Arial"/>
          <w:sz w:val="24"/>
          <w:szCs w:val="24"/>
        </w:rPr>
        <w:t xml:space="preserve">Nielsen, K. and </w:t>
      </w:r>
      <w:proofErr w:type="spellStart"/>
      <w:r w:rsidRPr="0027372F">
        <w:rPr>
          <w:rFonts w:cs="Arial"/>
          <w:sz w:val="24"/>
          <w:szCs w:val="24"/>
        </w:rPr>
        <w:t>Yarker</w:t>
      </w:r>
      <w:proofErr w:type="spellEnd"/>
      <w:r w:rsidRPr="0027372F">
        <w:rPr>
          <w:rFonts w:cs="Arial"/>
          <w:sz w:val="24"/>
          <w:szCs w:val="24"/>
        </w:rPr>
        <w:t xml:space="preserve">, J. (2023) What can I do for you? Line managers’ </w:t>
      </w:r>
      <w:proofErr w:type="spellStart"/>
      <w:r w:rsidRPr="0027372F">
        <w:rPr>
          <w:rFonts w:cs="Arial"/>
          <w:sz w:val="24"/>
          <w:szCs w:val="24"/>
        </w:rPr>
        <w:t>behaviors</w:t>
      </w:r>
      <w:proofErr w:type="spellEnd"/>
      <w:r w:rsidRPr="0027372F">
        <w:rPr>
          <w:rFonts w:cs="Arial"/>
          <w:sz w:val="24"/>
          <w:szCs w:val="24"/>
        </w:rPr>
        <w:t xml:space="preserve"> to support return to work for workers with common mental disorders. 38 (1), United Kingdom: White Rose. Available at: https://doi.org/10.1108/JMP-09-2021-0500 (Accessed: 25 September 2023).</w:t>
      </w:r>
    </w:p>
    <w:p w14:paraId="076FC6DA" w14:textId="77777777" w:rsidR="0027372F" w:rsidRPr="0027372F" w:rsidRDefault="0027372F" w:rsidP="00F04F4B">
      <w:pPr>
        <w:rPr>
          <w:rFonts w:cs="Arial"/>
          <w:sz w:val="24"/>
          <w:szCs w:val="24"/>
        </w:rPr>
      </w:pPr>
      <w:r w:rsidRPr="0027372F">
        <w:rPr>
          <w:rFonts w:cs="Arial"/>
          <w:sz w:val="24"/>
          <w:szCs w:val="24"/>
        </w:rPr>
        <w:t>Peninsula Group (2023) Return to work interviews. Available at: https://www.peninsulagrouplimited.com/resource-hub/leave-absence/return-to-work-interviews/ (Accessed: 17 September 2023).</w:t>
      </w:r>
    </w:p>
    <w:p w14:paraId="662C5B48" w14:textId="77777777" w:rsidR="0027372F" w:rsidRPr="0027372F" w:rsidRDefault="0027372F" w:rsidP="002E4CF8">
      <w:pPr>
        <w:tabs>
          <w:tab w:val="left" w:pos="1397"/>
        </w:tabs>
        <w:rPr>
          <w:rFonts w:cs="Arial"/>
          <w:sz w:val="24"/>
          <w:szCs w:val="24"/>
        </w:rPr>
      </w:pPr>
      <w:r w:rsidRPr="0027372F">
        <w:rPr>
          <w:rFonts w:cs="Arial"/>
          <w:sz w:val="24"/>
          <w:szCs w:val="24"/>
        </w:rPr>
        <w:t>Public Health England (2020) Health and work infographics. England: UK Government. Available at: https://assets.publishing.service.gov.uk/government/uploads/system/uploads/attachment_data/file/949524/References_Health_and_Work_infographics_v_final.pdf (Accessed: 24 September 2023).</w:t>
      </w:r>
    </w:p>
    <w:sectPr w:rsidR="0027372F" w:rsidRPr="0027372F">
      <w:footerReference w:type="even" r:id="rId7"/>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DE49F" w14:textId="77777777" w:rsidR="0095797C" w:rsidRDefault="0095797C" w:rsidP="00136039">
      <w:pPr>
        <w:spacing w:after="0" w:line="240" w:lineRule="auto"/>
      </w:pPr>
      <w:r>
        <w:separator/>
      </w:r>
    </w:p>
  </w:endnote>
  <w:endnote w:type="continuationSeparator" w:id="0">
    <w:p w14:paraId="7FED3ADB" w14:textId="77777777" w:rsidR="0095797C" w:rsidRDefault="0095797C" w:rsidP="00136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92044" w14:textId="6A4ECB75" w:rsidR="00136039" w:rsidRDefault="00136039">
    <w:pPr>
      <w:pStyle w:val="Footer"/>
    </w:pPr>
    <w:r>
      <w:rPr>
        <w:noProof/>
      </w:rPr>
      <mc:AlternateContent>
        <mc:Choice Requires="wps">
          <w:drawing>
            <wp:anchor distT="0" distB="0" distL="0" distR="0" simplePos="0" relativeHeight="251659264" behindDoc="0" locked="0" layoutInCell="1" allowOverlap="1" wp14:anchorId="6BE03C04" wp14:editId="39C29206">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D47EA3F" w14:textId="0AF242D7"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BE03C04"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D47EA3F" w14:textId="0AF242D7"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6E8E0" w14:textId="63F057F5" w:rsidR="00136039" w:rsidRDefault="00136039">
    <w:pPr>
      <w:pStyle w:val="Footer"/>
    </w:pPr>
    <w:r>
      <w:rPr>
        <w:noProof/>
      </w:rPr>
      <mc:AlternateContent>
        <mc:Choice Requires="wps">
          <w:drawing>
            <wp:anchor distT="0" distB="0" distL="0" distR="0" simplePos="0" relativeHeight="251660288" behindDoc="0" locked="0" layoutInCell="1" allowOverlap="1" wp14:anchorId="166B36A3" wp14:editId="539A1BD7">
              <wp:simplePos x="914400" y="10082254"/>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7AF405" w14:textId="6DF0272D"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66B36A3"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1E7AF405" w14:textId="6DF0272D"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5452B" w14:textId="5A3D0243" w:rsidR="00136039" w:rsidRDefault="00136039">
    <w:pPr>
      <w:pStyle w:val="Footer"/>
    </w:pPr>
    <w:r>
      <w:rPr>
        <w:noProof/>
      </w:rPr>
      <mc:AlternateContent>
        <mc:Choice Requires="wps">
          <w:drawing>
            <wp:anchor distT="0" distB="0" distL="0" distR="0" simplePos="0" relativeHeight="251658240" behindDoc="0" locked="0" layoutInCell="1" allowOverlap="1" wp14:anchorId="718CB315" wp14:editId="0B8B3484">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9988AF2" w14:textId="3C171618"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18CB315"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9988AF2" w14:textId="3C171618" w:rsidR="00136039" w:rsidRPr="00136039" w:rsidRDefault="00136039" w:rsidP="00136039">
                    <w:pPr>
                      <w:spacing w:after="0"/>
                      <w:rPr>
                        <w:rFonts w:ascii="Calibri" w:eastAsia="Calibri" w:hAnsi="Calibri" w:cs="Calibri"/>
                        <w:noProof/>
                        <w:color w:val="000000"/>
                        <w:sz w:val="16"/>
                        <w:szCs w:val="16"/>
                      </w:rPr>
                    </w:pPr>
                    <w:r w:rsidRPr="0013603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57485" w14:textId="77777777" w:rsidR="0095797C" w:rsidRDefault="0095797C" w:rsidP="00136039">
      <w:pPr>
        <w:spacing w:after="0" w:line="240" w:lineRule="auto"/>
      </w:pPr>
      <w:r>
        <w:separator/>
      </w:r>
    </w:p>
  </w:footnote>
  <w:footnote w:type="continuationSeparator" w:id="0">
    <w:p w14:paraId="57E05B93" w14:textId="77777777" w:rsidR="0095797C" w:rsidRDefault="0095797C" w:rsidP="00136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D7C99"/>
    <w:multiLevelType w:val="hybridMultilevel"/>
    <w:tmpl w:val="BDF2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E6346"/>
    <w:multiLevelType w:val="hybridMultilevel"/>
    <w:tmpl w:val="A0661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2790312">
    <w:abstractNumId w:val="0"/>
  </w:num>
  <w:num w:numId="2" w16cid:durableId="146829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526"/>
    <w:rsid w:val="00004B28"/>
    <w:rsid w:val="0009067B"/>
    <w:rsid w:val="000B111C"/>
    <w:rsid w:val="0012236E"/>
    <w:rsid w:val="00136039"/>
    <w:rsid w:val="00162C2F"/>
    <w:rsid w:val="00195526"/>
    <w:rsid w:val="00196BBF"/>
    <w:rsid w:val="001E3B6C"/>
    <w:rsid w:val="0027372F"/>
    <w:rsid w:val="002E4CF8"/>
    <w:rsid w:val="003504FC"/>
    <w:rsid w:val="003549B9"/>
    <w:rsid w:val="00361C2C"/>
    <w:rsid w:val="00373307"/>
    <w:rsid w:val="003B5D89"/>
    <w:rsid w:val="003C1D34"/>
    <w:rsid w:val="004349B9"/>
    <w:rsid w:val="0045435E"/>
    <w:rsid w:val="004822A7"/>
    <w:rsid w:val="004F77D1"/>
    <w:rsid w:val="005412C3"/>
    <w:rsid w:val="005A0B72"/>
    <w:rsid w:val="00653EFB"/>
    <w:rsid w:val="00667035"/>
    <w:rsid w:val="006B5FD8"/>
    <w:rsid w:val="006F130B"/>
    <w:rsid w:val="00750F39"/>
    <w:rsid w:val="00775B39"/>
    <w:rsid w:val="007C31F1"/>
    <w:rsid w:val="008614FA"/>
    <w:rsid w:val="00901803"/>
    <w:rsid w:val="00905048"/>
    <w:rsid w:val="00911EF5"/>
    <w:rsid w:val="0095797C"/>
    <w:rsid w:val="00A46864"/>
    <w:rsid w:val="00A94249"/>
    <w:rsid w:val="00B32A1C"/>
    <w:rsid w:val="00B83D36"/>
    <w:rsid w:val="00C13103"/>
    <w:rsid w:val="00D508BE"/>
    <w:rsid w:val="00E0327C"/>
    <w:rsid w:val="00E27968"/>
    <w:rsid w:val="00E54D4C"/>
    <w:rsid w:val="00E60593"/>
    <w:rsid w:val="00E63D1A"/>
    <w:rsid w:val="00E70BF6"/>
    <w:rsid w:val="00E856AD"/>
    <w:rsid w:val="00EC5375"/>
    <w:rsid w:val="00F04F4B"/>
    <w:rsid w:val="00F755AC"/>
    <w:rsid w:val="00FA05DB"/>
    <w:rsid w:val="00FB1299"/>
    <w:rsid w:val="00FB1B55"/>
    <w:rsid w:val="00FC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6B400"/>
  <w15:chartTrackingRefBased/>
  <w15:docId w15:val="{9A16CBC8-C942-4E09-8095-076CF4D9D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136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039"/>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1023</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Hannah</dc:creator>
  <cp:keywords/>
  <dc:description/>
  <cp:lastModifiedBy>Ashton, Hannah</cp:lastModifiedBy>
  <cp:revision>3</cp:revision>
  <dcterms:created xsi:type="dcterms:W3CDTF">2023-10-01T16:23:00Z</dcterms:created>
  <dcterms:modified xsi:type="dcterms:W3CDTF">2023-10-01T16:41:00Z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2023-09-24T21:50:24Z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cc632a88-32c0-4fd0-89ca-921fd4348620</vt:lpwstr>
  </property>
  <property fmtid="{D5CDD505-2E9C-101B-9397-08002B2CF9AE}" pid="11" name="MSIP_Label_73aa366c-74b9-492b-a1b9-5472c41e7d31_ContentBits">
    <vt:lpwstr>2</vt:lpwstr>
  </property>
</Properties>
</file>