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5BD563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3568E">
              <w:rPr>
                <w:rFonts w:ascii="Times New Roman" w:hAnsi="Times New Roman" w:cs="Times New Roman"/>
                <w:b/>
                <w:color w:val="auto"/>
                <w:sz w:val="48"/>
              </w:rPr>
              <w:t xml:space="preserve">Rachel Morgan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E3A6FB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3568E">
              <w:rPr>
                <w:rFonts w:ascii="Times New Roman" w:hAnsi="Times New Roman" w:cs="Times New Roman"/>
                <w:b/>
                <w:color w:val="auto"/>
                <w:sz w:val="48"/>
              </w:rPr>
              <w:t xml:space="preserve"> </w:t>
            </w:r>
            <w:hyperlink r:id="rId11" w:tooltip="mailto:2421534@student.uwtsd.ac.uk" w:history="1">
              <w:r w:rsidR="00DE1E49" w:rsidRPr="002E5CED">
                <w:rPr>
                  <w:rStyle w:val="Hyperlink"/>
                  <w:rFonts w:ascii="Times New Roman" w:hAnsi="Times New Roman" w:cs="Times New Roman"/>
                  <w:b/>
                  <w:sz w:val="48"/>
                </w:rPr>
                <w:t>2421534@student.uwtsd.ac.uk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59B2C3F" w14:textId="3EA7006E" w:rsidR="00DE1E49" w:rsidRPr="005D3F07" w:rsidRDefault="00DE1E4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2421534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1719DFAE" w14:textId="08855CBD" w:rsidR="001A4CBB" w:rsidRPr="007A1814" w:rsidRDefault="001A4CBB" w:rsidP="00012751">
            <w:pPr>
              <w:spacing w:line="276" w:lineRule="auto"/>
              <w:rPr>
                <w:rFonts w:asciiTheme="minorHAnsi" w:hAnsiTheme="minorHAnsi" w:cstheme="minorHAnsi"/>
                <w:b/>
                <w:bCs/>
                <w:sz w:val="24"/>
                <w:szCs w:val="24"/>
              </w:rPr>
            </w:pPr>
            <w:r w:rsidRPr="007A1814">
              <w:rPr>
                <w:rFonts w:asciiTheme="minorHAnsi" w:hAnsiTheme="minorHAnsi" w:cstheme="minorHAnsi"/>
                <w:b/>
                <w:bCs/>
                <w:sz w:val="24"/>
                <w:szCs w:val="24"/>
              </w:rPr>
              <w:t>Safeguarding Adults</w:t>
            </w:r>
          </w:p>
          <w:p w14:paraId="695A5CC4" w14:textId="77777777" w:rsidR="00B3437C" w:rsidRPr="00B3437C" w:rsidRDefault="00B3437C" w:rsidP="00B3437C">
            <w:pPr>
              <w:spacing w:line="276" w:lineRule="auto"/>
              <w:rPr>
                <w:rFonts w:asciiTheme="minorHAnsi" w:hAnsiTheme="minorHAnsi" w:cstheme="minorHAnsi"/>
                <w:sz w:val="24"/>
                <w:szCs w:val="24"/>
              </w:rPr>
            </w:pPr>
            <w:r w:rsidRPr="00B3437C">
              <w:rPr>
                <w:rFonts w:asciiTheme="minorHAnsi" w:hAnsiTheme="minorHAnsi" w:cstheme="minorHAnsi"/>
                <w:sz w:val="24"/>
                <w:szCs w:val="24"/>
              </w:rPr>
              <w:t>Although my main role is with children, social workers must also understand adult safeguarding. Adults may be at risk due to disability, illness, isolation, or abuse. Safeguarding practice involves protecting people from harm while also respecting their rights and autonomy.</w:t>
            </w:r>
          </w:p>
          <w:p w14:paraId="5845287B" w14:textId="77777777" w:rsidR="006B1799" w:rsidRPr="007A1814" w:rsidRDefault="006B1799" w:rsidP="00012751">
            <w:pPr>
              <w:spacing w:line="276" w:lineRule="auto"/>
              <w:rPr>
                <w:rFonts w:asciiTheme="minorHAnsi" w:hAnsiTheme="minorHAnsi" w:cstheme="minorHAnsi"/>
                <w:sz w:val="24"/>
                <w:szCs w:val="24"/>
              </w:rPr>
            </w:pPr>
          </w:p>
          <w:p w14:paraId="5B1DADDF" w14:textId="77777777" w:rsidR="001A4CBB" w:rsidRPr="007A1814" w:rsidRDefault="001A4CBB" w:rsidP="00012751">
            <w:pPr>
              <w:spacing w:line="276" w:lineRule="auto"/>
              <w:rPr>
                <w:rFonts w:asciiTheme="minorHAnsi" w:hAnsiTheme="minorHAnsi" w:cstheme="minorHAnsi"/>
                <w:b/>
                <w:bCs/>
                <w:sz w:val="24"/>
                <w:szCs w:val="24"/>
              </w:rPr>
            </w:pPr>
            <w:r w:rsidRPr="007A1814">
              <w:rPr>
                <w:rFonts w:asciiTheme="minorHAnsi" w:hAnsiTheme="minorHAnsi" w:cstheme="minorHAnsi"/>
                <w:b/>
                <w:bCs/>
                <w:sz w:val="24"/>
                <w:szCs w:val="24"/>
              </w:rPr>
              <w:t>National, Local and Organisational Policies</w:t>
            </w:r>
          </w:p>
          <w:p w14:paraId="1CA4239F" w14:textId="411A7AFE" w:rsidR="001A4CBB" w:rsidRPr="007A1814" w:rsidRDefault="001A4CBB" w:rsidP="00012751">
            <w:pPr>
              <w:spacing w:line="276" w:lineRule="auto"/>
              <w:rPr>
                <w:rFonts w:asciiTheme="minorHAnsi" w:hAnsiTheme="minorHAnsi" w:cstheme="minorHAnsi"/>
                <w:sz w:val="24"/>
                <w:szCs w:val="24"/>
              </w:rPr>
            </w:pPr>
            <w:r w:rsidRPr="007A1814">
              <w:rPr>
                <w:rFonts w:asciiTheme="minorHAnsi" w:hAnsiTheme="minorHAnsi" w:cstheme="minorHAnsi"/>
                <w:sz w:val="24"/>
                <w:szCs w:val="24"/>
              </w:rPr>
              <w:t>The Wales Safeguarding Procedures (2019) provide the Wales framework for safeguarding adults, ensuring a consistent response. They set out how concerns should be raised, the thresholds for intervention, and the multi-agency processes for enquiries and protection planning. Locally, safeguarding is coordinated by Regional Safeguarding Boards, such as the Mid and West Wales Safeguarding Board (MAWWSB), which issue protocols, monitor practice, and share learning from Adult Practice Reviews. At an organisational level, local authorities have their own safeguarding policies covering reporting procedures, whistleblowing, case recording, and mandatory training to ensure staff competence.</w:t>
            </w:r>
          </w:p>
          <w:p w14:paraId="0770F2EF" w14:textId="77777777" w:rsidR="002E55A4" w:rsidRPr="007A1814" w:rsidRDefault="002E55A4" w:rsidP="00012751">
            <w:pPr>
              <w:spacing w:line="276" w:lineRule="auto"/>
              <w:rPr>
                <w:rFonts w:asciiTheme="minorHAnsi" w:hAnsiTheme="minorHAnsi" w:cstheme="minorHAnsi"/>
                <w:sz w:val="24"/>
                <w:szCs w:val="24"/>
              </w:rPr>
            </w:pPr>
          </w:p>
          <w:p w14:paraId="5FF75BE8" w14:textId="77777777" w:rsidR="001A4CBB" w:rsidRPr="007A1814" w:rsidRDefault="001A4CBB" w:rsidP="00012751">
            <w:pPr>
              <w:spacing w:line="276" w:lineRule="auto"/>
              <w:rPr>
                <w:rFonts w:asciiTheme="minorHAnsi" w:hAnsiTheme="minorHAnsi" w:cstheme="minorHAnsi"/>
                <w:b/>
                <w:bCs/>
                <w:sz w:val="24"/>
                <w:szCs w:val="24"/>
              </w:rPr>
            </w:pPr>
            <w:r w:rsidRPr="007A1814">
              <w:rPr>
                <w:rFonts w:asciiTheme="minorHAnsi" w:hAnsiTheme="minorHAnsi" w:cstheme="minorHAnsi"/>
                <w:b/>
                <w:bCs/>
                <w:sz w:val="24"/>
                <w:szCs w:val="24"/>
              </w:rPr>
              <w:t>Legal Framework</w:t>
            </w:r>
          </w:p>
          <w:p w14:paraId="2F8DC89F" w14:textId="77777777" w:rsidR="001A4CBB" w:rsidRPr="007A1814" w:rsidRDefault="001A4CBB" w:rsidP="00012751">
            <w:pPr>
              <w:spacing w:line="276" w:lineRule="auto"/>
              <w:rPr>
                <w:rFonts w:asciiTheme="minorHAnsi" w:hAnsiTheme="minorHAnsi" w:cstheme="minorHAnsi"/>
                <w:sz w:val="24"/>
                <w:szCs w:val="24"/>
              </w:rPr>
            </w:pPr>
            <w:r w:rsidRPr="007A1814">
              <w:rPr>
                <w:rFonts w:asciiTheme="minorHAnsi" w:hAnsiTheme="minorHAnsi" w:cstheme="minorHAnsi"/>
                <w:sz w:val="24"/>
                <w:szCs w:val="24"/>
              </w:rPr>
              <w:t>The Social Services and Well-being (Wales) Act 2014 is the central legislation. Part 7 sets out duties for local authorities to make enquiries where an adult is suspected to be at risk, and requires “relevant partners” (health, police, probation, housing) to report concerns. Section 126 defines an “adult at risk” as someone experiencing, or at risk of, abuse or neglect, who has needs for care and support and is unable to protect themselves. Other legislation also applies:</w:t>
            </w:r>
          </w:p>
          <w:p w14:paraId="6D564078" w14:textId="77777777" w:rsidR="001A4CBB" w:rsidRPr="007A1814" w:rsidRDefault="001A4CBB" w:rsidP="005D07E9">
            <w:pPr>
              <w:pStyle w:val="ListParagraph"/>
              <w:numPr>
                <w:ilvl w:val="0"/>
                <w:numId w:val="59"/>
              </w:numPr>
              <w:spacing w:line="276" w:lineRule="auto"/>
              <w:rPr>
                <w:rFonts w:asciiTheme="minorHAnsi" w:hAnsiTheme="minorHAnsi" w:cstheme="minorHAnsi"/>
                <w:sz w:val="24"/>
                <w:szCs w:val="24"/>
              </w:rPr>
            </w:pPr>
            <w:r w:rsidRPr="007A1814">
              <w:rPr>
                <w:rFonts w:asciiTheme="minorHAnsi" w:hAnsiTheme="minorHAnsi" w:cstheme="minorHAnsi"/>
                <w:sz w:val="24"/>
                <w:szCs w:val="24"/>
              </w:rPr>
              <w:t>Mental Capacity Act 2005 – presumption of capacity, best-interest decisions, and lawful restrictions.</w:t>
            </w:r>
          </w:p>
          <w:p w14:paraId="20F42B17" w14:textId="77777777" w:rsidR="001A4CBB" w:rsidRPr="007A1814" w:rsidRDefault="001A4CBB" w:rsidP="005D07E9">
            <w:pPr>
              <w:pStyle w:val="ListParagraph"/>
              <w:numPr>
                <w:ilvl w:val="0"/>
                <w:numId w:val="59"/>
              </w:numPr>
              <w:spacing w:line="276" w:lineRule="auto"/>
              <w:rPr>
                <w:rFonts w:asciiTheme="minorHAnsi" w:hAnsiTheme="minorHAnsi" w:cstheme="minorHAnsi"/>
                <w:sz w:val="24"/>
                <w:szCs w:val="24"/>
              </w:rPr>
            </w:pPr>
            <w:r w:rsidRPr="007A1814">
              <w:rPr>
                <w:rFonts w:asciiTheme="minorHAnsi" w:hAnsiTheme="minorHAnsi" w:cstheme="minorHAnsi"/>
                <w:sz w:val="24"/>
                <w:szCs w:val="24"/>
              </w:rPr>
              <w:lastRenderedPageBreak/>
              <w:t>Human Rights Act 1998 – upholding dignity, liberty, and protection from degrading treatment.</w:t>
            </w:r>
          </w:p>
          <w:p w14:paraId="5225CF9F" w14:textId="77777777" w:rsidR="001A4CBB" w:rsidRPr="007A1814" w:rsidRDefault="001A4CBB" w:rsidP="005D07E9">
            <w:pPr>
              <w:pStyle w:val="ListParagraph"/>
              <w:numPr>
                <w:ilvl w:val="0"/>
                <w:numId w:val="59"/>
              </w:numPr>
              <w:spacing w:line="276" w:lineRule="auto"/>
              <w:rPr>
                <w:rFonts w:asciiTheme="minorHAnsi" w:hAnsiTheme="minorHAnsi" w:cstheme="minorHAnsi"/>
                <w:sz w:val="24"/>
                <w:szCs w:val="24"/>
              </w:rPr>
            </w:pPr>
            <w:r w:rsidRPr="007A1814">
              <w:rPr>
                <w:rFonts w:asciiTheme="minorHAnsi" w:hAnsiTheme="minorHAnsi" w:cstheme="minorHAnsi"/>
                <w:sz w:val="24"/>
                <w:szCs w:val="24"/>
              </w:rPr>
              <w:t>Data Protection Act 2018 – balancing confidentiality with the duty to share information where necessary to prevent serious harm.</w:t>
            </w:r>
          </w:p>
          <w:p w14:paraId="06D479B2" w14:textId="77777777" w:rsidR="0072611C" w:rsidRPr="007A1814" w:rsidRDefault="0072611C" w:rsidP="00012751">
            <w:pPr>
              <w:spacing w:line="276" w:lineRule="auto"/>
              <w:rPr>
                <w:rFonts w:asciiTheme="minorHAnsi" w:hAnsiTheme="minorHAnsi" w:cstheme="minorHAnsi"/>
                <w:sz w:val="24"/>
                <w:szCs w:val="24"/>
              </w:rPr>
            </w:pPr>
          </w:p>
          <w:p w14:paraId="0F9ADE6E" w14:textId="77777777" w:rsidR="001A4CBB" w:rsidRPr="007A1814" w:rsidRDefault="001A4CBB" w:rsidP="00012751">
            <w:pPr>
              <w:spacing w:line="276" w:lineRule="auto"/>
              <w:rPr>
                <w:rFonts w:asciiTheme="minorHAnsi" w:hAnsiTheme="minorHAnsi" w:cstheme="minorHAnsi"/>
                <w:b/>
                <w:bCs/>
                <w:sz w:val="24"/>
                <w:szCs w:val="24"/>
              </w:rPr>
            </w:pPr>
            <w:r w:rsidRPr="007A1814">
              <w:rPr>
                <w:rFonts w:asciiTheme="minorHAnsi" w:hAnsiTheme="minorHAnsi" w:cstheme="minorHAnsi"/>
                <w:b/>
                <w:bCs/>
                <w:sz w:val="24"/>
                <w:szCs w:val="24"/>
              </w:rPr>
              <w:t>Factors Identifying an Adult at Risk</w:t>
            </w:r>
          </w:p>
          <w:p w14:paraId="4353E95E" w14:textId="77777777" w:rsidR="001A4CBB" w:rsidRPr="007A1814" w:rsidRDefault="001A4CBB" w:rsidP="00012751">
            <w:pPr>
              <w:spacing w:line="276" w:lineRule="auto"/>
              <w:rPr>
                <w:rFonts w:asciiTheme="minorHAnsi" w:hAnsiTheme="minorHAnsi" w:cstheme="minorHAnsi"/>
                <w:sz w:val="24"/>
                <w:szCs w:val="24"/>
              </w:rPr>
            </w:pPr>
            <w:r w:rsidRPr="007A1814">
              <w:rPr>
                <w:rFonts w:asciiTheme="minorHAnsi" w:hAnsiTheme="minorHAnsi" w:cstheme="minorHAnsi"/>
                <w:sz w:val="24"/>
                <w:szCs w:val="24"/>
              </w:rPr>
              <w:t>Adults may become at risk due to multiple and intersecting vulnerabilities, including:</w:t>
            </w:r>
          </w:p>
          <w:p w14:paraId="165425F5" w14:textId="183B9B72" w:rsidR="001A4CBB" w:rsidRPr="007A1814" w:rsidRDefault="001A4CBB" w:rsidP="00211D5B">
            <w:pPr>
              <w:spacing w:line="276" w:lineRule="auto"/>
              <w:rPr>
                <w:rFonts w:asciiTheme="minorHAnsi" w:hAnsiTheme="minorHAnsi" w:cstheme="minorHAnsi"/>
                <w:sz w:val="24"/>
                <w:szCs w:val="24"/>
              </w:rPr>
            </w:pPr>
            <w:r w:rsidRPr="009640AA">
              <w:rPr>
                <w:rFonts w:asciiTheme="minorHAnsi" w:hAnsiTheme="minorHAnsi" w:cstheme="minorHAnsi"/>
                <w:sz w:val="24"/>
                <w:szCs w:val="24"/>
              </w:rPr>
              <w:t>Physical disability</w:t>
            </w:r>
            <w:r w:rsidR="009640AA">
              <w:rPr>
                <w:rFonts w:asciiTheme="minorHAnsi" w:hAnsiTheme="minorHAnsi" w:cstheme="minorHAnsi"/>
                <w:sz w:val="24"/>
                <w:szCs w:val="24"/>
              </w:rPr>
              <w:t xml:space="preserve">, </w:t>
            </w:r>
            <w:r w:rsidRPr="007A1814">
              <w:rPr>
                <w:rFonts w:asciiTheme="minorHAnsi" w:hAnsiTheme="minorHAnsi" w:cstheme="minorHAnsi"/>
                <w:sz w:val="24"/>
                <w:szCs w:val="24"/>
              </w:rPr>
              <w:t>Learning disabilities</w:t>
            </w:r>
            <w:r w:rsidR="009640AA">
              <w:rPr>
                <w:rFonts w:asciiTheme="minorHAnsi" w:hAnsiTheme="minorHAnsi" w:cstheme="minorHAnsi"/>
                <w:sz w:val="24"/>
                <w:szCs w:val="24"/>
              </w:rPr>
              <w:t>,</w:t>
            </w:r>
            <w:r w:rsidR="00211D5B">
              <w:rPr>
                <w:rFonts w:asciiTheme="minorHAnsi" w:hAnsiTheme="minorHAnsi" w:cstheme="minorHAnsi"/>
                <w:sz w:val="24"/>
                <w:szCs w:val="24"/>
              </w:rPr>
              <w:t xml:space="preserve"> </w:t>
            </w:r>
            <w:r w:rsidRPr="007A1814">
              <w:rPr>
                <w:rFonts w:asciiTheme="minorHAnsi" w:hAnsiTheme="minorHAnsi" w:cstheme="minorHAnsi"/>
                <w:sz w:val="24"/>
                <w:szCs w:val="24"/>
              </w:rPr>
              <w:t>Mental health</w:t>
            </w:r>
            <w:r w:rsidR="00211D5B">
              <w:rPr>
                <w:rFonts w:asciiTheme="minorHAnsi" w:hAnsiTheme="minorHAnsi" w:cstheme="minorHAnsi"/>
                <w:sz w:val="24"/>
                <w:szCs w:val="24"/>
              </w:rPr>
              <w:t xml:space="preserve">, </w:t>
            </w:r>
            <w:r w:rsidRPr="007A1814">
              <w:rPr>
                <w:rFonts w:asciiTheme="minorHAnsi" w:hAnsiTheme="minorHAnsi" w:cstheme="minorHAnsi"/>
                <w:sz w:val="24"/>
                <w:szCs w:val="24"/>
              </w:rPr>
              <w:t>Substance misuse</w:t>
            </w:r>
            <w:r w:rsidR="00211D5B">
              <w:rPr>
                <w:rFonts w:asciiTheme="minorHAnsi" w:hAnsiTheme="minorHAnsi" w:cstheme="minorHAnsi"/>
                <w:sz w:val="24"/>
                <w:szCs w:val="24"/>
              </w:rPr>
              <w:t xml:space="preserve">, </w:t>
            </w:r>
            <w:r w:rsidRPr="007A1814">
              <w:rPr>
                <w:rFonts w:asciiTheme="minorHAnsi" w:hAnsiTheme="minorHAnsi" w:cstheme="minorHAnsi"/>
                <w:sz w:val="24"/>
                <w:szCs w:val="24"/>
              </w:rPr>
              <w:t>Poverty</w:t>
            </w:r>
            <w:r w:rsidR="00211D5B">
              <w:rPr>
                <w:rFonts w:asciiTheme="minorHAnsi" w:hAnsiTheme="minorHAnsi" w:cstheme="minorHAnsi"/>
                <w:sz w:val="24"/>
                <w:szCs w:val="24"/>
              </w:rPr>
              <w:t xml:space="preserve">, </w:t>
            </w:r>
            <w:r w:rsidRPr="007A1814">
              <w:rPr>
                <w:rFonts w:asciiTheme="minorHAnsi" w:hAnsiTheme="minorHAnsi" w:cstheme="minorHAnsi"/>
                <w:sz w:val="24"/>
                <w:szCs w:val="24"/>
              </w:rPr>
              <w:t>Social isolation</w:t>
            </w:r>
            <w:r w:rsidR="00211D5B">
              <w:rPr>
                <w:rFonts w:asciiTheme="minorHAnsi" w:hAnsiTheme="minorHAnsi" w:cstheme="minorHAnsi"/>
                <w:sz w:val="24"/>
                <w:szCs w:val="24"/>
              </w:rPr>
              <w:t xml:space="preserve">, </w:t>
            </w:r>
            <w:r w:rsidRPr="007A1814">
              <w:rPr>
                <w:rFonts w:asciiTheme="minorHAnsi" w:hAnsiTheme="minorHAnsi" w:cstheme="minorHAnsi"/>
                <w:sz w:val="24"/>
                <w:szCs w:val="24"/>
              </w:rPr>
              <w:t>Coercive or controlling relationships</w:t>
            </w:r>
            <w:r w:rsidR="00211D5B">
              <w:rPr>
                <w:rFonts w:asciiTheme="minorHAnsi" w:hAnsiTheme="minorHAnsi" w:cstheme="minorHAnsi"/>
                <w:sz w:val="24"/>
                <w:szCs w:val="24"/>
              </w:rPr>
              <w:t xml:space="preserve"> and </w:t>
            </w:r>
            <w:r w:rsidRPr="007A1814">
              <w:rPr>
                <w:rFonts w:asciiTheme="minorHAnsi" w:hAnsiTheme="minorHAnsi" w:cstheme="minorHAnsi"/>
                <w:sz w:val="24"/>
                <w:szCs w:val="24"/>
              </w:rPr>
              <w:t>Homelessness</w:t>
            </w:r>
            <w:r w:rsidR="00211D5B">
              <w:rPr>
                <w:rFonts w:asciiTheme="minorHAnsi" w:hAnsiTheme="minorHAnsi" w:cstheme="minorHAnsi"/>
                <w:sz w:val="24"/>
                <w:szCs w:val="24"/>
              </w:rPr>
              <w:t>.</w:t>
            </w:r>
          </w:p>
          <w:p w14:paraId="216B2C8C" w14:textId="77777777" w:rsidR="00180D13" w:rsidRPr="007A1814" w:rsidRDefault="00180D13" w:rsidP="00012751">
            <w:pPr>
              <w:spacing w:line="276" w:lineRule="auto"/>
              <w:rPr>
                <w:rFonts w:asciiTheme="minorHAnsi" w:hAnsiTheme="minorHAnsi" w:cstheme="minorHAnsi"/>
                <w:sz w:val="24"/>
                <w:szCs w:val="24"/>
              </w:rPr>
            </w:pPr>
          </w:p>
          <w:p w14:paraId="3540ECB7" w14:textId="77777777" w:rsidR="001A4CBB" w:rsidRPr="007A1814" w:rsidRDefault="001A4CBB" w:rsidP="00012751">
            <w:pPr>
              <w:spacing w:line="276" w:lineRule="auto"/>
              <w:rPr>
                <w:rFonts w:asciiTheme="minorHAnsi" w:hAnsiTheme="minorHAnsi" w:cstheme="minorHAnsi"/>
                <w:sz w:val="24"/>
                <w:szCs w:val="24"/>
              </w:rPr>
            </w:pPr>
            <w:r w:rsidRPr="007A1814">
              <w:rPr>
                <w:rFonts w:asciiTheme="minorHAnsi" w:hAnsiTheme="minorHAnsi" w:cstheme="minorHAnsi"/>
                <w:sz w:val="24"/>
                <w:szCs w:val="24"/>
              </w:rPr>
              <w:t>These factors do not inevitably result in harm but may increase the likelihood of exploitation, neglect, or abuse.</w:t>
            </w:r>
          </w:p>
          <w:p w14:paraId="2749F13A" w14:textId="77777777" w:rsidR="00180D13" w:rsidRPr="007A1814" w:rsidRDefault="00180D13" w:rsidP="00012751">
            <w:pPr>
              <w:spacing w:line="276" w:lineRule="auto"/>
              <w:rPr>
                <w:rFonts w:asciiTheme="minorHAnsi" w:hAnsiTheme="minorHAnsi" w:cstheme="minorHAnsi"/>
                <w:sz w:val="24"/>
                <w:szCs w:val="24"/>
              </w:rPr>
            </w:pPr>
          </w:p>
          <w:p w14:paraId="16C5F19D" w14:textId="77777777" w:rsidR="001A4CBB" w:rsidRPr="007A1814" w:rsidRDefault="001A4CBB" w:rsidP="00012751">
            <w:pPr>
              <w:spacing w:line="276" w:lineRule="auto"/>
              <w:rPr>
                <w:rFonts w:asciiTheme="minorHAnsi" w:hAnsiTheme="minorHAnsi" w:cstheme="minorHAnsi"/>
                <w:b/>
                <w:bCs/>
                <w:sz w:val="24"/>
                <w:szCs w:val="24"/>
              </w:rPr>
            </w:pPr>
            <w:r w:rsidRPr="007A1814">
              <w:rPr>
                <w:rFonts w:asciiTheme="minorHAnsi" w:hAnsiTheme="minorHAnsi" w:cstheme="minorHAnsi"/>
                <w:b/>
                <w:bCs/>
                <w:sz w:val="24"/>
                <w:szCs w:val="24"/>
              </w:rPr>
              <w:t>Indicators of Harm, Neglect, or Abuse</w:t>
            </w:r>
          </w:p>
          <w:p w14:paraId="42D2D24D" w14:textId="77777777" w:rsidR="001A4CBB" w:rsidRPr="007A1814" w:rsidRDefault="001A4CBB" w:rsidP="00012751">
            <w:pPr>
              <w:spacing w:line="276" w:lineRule="auto"/>
              <w:rPr>
                <w:rFonts w:asciiTheme="minorHAnsi" w:hAnsiTheme="minorHAnsi" w:cstheme="minorHAnsi"/>
                <w:sz w:val="24"/>
                <w:szCs w:val="24"/>
              </w:rPr>
            </w:pPr>
            <w:r w:rsidRPr="007A1814">
              <w:rPr>
                <w:rFonts w:asciiTheme="minorHAnsi" w:hAnsiTheme="minorHAnsi" w:cstheme="minorHAnsi"/>
                <w:sz w:val="24"/>
                <w:szCs w:val="24"/>
              </w:rPr>
              <w:t>Social workers must be alert to signs of harm, which may include:</w:t>
            </w:r>
          </w:p>
          <w:p w14:paraId="2CDAABA4" w14:textId="77777777" w:rsidR="001A4CBB" w:rsidRPr="007A1814" w:rsidRDefault="001A4CBB" w:rsidP="00F636A1">
            <w:pPr>
              <w:pStyle w:val="ListParagraph"/>
              <w:numPr>
                <w:ilvl w:val="0"/>
                <w:numId w:val="57"/>
              </w:numPr>
              <w:spacing w:line="276" w:lineRule="auto"/>
              <w:rPr>
                <w:rFonts w:asciiTheme="minorHAnsi" w:hAnsiTheme="minorHAnsi" w:cstheme="minorHAnsi"/>
                <w:sz w:val="24"/>
                <w:szCs w:val="24"/>
              </w:rPr>
            </w:pPr>
            <w:r w:rsidRPr="007A1814">
              <w:rPr>
                <w:rFonts w:asciiTheme="minorHAnsi" w:hAnsiTheme="minorHAnsi" w:cstheme="minorHAnsi"/>
                <w:sz w:val="24"/>
                <w:szCs w:val="24"/>
              </w:rPr>
              <w:t>Physical abuse – unexplained injuries, frequent hospital visits, fearfulness around certain individuals.</w:t>
            </w:r>
          </w:p>
          <w:p w14:paraId="5BF779FC" w14:textId="77777777" w:rsidR="001A4CBB" w:rsidRPr="007A1814" w:rsidRDefault="001A4CBB" w:rsidP="00F636A1">
            <w:pPr>
              <w:pStyle w:val="ListParagraph"/>
              <w:numPr>
                <w:ilvl w:val="0"/>
                <w:numId w:val="57"/>
              </w:numPr>
              <w:spacing w:line="276" w:lineRule="auto"/>
              <w:rPr>
                <w:rFonts w:asciiTheme="minorHAnsi" w:hAnsiTheme="minorHAnsi" w:cstheme="minorHAnsi"/>
                <w:sz w:val="24"/>
                <w:szCs w:val="24"/>
              </w:rPr>
            </w:pPr>
            <w:r w:rsidRPr="007A1814">
              <w:rPr>
                <w:rFonts w:asciiTheme="minorHAnsi" w:hAnsiTheme="minorHAnsi" w:cstheme="minorHAnsi"/>
                <w:sz w:val="24"/>
                <w:szCs w:val="24"/>
              </w:rPr>
              <w:t>Emotional/psychological abuse – withdrawal, low self-esteem, excessive compliance, reluctance to engage.</w:t>
            </w:r>
          </w:p>
          <w:p w14:paraId="400F965B" w14:textId="77777777" w:rsidR="001A4CBB" w:rsidRPr="007A1814" w:rsidRDefault="001A4CBB" w:rsidP="00F636A1">
            <w:pPr>
              <w:pStyle w:val="ListParagraph"/>
              <w:numPr>
                <w:ilvl w:val="0"/>
                <w:numId w:val="57"/>
              </w:numPr>
              <w:spacing w:line="276" w:lineRule="auto"/>
              <w:rPr>
                <w:rFonts w:asciiTheme="minorHAnsi" w:hAnsiTheme="minorHAnsi" w:cstheme="minorHAnsi"/>
                <w:sz w:val="24"/>
                <w:szCs w:val="24"/>
              </w:rPr>
            </w:pPr>
            <w:r w:rsidRPr="007A1814">
              <w:rPr>
                <w:rFonts w:asciiTheme="minorHAnsi" w:hAnsiTheme="minorHAnsi" w:cstheme="minorHAnsi"/>
                <w:sz w:val="24"/>
                <w:szCs w:val="24"/>
              </w:rPr>
              <w:t>Sexual abuse – changes in behaviour, avoidance of contact, unexplained injuries, distress.</w:t>
            </w:r>
          </w:p>
          <w:p w14:paraId="31080AC9" w14:textId="77777777" w:rsidR="001A4CBB" w:rsidRPr="007A1814" w:rsidRDefault="001A4CBB" w:rsidP="00F636A1">
            <w:pPr>
              <w:pStyle w:val="ListParagraph"/>
              <w:numPr>
                <w:ilvl w:val="0"/>
                <w:numId w:val="57"/>
              </w:numPr>
              <w:spacing w:line="276" w:lineRule="auto"/>
              <w:rPr>
                <w:rFonts w:asciiTheme="minorHAnsi" w:hAnsiTheme="minorHAnsi" w:cstheme="minorHAnsi"/>
                <w:sz w:val="24"/>
                <w:szCs w:val="24"/>
              </w:rPr>
            </w:pPr>
            <w:r w:rsidRPr="007A1814">
              <w:rPr>
                <w:rFonts w:asciiTheme="minorHAnsi" w:hAnsiTheme="minorHAnsi" w:cstheme="minorHAnsi"/>
                <w:sz w:val="24"/>
                <w:szCs w:val="24"/>
              </w:rPr>
              <w:t>Financial abuse – sudden loss of possessions, unpaid bills, coercion into signing documents.</w:t>
            </w:r>
          </w:p>
          <w:p w14:paraId="1C927FD0" w14:textId="77777777" w:rsidR="001A4CBB" w:rsidRPr="007A1814" w:rsidRDefault="001A4CBB" w:rsidP="00F636A1">
            <w:pPr>
              <w:pStyle w:val="ListParagraph"/>
              <w:numPr>
                <w:ilvl w:val="0"/>
                <w:numId w:val="57"/>
              </w:numPr>
              <w:spacing w:line="276" w:lineRule="auto"/>
              <w:rPr>
                <w:rFonts w:asciiTheme="minorHAnsi" w:hAnsiTheme="minorHAnsi" w:cstheme="minorHAnsi"/>
                <w:sz w:val="24"/>
                <w:szCs w:val="24"/>
              </w:rPr>
            </w:pPr>
            <w:r w:rsidRPr="007A1814">
              <w:rPr>
                <w:rFonts w:asciiTheme="minorHAnsi" w:hAnsiTheme="minorHAnsi" w:cstheme="minorHAnsi"/>
                <w:sz w:val="24"/>
                <w:szCs w:val="24"/>
              </w:rPr>
              <w:t>Neglect – malnutrition, poor hygiene, untreated medical needs, unsafe living conditions.</w:t>
            </w:r>
          </w:p>
          <w:p w14:paraId="42597F5A" w14:textId="77777777" w:rsidR="000A07ED" w:rsidRPr="007A1814" w:rsidRDefault="000A07ED" w:rsidP="00012751">
            <w:pPr>
              <w:spacing w:line="276" w:lineRule="auto"/>
              <w:rPr>
                <w:rFonts w:asciiTheme="minorHAnsi" w:hAnsiTheme="minorHAnsi" w:cstheme="minorHAnsi"/>
                <w:sz w:val="24"/>
                <w:szCs w:val="24"/>
              </w:rPr>
            </w:pPr>
          </w:p>
          <w:p w14:paraId="3B3E0A48" w14:textId="77777777" w:rsidR="001A4CBB" w:rsidRPr="007A1814" w:rsidRDefault="001A4CBB" w:rsidP="00012751">
            <w:pPr>
              <w:spacing w:line="276" w:lineRule="auto"/>
              <w:rPr>
                <w:rFonts w:asciiTheme="minorHAnsi" w:hAnsiTheme="minorHAnsi" w:cstheme="minorHAnsi"/>
                <w:b/>
                <w:bCs/>
                <w:sz w:val="24"/>
                <w:szCs w:val="24"/>
              </w:rPr>
            </w:pPr>
            <w:r w:rsidRPr="007A1814">
              <w:rPr>
                <w:rFonts w:asciiTheme="minorHAnsi" w:hAnsiTheme="minorHAnsi" w:cstheme="minorHAnsi"/>
                <w:b/>
                <w:bCs/>
                <w:sz w:val="24"/>
                <w:szCs w:val="24"/>
              </w:rPr>
              <w:t>Preferred Outcomes for People with Care and Support Needs and Carers</w:t>
            </w:r>
          </w:p>
          <w:p w14:paraId="561D3D14" w14:textId="77777777" w:rsidR="001A4CBB" w:rsidRPr="007A1814" w:rsidRDefault="001A4CBB" w:rsidP="00012751">
            <w:pPr>
              <w:spacing w:line="276" w:lineRule="auto"/>
              <w:rPr>
                <w:rFonts w:asciiTheme="minorHAnsi" w:hAnsiTheme="minorHAnsi" w:cstheme="minorHAnsi"/>
                <w:sz w:val="24"/>
                <w:szCs w:val="24"/>
              </w:rPr>
            </w:pPr>
            <w:r w:rsidRPr="007A1814">
              <w:rPr>
                <w:rFonts w:asciiTheme="minorHAnsi" w:hAnsiTheme="minorHAnsi" w:cstheme="minorHAnsi"/>
                <w:sz w:val="24"/>
                <w:szCs w:val="24"/>
              </w:rPr>
              <w:t>The Social Services and Well-being (Wales) Act 2014 requires safeguarding to be strengths-based and person-centred. This means professionals must consider the individual’s wishes, feelings, and outcomes – not just preventing immediate harm. For example, an adult at risk may prefer to remain at home with support rather than move into residential care. Carers’ voices must also be heard, ensuring they receive appropriate support and respite. Establishing preferred outcomes allows interventions to balance protection with empowerment, avoiding paternalistic practice.</w:t>
            </w:r>
          </w:p>
          <w:p w14:paraId="4730DD71" w14:textId="77777777" w:rsidR="000A07ED" w:rsidRPr="007A1814" w:rsidRDefault="000A07ED" w:rsidP="00012751">
            <w:pPr>
              <w:spacing w:line="276" w:lineRule="auto"/>
              <w:rPr>
                <w:rFonts w:asciiTheme="minorHAnsi" w:hAnsiTheme="minorHAnsi" w:cstheme="minorHAnsi"/>
                <w:sz w:val="24"/>
                <w:szCs w:val="24"/>
              </w:rPr>
            </w:pPr>
          </w:p>
          <w:p w14:paraId="3ABD08B3" w14:textId="77777777" w:rsidR="001A4CBB" w:rsidRPr="007A1814" w:rsidRDefault="001A4CBB" w:rsidP="00012751">
            <w:pPr>
              <w:spacing w:line="276" w:lineRule="auto"/>
              <w:rPr>
                <w:rFonts w:asciiTheme="minorHAnsi" w:hAnsiTheme="minorHAnsi" w:cstheme="minorHAnsi"/>
                <w:b/>
                <w:bCs/>
                <w:sz w:val="24"/>
                <w:szCs w:val="24"/>
              </w:rPr>
            </w:pPr>
            <w:r w:rsidRPr="007A1814">
              <w:rPr>
                <w:rFonts w:asciiTheme="minorHAnsi" w:hAnsiTheme="minorHAnsi" w:cstheme="minorHAnsi"/>
                <w:b/>
                <w:bCs/>
                <w:sz w:val="24"/>
                <w:szCs w:val="24"/>
              </w:rPr>
              <w:t>Conclusion</w:t>
            </w:r>
          </w:p>
          <w:p w14:paraId="01038C1B" w14:textId="77777777" w:rsidR="001A4CBB" w:rsidRPr="007A1814" w:rsidRDefault="001A4CBB" w:rsidP="00012751">
            <w:pPr>
              <w:spacing w:line="276" w:lineRule="auto"/>
              <w:rPr>
                <w:rFonts w:asciiTheme="minorHAnsi" w:hAnsiTheme="minorHAnsi" w:cstheme="minorHAnsi"/>
                <w:sz w:val="24"/>
                <w:szCs w:val="24"/>
              </w:rPr>
            </w:pPr>
            <w:r w:rsidRPr="007A1814">
              <w:rPr>
                <w:rFonts w:asciiTheme="minorHAnsi" w:hAnsiTheme="minorHAnsi" w:cstheme="minorHAnsi"/>
                <w:sz w:val="24"/>
                <w:szCs w:val="24"/>
              </w:rPr>
              <w:t>Adult safeguarding is built upon the Social Services and Well-being (Wales) Act 2014 and the Wales Safeguarding Procedures, implemented locally through safeguarding boards and organisational policy. Social workers must identify risk factors and indicators of harm, act in partnership with other agencies, and prioritise the outcomes that matter to adults and carers. This ensures that safeguarding interventions not only protect but also promote autonomy, rights, and well-being.</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36FCE7F3" w:rsidR="00FC0334" w:rsidRPr="00953C9B" w:rsidRDefault="00953C9B" w:rsidP="00FF7EBB">
            <w:pPr>
              <w:jc w:val="both"/>
              <w:rPr>
                <w:b/>
                <w:bCs/>
                <w:sz w:val="24"/>
                <w:szCs w:val="24"/>
              </w:rPr>
            </w:pPr>
            <w:r w:rsidRPr="00953C9B">
              <w:rPr>
                <w:b/>
                <w:bCs/>
                <w:sz w:val="24"/>
                <w:szCs w:val="24"/>
              </w:rPr>
              <w:t>Work Count: 539</w:t>
            </w:r>
          </w:p>
          <w:p w14:paraId="75DF59E2" w14:textId="77777777" w:rsidR="00FC0334"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0FB0F04A" w14:textId="77777777" w:rsidR="00484518" w:rsidRPr="00484518" w:rsidRDefault="00484518" w:rsidP="00484518">
            <w:pPr>
              <w:spacing w:line="276" w:lineRule="auto"/>
              <w:rPr>
                <w:rFonts w:asciiTheme="minorHAnsi" w:hAnsiTheme="minorHAnsi" w:cstheme="minorHAnsi"/>
                <w:sz w:val="24"/>
                <w:szCs w:val="24"/>
              </w:rPr>
            </w:pPr>
            <w:r w:rsidRPr="00484518">
              <w:rPr>
                <w:rFonts w:asciiTheme="minorHAnsi" w:hAnsiTheme="minorHAnsi" w:cstheme="minorHAnsi"/>
                <w:sz w:val="24"/>
                <w:szCs w:val="24"/>
              </w:rPr>
              <w:t>Safeguarding is a core aspect of social work practice across all service areas, but the way it is approached differs between adults and children. These differences are shaped by the law, concepts of capacity and consent, and the role of families and carers.</w:t>
            </w:r>
          </w:p>
          <w:p w14:paraId="11FEF425" w14:textId="77777777" w:rsidR="00484518" w:rsidRDefault="00484518" w:rsidP="00484518">
            <w:pPr>
              <w:spacing w:line="276" w:lineRule="auto"/>
              <w:rPr>
                <w:rFonts w:asciiTheme="minorHAnsi" w:hAnsiTheme="minorHAnsi" w:cstheme="minorHAnsi"/>
                <w:sz w:val="24"/>
                <w:szCs w:val="24"/>
              </w:rPr>
            </w:pPr>
            <w:r w:rsidRPr="00484518">
              <w:rPr>
                <w:rFonts w:asciiTheme="minorHAnsi" w:hAnsiTheme="minorHAnsi" w:cstheme="minorHAnsi"/>
                <w:sz w:val="24"/>
                <w:szCs w:val="24"/>
              </w:rPr>
              <w:t xml:space="preserve">When working with children, the law recognises that they are inherently vulnerable and require protection. Key legislation includes the </w:t>
            </w:r>
            <w:r w:rsidRPr="00484518">
              <w:rPr>
                <w:rFonts w:asciiTheme="minorHAnsi" w:hAnsiTheme="minorHAnsi" w:cstheme="minorHAnsi"/>
                <w:i/>
                <w:iCs/>
                <w:sz w:val="24"/>
                <w:szCs w:val="24"/>
              </w:rPr>
              <w:t>Children Act 1989</w:t>
            </w:r>
            <w:r w:rsidRPr="00484518">
              <w:rPr>
                <w:rFonts w:asciiTheme="minorHAnsi" w:hAnsiTheme="minorHAnsi" w:cstheme="minorHAnsi"/>
                <w:sz w:val="24"/>
                <w:szCs w:val="24"/>
              </w:rPr>
              <w:t xml:space="preserve">, the </w:t>
            </w:r>
            <w:r w:rsidRPr="00484518">
              <w:rPr>
                <w:rFonts w:asciiTheme="minorHAnsi" w:hAnsiTheme="minorHAnsi" w:cstheme="minorHAnsi"/>
                <w:i/>
                <w:iCs/>
                <w:sz w:val="24"/>
                <w:szCs w:val="24"/>
              </w:rPr>
              <w:t>Children Act 2004</w:t>
            </w:r>
            <w:r w:rsidRPr="00484518">
              <w:rPr>
                <w:rFonts w:asciiTheme="minorHAnsi" w:hAnsiTheme="minorHAnsi" w:cstheme="minorHAnsi"/>
                <w:sz w:val="24"/>
                <w:szCs w:val="24"/>
              </w:rPr>
              <w:t xml:space="preserve">, and the </w:t>
            </w:r>
            <w:r w:rsidRPr="00484518">
              <w:rPr>
                <w:rFonts w:asciiTheme="minorHAnsi" w:hAnsiTheme="minorHAnsi" w:cstheme="minorHAnsi"/>
                <w:i/>
                <w:iCs/>
                <w:sz w:val="24"/>
                <w:szCs w:val="24"/>
              </w:rPr>
              <w:t>Social Services and Well-being (Wales) Act 2014</w:t>
            </w:r>
            <w:r w:rsidRPr="00484518">
              <w:rPr>
                <w:rFonts w:asciiTheme="minorHAnsi" w:hAnsiTheme="minorHAnsi" w:cstheme="minorHAnsi"/>
                <w:sz w:val="24"/>
                <w:szCs w:val="24"/>
              </w:rPr>
              <w:t>. These place duties on local authorities to promote children’s welfare and intervene when there are concerns about harm or neglect (Welsh Government, 2014). Children are not usually regarded as having full capacity to make decisions, although the concept of Gillick competence allows for some recognition of children’s autonomy when they are judged mature enough to understand the implications of their choices (NSPCC, 2023). Despite this, professionals often adopt a protective stance, and thresholds for intervention are lower because children may be unable to protect themselves.</w:t>
            </w:r>
          </w:p>
          <w:p w14:paraId="782274B7" w14:textId="77777777" w:rsidR="005B347C" w:rsidRPr="00484518" w:rsidRDefault="005B347C" w:rsidP="00484518">
            <w:pPr>
              <w:spacing w:line="276" w:lineRule="auto"/>
              <w:rPr>
                <w:rFonts w:asciiTheme="minorHAnsi" w:hAnsiTheme="minorHAnsi" w:cstheme="minorHAnsi"/>
                <w:sz w:val="24"/>
                <w:szCs w:val="24"/>
              </w:rPr>
            </w:pPr>
          </w:p>
          <w:p w14:paraId="7CE8D7D3" w14:textId="77777777" w:rsidR="00484518" w:rsidRDefault="00484518" w:rsidP="00484518">
            <w:pPr>
              <w:spacing w:line="276" w:lineRule="auto"/>
              <w:rPr>
                <w:rFonts w:asciiTheme="minorHAnsi" w:hAnsiTheme="minorHAnsi" w:cstheme="minorHAnsi"/>
                <w:sz w:val="24"/>
                <w:szCs w:val="24"/>
              </w:rPr>
            </w:pPr>
            <w:r w:rsidRPr="00484518">
              <w:rPr>
                <w:rFonts w:asciiTheme="minorHAnsi" w:hAnsiTheme="minorHAnsi" w:cstheme="minorHAnsi"/>
                <w:sz w:val="24"/>
                <w:szCs w:val="24"/>
              </w:rPr>
              <w:t xml:space="preserve">Safeguarding adults is more complex because of the principle of autonomy. Adults are presumed to have capacity under the </w:t>
            </w:r>
            <w:r w:rsidRPr="00484518">
              <w:rPr>
                <w:rFonts w:asciiTheme="minorHAnsi" w:hAnsiTheme="minorHAnsi" w:cstheme="minorHAnsi"/>
                <w:i/>
                <w:iCs/>
                <w:sz w:val="24"/>
                <w:szCs w:val="24"/>
              </w:rPr>
              <w:t>Mental Capacity Act 2005</w:t>
            </w:r>
            <w:r w:rsidRPr="00484518">
              <w:rPr>
                <w:rFonts w:asciiTheme="minorHAnsi" w:hAnsiTheme="minorHAnsi" w:cstheme="minorHAnsi"/>
                <w:sz w:val="24"/>
                <w:szCs w:val="24"/>
              </w:rPr>
              <w:t xml:space="preserve">, and therefore may accept or refuse support even when professionals consider their decision unwise (DHSC, 2007). The </w:t>
            </w:r>
            <w:r w:rsidRPr="00484518">
              <w:rPr>
                <w:rFonts w:asciiTheme="minorHAnsi" w:hAnsiTheme="minorHAnsi" w:cstheme="minorHAnsi"/>
                <w:i/>
                <w:iCs/>
                <w:sz w:val="24"/>
                <w:szCs w:val="24"/>
              </w:rPr>
              <w:t>Social Services and Well-being (Wales) Act 2014</w:t>
            </w:r>
            <w:r w:rsidRPr="00484518">
              <w:rPr>
                <w:rFonts w:asciiTheme="minorHAnsi" w:hAnsiTheme="minorHAnsi" w:cstheme="minorHAnsi"/>
                <w:sz w:val="24"/>
                <w:szCs w:val="24"/>
              </w:rPr>
              <w:t xml:space="preserve">, along with the </w:t>
            </w:r>
            <w:r w:rsidRPr="00484518">
              <w:rPr>
                <w:rFonts w:asciiTheme="minorHAnsi" w:hAnsiTheme="minorHAnsi" w:cstheme="minorHAnsi"/>
                <w:i/>
                <w:iCs/>
                <w:sz w:val="24"/>
                <w:szCs w:val="24"/>
              </w:rPr>
              <w:t>Care Act 2014</w:t>
            </w:r>
            <w:r w:rsidRPr="00484518">
              <w:rPr>
                <w:rFonts w:asciiTheme="minorHAnsi" w:hAnsiTheme="minorHAnsi" w:cstheme="minorHAnsi"/>
                <w:sz w:val="24"/>
                <w:szCs w:val="24"/>
              </w:rPr>
              <w:t xml:space="preserve"> in England, establishes duties for professionals to act when adults with care and support needs are unable to protect themselves and are at risk of abuse or neglect (Welsh Government, 2014; HM Government, 2014). This creates a higher threshold for intervention compared with children’s safeguarding, as practice must balance protection with respect for independence and human rights (Human Rights Act 1998).</w:t>
            </w:r>
          </w:p>
          <w:p w14:paraId="476FBCAB" w14:textId="77777777" w:rsidR="005B347C" w:rsidRPr="00484518" w:rsidRDefault="005B347C" w:rsidP="00484518">
            <w:pPr>
              <w:spacing w:line="276" w:lineRule="auto"/>
              <w:rPr>
                <w:rFonts w:asciiTheme="minorHAnsi" w:hAnsiTheme="minorHAnsi" w:cstheme="minorHAnsi"/>
                <w:sz w:val="24"/>
                <w:szCs w:val="24"/>
              </w:rPr>
            </w:pPr>
          </w:p>
          <w:p w14:paraId="0BACB630" w14:textId="77777777" w:rsidR="00484518" w:rsidRDefault="00484518" w:rsidP="00484518">
            <w:pPr>
              <w:spacing w:line="276" w:lineRule="auto"/>
              <w:rPr>
                <w:rFonts w:asciiTheme="minorHAnsi" w:hAnsiTheme="minorHAnsi" w:cstheme="minorHAnsi"/>
                <w:sz w:val="24"/>
                <w:szCs w:val="24"/>
              </w:rPr>
            </w:pPr>
            <w:r w:rsidRPr="00484518">
              <w:rPr>
                <w:rFonts w:asciiTheme="minorHAnsi" w:hAnsiTheme="minorHAnsi" w:cstheme="minorHAnsi"/>
                <w:sz w:val="24"/>
                <w:szCs w:val="24"/>
              </w:rPr>
              <w:t>There are also differences in how families are involved. In children’s safeguarding, parents and carers are central figures, and interventions often focus on improving parental capacity to protect the child. In adult safeguarding, the individual’s wishes are prioritised, but carers’ perspectives are also considered, particularly where caring relationships may be strained or where carers themselves may be at risk (Social Care Wales, 2017).</w:t>
            </w:r>
          </w:p>
          <w:p w14:paraId="07A254CB" w14:textId="77777777" w:rsidR="005B347C" w:rsidRPr="00484518" w:rsidRDefault="005B347C" w:rsidP="00484518">
            <w:pPr>
              <w:spacing w:line="276" w:lineRule="auto"/>
              <w:rPr>
                <w:rFonts w:asciiTheme="minorHAnsi" w:hAnsiTheme="minorHAnsi" w:cstheme="minorHAnsi"/>
                <w:sz w:val="24"/>
                <w:szCs w:val="24"/>
              </w:rPr>
            </w:pPr>
          </w:p>
          <w:p w14:paraId="034212AB" w14:textId="3A441F58" w:rsidR="000A7ACC" w:rsidRPr="00915FB3" w:rsidRDefault="00915FB3" w:rsidP="00915FB3">
            <w:pPr>
              <w:spacing w:line="276" w:lineRule="auto"/>
              <w:rPr>
                <w:rFonts w:asciiTheme="minorHAnsi" w:hAnsiTheme="minorHAnsi" w:cstheme="minorHAnsi"/>
                <w:sz w:val="24"/>
                <w:szCs w:val="24"/>
              </w:rPr>
            </w:pPr>
            <w:r w:rsidRPr="00915FB3">
              <w:rPr>
                <w:rFonts w:asciiTheme="minorHAnsi" w:hAnsiTheme="minorHAnsi" w:cstheme="minorHAnsi"/>
                <w:sz w:val="24"/>
                <w:szCs w:val="24"/>
              </w:rPr>
              <w:lastRenderedPageBreak/>
              <w:t xml:space="preserve">The forms of harm can also differ. Children are often subject to neglect, physical or emotional abuse, or exploitation. Adults may face these too, but issues such as financial abuse, organisational abuse, or neglect by </w:t>
            </w:r>
            <w:r w:rsidR="0069773B">
              <w:rPr>
                <w:rFonts w:asciiTheme="minorHAnsi" w:hAnsiTheme="minorHAnsi" w:cstheme="minorHAnsi"/>
                <w:sz w:val="24"/>
                <w:szCs w:val="24"/>
              </w:rPr>
              <w:t xml:space="preserve">paid </w:t>
            </w:r>
            <w:r w:rsidRPr="00915FB3">
              <w:rPr>
                <w:rFonts w:asciiTheme="minorHAnsi" w:hAnsiTheme="minorHAnsi" w:cstheme="minorHAnsi"/>
                <w:sz w:val="24"/>
                <w:szCs w:val="24"/>
              </w:rPr>
              <w:t>carers are more prominent (Wales Safeguarding Procedures, 2019). Reflecting on these differences shows that while the overall aim of safeguarding is to prevent harm and promote well-being, the approaches are distinct. Safeguarding children is rooted in protection and intervention, whereas safeguarding adults requires greater emphasis on autonomy, consent, and empowerment. Recognising these distinctions enables social workers to apply professional judgement proportionately in different contexts.</w:t>
            </w:r>
          </w:p>
          <w:p w14:paraId="795C6051" w14:textId="77777777" w:rsidR="00FC0334" w:rsidRDefault="00FC0334" w:rsidP="00FC0334">
            <w:pPr>
              <w:jc w:val="both"/>
              <w:rPr>
                <w:sz w:val="24"/>
                <w:szCs w:val="24"/>
              </w:rPr>
            </w:pPr>
          </w:p>
          <w:p w14:paraId="67E7ED72" w14:textId="4EF15D1C" w:rsidR="00FC0334" w:rsidRPr="001245C9" w:rsidRDefault="001245C9" w:rsidP="00FC0334">
            <w:pPr>
              <w:jc w:val="both"/>
              <w:rPr>
                <w:b/>
                <w:bCs/>
                <w:sz w:val="24"/>
                <w:szCs w:val="24"/>
              </w:rPr>
            </w:pPr>
            <w:r w:rsidRPr="001245C9">
              <w:rPr>
                <w:b/>
                <w:bCs/>
                <w:sz w:val="24"/>
                <w:szCs w:val="24"/>
              </w:rPr>
              <w:t>Word count: 439</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42A53" w14:textId="77777777" w:rsidR="006160D3" w:rsidRDefault="006160D3">
      <w:r>
        <w:separator/>
      </w:r>
    </w:p>
  </w:endnote>
  <w:endnote w:type="continuationSeparator" w:id="0">
    <w:p w14:paraId="70B31877" w14:textId="77777777" w:rsidR="006160D3" w:rsidRDefault="00616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2E398" w14:textId="77777777" w:rsidR="006160D3" w:rsidRDefault="006160D3">
      <w:r>
        <w:separator/>
      </w:r>
    </w:p>
  </w:footnote>
  <w:footnote w:type="continuationSeparator" w:id="0">
    <w:p w14:paraId="2C040B82" w14:textId="77777777" w:rsidR="006160D3" w:rsidRDefault="006160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1116A5"/>
    <w:multiLevelType w:val="multilevel"/>
    <w:tmpl w:val="D1AEA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34A3D26"/>
    <w:multiLevelType w:val="multilevel"/>
    <w:tmpl w:val="1944B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A36AFC"/>
    <w:multiLevelType w:val="hybridMultilevel"/>
    <w:tmpl w:val="1ED8C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8F4397D"/>
    <w:multiLevelType w:val="multilevel"/>
    <w:tmpl w:val="84623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3" w15:restartNumberingAfterBreak="0">
    <w:nsid w:val="7A6E21A8"/>
    <w:multiLevelType w:val="hybridMultilevel"/>
    <w:tmpl w:val="A6AEC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E7116E9"/>
    <w:multiLevelType w:val="hybridMultilevel"/>
    <w:tmpl w:val="4BE86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9"/>
  </w:num>
  <w:num w:numId="4" w16cid:durableId="1850633156">
    <w:abstractNumId w:val="51"/>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0"/>
  </w:num>
  <w:num w:numId="10" w16cid:durableId="693307142">
    <w:abstractNumId w:val="35"/>
  </w:num>
  <w:num w:numId="11" w16cid:durableId="141846751">
    <w:abstractNumId w:val="17"/>
  </w:num>
  <w:num w:numId="12" w16cid:durableId="1310867263">
    <w:abstractNumId w:val="16"/>
  </w:num>
  <w:num w:numId="13" w16cid:durableId="65736213">
    <w:abstractNumId w:val="29"/>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30"/>
  </w:num>
  <w:num w:numId="24" w16cid:durableId="317615789">
    <w:abstractNumId w:val="19"/>
  </w:num>
  <w:num w:numId="25" w16cid:durableId="856430468">
    <w:abstractNumId w:val="45"/>
  </w:num>
  <w:num w:numId="26" w16cid:durableId="1104690971">
    <w:abstractNumId w:val="37"/>
  </w:num>
  <w:num w:numId="27" w16cid:durableId="1201670287">
    <w:abstractNumId w:val="44"/>
  </w:num>
  <w:num w:numId="28" w16cid:durableId="598562144">
    <w:abstractNumId w:val="20"/>
  </w:num>
  <w:num w:numId="29" w16cid:durableId="871068292">
    <w:abstractNumId w:val="47"/>
  </w:num>
  <w:num w:numId="30" w16cid:durableId="482159744">
    <w:abstractNumId w:val="33"/>
  </w:num>
  <w:num w:numId="31" w16cid:durableId="1565527110">
    <w:abstractNumId w:val="12"/>
  </w:num>
  <w:num w:numId="32" w16cid:durableId="1175995731">
    <w:abstractNumId w:val="48"/>
  </w:num>
  <w:num w:numId="33" w16cid:durableId="694232600">
    <w:abstractNumId w:val="43"/>
  </w:num>
  <w:num w:numId="34" w16cid:durableId="1062095063">
    <w:abstractNumId w:val="5"/>
  </w:num>
  <w:num w:numId="35" w16cid:durableId="2051881075">
    <w:abstractNumId w:val="50"/>
  </w:num>
  <w:num w:numId="36" w16cid:durableId="2107188112">
    <w:abstractNumId w:val="46"/>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4"/>
  </w:num>
  <w:num w:numId="47" w16cid:durableId="167212813">
    <w:abstractNumId w:val="52"/>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30"/>
  </w:num>
  <w:num w:numId="51" w16cid:durableId="536360681">
    <w:abstractNumId w:val="25"/>
  </w:num>
  <w:num w:numId="52" w16cid:durableId="1666274935">
    <w:abstractNumId w:val="21"/>
  </w:num>
  <w:num w:numId="53" w16cid:durableId="435172075">
    <w:abstractNumId w:val="2"/>
  </w:num>
  <w:num w:numId="54" w16cid:durableId="1563642472">
    <w:abstractNumId w:val="42"/>
  </w:num>
  <w:num w:numId="55" w16cid:durableId="1593664646">
    <w:abstractNumId w:val="22"/>
  </w:num>
  <w:num w:numId="56" w16cid:durableId="881597318">
    <w:abstractNumId w:val="28"/>
  </w:num>
  <w:num w:numId="57" w16cid:durableId="268970235">
    <w:abstractNumId w:val="38"/>
  </w:num>
  <w:num w:numId="58" w16cid:durableId="465243332">
    <w:abstractNumId w:val="53"/>
  </w:num>
  <w:num w:numId="59" w16cid:durableId="1949001694">
    <w:abstractNumId w:val="5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751"/>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07ED"/>
    <w:rsid w:val="000A4240"/>
    <w:rsid w:val="000A469A"/>
    <w:rsid w:val="000A584A"/>
    <w:rsid w:val="000A6458"/>
    <w:rsid w:val="000A7AC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45C9"/>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0D13"/>
    <w:rsid w:val="0019496C"/>
    <w:rsid w:val="001961CF"/>
    <w:rsid w:val="001A4CBB"/>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D5B"/>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5A4"/>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68E"/>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048"/>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518"/>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62FA"/>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47C"/>
    <w:rsid w:val="005B3A2D"/>
    <w:rsid w:val="005C1567"/>
    <w:rsid w:val="005C28D3"/>
    <w:rsid w:val="005C6CE5"/>
    <w:rsid w:val="005D07E9"/>
    <w:rsid w:val="005D3F07"/>
    <w:rsid w:val="005D4A1E"/>
    <w:rsid w:val="005D4F72"/>
    <w:rsid w:val="005E13EA"/>
    <w:rsid w:val="005E17F1"/>
    <w:rsid w:val="005E1E54"/>
    <w:rsid w:val="005F64AA"/>
    <w:rsid w:val="005F7851"/>
    <w:rsid w:val="00606E27"/>
    <w:rsid w:val="006108C9"/>
    <w:rsid w:val="00614DF7"/>
    <w:rsid w:val="006160D3"/>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4F0"/>
    <w:rsid w:val="00672CED"/>
    <w:rsid w:val="00674FC2"/>
    <w:rsid w:val="00676E35"/>
    <w:rsid w:val="00677E42"/>
    <w:rsid w:val="00682334"/>
    <w:rsid w:val="00684732"/>
    <w:rsid w:val="00684B16"/>
    <w:rsid w:val="00687016"/>
    <w:rsid w:val="006872A0"/>
    <w:rsid w:val="0069625A"/>
    <w:rsid w:val="00696A88"/>
    <w:rsid w:val="00696F65"/>
    <w:rsid w:val="00697572"/>
    <w:rsid w:val="0069773B"/>
    <w:rsid w:val="006B1799"/>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11C"/>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81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1E42"/>
    <w:rsid w:val="008859E8"/>
    <w:rsid w:val="0088737B"/>
    <w:rsid w:val="00891078"/>
    <w:rsid w:val="00892534"/>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FB3"/>
    <w:rsid w:val="00916FB2"/>
    <w:rsid w:val="00920E5B"/>
    <w:rsid w:val="00926436"/>
    <w:rsid w:val="00926C53"/>
    <w:rsid w:val="0093018C"/>
    <w:rsid w:val="0094495F"/>
    <w:rsid w:val="00953C9B"/>
    <w:rsid w:val="009544C0"/>
    <w:rsid w:val="00954FA4"/>
    <w:rsid w:val="00956AE9"/>
    <w:rsid w:val="009640AA"/>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1F6F"/>
    <w:rsid w:val="00A54D67"/>
    <w:rsid w:val="00A55A3F"/>
    <w:rsid w:val="00A5656A"/>
    <w:rsid w:val="00A60103"/>
    <w:rsid w:val="00A652F6"/>
    <w:rsid w:val="00A65419"/>
    <w:rsid w:val="00A65861"/>
    <w:rsid w:val="00A732EA"/>
    <w:rsid w:val="00A7489E"/>
    <w:rsid w:val="00A8015F"/>
    <w:rsid w:val="00A85039"/>
    <w:rsid w:val="00A906AA"/>
    <w:rsid w:val="00A94C5E"/>
    <w:rsid w:val="00AA252C"/>
    <w:rsid w:val="00AA3CD7"/>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437C"/>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93E"/>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1E49"/>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51AB"/>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6A1"/>
    <w:rsid w:val="00F66272"/>
    <w:rsid w:val="00F709C0"/>
    <w:rsid w:val="00F770CF"/>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A4CB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A4CB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1A4CB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A4CB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636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21534@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5</Pages>
  <Words>1207</Words>
  <Characters>7210</Characters>
  <Application>Microsoft Office Word</Application>
  <DocSecurity>0</DocSecurity>
  <Lines>171</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Morgan</cp:lastModifiedBy>
  <cp:revision>30</cp:revision>
  <cp:lastPrinted>2020-02-11T19:20:00Z</cp:lastPrinted>
  <dcterms:created xsi:type="dcterms:W3CDTF">2024-11-05T12:33:00Z</dcterms:created>
  <dcterms:modified xsi:type="dcterms:W3CDTF">2025-10-07T19:07:00Z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