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3C21C6" w:rsidRPr="003C21C6" w:rsidRDefault="003C21C6" w:rsidP="003C21C6">
      <w:pPr>
        <w:jc w:val="center"/>
        <w:rPr>
          <w:u w:val="single"/>
        </w:rPr>
      </w:pPr>
      <w:r w:rsidRPr="003C21C6">
        <w:rPr>
          <w:u w:val="single"/>
        </w:rPr>
        <w:t>Give a detailed account, including variants, of Alexander’s encounter with Talistris in the sources. Focus upon Walter of Châtillion, Alexandreis 8.1-48; Quintus Curtius Rufus 6.5.24-32; Historia de preliis pp.77-9.</w:t>
      </w:r>
    </w:p>
    <w:p w:rsidR="003C21C6" w:rsidRDefault="003C21C6" w:rsidP="003C21C6"/>
    <w:p w:rsidR="003C21C6" w:rsidRDefault="004E69D2" w:rsidP="003C21C6">
      <w:r>
        <w:t xml:space="preserve">The legend of </w:t>
      </w:r>
      <w:r w:rsidR="003C21C6">
        <w:t>Alexander’s encounter with Talistris is described by several authors over the centuries. Most notably it is recounted by Quintus Curtius Rufus in his Historiae, retold in Walter of Châtillion’s Alexandreis, as well as an alternative tale in the Historia de preliis.</w:t>
      </w:r>
    </w:p>
    <w:p w:rsidR="003C21C6" w:rsidRDefault="003C21C6" w:rsidP="003C21C6"/>
    <w:p w:rsidR="003C21C6" w:rsidRPr="00D72961" w:rsidRDefault="003C21C6" w:rsidP="003C21C6">
      <w:r>
        <w:t xml:space="preserve">Curtius’ </w:t>
      </w:r>
      <w:r w:rsidR="000C34D1">
        <w:t xml:space="preserve">Historiae </w:t>
      </w:r>
      <w:r>
        <w:t>tells of the queen of the Amazons, Talistris, who wished to meet Alexander</w:t>
      </w:r>
      <w:r w:rsidR="00375148">
        <w:rPr>
          <w:rStyle w:val="FootnoteReference"/>
        </w:rPr>
        <w:footnoteReference w:id="1"/>
      </w:r>
      <w:r w:rsidR="00D1393B">
        <w:t xml:space="preserve">, and her </w:t>
      </w:r>
      <w:r w:rsidR="00282715">
        <w:t>preposition</w:t>
      </w:r>
      <w:r w:rsidR="00D1393B">
        <w:t xml:space="preserve"> </w:t>
      </w:r>
      <w:r w:rsidR="009B4346">
        <w:t>of a child with Alexander</w:t>
      </w:r>
      <w:r w:rsidR="0042107C">
        <w:rPr>
          <w:rStyle w:val="FootnoteReference"/>
        </w:rPr>
        <w:footnoteReference w:id="2"/>
      </w:r>
      <w:r w:rsidR="00D50305">
        <w:t xml:space="preserve"> - ā sentiment </w:t>
      </w:r>
      <w:r w:rsidR="003C4561">
        <w:t xml:space="preserve">echoed in </w:t>
      </w:r>
      <w:r w:rsidR="00326E67">
        <w:t>Walter’s Alexandreis</w:t>
      </w:r>
      <w:r w:rsidR="00326E67">
        <w:rPr>
          <w:rStyle w:val="FootnoteReference"/>
        </w:rPr>
        <w:footnoteReference w:id="3"/>
      </w:r>
      <w:r w:rsidR="00326E67">
        <w:t>.</w:t>
      </w:r>
      <w:r w:rsidR="00CE7358">
        <w:t xml:space="preserve"> </w:t>
      </w:r>
      <w:r w:rsidR="00E26E6C">
        <w:t xml:space="preserve">In the </w:t>
      </w:r>
      <w:r>
        <w:t>Alexandreis</w:t>
      </w:r>
      <w:r w:rsidR="00E26E6C">
        <w:t xml:space="preserve">, </w:t>
      </w:r>
      <w:r>
        <w:t xml:space="preserve">Walter keeps his account close to that of Curtius’ when it comes to Alexander’s visit to Talistris. Certain parts of his account are almost </w:t>
      </w:r>
      <w:r w:rsidR="00E611FC">
        <w:t xml:space="preserve">verbatim </w:t>
      </w:r>
      <w:r>
        <w:t>what was said by Curtius</w:t>
      </w:r>
      <w:r w:rsidR="00E54668">
        <w:t xml:space="preserve">, for example their meeting </w:t>
      </w:r>
      <w:r w:rsidR="00EC357F">
        <w:t xml:space="preserve">and the description of </w:t>
      </w:r>
      <w:r w:rsidR="00EF681F">
        <w:t xml:space="preserve">how Talistris </w:t>
      </w:r>
      <w:r w:rsidR="00C65018">
        <w:t>approached Alexander’s camp with the desire to meet him</w:t>
      </w:r>
      <w:r w:rsidR="00C65018">
        <w:rPr>
          <w:rStyle w:val="FootnoteReference"/>
        </w:rPr>
        <w:footnoteReference w:id="4"/>
      </w:r>
      <w:r w:rsidR="009F6551">
        <w:t xml:space="preserve">. </w:t>
      </w:r>
      <w:r w:rsidR="000126D3">
        <w:t>Also li</w:t>
      </w:r>
      <w:r w:rsidR="00E070CF">
        <w:t xml:space="preserve">ke </w:t>
      </w:r>
      <w:r w:rsidR="003A0C49">
        <w:t>Curtius’ Historiae</w:t>
      </w:r>
      <w:r w:rsidR="000E3B6B">
        <w:t>,</w:t>
      </w:r>
      <w:r w:rsidR="003A0C49">
        <w:t xml:space="preserve"> Walter describes Tali</w:t>
      </w:r>
      <w:r w:rsidR="00762D50">
        <w:t>stris’ attire</w:t>
      </w:r>
      <w:r w:rsidR="009657D2">
        <w:rPr>
          <w:rStyle w:val="FootnoteReference"/>
        </w:rPr>
        <w:footnoteReference w:id="5"/>
      </w:r>
      <w:r w:rsidR="006A3C31">
        <w:t xml:space="preserve">, </w:t>
      </w:r>
      <w:r w:rsidR="007E5913">
        <w:t xml:space="preserve"> much like it is described in </w:t>
      </w:r>
      <w:r w:rsidR="00E10448">
        <w:t xml:space="preserve">Curtius’ Historiae – </w:t>
      </w:r>
      <w:r w:rsidR="00696CDD">
        <w:t>“</w:t>
      </w:r>
      <w:r w:rsidR="00696CDD">
        <w:rPr>
          <w:i/>
          <w:iCs/>
        </w:rPr>
        <w:t xml:space="preserve">the clothing of the Amazons </w:t>
      </w:r>
      <w:r w:rsidR="008B34D9">
        <w:rPr>
          <w:i/>
          <w:iCs/>
        </w:rPr>
        <w:t xml:space="preserve">does not wholly cover the body; </w:t>
      </w:r>
      <w:r w:rsidR="00902CBA">
        <w:rPr>
          <w:i/>
          <w:iCs/>
        </w:rPr>
        <w:t>for the left side is nude as far as the breast</w:t>
      </w:r>
      <w:r w:rsidR="000F3E25">
        <w:rPr>
          <w:i/>
          <w:iCs/>
        </w:rPr>
        <w:t xml:space="preserve">, then the other parts of the body </w:t>
      </w:r>
      <w:r w:rsidR="00FA4687">
        <w:rPr>
          <w:i/>
          <w:iCs/>
        </w:rPr>
        <w:t>are veiled”</w:t>
      </w:r>
      <w:r w:rsidR="00DE733A">
        <w:rPr>
          <w:rStyle w:val="FootnoteReference"/>
          <w:i/>
          <w:iCs/>
        </w:rPr>
        <w:footnoteReference w:id="6"/>
      </w:r>
      <w:r w:rsidR="00FA4687">
        <w:t xml:space="preserve">. </w:t>
      </w:r>
      <w:r w:rsidR="00E10448">
        <w:t xml:space="preserve">Walter however </w:t>
      </w:r>
      <w:r w:rsidR="006A3C31">
        <w:t xml:space="preserve"> </w:t>
      </w:r>
      <w:r w:rsidR="007E4470">
        <w:t xml:space="preserve">fails to mention </w:t>
      </w:r>
      <w:r w:rsidR="00915930">
        <w:t>the company with the queen that his predecessor does</w:t>
      </w:r>
      <w:r w:rsidR="00EF4CEC">
        <w:t xml:space="preserve"> - </w:t>
      </w:r>
      <w:r w:rsidR="00EF4CEC" w:rsidRPr="00EF4CEC">
        <w:rPr>
          <w:i/>
          <w:iCs/>
        </w:rPr>
        <w:t>“she came forward attended by three hundred women</w:t>
      </w:r>
      <w:r w:rsidR="00EF4CEC" w:rsidRPr="00D72961">
        <w:t>”</w:t>
      </w:r>
      <w:r w:rsidR="00F62AE9" w:rsidRPr="00D72961">
        <w:rPr>
          <w:rStyle w:val="FootnoteReference"/>
        </w:rPr>
        <w:footnoteReference w:id="7"/>
      </w:r>
      <w:r w:rsidR="00D72961" w:rsidRPr="00D72961">
        <w:t>.</w:t>
      </w:r>
      <w:r w:rsidR="00D72961">
        <w:rPr>
          <w:i/>
          <w:iCs/>
        </w:rPr>
        <w:t xml:space="preserve"> </w:t>
      </w:r>
    </w:p>
    <w:p w:rsidR="003C21C6" w:rsidRDefault="003C21C6" w:rsidP="003C21C6"/>
    <w:p w:rsidR="00C92050" w:rsidRDefault="0099130B" w:rsidP="003C21C6">
      <w:r>
        <w:t xml:space="preserve">In the Historia de preliis, the encounter between Alexander and the Amazon queen Talistris differs greatly from </w:t>
      </w:r>
      <w:r w:rsidR="004833B9">
        <w:t>that described by Curtius and Walter. In this work, Alexander and Talistris converse through a series of letter</w:t>
      </w:r>
      <w:r w:rsidR="00A165DE">
        <w:t xml:space="preserve">s, never meeting in person. Furthermore, there is absolutely no mention of </w:t>
      </w:r>
      <w:r w:rsidR="00956916">
        <w:t>Talistris’ desire to bare Alexander’s child in the Historia</w:t>
      </w:r>
      <w:r w:rsidR="0054146B">
        <w:t xml:space="preserve">. </w:t>
      </w:r>
      <w:r w:rsidR="00E74719">
        <w:t>The first letter</w:t>
      </w:r>
      <w:r w:rsidR="00455E88">
        <w:t xml:space="preserve"> of their exchange</w:t>
      </w:r>
      <w:r w:rsidR="00E74719">
        <w:t xml:space="preserve"> in the Historia </w:t>
      </w:r>
      <w:r w:rsidR="00455E88">
        <w:t xml:space="preserve">is </w:t>
      </w:r>
      <w:r w:rsidR="00B1560A">
        <w:t>a threat</w:t>
      </w:r>
      <w:r w:rsidR="00C65F7D">
        <w:t xml:space="preserve"> </w:t>
      </w:r>
      <w:r w:rsidR="00455E88">
        <w:t>from Alexander</w:t>
      </w:r>
      <w:r w:rsidR="00C65F7D">
        <w:t xml:space="preserve"> to </w:t>
      </w:r>
      <w:r w:rsidR="00613106">
        <w:t>Talistris</w:t>
      </w:r>
      <w:r w:rsidR="00C65F7D">
        <w:t xml:space="preserve">, saying </w:t>
      </w:r>
      <w:r w:rsidR="003B4EEB" w:rsidRPr="00C65F7D">
        <w:rPr>
          <w:i/>
          <w:iCs/>
        </w:rPr>
        <w:t>“I therefore command you to pay me tribute if you do not wish me to come against you and inflict some harm upon you”</w:t>
      </w:r>
      <w:r w:rsidR="00926BB4">
        <w:rPr>
          <w:rStyle w:val="FootnoteReference"/>
        </w:rPr>
        <w:footnoteReference w:id="8"/>
      </w:r>
      <w:r w:rsidR="00C65F7D">
        <w:t xml:space="preserve">. </w:t>
      </w:r>
      <w:r w:rsidR="00A30D63">
        <w:t xml:space="preserve">Talistris’ response details the </w:t>
      </w:r>
      <w:r w:rsidR="00214362">
        <w:t xml:space="preserve">practices of the Amazons, </w:t>
      </w:r>
      <w:r w:rsidR="000D23A3">
        <w:t xml:space="preserve">specifically that of </w:t>
      </w:r>
      <w:r w:rsidR="009A2D94">
        <w:t>procrastination</w:t>
      </w:r>
      <w:r w:rsidR="00E83461">
        <w:t>, with a female child remaining with the mother while a male child would be returned to the father</w:t>
      </w:r>
      <w:r w:rsidR="004858BC">
        <w:t xml:space="preserve">, </w:t>
      </w:r>
      <w:r w:rsidR="00055D3B">
        <w:t>also mentioned by Curtiu</w:t>
      </w:r>
      <w:r w:rsidR="004858BC">
        <w:t>s</w:t>
      </w:r>
      <w:r w:rsidR="004858BC">
        <w:rPr>
          <w:rStyle w:val="FootnoteReference"/>
        </w:rPr>
        <w:footnoteReference w:id="9"/>
      </w:r>
      <w:r w:rsidR="004858BC">
        <w:t>.</w:t>
      </w:r>
      <w:r w:rsidR="00A414C9">
        <w:t xml:space="preserve"> </w:t>
      </w:r>
      <w:r w:rsidR="004C27B8">
        <w:t xml:space="preserve">The letters close with Alexander </w:t>
      </w:r>
      <w:r w:rsidR="00D97500">
        <w:t xml:space="preserve">requesting, and receiving, </w:t>
      </w:r>
      <w:r w:rsidR="00162FDD">
        <w:t>a peace offeri</w:t>
      </w:r>
      <w:r w:rsidR="00BA1B2A">
        <w:t>ng after further threats had been exchanged</w:t>
      </w:r>
      <w:r w:rsidR="00DC55DA">
        <w:rPr>
          <w:rStyle w:val="FootnoteReference"/>
        </w:rPr>
        <w:footnoteReference w:id="10"/>
      </w:r>
      <w:r w:rsidR="00077B9A">
        <w:t>.</w:t>
      </w:r>
    </w:p>
    <w:p w:rsidR="002230E7" w:rsidRDefault="002230E7" w:rsidP="003C21C6"/>
    <w:p w:rsidR="003C21C6" w:rsidRDefault="00BB78F0" w:rsidP="003C21C6">
      <w:r>
        <w:t xml:space="preserve">The </w:t>
      </w:r>
      <w:r w:rsidR="00B522D1">
        <w:t xml:space="preserve">Alexander’s </w:t>
      </w:r>
      <w:r w:rsidR="00F57172">
        <w:t xml:space="preserve">depicted in Curtius and Walter’s </w:t>
      </w:r>
      <w:r w:rsidR="0037573B">
        <w:t xml:space="preserve">versions of the encounter with Talistris </w:t>
      </w:r>
      <w:r w:rsidR="00B522D1">
        <w:t xml:space="preserve">are </w:t>
      </w:r>
      <w:r w:rsidR="00113C5D">
        <w:t xml:space="preserve">essentially interchangeable with one another. </w:t>
      </w:r>
      <w:r w:rsidR="0050319A">
        <w:t xml:space="preserve">This is likely due to the fact that Walter’s variant of the story was </w:t>
      </w:r>
      <w:r w:rsidR="005551A4">
        <w:t xml:space="preserve">heavily reliant on </w:t>
      </w:r>
      <w:r w:rsidR="008C11B2">
        <w:t>the work of Curtius.</w:t>
      </w:r>
      <w:r w:rsidR="00BF5258">
        <w:t xml:space="preserve"> Alternatively, the </w:t>
      </w:r>
      <w:r w:rsidR="00673248">
        <w:t xml:space="preserve">character of </w:t>
      </w:r>
      <w:r w:rsidR="00BF5258">
        <w:t xml:space="preserve">Alexander </w:t>
      </w:r>
      <w:r w:rsidR="00673248">
        <w:t xml:space="preserve">depicted in Historia de preliis </w:t>
      </w:r>
      <w:r w:rsidR="00642D68">
        <w:t xml:space="preserve">stands apart from </w:t>
      </w:r>
      <w:r w:rsidR="001B0C14">
        <w:t xml:space="preserve">the Alexander of Curtius and Walter, seemingly focusing on the military campaigning side of the </w:t>
      </w:r>
      <w:r w:rsidR="00037FE2">
        <w:t xml:space="preserve">historical man. </w:t>
      </w:r>
    </w:p>
    <w:p w:rsidR="003C21C6" w:rsidRDefault="003C21C6" w:rsidP="003C21C6"/>
    <w:p w:rsidR="003C21C6" w:rsidRDefault="003C21C6" w:rsidP="003C21C6"/>
    <w:p w:rsidR="003C620C" w:rsidRDefault="003C620C" w:rsidP="003C21C6"/>
    <w:p w:rsidR="003C620C" w:rsidRDefault="003C620C">
      <w:r>
        <w:br w:type="page"/>
      </w:r>
    </w:p>
    <w:p w:rsidR="003C620C" w:rsidRDefault="003C620C" w:rsidP="003C21C6"/>
    <w:p w:rsidR="003C21C6" w:rsidRDefault="003C21C6" w:rsidP="003C21C6">
      <w:r>
        <w:t>Bibliography</w:t>
      </w:r>
      <w:r w:rsidR="0054089B">
        <w:t>:</w:t>
      </w:r>
      <w:bookmarkStart w:id="0" w:name="_GoBack"/>
      <w:bookmarkEnd w:id="0"/>
    </w:p>
    <w:p w:rsidR="003C21C6" w:rsidRDefault="003C21C6" w:rsidP="003C21C6"/>
    <w:p w:rsidR="00DA6797" w:rsidRDefault="008964B9" w:rsidP="003C21C6">
      <w:r>
        <w:t xml:space="preserve">Pritchard, R. </w:t>
      </w:r>
      <w:proofErr w:type="spellStart"/>
      <w:r>
        <w:t>Telfryn</w:t>
      </w:r>
      <w:proofErr w:type="spellEnd"/>
      <w:r>
        <w:t>. (1992)</w:t>
      </w:r>
      <w:r w:rsidR="002D678E">
        <w:t xml:space="preserve"> </w:t>
      </w:r>
      <w:r w:rsidR="002D678E">
        <w:t>The History of Alexander's Battles: Historia De Preliis, the J1 Version.</w:t>
      </w:r>
      <w:r w:rsidR="002D678E">
        <w:t xml:space="preserve"> </w:t>
      </w:r>
      <w:r w:rsidR="002D678E">
        <w:t>Toronto : Pontifical Institute of Mediaeval Studies</w:t>
      </w:r>
      <w:r w:rsidR="002D678E">
        <w:t xml:space="preserve">. </w:t>
      </w:r>
    </w:p>
    <w:p w:rsidR="00DA6797" w:rsidRDefault="00DA6797" w:rsidP="003C21C6"/>
    <w:p w:rsidR="003715C8" w:rsidRDefault="00D64031" w:rsidP="003C21C6">
      <w:r w:rsidRPr="00D64031">
        <w:t>Quintus Curtius. History of Alexander, Volume II: Books 6-10. Translated by J. C. Rolfe. Loeb Classical Library 369. Cambridge, MA: Harvard University Press, 1946.</w:t>
      </w:r>
    </w:p>
    <w:p w:rsidR="003C21C6" w:rsidRDefault="003C21C6" w:rsidP="003C21C6"/>
    <w:p w:rsidR="00613B7C" w:rsidRDefault="00D53E4E">
      <w:r w:rsidRPr="00D53E4E">
        <w:t xml:space="preserve">Townsend, D. (1996). The "Alexandreis" of Walter of </w:t>
      </w:r>
      <w:proofErr w:type="spellStart"/>
      <w:r w:rsidRPr="00D53E4E">
        <w:t>Chatilon</w:t>
      </w:r>
      <w:proofErr w:type="spellEnd"/>
      <w:r w:rsidRPr="00D53E4E">
        <w:t xml:space="preserve"> A Twelfth-Century Epic (Middle Ages series).</w:t>
      </w:r>
    </w:p>
    <w:sectPr w:rsidR="00613B7C">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375148" w:rsidRDefault="00375148" w:rsidP="00375148">
      <w:r>
        <w:separator/>
      </w:r>
    </w:p>
  </w:endnote>
  <w:endnote w:type="continuationSeparator" w:id="0">
    <w:p w:rsidR="00375148" w:rsidRDefault="00375148" w:rsidP="0037514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375148" w:rsidRDefault="00375148" w:rsidP="00375148">
      <w:r>
        <w:separator/>
      </w:r>
    </w:p>
  </w:footnote>
  <w:footnote w:type="continuationSeparator" w:id="0">
    <w:p w:rsidR="00375148" w:rsidRDefault="00375148" w:rsidP="00375148">
      <w:r>
        <w:continuationSeparator/>
      </w:r>
    </w:p>
  </w:footnote>
  <w:footnote w:id="1">
    <w:p w:rsidR="00375148" w:rsidRPr="0040441A" w:rsidRDefault="00375148" w:rsidP="00375148">
      <w:pPr>
        <w:rPr>
          <w:sz w:val="20"/>
          <w:szCs w:val="20"/>
        </w:rPr>
      </w:pPr>
      <w:r>
        <w:rPr>
          <w:rStyle w:val="FootnoteReference"/>
        </w:rPr>
        <w:footnoteRef/>
      </w:r>
      <w:r>
        <w:t xml:space="preserve"> </w:t>
      </w:r>
      <w:r w:rsidR="00387D2F" w:rsidRPr="0040441A">
        <w:rPr>
          <w:sz w:val="20"/>
          <w:szCs w:val="20"/>
        </w:rPr>
        <w:t xml:space="preserve">Curt. </w:t>
      </w:r>
      <w:r w:rsidRPr="0040441A">
        <w:rPr>
          <w:sz w:val="20"/>
          <w:szCs w:val="20"/>
        </w:rPr>
        <w:t>6.5.2</w:t>
      </w:r>
      <w:r w:rsidR="0076771F" w:rsidRPr="0040441A">
        <w:rPr>
          <w:sz w:val="20"/>
          <w:szCs w:val="20"/>
        </w:rPr>
        <w:t>5</w:t>
      </w:r>
    </w:p>
  </w:footnote>
  <w:footnote w:id="2">
    <w:p w:rsidR="0042107C" w:rsidRPr="0040441A" w:rsidRDefault="0042107C" w:rsidP="0042107C">
      <w:pPr>
        <w:rPr>
          <w:sz w:val="20"/>
          <w:szCs w:val="20"/>
        </w:rPr>
      </w:pPr>
      <w:r w:rsidRPr="0040441A">
        <w:rPr>
          <w:rStyle w:val="FootnoteReference"/>
          <w:sz w:val="20"/>
          <w:szCs w:val="20"/>
        </w:rPr>
        <w:footnoteRef/>
      </w:r>
      <w:r w:rsidRPr="0040441A">
        <w:rPr>
          <w:sz w:val="20"/>
          <w:szCs w:val="20"/>
        </w:rPr>
        <w:t xml:space="preserve"> </w:t>
      </w:r>
      <w:r w:rsidR="00387D2F" w:rsidRPr="0040441A">
        <w:rPr>
          <w:sz w:val="20"/>
          <w:szCs w:val="20"/>
        </w:rPr>
        <w:t xml:space="preserve">Curt. </w:t>
      </w:r>
      <w:r w:rsidRPr="0040441A">
        <w:rPr>
          <w:sz w:val="20"/>
          <w:szCs w:val="20"/>
        </w:rPr>
        <w:t>6.5.</w:t>
      </w:r>
      <w:r w:rsidRPr="0040441A">
        <w:rPr>
          <w:sz w:val="20"/>
          <w:szCs w:val="20"/>
        </w:rPr>
        <w:t>30</w:t>
      </w:r>
    </w:p>
  </w:footnote>
  <w:footnote w:id="3">
    <w:p w:rsidR="00326E67" w:rsidRPr="0040441A" w:rsidRDefault="00326E67" w:rsidP="00326E67">
      <w:pPr>
        <w:rPr>
          <w:sz w:val="20"/>
          <w:szCs w:val="20"/>
        </w:rPr>
      </w:pPr>
      <w:r w:rsidRPr="0040441A">
        <w:rPr>
          <w:rStyle w:val="FootnoteReference"/>
          <w:sz w:val="20"/>
          <w:szCs w:val="20"/>
        </w:rPr>
        <w:footnoteRef/>
      </w:r>
      <w:r w:rsidRPr="0040441A">
        <w:rPr>
          <w:sz w:val="20"/>
          <w:szCs w:val="20"/>
        </w:rPr>
        <w:t xml:space="preserve"> </w:t>
      </w:r>
      <w:r w:rsidRPr="0040441A">
        <w:rPr>
          <w:sz w:val="20"/>
          <w:szCs w:val="20"/>
        </w:rPr>
        <w:t>Walter of Châtillion, Alexandreis 8.</w:t>
      </w:r>
      <w:r w:rsidR="00DB623A" w:rsidRPr="0040441A">
        <w:rPr>
          <w:sz w:val="20"/>
          <w:szCs w:val="20"/>
        </w:rPr>
        <w:t>44-47</w:t>
      </w:r>
    </w:p>
  </w:footnote>
  <w:footnote w:id="4">
    <w:p w:rsidR="001505E1" w:rsidRPr="0040441A" w:rsidRDefault="00C65018" w:rsidP="00C65018">
      <w:pPr>
        <w:rPr>
          <w:sz w:val="20"/>
          <w:szCs w:val="20"/>
        </w:rPr>
      </w:pPr>
      <w:r w:rsidRPr="0040441A">
        <w:rPr>
          <w:rStyle w:val="FootnoteReference"/>
          <w:sz w:val="20"/>
          <w:szCs w:val="20"/>
        </w:rPr>
        <w:footnoteRef/>
      </w:r>
      <w:r w:rsidRPr="0040441A">
        <w:rPr>
          <w:sz w:val="20"/>
          <w:szCs w:val="20"/>
        </w:rPr>
        <w:t xml:space="preserve"> </w:t>
      </w:r>
      <w:r w:rsidRPr="0040441A">
        <w:rPr>
          <w:sz w:val="20"/>
          <w:szCs w:val="20"/>
        </w:rPr>
        <w:t>Walter of Châtillion, Alexandreis 8.</w:t>
      </w:r>
      <w:r w:rsidRPr="0040441A">
        <w:rPr>
          <w:sz w:val="20"/>
          <w:szCs w:val="20"/>
        </w:rPr>
        <w:t>9-10</w:t>
      </w:r>
      <w:r w:rsidR="001505E1" w:rsidRPr="0040441A">
        <w:rPr>
          <w:sz w:val="20"/>
          <w:szCs w:val="20"/>
        </w:rPr>
        <w:t xml:space="preserve">; </w:t>
      </w:r>
      <w:r w:rsidR="00BD3B20" w:rsidRPr="0040441A">
        <w:rPr>
          <w:sz w:val="20"/>
          <w:szCs w:val="20"/>
        </w:rPr>
        <w:t xml:space="preserve">Curt. </w:t>
      </w:r>
      <w:r w:rsidR="001505E1" w:rsidRPr="0040441A">
        <w:rPr>
          <w:sz w:val="20"/>
          <w:szCs w:val="20"/>
        </w:rPr>
        <w:t>6.5.25</w:t>
      </w:r>
    </w:p>
  </w:footnote>
  <w:footnote w:id="5">
    <w:p w:rsidR="009657D2" w:rsidRPr="0040441A" w:rsidRDefault="009657D2" w:rsidP="00FD7373">
      <w:pPr>
        <w:rPr>
          <w:sz w:val="20"/>
          <w:szCs w:val="20"/>
        </w:rPr>
      </w:pPr>
      <w:r w:rsidRPr="0040441A">
        <w:rPr>
          <w:rStyle w:val="FootnoteReference"/>
          <w:sz w:val="20"/>
          <w:szCs w:val="20"/>
        </w:rPr>
        <w:footnoteRef/>
      </w:r>
      <w:r w:rsidRPr="0040441A">
        <w:rPr>
          <w:sz w:val="20"/>
          <w:szCs w:val="20"/>
        </w:rPr>
        <w:t xml:space="preserve"> </w:t>
      </w:r>
      <w:r w:rsidR="00BD3B20" w:rsidRPr="0040441A">
        <w:rPr>
          <w:sz w:val="20"/>
          <w:szCs w:val="20"/>
        </w:rPr>
        <w:t xml:space="preserve">Curt. </w:t>
      </w:r>
      <w:r w:rsidR="00E44680" w:rsidRPr="0040441A">
        <w:rPr>
          <w:sz w:val="20"/>
          <w:szCs w:val="20"/>
        </w:rPr>
        <w:t>6.5.27-28; Walter of Châtillion, Alexandreis 8.16-27</w:t>
      </w:r>
    </w:p>
  </w:footnote>
  <w:footnote w:id="6">
    <w:p w:rsidR="00DE733A" w:rsidRPr="0040441A" w:rsidRDefault="00DE733A">
      <w:pPr>
        <w:pStyle w:val="FootnoteText"/>
      </w:pPr>
      <w:r w:rsidRPr="0040441A">
        <w:rPr>
          <w:rStyle w:val="FootnoteReference"/>
        </w:rPr>
        <w:footnoteRef/>
      </w:r>
      <w:r w:rsidRPr="0040441A">
        <w:t xml:space="preserve"> </w:t>
      </w:r>
      <w:r w:rsidR="00BD3B20" w:rsidRPr="0040441A">
        <w:t xml:space="preserve">Curt. </w:t>
      </w:r>
      <w:r w:rsidRPr="0040441A">
        <w:t>6.5.27</w:t>
      </w:r>
    </w:p>
  </w:footnote>
  <w:footnote w:id="7">
    <w:p w:rsidR="00F62AE9" w:rsidRPr="0040441A" w:rsidRDefault="00F62AE9">
      <w:pPr>
        <w:pStyle w:val="FootnoteText"/>
      </w:pPr>
      <w:r w:rsidRPr="0040441A">
        <w:rPr>
          <w:rStyle w:val="FootnoteReference"/>
        </w:rPr>
        <w:footnoteRef/>
      </w:r>
      <w:r w:rsidRPr="0040441A">
        <w:t xml:space="preserve"> </w:t>
      </w:r>
      <w:r w:rsidR="00BD3B20" w:rsidRPr="0040441A">
        <w:t xml:space="preserve">Curt. </w:t>
      </w:r>
      <w:r w:rsidRPr="0040441A">
        <w:t>6.5.</w:t>
      </w:r>
      <w:r w:rsidR="00542E93" w:rsidRPr="0040441A">
        <w:t>26</w:t>
      </w:r>
    </w:p>
  </w:footnote>
  <w:footnote w:id="8">
    <w:p w:rsidR="00926BB4" w:rsidRPr="0040441A" w:rsidRDefault="00926BB4" w:rsidP="00926BB4">
      <w:pPr>
        <w:rPr>
          <w:sz w:val="20"/>
          <w:szCs w:val="20"/>
        </w:rPr>
      </w:pPr>
      <w:r w:rsidRPr="0040441A">
        <w:rPr>
          <w:rStyle w:val="FootnoteReference"/>
          <w:sz w:val="20"/>
          <w:szCs w:val="20"/>
        </w:rPr>
        <w:footnoteRef/>
      </w:r>
      <w:r w:rsidRPr="0040441A">
        <w:rPr>
          <w:sz w:val="20"/>
          <w:szCs w:val="20"/>
        </w:rPr>
        <w:t xml:space="preserve"> </w:t>
      </w:r>
      <w:r w:rsidRPr="0040441A">
        <w:rPr>
          <w:sz w:val="20"/>
          <w:szCs w:val="20"/>
        </w:rPr>
        <w:t>Historia de preliis p.7</w:t>
      </w:r>
      <w:r w:rsidRPr="0040441A">
        <w:rPr>
          <w:sz w:val="20"/>
          <w:szCs w:val="20"/>
        </w:rPr>
        <w:t>7</w:t>
      </w:r>
    </w:p>
  </w:footnote>
  <w:footnote w:id="9">
    <w:p w:rsidR="004858BC" w:rsidRPr="0040441A" w:rsidRDefault="004858BC" w:rsidP="008116FE">
      <w:pPr>
        <w:rPr>
          <w:sz w:val="20"/>
          <w:szCs w:val="20"/>
        </w:rPr>
      </w:pPr>
      <w:r w:rsidRPr="0040441A">
        <w:rPr>
          <w:rStyle w:val="FootnoteReference"/>
          <w:sz w:val="20"/>
          <w:szCs w:val="20"/>
        </w:rPr>
        <w:footnoteRef/>
      </w:r>
      <w:r w:rsidRPr="0040441A">
        <w:rPr>
          <w:sz w:val="20"/>
          <w:szCs w:val="20"/>
        </w:rPr>
        <w:t xml:space="preserve"> </w:t>
      </w:r>
      <w:r w:rsidRPr="0040441A">
        <w:rPr>
          <w:sz w:val="20"/>
          <w:szCs w:val="20"/>
        </w:rPr>
        <w:t>Historia de preliis p.7</w:t>
      </w:r>
      <w:r w:rsidR="00891E29" w:rsidRPr="0040441A">
        <w:rPr>
          <w:sz w:val="20"/>
          <w:szCs w:val="20"/>
        </w:rPr>
        <w:t xml:space="preserve">8; </w:t>
      </w:r>
      <w:r w:rsidR="0040441A" w:rsidRPr="0040441A">
        <w:rPr>
          <w:sz w:val="20"/>
          <w:szCs w:val="20"/>
        </w:rPr>
        <w:t xml:space="preserve">Curt. </w:t>
      </w:r>
      <w:r w:rsidR="00891E29" w:rsidRPr="0040441A">
        <w:rPr>
          <w:sz w:val="20"/>
          <w:szCs w:val="20"/>
        </w:rPr>
        <w:t>6.5.</w:t>
      </w:r>
      <w:r w:rsidR="00C56AD2" w:rsidRPr="0040441A">
        <w:rPr>
          <w:sz w:val="20"/>
          <w:szCs w:val="20"/>
        </w:rPr>
        <w:t>30-</w:t>
      </w:r>
      <w:r w:rsidR="004B27BA" w:rsidRPr="0040441A">
        <w:rPr>
          <w:sz w:val="20"/>
          <w:szCs w:val="20"/>
        </w:rPr>
        <w:t>31</w:t>
      </w:r>
    </w:p>
  </w:footnote>
  <w:footnote w:id="10">
    <w:p w:rsidR="00DC55DA" w:rsidRPr="0040441A" w:rsidRDefault="00DC55DA">
      <w:pPr>
        <w:pStyle w:val="FootnoteText"/>
      </w:pPr>
      <w:r w:rsidRPr="0040441A">
        <w:rPr>
          <w:rStyle w:val="FootnoteReference"/>
        </w:rPr>
        <w:footnoteRef/>
      </w:r>
      <w:r w:rsidRPr="0040441A">
        <w:t xml:space="preserve"> </w:t>
      </w:r>
      <w:r w:rsidRPr="0040441A">
        <w:t>Historia de preliis p</w:t>
      </w:r>
      <w:r w:rsidR="00077B9A" w:rsidRPr="0040441A">
        <w:t>p.78-9</w:t>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40"/>
  <w:proofState w:spelling="clean"/>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C21C6"/>
    <w:rsid w:val="000126D3"/>
    <w:rsid w:val="00037FE2"/>
    <w:rsid w:val="00055D3B"/>
    <w:rsid w:val="00077B9A"/>
    <w:rsid w:val="000C34D1"/>
    <w:rsid w:val="000D23A3"/>
    <w:rsid w:val="000E3B6B"/>
    <w:rsid w:val="000E7A34"/>
    <w:rsid w:val="000F3E25"/>
    <w:rsid w:val="00113C5D"/>
    <w:rsid w:val="001505E1"/>
    <w:rsid w:val="00162FDD"/>
    <w:rsid w:val="001B0C14"/>
    <w:rsid w:val="001B7690"/>
    <w:rsid w:val="001C44F8"/>
    <w:rsid w:val="00214362"/>
    <w:rsid w:val="002230E7"/>
    <w:rsid w:val="00282715"/>
    <w:rsid w:val="002D678E"/>
    <w:rsid w:val="00326E67"/>
    <w:rsid w:val="0035593F"/>
    <w:rsid w:val="003715C8"/>
    <w:rsid w:val="00375148"/>
    <w:rsid w:val="0037573B"/>
    <w:rsid w:val="003766E3"/>
    <w:rsid w:val="003812AD"/>
    <w:rsid w:val="00387D2F"/>
    <w:rsid w:val="003A0C49"/>
    <w:rsid w:val="003A3099"/>
    <w:rsid w:val="003B4EEB"/>
    <w:rsid w:val="003C21C6"/>
    <w:rsid w:val="003C4561"/>
    <w:rsid w:val="003C620C"/>
    <w:rsid w:val="0040441A"/>
    <w:rsid w:val="0040601B"/>
    <w:rsid w:val="0042107C"/>
    <w:rsid w:val="00437240"/>
    <w:rsid w:val="00455E88"/>
    <w:rsid w:val="004833B9"/>
    <w:rsid w:val="004858BC"/>
    <w:rsid w:val="004B27BA"/>
    <w:rsid w:val="004C27B8"/>
    <w:rsid w:val="004C625D"/>
    <w:rsid w:val="004E69D2"/>
    <w:rsid w:val="00500F20"/>
    <w:rsid w:val="0050319A"/>
    <w:rsid w:val="0051079E"/>
    <w:rsid w:val="0054089B"/>
    <w:rsid w:val="0054146B"/>
    <w:rsid w:val="00542E93"/>
    <w:rsid w:val="005551A4"/>
    <w:rsid w:val="005C71C3"/>
    <w:rsid w:val="00613106"/>
    <w:rsid w:val="00613B7C"/>
    <w:rsid w:val="00642D68"/>
    <w:rsid w:val="0066314E"/>
    <w:rsid w:val="00673248"/>
    <w:rsid w:val="00696CDD"/>
    <w:rsid w:val="006A3C31"/>
    <w:rsid w:val="006E35AB"/>
    <w:rsid w:val="006F6BDE"/>
    <w:rsid w:val="0075325A"/>
    <w:rsid w:val="00762D50"/>
    <w:rsid w:val="0076771F"/>
    <w:rsid w:val="007E4470"/>
    <w:rsid w:val="007E4EB9"/>
    <w:rsid w:val="007E5913"/>
    <w:rsid w:val="008116FE"/>
    <w:rsid w:val="00891E29"/>
    <w:rsid w:val="008964B9"/>
    <w:rsid w:val="008B34D9"/>
    <w:rsid w:val="008C11B2"/>
    <w:rsid w:val="008C6427"/>
    <w:rsid w:val="00902CBA"/>
    <w:rsid w:val="00915930"/>
    <w:rsid w:val="00926BB4"/>
    <w:rsid w:val="00956916"/>
    <w:rsid w:val="009657D2"/>
    <w:rsid w:val="0099130B"/>
    <w:rsid w:val="009A2D94"/>
    <w:rsid w:val="009B4346"/>
    <w:rsid w:val="009F6551"/>
    <w:rsid w:val="00A165DE"/>
    <w:rsid w:val="00A30D63"/>
    <w:rsid w:val="00A414C9"/>
    <w:rsid w:val="00A64B8D"/>
    <w:rsid w:val="00A67945"/>
    <w:rsid w:val="00AA4819"/>
    <w:rsid w:val="00B1560A"/>
    <w:rsid w:val="00B522D1"/>
    <w:rsid w:val="00B8148E"/>
    <w:rsid w:val="00BA1B2A"/>
    <w:rsid w:val="00BB78F0"/>
    <w:rsid w:val="00BD3B20"/>
    <w:rsid w:val="00BF5258"/>
    <w:rsid w:val="00C56AD2"/>
    <w:rsid w:val="00C65018"/>
    <w:rsid w:val="00C65F7D"/>
    <w:rsid w:val="00C92050"/>
    <w:rsid w:val="00CE7358"/>
    <w:rsid w:val="00CF6939"/>
    <w:rsid w:val="00D1393B"/>
    <w:rsid w:val="00D30E0E"/>
    <w:rsid w:val="00D50305"/>
    <w:rsid w:val="00D53E4E"/>
    <w:rsid w:val="00D64031"/>
    <w:rsid w:val="00D72961"/>
    <w:rsid w:val="00D97500"/>
    <w:rsid w:val="00DA6797"/>
    <w:rsid w:val="00DB3407"/>
    <w:rsid w:val="00DB623A"/>
    <w:rsid w:val="00DC55DA"/>
    <w:rsid w:val="00DE733A"/>
    <w:rsid w:val="00E070CF"/>
    <w:rsid w:val="00E10448"/>
    <w:rsid w:val="00E26E6C"/>
    <w:rsid w:val="00E44680"/>
    <w:rsid w:val="00E54668"/>
    <w:rsid w:val="00E611FC"/>
    <w:rsid w:val="00E74719"/>
    <w:rsid w:val="00E83461"/>
    <w:rsid w:val="00EC0841"/>
    <w:rsid w:val="00EC357F"/>
    <w:rsid w:val="00EF4CEC"/>
    <w:rsid w:val="00EF681F"/>
    <w:rsid w:val="00F47B92"/>
    <w:rsid w:val="00F57172"/>
    <w:rsid w:val="00F62AE9"/>
    <w:rsid w:val="00F80B9A"/>
    <w:rsid w:val="00FA4687"/>
    <w:rsid w:val="00FD737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4:docId w14:val="25663627"/>
  <w15:chartTrackingRefBased/>
  <w15:docId w15:val="{9FCF0F4C-A680-FB41-9DAB-33AE302B387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2"/>
        <w:szCs w:val="22"/>
        <w:lang w:val="en-GB" w:eastAsia="en-GB"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noteText">
    <w:name w:val="footnote text"/>
    <w:basedOn w:val="Normal"/>
    <w:link w:val="FootnoteTextChar"/>
    <w:uiPriority w:val="99"/>
    <w:unhideWhenUsed/>
    <w:rsid w:val="00375148"/>
    <w:rPr>
      <w:sz w:val="20"/>
      <w:szCs w:val="20"/>
    </w:rPr>
  </w:style>
  <w:style w:type="character" w:customStyle="1" w:styleId="FootnoteTextChar">
    <w:name w:val="Footnote Text Char"/>
    <w:basedOn w:val="DefaultParagraphFont"/>
    <w:link w:val="FootnoteText"/>
    <w:uiPriority w:val="99"/>
    <w:rsid w:val="00375148"/>
    <w:rPr>
      <w:sz w:val="20"/>
      <w:szCs w:val="20"/>
    </w:rPr>
  </w:style>
  <w:style w:type="character" w:styleId="FootnoteReference">
    <w:name w:val="footnote reference"/>
    <w:basedOn w:val="DefaultParagraphFont"/>
    <w:uiPriority w:val="99"/>
    <w:semiHidden/>
    <w:unhideWhenUsed/>
    <w:rsid w:val="00375148"/>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13</TotalTime>
  <Pages>2</Pages>
  <Words>484</Words>
  <Characters>2762</Characters>
  <Application>Microsoft Office Word</Application>
  <DocSecurity>0</DocSecurity>
  <Lines>23</Lines>
  <Paragraphs>6</Paragraphs>
  <ScaleCrop>false</ScaleCrop>
  <Company/>
  <LinksUpToDate>false</LinksUpToDate>
  <CharactersWithSpaces>3240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Rebecca Smith (1801719)</dc:creator>
  <cp:keywords/>
  <dc:description/>
  <cp:lastModifiedBy>Rebecca Smith (1801719)</cp:lastModifiedBy>
  <cp:revision>4</cp:revision>
  <dcterms:created xsi:type="dcterms:W3CDTF">2020-01-20T22:47:00Z</dcterms:created>
  <dcterms:modified xsi:type="dcterms:W3CDTF">2020-01-20T22:51:00Z</dcterms:modified>
</cp:coreProperties>
</file>