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AFC8D" w14:textId="58BC9627" w:rsidR="006E7BB2" w:rsidRDefault="006E7BB2" w:rsidP="006408B9">
      <w:pPr>
        <w:rPr>
          <w:rFonts w:ascii="Calibri" w:hAnsi="Calibri" w:cs="Calibri"/>
          <w:b/>
          <w:bCs/>
          <w:iCs/>
        </w:rPr>
      </w:pPr>
      <w:r>
        <w:rPr>
          <w:rFonts w:ascii="Calibri" w:hAnsi="Calibri" w:cs="Calibri"/>
          <w:b/>
          <w:bCs/>
          <w:iCs/>
        </w:rPr>
        <w:t xml:space="preserve">Link to PowerPoint: </w:t>
      </w:r>
      <w:hyperlink r:id="rId4" w:history="1">
        <w:r w:rsidRPr="006E7BB2">
          <w:rPr>
            <w:rStyle w:val="Hyperlink"/>
            <w:rFonts w:ascii="Calibri" w:hAnsi="Calibri" w:cs="Calibri"/>
            <w:b/>
            <w:bCs/>
            <w:iCs/>
          </w:rPr>
          <w:t>The</w:t>
        </w:r>
        <w:r w:rsidRPr="006E7BB2">
          <w:rPr>
            <w:rStyle w:val="Hyperlink"/>
            <w:rFonts w:ascii="Calibri" w:hAnsi="Calibri" w:cs="Calibri"/>
            <w:b/>
            <w:bCs/>
            <w:iCs/>
          </w:rPr>
          <w:t xml:space="preserve"> </w:t>
        </w:r>
        <w:r w:rsidRPr="006E7BB2">
          <w:rPr>
            <w:rStyle w:val="Hyperlink"/>
            <w:rFonts w:ascii="Calibri" w:hAnsi="Calibri" w:cs="Calibri"/>
            <w:b/>
            <w:bCs/>
            <w:iCs/>
          </w:rPr>
          <w:t>Growi</w:t>
        </w:r>
        <w:r w:rsidRPr="006E7BB2">
          <w:rPr>
            <w:rStyle w:val="Hyperlink"/>
            <w:rFonts w:ascii="Calibri" w:hAnsi="Calibri" w:cs="Calibri"/>
            <w:b/>
            <w:bCs/>
            <w:iCs/>
          </w:rPr>
          <w:t>n</w:t>
        </w:r>
        <w:r w:rsidRPr="006E7BB2">
          <w:rPr>
            <w:rStyle w:val="Hyperlink"/>
            <w:rFonts w:ascii="Calibri" w:hAnsi="Calibri" w:cs="Calibri"/>
            <w:b/>
            <w:bCs/>
            <w:iCs/>
          </w:rPr>
          <w:t>g Challeng</w:t>
        </w:r>
        <w:r w:rsidRPr="006E7BB2">
          <w:rPr>
            <w:rStyle w:val="Hyperlink"/>
            <w:rFonts w:ascii="Calibri" w:hAnsi="Calibri" w:cs="Calibri"/>
            <w:b/>
            <w:bCs/>
            <w:iCs/>
          </w:rPr>
          <w:t>e</w:t>
        </w:r>
        <w:r w:rsidRPr="006E7BB2">
          <w:rPr>
            <w:rStyle w:val="Hyperlink"/>
            <w:rFonts w:ascii="Calibri" w:hAnsi="Calibri" w:cs="Calibri"/>
            <w:b/>
            <w:bCs/>
            <w:iCs/>
          </w:rPr>
          <w:t xml:space="preserve"> of Te</w:t>
        </w:r>
        <w:r w:rsidRPr="006E7BB2">
          <w:rPr>
            <w:rStyle w:val="Hyperlink"/>
            <w:rFonts w:ascii="Calibri" w:hAnsi="Calibri" w:cs="Calibri"/>
            <w:b/>
            <w:bCs/>
            <w:iCs/>
          </w:rPr>
          <w:t>a</w:t>
        </w:r>
        <w:r w:rsidRPr="006E7BB2">
          <w:rPr>
            <w:rStyle w:val="Hyperlink"/>
            <w:rFonts w:ascii="Calibri" w:hAnsi="Calibri" w:cs="Calibri"/>
            <w:b/>
            <w:bCs/>
            <w:iCs/>
          </w:rPr>
          <w:t>cher Burnout.pptx</w:t>
        </w:r>
      </w:hyperlink>
    </w:p>
    <w:p w14:paraId="1DAA67A7" w14:textId="63A6B2EC" w:rsidR="00E419DF" w:rsidRPr="00E419DF" w:rsidRDefault="00E419DF" w:rsidP="006408B9">
      <w:pPr>
        <w:rPr>
          <w:rFonts w:ascii="Calibri" w:hAnsi="Calibri" w:cs="Calibri"/>
          <w:b/>
          <w:bCs/>
          <w:iCs/>
        </w:rPr>
      </w:pPr>
      <w:r w:rsidRPr="00E419DF">
        <w:rPr>
          <w:rFonts w:ascii="Calibri" w:hAnsi="Calibri" w:cs="Calibri"/>
          <w:b/>
          <w:bCs/>
          <w:iCs/>
        </w:rPr>
        <w:t>Introduction</w:t>
      </w:r>
    </w:p>
    <w:p w14:paraId="30032E50" w14:textId="53812D0F" w:rsidR="006408B9" w:rsidRDefault="006408B9" w:rsidP="006408B9">
      <w:pPr>
        <w:rPr>
          <w:rFonts w:ascii="Calibri" w:hAnsi="Calibri" w:cs="Calibri"/>
          <w:b/>
          <w:bCs/>
          <w:iCs/>
        </w:rPr>
      </w:pPr>
      <w:r w:rsidRPr="00E419DF">
        <w:rPr>
          <w:rFonts w:ascii="Calibri" w:hAnsi="Calibri" w:cs="Calibri"/>
          <w:b/>
          <w:bCs/>
          <w:iCs/>
        </w:rPr>
        <w:t xml:space="preserve">First slide </w:t>
      </w:r>
      <w:r w:rsidR="00E419DF" w:rsidRPr="00E419DF">
        <w:rPr>
          <w:rFonts w:ascii="Calibri" w:hAnsi="Calibri" w:cs="Calibri"/>
          <w:b/>
          <w:bCs/>
          <w:iCs/>
        </w:rPr>
        <w:t>(11</w:t>
      </w:r>
      <w:r w:rsidR="00E419DF" w:rsidRPr="00E419DF">
        <w:rPr>
          <w:rFonts w:ascii="Calibri" w:hAnsi="Calibri" w:cs="Calibri"/>
          <w:b/>
          <w:bCs/>
          <w:iCs/>
          <w:vertAlign w:val="superscript"/>
        </w:rPr>
        <w:t>th</w:t>
      </w:r>
      <w:r w:rsidR="00E419DF" w:rsidRPr="00E419DF">
        <w:rPr>
          <w:rFonts w:ascii="Calibri" w:hAnsi="Calibri" w:cs="Calibri"/>
          <w:b/>
          <w:bCs/>
          <w:iCs/>
        </w:rPr>
        <w:t xml:space="preserve"> on the PowerPoint)</w:t>
      </w:r>
    </w:p>
    <w:p w14:paraId="35CE483B" w14:textId="77777777" w:rsidR="00E419DF" w:rsidRPr="00E419DF" w:rsidRDefault="00E419DF" w:rsidP="00E419DF">
      <w:pPr>
        <w:rPr>
          <w:rFonts w:ascii="Calibri" w:hAnsi="Calibri" w:cs="Calibri"/>
          <w:iCs/>
        </w:rPr>
      </w:pPr>
      <w:r w:rsidRPr="00E419DF">
        <w:rPr>
          <w:rFonts w:ascii="Calibri" w:hAnsi="Calibri" w:cs="Calibri"/>
          <w:iCs/>
        </w:rPr>
        <w:t xml:space="preserve">My name is Marie and I’m going to talk about on how to implement the ideas Phoebe described. </w:t>
      </w:r>
    </w:p>
    <w:p w14:paraId="45B5C0D9" w14:textId="77777777" w:rsidR="00E419DF" w:rsidRPr="00E419DF" w:rsidRDefault="00E419DF" w:rsidP="00E419DF">
      <w:pPr>
        <w:rPr>
          <w:rFonts w:ascii="Calibri" w:hAnsi="Calibri" w:cs="Calibri"/>
          <w:iCs/>
        </w:rPr>
      </w:pPr>
      <w:r w:rsidRPr="00E419DF">
        <w:rPr>
          <w:rFonts w:ascii="Calibri" w:hAnsi="Calibri" w:cs="Calibri"/>
          <w:iCs/>
        </w:rPr>
        <w:t xml:space="preserve">I’ll briefly introduce you to the order I will cover this – first, I will talk about putting students in charge of classroom, then introducing a ‘weird week’ with theme for each term and last is implementing unlimited sick days with full-pay for the first two years. </w:t>
      </w:r>
    </w:p>
    <w:p w14:paraId="14C070F9" w14:textId="328741F6" w:rsidR="00E419DF" w:rsidRDefault="00E419DF" w:rsidP="006408B9">
      <w:pPr>
        <w:rPr>
          <w:rFonts w:ascii="Calibri" w:hAnsi="Calibri" w:cs="Calibri"/>
          <w:b/>
          <w:bCs/>
          <w:iCs/>
        </w:rPr>
      </w:pPr>
      <w:r w:rsidRPr="00E419DF">
        <w:rPr>
          <w:rFonts w:ascii="Calibri" w:hAnsi="Calibri" w:cs="Calibri"/>
          <w:b/>
          <w:bCs/>
          <w:iCs/>
        </w:rPr>
        <w:t>Second slide (12</w:t>
      </w:r>
      <w:r w:rsidRPr="00E419DF">
        <w:rPr>
          <w:rFonts w:ascii="Calibri" w:hAnsi="Calibri" w:cs="Calibri"/>
          <w:b/>
          <w:bCs/>
          <w:iCs/>
          <w:vertAlign w:val="superscript"/>
        </w:rPr>
        <w:t>th</w:t>
      </w:r>
      <w:r w:rsidRPr="00E419DF">
        <w:rPr>
          <w:rFonts w:ascii="Calibri" w:hAnsi="Calibri" w:cs="Calibri"/>
          <w:b/>
          <w:bCs/>
          <w:iCs/>
        </w:rPr>
        <w:t xml:space="preserve"> on the PowerPoint)</w:t>
      </w:r>
    </w:p>
    <w:p w14:paraId="71C55325" w14:textId="77777777" w:rsidR="00E419DF" w:rsidRPr="00E419DF" w:rsidRDefault="00E419DF" w:rsidP="00E419DF">
      <w:pPr>
        <w:rPr>
          <w:rFonts w:ascii="Calibri" w:hAnsi="Calibri" w:cs="Calibri"/>
          <w:iCs/>
        </w:rPr>
      </w:pPr>
      <w:r w:rsidRPr="00E419DF">
        <w:rPr>
          <w:rFonts w:ascii="Calibri" w:hAnsi="Calibri" w:cs="Calibri"/>
          <w:iCs/>
        </w:rPr>
        <w:t xml:space="preserve">Putting students in charge of a classroom can be achieved by setting clear expectations and assigning roles such as group leaders and organisers. Activities should be tailored to students’ interests for motivation and focused on clear goals. After each activity, a brief reflection would follow to guide students in recognising the effort teaching requires and gaining compassionate leadership (Social Care Wales, 2025). This directly links to the Well-being of Future Generations (Wales) Act 2015, as it encourages schools to focus on collaboration and prevention of problems. </w:t>
      </w:r>
    </w:p>
    <w:p w14:paraId="6201D7FF" w14:textId="371F026E" w:rsidR="00E419DF" w:rsidRDefault="00E419DF" w:rsidP="006408B9">
      <w:pPr>
        <w:rPr>
          <w:rFonts w:ascii="Calibri" w:hAnsi="Calibri" w:cs="Calibri"/>
          <w:b/>
          <w:bCs/>
          <w:iCs/>
        </w:rPr>
      </w:pPr>
      <w:r w:rsidRPr="00E419DF">
        <w:rPr>
          <w:rFonts w:ascii="Calibri" w:hAnsi="Calibri" w:cs="Calibri"/>
          <w:b/>
          <w:bCs/>
          <w:iCs/>
        </w:rPr>
        <w:t>Third slide (13</w:t>
      </w:r>
      <w:r w:rsidRPr="00E419DF">
        <w:rPr>
          <w:rFonts w:ascii="Calibri" w:hAnsi="Calibri" w:cs="Calibri"/>
          <w:b/>
          <w:bCs/>
          <w:iCs/>
          <w:vertAlign w:val="superscript"/>
        </w:rPr>
        <w:t>th</w:t>
      </w:r>
      <w:r w:rsidRPr="00E419DF">
        <w:rPr>
          <w:rFonts w:ascii="Calibri" w:hAnsi="Calibri" w:cs="Calibri"/>
          <w:b/>
          <w:bCs/>
          <w:iCs/>
        </w:rPr>
        <w:t xml:space="preserve"> on the PowerPoint)</w:t>
      </w:r>
    </w:p>
    <w:p w14:paraId="20AE0153" w14:textId="77777777" w:rsidR="00E419DF" w:rsidRPr="00E419DF" w:rsidRDefault="00E419DF" w:rsidP="00E419DF">
      <w:pPr>
        <w:rPr>
          <w:rFonts w:ascii="Calibri" w:hAnsi="Calibri" w:cs="Calibri"/>
          <w:iCs/>
        </w:rPr>
      </w:pPr>
      <w:r w:rsidRPr="00E419DF">
        <w:rPr>
          <w:rFonts w:ascii="Calibri" w:hAnsi="Calibri" w:cs="Calibri"/>
          <w:iCs/>
        </w:rPr>
        <w:t xml:space="preserve">To introduce a ‘weird week’, a different theme would be implemented for each term, while following the Curriculum for Wales (2021). For example, one term could focus on creativity and arts, with visits to the workshops led by artists who could guide a lesson. Another term could focus on environmental awareness, including local-clean-up projects and exploring eco-friendly activities. This would follow the UN Convention on the Rights of the Child (1989), as children would have free expression and the curriculum is delivered in a more leisure and play focused way. </w:t>
      </w:r>
    </w:p>
    <w:p w14:paraId="78DF61AB" w14:textId="07FF9000" w:rsidR="00E419DF" w:rsidRDefault="00E419DF" w:rsidP="006408B9">
      <w:pPr>
        <w:rPr>
          <w:rFonts w:ascii="Calibri" w:hAnsi="Calibri" w:cs="Calibri"/>
          <w:b/>
          <w:bCs/>
          <w:iCs/>
        </w:rPr>
      </w:pPr>
      <w:r w:rsidRPr="00E419DF">
        <w:rPr>
          <w:rFonts w:ascii="Calibri" w:hAnsi="Calibri" w:cs="Calibri"/>
          <w:b/>
          <w:bCs/>
          <w:iCs/>
        </w:rPr>
        <w:t>Fourth slide (14</w:t>
      </w:r>
      <w:r w:rsidRPr="00E419DF">
        <w:rPr>
          <w:rFonts w:ascii="Calibri" w:hAnsi="Calibri" w:cs="Calibri"/>
          <w:b/>
          <w:bCs/>
          <w:iCs/>
          <w:vertAlign w:val="superscript"/>
        </w:rPr>
        <w:t>th</w:t>
      </w:r>
      <w:r w:rsidRPr="00E419DF">
        <w:rPr>
          <w:rFonts w:ascii="Calibri" w:hAnsi="Calibri" w:cs="Calibri"/>
          <w:b/>
          <w:bCs/>
          <w:iCs/>
        </w:rPr>
        <w:t xml:space="preserve"> on the PowerPoint)</w:t>
      </w:r>
    </w:p>
    <w:p w14:paraId="0641F82E" w14:textId="77777777" w:rsidR="00E419DF" w:rsidRPr="00E419DF" w:rsidRDefault="00E419DF" w:rsidP="00E419DF">
      <w:pPr>
        <w:rPr>
          <w:rFonts w:ascii="Calibri" w:hAnsi="Calibri" w:cs="Calibri"/>
          <w:iCs/>
        </w:rPr>
      </w:pPr>
      <w:r w:rsidRPr="00E419DF">
        <w:rPr>
          <w:rFonts w:ascii="Calibri" w:hAnsi="Calibri" w:cs="Calibri"/>
          <w:iCs/>
        </w:rPr>
        <w:t>And the last idea is to implement unlimited sick days with full-pay, for the first two years. The focus there being on the first two years of teaching, as those can be especially challenging, with Early Teachers reporting too heavy workload (Education Endowment Foundation, p. 6-7, 2024). This could be supported by government funding and budget reallocation, with clear guidelines to prevent taking advantage of and regular check-ins. After the two years, the policies set in The Burgundy Book 2023, could come back into action, where teachers receive full pay for 25 working days during their first year, with half pay for 50 days after (National Education Union, 2023).</w:t>
      </w:r>
    </w:p>
    <w:p w14:paraId="47A66B9B" w14:textId="77777777" w:rsidR="006E7BB2" w:rsidRDefault="006E7BB2">
      <w:pPr>
        <w:rPr>
          <w:rFonts w:ascii="Calibri" w:hAnsi="Calibri" w:cs="Calibri"/>
          <w:b/>
          <w:bCs/>
          <w:iCs/>
        </w:rPr>
      </w:pPr>
      <w:r>
        <w:rPr>
          <w:rFonts w:ascii="Calibri" w:hAnsi="Calibri" w:cs="Calibri"/>
          <w:b/>
          <w:bCs/>
          <w:iCs/>
        </w:rPr>
        <w:br w:type="page"/>
      </w:r>
    </w:p>
    <w:p w14:paraId="1F23988E" w14:textId="09CE3A7C" w:rsidR="00E419DF" w:rsidRDefault="00E419DF" w:rsidP="006408B9">
      <w:pPr>
        <w:rPr>
          <w:rFonts w:ascii="Calibri" w:hAnsi="Calibri" w:cs="Calibri"/>
          <w:b/>
          <w:bCs/>
          <w:iCs/>
        </w:rPr>
      </w:pPr>
      <w:r>
        <w:rPr>
          <w:rFonts w:ascii="Calibri" w:hAnsi="Calibri" w:cs="Calibri"/>
          <w:b/>
          <w:bCs/>
          <w:iCs/>
        </w:rPr>
        <w:lastRenderedPageBreak/>
        <w:t>Fifth slide (15</w:t>
      </w:r>
      <w:r w:rsidRPr="00E419DF">
        <w:rPr>
          <w:rFonts w:ascii="Calibri" w:hAnsi="Calibri" w:cs="Calibri"/>
          <w:b/>
          <w:bCs/>
          <w:iCs/>
          <w:vertAlign w:val="superscript"/>
        </w:rPr>
        <w:t>th</w:t>
      </w:r>
      <w:r>
        <w:rPr>
          <w:rFonts w:ascii="Calibri" w:hAnsi="Calibri" w:cs="Calibri"/>
          <w:b/>
          <w:bCs/>
          <w:iCs/>
        </w:rPr>
        <w:t xml:space="preserve"> on the PowerPoint), as well as Reference list</w:t>
      </w:r>
    </w:p>
    <w:p w14:paraId="6E341B81" w14:textId="77777777" w:rsidR="00E419DF" w:rsidRPr="00E419DF" w:rsidRDefault="00E419DF" w:rsidP="00E419DF">
      <w:pPr>
        <w:rPr>
          <w:rFonts w:ascii="Calibri" w:hAnsi="Calibri" w:cs="Calibri"/>
          <w:iCs/>
        </w:rPr>
      </w:pPr>
      <w:r w:rsidRPr="00E419DF">
        <w:rPr>
          <w:rFonts w:ascii="Calibri" w:hAnsi="Calibri" w:cs="Calibri"/>
          <w:iCs/>
        </w:rPr>
        <w:t xml:space="preserve">And with that, I would like to end our presentation about how to attempt to tackle the on growing challenge of teacher burnout. Thank you for listening, I hope you enjoyed. </w:t>
      </w:r>
    </w:p>
    <w:p w14:paraId="0FBD5A0B" w14:textId="77777777" w:rsidR="00E419DF" w:rsidRPr="00E419DF" w:rsidRDefault="00E419DF" w:rsidP="006408B9">
      <w:pPr>
        <w:rPr>
          <w:rFonts w:ascii="Calibri" w:hAnsi="Calibri" w:cs="Calibri"/>
          <w:b/>
          <w:bCs/>
          <w:iCs/>
        </w:rPr>
      </w:pPr>
    </w:p>
    <w:p w14:paraId="08A1E88A" w14:textId="2F28446B" w:rsidR="006408B9" w:rsidRPr="00E419DF" w:rsidRDefault="00E419DF">
      <w:pPr>
        <w:rPr>
          <w:rFonts w:ascii="Calibri" w:hAnsi="Calibri" w:cs="Calibri"/>
          <w:b/>
          <w:bCs/>
          <w:iCs/>
        </w:rPr>
      </w:pPr>
      <w:r w:rsidRPr="00E419DF">
        <w:rPr>
          <w:rFonts w:ascii="Calibri" w:hAnsi="Calibri" w:cs="Calibri"/>
          <w:b/>
          <w:bCs/>
          <w:iCs/>
        </w:rPr>
        <w:t>Reference list</w:t>
      </w:r>
      <w:r>
        <w:rPr>
          <w:rFonts w:ascii="Calibri" w:hAnsi="Calibri" w:cs="Calibri"/>
          <w:b/>
          <w:bCs/>
          <w:iCs/>
        </w:rPr>
        <w:t>:</w:t>
      </w:r>
    </w:p>
    <w:p w14:paraId="40833E4E" w14:textId="77777777" w:rsidR="006408B9" w:rsidRPr="006408B9" w:rsidRDefault="006408B9" w:rsidP="006408B9">
      <w:pPr>
        <w:rPr>
          <w:rFonts w:ascii="Calibri" w:hAnsi="Calibri" w:cs="Calibri"/>
          <w:iCs/>
        </w:rPr>
      </w:pPr>
      <w:r w:rsidRPr="006408B9">
        <w:rPr>
          <w:rFonts w:ascii="Calibri" w:hAnsi="Calibri" w:cs="Calibri"/>
          <w:iCs/>
        </w:rPr>
        <w:t xml:space="preserve">Education Endowment Foundation (2024) </w:t>
      </w:r>
      <w:r w:rsidRPr="006408B9">
        <w:rPr>
          <w:rFonts w:ascii="Calibri" w:hAnsi="Calibri" w:cs="Calibri"/>
          <w:i/>
          <w:iCs/>
        </w:rPr>
        <w:t xml:space="preserve">Evaluation of the early roll-out of the early career framework. </w:t>
      </w:r>
      <w:r w:rsidRPr="006408B9">
        <w:rPr>
          <w:rFonts w:ascii="Calibri" w:hAnsi="Calibri" w:cs="Calibri"/>
          <w:iCs/>
        </w:rPr>
        <w:t xml:space="preserve">Available at: </w:t>
      </w:r>
      <w:hyperlink r:id="rId5" w:history="1">
        <w:r w:rsidRPr="006408B9">
          <w:rPr>
            <w:rStyle w:val="Hyperlink"/>
            <w:rFonts w:ascii="Calibri" w:hAnsi="Calibri" w:cs="Calibri"/>
            <w:iCs/>
          </w:rPr>
          <w:t>https://d2tic4wvo1iusb.cloudfront.net/production/documents/projects/ECF_early_year_rollout_evaluation_report.pdf?v=1773056193&amp;utm_source=chatgpt.com</w:t>
        </w:r>
      </w:hyperlink>
      <w:r w:rsidRPr="006408B9">
        <w:rPr>
          <w:rFonts w:ascii="Calibri" w:hAnsi="Calibri" w:cs="Calibri"/>
          <w:iCs/>
        </w:rPr>
        <w:t xml:space="preserve"> (Accessed: 02.04.2026)</w:t>
      </w:r>
    </w:p>
    <w:p w14:paraId="05F9FB33" w14:textId="77777777" w:rsidR="006408B9" w:rsidRPr="006408B9" w:rsidRDefault="006408B9" w:rsidP="006408B9">
      <w:pPr>
        <w:rPr>
          <w:rFonts w:ascii="Calibri" w:hAnsi="Calibri" w:cs="Calibri"/>
          <w:iCs/>
        </w:rPr>
      </w:pPr>
      <w:r w:rsidRPr="006408B9">
        <w:rPr>
          <w:rFonts w:ascii="Calibri" w:hAnsi="Calibri" w:cs="Calibri"/>
          <w:iCs/>
        </w:rPr>
        <w:t xml:space="preserve">Future Generations Commissioner for Wales (2015) </w:t>
      </w:r>
      <w:r w:rsidRPr="006408B9">
        <w:rPr>
          <w:rFonts w:ascii="Calibri" w:hAnsi="Calibri" w:cs="Calibri"/>
          <w:i/>
          <w:iCs/>
        </w:rPr>
        <w:t xml:space="preserve">Well-being of future generations (Wales) act 2015. </w:t>
      </w:r>
      <w:r w:rsidRPr="006408B9">
        <w:rPr>
          <w:rFonts w:ascii="Calibri" w:hAnsi="Calibri" w:cs="Calibri"/>
          <w:iCs/>
        </w:rPr>
        <w:t xml:space="preserve">Available at: </w:t>
      </w:r>
      <w:hyperlink r:id="rId6" w:history="1">
        <w:r w:rsidRPr="006408B9">
          <w:rPr>
            <w:rStyle w:val="Hyperlink"/>
            <w:rFonts w:ascii="Calibri" w:hAnsi="Calibri" w:cs="Calibri"/>
            <w:iCs/>
          </w:rPr>
          <w:t>https://futuregenerations.wales/discover/about-future-generations-commissioner/future-generations-act-2015/</w:t>
        </w:r>
      </w:hyperlink>
      <w:r w:rsidRPr="006408B9">
        <w:rPr>
          <w:rFonts w:ascii="Calibri" w:hAnsi="Calibri" w:cs="Calibri"/>
          <w:iCs/>
        </w:rPr>
        <w:t xml:space="preserve">  (Accessed:10.04.2026)</w:t>
      </w:r>
    </w:p>
    <w:p w14:paraId="6226843B" w14:textId="77777777" w:rsidR="006408B9" w:rsidRPr="006408B9" w:rsidRDefault="006408B9" w:rsidP="006408B9">
      <w:pPr>
        <w:rPr>
          <w:rFonts w:ascii="Calibri" w:hAnsi="Calibri" w:cs="Calibri"/>
          <w:iCs/>
        </w:rPr>
      </w:pPr>
      <w:r w:rsidRPr="006408B9">
        <w:rPr>
          <w:rFonts w:ascii="Calibri" w:hAnsi="Calibri" w:cs="Calibri"/>
          <w:iCs/>
        </w:rPr>
        <w:t xml:space="preserve">National Education Union (NEU) (2023) </w:t>
      </w:r>
      <w:r w:rsidRPr="006408B9">
        <w:rPr>
          <w:rFonts w:ascii="Calibri" w:hAnsi="Calibri" w:cs="Calibri"/>
          <w:i/>
          <w:iCs/>
        </w:rPr>
        <w:t xml:space="preserve">Burgundy Book. </w:t>
      </w:r>
      <w:r w:rsidRPr="006408B9">
        <w:rPr>
          <w:rFonts w:ascii="Calibri" w:hAnsi="Calibri" w:cs="Calibri"/>
          <w:iCs/>
        </w:rPr>
        <w:t xml:space="preserve">Available at: </w:t>
      </w:r>
      <w:hyperlink r:id="rId7" w:history="1">
        <w:r w:rsidRPr="006408B9">
          <w:rPr>
            <w:rStyle w:val="Hyperlink"/>
            <w:rFonts w:ascii="Calibri" w:hAnsi="Calibri" w:cs="Calibri"/>
            <w:iCs/>
          </w:rPr>
          <w:t>https://neu.org.uk/latest/library/burgundy-book</w:t>
        </w:r>
      </w:hyperlink>
      <w:r w:rsidRPr="006408B9">
        <w:rPr>
          <w:rFonts w:ascii="Calibri" w:hAnsi="Calibri" w:cs="Calibri"/>
          <w:iCs/>
        </w:rPr>
        <w:t xml:space="preserve"> (Accessed: 02.04.2026)</w:t>
      </w:r>
    </w:p>
    <w:p w14:paraId="7AABA7D1" w14:textId="77777777" w:rsidR="006408B9" w:rsidRPr="006408B9" w:rsidRDefault="006408B9" w:rsidP="006408B9">
      <w:pPr>
        <w:rPr>
          <w:rFonts w:ascii="Calibri" w:hAnsi="Calibri" w:cs="Calibri"/>
          <w:iCs/>
        </w:rPr>
      </w:pPr>
      <w:r w:rsidRPr="006408B9">
        <w:rPr>
          <w:rFonts w:ascii="Calibri" w:hAnsi="Calibri" w:cs="Calibri"/>
          <w:iCs/>
        </w:rPr>
        <w:t xml:space="preserve">Social Care Wales (2025) </w:t>
      </w:r>
      <w:r w:rsidRPr="006408B9">
        <w:rPr>
          <w:rFonts w:ascii="Calibri" w:hAnsi="Calibri" w:cs="Calibri"/>
          <w:i/>
          <w:iCs/>
        </w:rPr>
        <w:t xml:space="preserve">About compassionate leadership. </w:t>
      </w:r>
      <w:r w:rsidRPr="006408B9">
        <w:rPr>
          <w:rFonts w:ascii="Calibri" w:hAnsi="Calibri" w:cs="Calibri"/>
          <w:iCs/>
        </w:rPr>
        <w:t xml:space="preserve">Available at: </w:t>
      </w:r>
      <w:hyperlink r:id="rId8" w:history="1">
        <w:r w:rsidRPr="006408B9">
          <w:rPr>
            <w:rStyle w:val="Hyperlink"/>
            <w:rFonts w:ascii="Calibri" w:hAnsi="Calibri" w:cs="Calibri"/>
            <w:iCs/>
          </w:rPr>
          <w:t>https://socialcare.wales/resources-guidance/improving-care-and-support/compassionate-leadership/about-compassionate-leadership</w:t>
        </w:r>
      </w:hyperlink>
      <w:r w:rsidRPr="006408B9">
        <w:rPr>
          <w:rFonts w:ascii="Calibri" w:hAnsi="Calibri" w:cs="Calibri"/>
          <w:iCs/>
        </w:rPr>
        <w:t xml:space="preserve"> (Accessed: 10.04.2025)</w:t>
      </w:r>
    </w:p>
    <w:p w14:paraId="2651FBB5" w14:textId="77777777" w:rsidR="006408B9" w:rsidRPr="006408B9" w:rsidRDefault="006408B9" w:rsidP="006408B9">
      <w:pPr>
        <w:rPr>
          <w:rFonts w:ascii="Calibri" w:hAnsi="Calibri" w:cs="Calibri"/>
          <w:iCs/>
        </w:rPr>
      </w:pPr>
      <w:r w:rsidRPr="006408B9">
        <w:rPr>
          <w:rFonts w:ascii="Calibri" w:hAnsi="Calibri" w:cs="Calibri"/>
          <w:iCs/>
        </w:rPr>
        <w:t xml:space="preserve">UNICEF (1989) </w:t>
      </w:r>
      <w:r w:rsidRPr="006408B9">
        <w:rPr>
          <w:rFonts w:ascii="Calibri" w:hAnsi="Calibri" w:cs="Calibri"/>
          <w:i/>
          <w:iCs/>
        </w:rPr>
        <w:t xml:space="preserve">Convention on the rights of the child. </w:t>
      </w:r>
      <w:r w:rsidRPr="006408B9">
        <w:rPr>
          <w:rFonts w:ascii="Calibri" w:hAnsi="Calibri" w:cs="Calibri"/>
          <w:iCs/>
        </w:rPr>
        <w:t>44/25 Available at:</w:t>
      </w:r>
      <w:hyperlink r:id="rId9" w:history="1">
        <w:r w:rsidRPr="006408B9">
          <w:rPr>
            <w:rStyle w:val="Hyperlink"/>
            <w:rFonts w:ascii="Calibri" w:hAnsi="Calibri" w:cs="Calibri"/>
            <w:iCs/>
          </w:rPr>
          <w:t>https</w:t>
        </w:r>
      </w:hyperlink>
      <w:hyperlink r:id="rId10" w:history="1">
        <w:r w:rsidRPr="006408B9">
          <w:rPr>
            <w:rStyle w:val="Hyperlink"/>
            <w:rFonts w:ascii="Calibri" w:hAnsi="Calibri" w:cs="Calibri"/>
            <w:iCs/>
          </w:rPr>
          <w:t>://www.unicef.org.uk/wp-content/uploads/2010/05/UNCRC_PRESS200910web.pdf</w:t>
        </w:r>
      </w:hyperlink>
      <w:r w:rsidRPr="006408B9">
        <w:rPr>
          <w:rFonts w:ascii="Calibri" w:hAnsi="Calibri" w:cs="Calibri"/>
          <w:iCs/>
        </w:rPr>
        <w:t xml:space="preserve"> (Accessed: 03.04.2024)</w:t>
      </w:r>
    </w:p>
    <w:p w14:paraId="32320F1E" w14:textId="77777777" w:rsidR="006408B9" w:rsidRPr="006408B9" w:rsidRDefault="006408B9" w:rsidP="006408B9">
      <w:pPr>
        <w:rPr>
          <w:rFonts w:ascii="Calibri" w:hAnsi="Calibri" w:cs="Calibri"/>
          <w:iCs/>
        </w:rPr>
      </w:pPr>
      <w:r w:rsidRPr="006408B9">
        <w:rPr>
          <w:rFonts w:ascii="Calibri" w:hAnsi="Calibri" w:cs="Calibri"/>
          <w:iCs/>
        </w:rPr>
        <w:t xml:space="preserve">Welsh Government (2024) </w:t>
      </w:r>
      <w:r w:rsidRPr="006408B9">
        <w:rPr>
          <w:rFonts w:ascii="Calibri" w:hAnsi="Calibri" w:cs="Calibri"/>
          <w:i/>
          <w:iCs/>
        </w:rPr>
        <w:t xml:space="preserve">Introduction to curriculum for </w:t>
      </w:r>
      <w:proofErr w:type="spellStart"/>
      <w:r w:rsidRPr="006408B9">
        <w:rPr>
          <w:rFonts w:ascii="Calibri" w:hAnsi="Calibri" w:cs="Calibri"/>
          <w:i/>
          <w:iCs/>
        </w:rPr>
        <w:t>wales</w:t>
      </w:r>
      <w:proofErr w:type="spellEnd"/>
      <w:r w:rsidRPr="006408B9">
        <w:rPr>
          <w:rFonts w:ascii="Calibri" w:hAnsi="Calibri" w:cs="Calibri"/>
          <w:i/>
          <w:iCs/>
        </w:rPr>
        <w:t xml:space="preserve"> guidance. </w:t>
      </w:r>
      <w:r w:rsidRPr="006408B9">
        <w:rPr>
          <w:rFonts w:ascii="Calibri" w:hAnsi="Calibri" w:cs="Calibri"/>
          <w:iCs/>
        </w:rPr>
        <w:t xml:space="preserve">Available at: </w:t>
      </w:r>
      <w:hyperlink r:id="rId11" w:history="1">
        <w:r w:rsidRPr="006408B9">
          <w:rPr>
            <w:rStyle w:val="Hyperlink"/>
            <w:rFonts w:ascii="Calibri" w:hAnsi="Calibri" w:cs="Calibri"/>
            <w:iCs/>
          </w:rPr>
          <w:t>https://hwb.gov.wales/curriculum-for-wales/introduction-to-curriculum-for-wales-guidance/</w:t>
        </w:r>
      </w:hyperlink>
      <w:r w:rsidRPr="006408B9">
        <w:rPr>
          <w:rFonts w:ascii="Calibri" w:hAnsi="Calibri" w:cs="Calibri"/>
          <w:iCs/>
        </w:rPr>
        <w:t xml:space="preserve"> (Accessed: 03.04.2024)</w:t>
      </w:r>
    </w:p>
    <w:p w14:paraId="29D2BD89" w14:textId="77777777" w:rsidR="006408B9" w:rsidRDefault="006408B9" w:rsidP="006408B9">
      <w:pPr>
        <w:rPr>
          <w:iCs/>
        </w:rPr>
      </w:pPr>
    </w:p>
    <w:p w14:paraId="3E27BEFE" w14:textId="77777777" w:rsidR="002A5BBE" w:rsidRDefault="002A5BBE" w:rsidP="006408B9">
      <w:pPr>
        <w:rPr>
          <w:iCs/>
        </w:rPr>
      </w:pPr>
    </w:p>
    <w:p w14:paraId="6F39D790" w14:textId="77777777" w:rsidR="002A5BBE" w:rsidRDefault="002A5BBE" w:rsidP="006408B9">
      <w:pPr>
        <w:rPr>
          <w:iCs/>
        </w:rPr>
      </w:pPr>
    </w:p>
    <w:p w14:paraId="0632764B" w14:textId="77777777" w:rsidR="002A5BBE" w:rsidRDefault="002A5BBE">
      <w:pPr>
        <w:rPr>
          <w:noProof/>
        </w:rPr>
      </w:pPr>
    </w:p>
    <w:p w14:paraId="28430BE0" w14:textId="77777777" w:rsidR="002A5BBE" w:rsidRDefault="002A5BBE">
      <w:pPr>
        <w:rPr>
          <w:noProof/>
        </w:rPr>
      </w:pPr>
    </w:p>
    <w:p w14:paraId="2A862BFB" w14:textId="77777777" w:rsidR="002A5BBE" w:rsidRDefault="002A5BBE">
      <w:pPr>
        <w:rPr>
          <w:noProof/>
        </w:rPr>
      </w:pPr>
    </w:p>
    <w:p w14:paraId="7CE4FB39" w14:textId="77777777" w:rsidR="002A5BBE" w:rsidRDefault="002A5BBE">
      <w:pPr>
        <w:rPr>
          <w:noProof/>
        </w:rPr>
      </w:pPr>
    </w:p>
    <w:p w14:paraId="06CAAF11" w14:textId="77777777" w:rsidR="002A5BBE" w:rsidRDefault="002A5BBE">
      <w:pPr>
        <w:rPr>
          <w:noProof/>
        </w:rPr>
      </w:pPr>
    </w:p>
    <w:p w14:paraId="0287876A" w14:textId="55D93B8C" w:rsidR="002A5BBE" w:rsidRPr="002A5BBE" w:rsidRDefault="002A5BBE" w:rsidP="002A5BBE">
      <w:pPr>
        <w:rPr>
          <w:b/>
          <w:bCs/>
          <w:noProof/>
        </w:rPr>
      </w:pPr>
      <w:r>
        <w:rPr>
          <w:noProof/>
        </w:rPr>
        <w:br w:type="page"/>
      </w:r>
      <w:r w:rsidRPr="002A5BBE">
        <w:rPr>
          <w:b/>
          <w:bCs/>
          <w:noProof/>
        </w:rPr>
        <w:lastRenderedPageBreak/>
        <w:t>PowerPoint slides</w:t>
      </w:r>
    </w:p>
    <w:p w14:paraId="527C8991" w14:textId="190F9777" w:rsidR="006408B9" w:rsidRDefault="002A5BBE">
      <w:r>
        <w:rPr>
          <w:noProof/>
        </w:rPr>
        <w:drawing>
          <wp:inline distT="0" distB="0" distL="0" distR="0" wp14:anchorId="6AEC164C" wp14:editId="721BD41D">
            <wp:extent cx="5731510" cy="3223895"/>
            <wp:effectExtent l="0" t="0" r="2540" b="0"/>
            <wp:docPr id="364077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7749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Pr="002A5BBE">
        <w:rPr>
          <w:noProof/>
        </w:rPr>
        <w:t xml:space="preserve"> </w:t>
      </w:r>
      <w:r>
        <w:rPr>
          <w:noProof/>
        </w:rPr>
        <w:drawing>
          <wp:inline distT="0" distB="0" distL="0" distR="0" wp14:anchorId="1409E0D0" wp14:editId="4F0B6501">
            <wp:extent cx="5731510" cy="3223895"/>
            <wp:effectExtent l="0" t="0" r="2540" b="0"/>
            <wp:docPr id="2683116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31162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Pr="002A5BBE">
        <w:rPr>
          <w:noProof/>
        </w:rPr>
        <w:t xml:space="preserve"> </w:t>
      </w:r>
      <w:r>
        <w:rPr>
          <w:noProof/>
        </w:rPr>
        <w:lastRenderedPageBreak/>
        <w:drawing>
          <wp:inline distT="0" distB="0" distL="0" distR="0" wp14:anchorId="73FAEBEC" wp14:editId="0507698A">
            <wp:extent cx="5731510" cy="3223895"/>
            <wp:effectExtent l="0" t="0" r="2540" b="0"/>
            <wp:docPr id="12735695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6950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Pr="002A5BBE">
        <w:rPr>
          <w:noProof/>
        </w:rPr>
        <w:t xml:space="preserve"> </w:t>
      </w:r>
      <w:r>
        <w:rPr>
          <w:noProof/>
        </w:rPr>
        <w:drawing>
          <wp:inline distT="0" distB="0" distL="0" distR="0" wp14:anchorId="40112214" wp14:editId="314AFAD7">
            <wp:extent cx="5731510" cy="3223895"/>
            <wp:effectExtent l="0" t="0" r="2540" b="0"/>
            <wp:docPr id="8470306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03069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Pr="002A5BBE">
        <w:rPr>
          <w:noProof/>
        </w:rPr>
        <w:t xml:space="preserve"> </w:t>
      </w:r>
      <w:r>
        <w:rPr>
          <w:noProof/>
        </w:rPr>
        <w:lastRenderedPageBreak/>
        <w:drawing>
          <wp:inline distT="0" distB="0" distL="0" distR="0" wp14:anchorId="2C54F23F" wp14:editId="0174DCFD">
            <wp:extent cx="5731510" cy="3223895"/>
            <wp:effectExtent l="0" t="0" r="2540" b="0"/>
            <wp:docPr id="6000885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08855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sectPr w:rsidR="006408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8B9"/>
    <w:rsid w:val="00164328"/>
    <w:rsid w:val="0029795D"/>
    <w:rsid w:val="002A5BBE"/>
    <w:rsid w:val="006408B9"/>
    <w:rsid w:val="006E7BB2"/>
    <w:rsid w:val="00E419DF"/>
    <w:rsid w:val="00FB4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F926"/>
  <w15:chartTrackingRefBased/>
  <w15:docId w15:val="{F8F58F0E-BF5B-4834-90BF-1CE456106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8B9"/>
  </w:style>
  <w:style w:type="paragraph" w:styleId="Heading1">
    <w:name w:val="heading 1"/>
    <w:basedOn w:val="Normal"/>
    <w:next w:val="Normal"/>
    <w:link w:val="Heading1Char"/>
    <w:uiPriority w:val="9"/>
    <w:qFormat/>
    <w:rsid w:val="006408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08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8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8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8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8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8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8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8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8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08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8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8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8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8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8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8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8B9"/>
    <w:rPr>
      <w:rFonts w:eastAsiaTheme="majorEastAsia" w:cstheme="majorBidi"/>
      <w:color w:val="272727" w:themeColor="text1" w:themeTint="D8"/>
    </w:rPr>
  </w:style>
  <w:style w:type="paragraph" w:styleId="Title">
    <w:name w:val="Title"/>
    <w:basedOn w:val="Normal"/>
    <w:next w:val="Normal"/>
    <w:link w:val="TitleChar"/>
    <w:uiPriority w:val="10"/>
    <w:qFormat/>
    <w:rsid w:val="006408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8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8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8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8B9"/>
    <w:pPr>
      <w:spacing w:before="160"/>
      <w:jc w:val="center"/>
    </w:pPr>
    <w:rPr>
      <w:i/>
      <w:iCs/>
      <w:color w:val="404040" w:themeColor="text1" w:themeTint="BF"/>
    </w:rPr>
  </w:style>
  <w:style w:type="character" w:customStyle="1" w:styleId="QuoteChar">
    <w:name w:val="Quote Char"/>
    <w:basedOn w:val="DefaultParagraphFont"/>
    <w:link w:val="Quote"/>
    <w:uiPriority w:val="29"/>
    <w:rsid w:val="006408B9"/>
    <w:rPr>
      <w:i/>
      <w:iCs/>
      <w:color w:val="404040" w:themeColor="text1" w:themeTint="BF"/>
    </w:rPr>
  </w:style>
  <w:style w:type="paragraph" w:styleId="ListParagraph">
    <w:name w:val="List Paragraph"/>
    <w:basedOn w:val="Normal"/>
    <w:uiPriority w:val="34"/>
    <w:qFormat/>
    <w:rsid w:val="006408B9"/>
    <w:pPr>
      <w:ind w:left="720"/>
      <w:contextualSpacing/>
    </w:pPr>
  </w:style>
  <w:style w:type="character" w:styleId="IntenseEmphasis">
    <w:name w:val="Intense Emphasis"/>
    <w:basedOn w:val="DefaultParagraphFont"/>
    <w:uiPriority w:val="21"/>
    <w:qFormat/>
    <w:rsid w:val="006408B9"/>
    <w:rPr>
      <w:i/>
      <w:iCs/>
      <w:color w:val="0F4761" w:themeColor="accent1" w:themeShade="BF"/>
    </w:rPr>
  </w:style>
  <w:style w:type="paragraph" w:styleId="IntenseQuote">
    <w:name w:val="Intense Quote"/>
    <w:basedOn w:val="Normal"/>
    <w:next w:val="Normal"/>
    <w:link w:val="IntenseQuoteChar"/>
    <w:uiPriority w:val="30"/>
    <w:qFormat/>
    <w:rsid w:val="006408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8B9"/>
    <w:rPr>
      <w:i/>
      <w:iCs/>
      <w:color w:val="0F4761" w:themeColor="accent1" w:themeShade="BF"/>
    </w:rPr>
  </w:style>
  <w:style w:type="character" w:styleId="IntenseReference">
    <w:name w:val="Intense Reference"/>
    <w:basedOn w:val="DefaultParagraphFont"/>
    <w:uiPriority w:val="32"/>
    <w:qFormat/>
    <w:rsid w:val="006408B9"/>
    <w:rPr>
      <w:b/>
      <w:bCs/>
      <w:smallCaps/>
      <w:color w:val="0F4761" w:themeColor="accent1" w:themeShade="BF"/>
      <w:spacing w:val="5"/>
    </w:rPr>
  </w:style>
  <w:style w:type="character" w:styleId="Hyperlink">
    <w:name w:val="Hyperlink"/>
    <w:basedOn w:val="DefaultParagraphFont"/>
    <w:uiPriority w:val="99"/>
    <w:unhideWhenUsed/>
    <w:rsid w:val="006408B9"/>
    <w:rPr>
      <w:color w:val="467886" w:themeColor="hyperlink"/>
      <w:u w:val="single"/>
    </w:rPr>
  </w:style>
  <w:style w:type="character" w:styleId="UnresolvedMention">
    <w:name w:val="Unresolved Mention"/>
    <w:basedOn w:val="DefaultParagraphFont"/>
    <w:uiPriority w:val="99"/>
    <w:semiHidden/>
    <w:unhideWhenUsed/>
    <w:rsid w:val="006408B9"/>
    <w:rPr>
      <w:color w:val="605E5C"/>
      <w:shd w:val="clear" w:color="auto" w:fill="E1DFDD"/>
    </w:rPr>
  </w:style>
  <w:style w:type="character" w:styleId="FollowedHyperlink">
    <w:name w:val="FollowedHyperlink"/>
    <w:basedOn w:val="DefaultParagraphFont"/>
    <w:uiPriority w:val="99"/>
    <w:semiHidden/>
    <w:unhideWhenUsed/>
    <w:rsid w:val="006E7BB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resources-guidance/improving-care-and-support/compassionate-leadership/about-compassionate-leadership" TargetMode="External"/><Relationship Id="rId13" Type="http://schemas.openxmlformats.org/officeDocument/2006/relationships/image" Target="media/image2.svg"/><Relationship Id="rId18" Type="http://schemas.openxmlformats.org/officeDocument/2006/relationships/image" Target="media/image7.png"/><Relationship Id="rId3" Type="http://schemas.openxmlformats.org/officeDocument/2006/relationships/webSettings" Target="webSettings.xml"/><Relationship Id="rId21" Type="http://schemas.openxmlformats.org/officeDocument/2006/relationships/image" Target="media/image10.svg"/><Relationship Id="rId7" Type="http://schemas.openxmlformats.org/officeDocument/2006/relationships/hyperlink" Target="https://neu.org.uk/latest/library/burgundy-book" TargetMode="External"/><Relationship Id="rId12" Type="http://schemas.openxmlformats.org/officeDocument/2006/relationships/image" Target="media/image1.png"/><Relationship Id="rId17" Type="http://schemas.openxmlformats.org/officeDocument/2006/relationships/image" Target="media/image6.svg"/><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styles" Target="styles.xml"/><Relationship Id="rId6" Type="http://schemas.openxmlformats.org/officeDocument/2006/relationships/hyperlink" Target="https://futuregenerations.wales/discover/about-future-generations-commissioner/future-generations-act-2015/" TargetMode="External"/><Relationship Id="rId11" Type="http://schemas.openxmlformats.org/officeDocument/2006/relationships/hyperlink" Target="https://hwb.gov.wales/curriculum-for-wales/introduction-to-curriculum-for-wales-guidance/" TargetMode="External"/><Relationship Id="rId5" Type="http://schemas.openxmlformats.org/officeDocument/2006/relationships/hyperlink" Target="https://d2tic4wvo1iusb.cloudfront.net/production/documents/projects/ECF_early_year_rollout_evaluation_report.pdf?v=1773056193&amp;utm_source=chatgpt.com" TargetMode="External"/><Relationship Id="rId15" Type="http://schemas.openxmlformats.org/officeDocument/2006/relationships/image" Target="media/image4.svg"/><Relationship Id="rId23" Type="http://schemas.openxmlformats.org/officeDocument/2006/relationships/theme" Target="theme/theme1.xml"/><Relationship Id="rId10" Type="http://schemas.openxmlformats.org/officeDocument/2006/relationships/hyperlink" Target="https://www.unicef.org.uk/wp-content/uploads/2010/05/UNCRC_PRESS200910web.pdf" TargetMode="External"/><Relationship Id="rId19" Type="http://schemas.openxmlformats.org/officeDocument/2006/relationships/image" Target="media/image8.svg"/><Relationship Id="rId4" Type="http://schemas.openxmlformats.org/officeDocument/2006/relationships/hyperlink" Target="https://uowtsd-my.sharepoint.com/:p:/g/personal/2506083_student_uwtsd_ac_uk/IQDgzEMMpf3BSr4VB4Yn5u7MAW2XFBSmDVwVnCADNUuheko?email=Heike.Griffiths%40uwtsd.ac.uk&amp;e=489eW3" TargetMode="External"/><Relationship Id="rId9" Type="http://schemas.openxmlformats.org/officeDocument/2006/relationships/hyperlink" Target="https://www.unicef.org.uk/wp-content/uploads/2010/05/UNCRC_PRESS200910web.pdf"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1</Pages>
  <Words>736</Words>
  <Characters>4200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Kopeckova (2507745)</dc:creator>
  <cp:keywords/>
  <dc:description/>
  <cp:lastModifiedBy>Marie Kopeckova (2507745)</cp:lastModifiedBy>
  <cp:revision>3</cp:revision>
  <dcterms:created xsi:type="dcterms:W3CDTF">2026-04-22T15:05:00Z</dcterms:created>
  <dcterms:modified xsi:type="dcterms:W3CDTF">2026-04-22T16:56:00Z</dcterms:modified>
</cp:coreProperties>
</file>