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auto"/>
          <w:sz w:val="22"/>
          <w:szCs w:val="22"/>
        </w:rPr>
        <w:id w:val="397414029"/>
        <w:docPartObj>
          <w:docPartGallery w:val="Table of Contents"/>
          <w:docPartUnique/>
        </w:docPartObj>
      </w:sdtPr>
      <w:sdtEndPr>
        <w:rPr>
          <w:b/>
          <w:bCs/>
          <w:noProof/>
        </w:rPr>
      </w:sdtEndPr>
      <w:sdtContent>
        <w:p w14:paraId="3D8C7A5D" w14:textId="77777777" w:rsidR="004D2AD5" w:rsidRPr="004D2AD5" w:rsidRDefault="004D2AD5" w:rsidP="004D2AD5">
          <w:pPr>
            <w:pStyle w:val="TOCHeading"/>
            <w:spacing w:line="360" w:lineRule="auto"/>
            <w:rPr>
              <w:rFonts w:ascii="Arial" w:hAnsi="Arial" w:cs="Arial"/>
            </w:rPr>
          </w:pPr>
          <w:r w:rsidRPr="004D2AD5">
            <w:rPr>
              <w:rFonts w:ascii="Arial" w:hAnsi="Arial" w:cs="Arial"/>
            </w:rPr>
            <w:t>Table of Contents</w:t>
          </w:r>
        </w:p>
        <w:p w14:paraId="513F2643" w14:textId="77777777" w:rsidR="004D2AD5" w:rsidRPr="004D2AD5" w:rsidRDefault="004D2AD5">
          <w:pPr>
            <w:pStyle w:val="TOC2"/>
            <w:tabs>
              <w:tab w:val="right" w:leader="dot" w:pos="9350"/>
            </w:tabs>
            <w:rPr>
              <w:rFonts w:ascii="Arial" w:eastAsiaTheme="minorEastAsia" w:hAnsi="Arial" w:cs="Arial"/>
              <w:noProof/>
            </w:rPr>
          </w:pPr>
          <w:r w:rsidRPr="004D2AD5">
            <w:rPr>
              <w:rFonts w:ascii="Arial" w:hAnsi="Arial" w:cs="Arial"/>
            </w:rPr>
            <w:fldChar w:fldCharType="begin"/>
          </w:r>
          <w:r w:rsidRPr="004D2AD5">
            <w:rPr>
              <w:rFonts w:ascii="Arial" w:hAnsi="Arial" w:cs="Arial"/>
            </w:rPr>
            <w:instrText xml:space="preserve"> TOC \o "1-3" \h \z \u </w:instrText>
          </w:r>
          <w:r w:rsidRPr="004D2AD5">
            <w:rPr>
              <w:rFonts w:ascii="Arial" w:hAnsi="Arial" w:cs="Arial"/>
            </w:rPr>
            <w:fldChar w:fldCharType="separate"/>
          </w:r>
          <w:hyperlink w:anchor="_Toc224653575" w:history="1">
            <w:r w:rsidRPr="004D2AD5">
              <w:rPr>
                <w:rStyle w:val="Hyperlink"/>
                <w:rFonts w:ascii="Arial" w:hAnsi="Arial" w:cs="Arial"/>
                <w:noProof/>
              </w:rPr>
              <w:t>Introduction</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_Toc224653575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2</w:t>
            </w:r>
            <w:r w:rsidRPr="004D2AD5">
              <w:rPr>
                <w:rFonts w:ascii="Arial" w:hAnsi="Arial" w:cs="Arial"/>
                <w:noProof/>
                <w:webHidden/>
              </w:rPr>
              <w:fldChar w:fldCharType="end"/>
            </w:r>
          </w:hyperlink>
        </w:p>
        <w:p w14:paraId="7EABC86E" w14:textId="77777777" w:rsidR="004D2AD5" w:rsidRPr="004D2AD5" w:rsidRDefault="004D2AD5">
          <w:pPr>
            <w:pStyle w:val="TOC2"/>
            <w:tabs>
              <w:tab w:val="right" w:leader="dot" w:pos="9350"/>
            </w:tabs>
            <w:rPr>
              <w:rFonts w:ascii="Arial" w:eastAsiaTheme="minorEastAsia" w:hAnsi="Arial" w:cs="Arial"/>
              <w:noProof/>
            </w:rPr>
          </w:pPr>
          <w:hyperlink w:anchor="_Toc224653576" w:history="1">
            <w:r w:rsidRPr="004D2AD5">
              <w:rPr>
                <w:rStyle w:val="Hyperlink"/>
                <w:rFonts w:ascii="Arial" w:hAnsi="Arial" w:cs="Arial"/>
                <w:noProof/>
              </w:rPr>
              <w:t>Measurement and Monitoring Approaches</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_Toc224653576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2</w:t>
            </w:r>
            <w:r w:rsidRPr="004D2AD5">
              <w:rPr>
                <w:rFonts w:ascii="Arial" w:hAnsi="Arial" w:cs="Arial"/>
                <w:noProof/>
                <w:webHidden/>
              </w:rPr>
              <w:fldChar w:fldCharType="end"/>
            </w:r>
          </w:hyperlink>
        </w:p>
        <w:p w14:paraId="1F3519FA" w14:textId="77777777" w:rsidR="004D2AD5" w:rsidRPr="004D2AD5" w:rsidRDefault="004D2AD5">
          <w:pPr>
            <w:pStyle w:val="TOC2"/>
            <w:tabs>
              <w:tab w:val="right" w:leader="dot" w:pos="9350"/>
            </w:tabs>
            <w:rPr>
              <w:rFonts w:ascii="Arial" w:eastAsiaTheme="minorEastAsia" w:hAnsi="Arial" w:cs="Arial"/>
              <w:noProof/>
            </w:rPr>
          </w:pPr>
          <w:hyperlink w:anchor="_Toc224653577" w:history="1">
            <w:r w:rsidRPr="004D2AD5">
              <w:rPr>
                <w:rStyle w:val="Hyperlink"/>
                <w:rFonts w:ascii="Arial" w:hAnsi="Arial" w:cs="Arial"/>
                <w:noProof/>
              </w:rPr>
              <w:t>Control Measures</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_Toc224653577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3</w:t>
            </w:r>
            <w:r w:rsidRPr="004D2AD5">
              <w:rPr>
                <w:rFonts w:ascii="Arial" w:hAnsi="Arial" w:cs="Arial"/>
                <w:noProof/>
                <w:webHidden/>
              </w:rPr>
              <w:fldChar w:fldCharType="end"/>
            </w:r>
          </w:hyperlink>
        </w:p>
        <w:p w14:paraId="53324298" w14:textId="77777777" w:rsidR="004D2AD5" w:rsidRPr="004D2AD5" w:rsidRDefault="004D2AD5">
          <w:pPr>
            <w:pStyle w:val="TOC2"/>
            <w:tabs>
              <w:tab w:val="right" w:leader="dot" w:pos="9350"/>
            </w:tabs>
            <w:rPr>
              <w:rFonts w:ascii="Arial" w:eastAsiaTheme="minorEastAsia" w:hAnsi="Arial" w:cs="Arial"/>
              <w:noProof/>
            </w:rPr>
          </w:pPr>
          <w:hyperlink w:anchor="_Toc224653578" w:history="1">
            <w:r w:rsidRPr="004D2AD5">
              <w:rPr>
                <w:rStyle w:val="Hyperlink"/>
                <w:rFonts w:ascii="Arial" w:hAnsi="Arial" w:cs="Arial"/>
                <w:noProof/>
              </w:rPr>
              <w:t>Community Consequences</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_Toc224653578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4</w:t>
            </w:r>
            <w:r w:rsidRPr="004D2AD5">
              <w:rPr>
                <w:rFonts w:ascii="Arial" w:hAnsi="Arial" w:cs="Arial"/>
                <w:noProof/>
                <w:webHidden/>
              </w:rPr>
              <w:fldChar w:fldCharType="end"/>
            </w:r>
          </w:hyperlink>
        </w:p>
        <w:p w14:paraId="4A319297" w14:textId="77777777" w:rsidR="004D2AD5" w:rsidRPr="004D2AD5" w:rsidRDefault="004D2AD5">
          <w:pPr>
            <w:pStyle w:val="TOC2"/>
            <w:tabs>
              <w:tab w:val="right" w:leader="dot" w:pos="9350"/>
            </w:tabs>
            <w:rPr>
              <w:rFonts w:ascii="Arial" w:eastAsiaTheme="minorEastAsia" w:hAnsi="Arial" w:cs="Arial"/>
              <w:noProof/>
            </w:rPr>
          </w:pPr>
          <w:hyperlink w:anchor="_Toc224653579" w:history="1">
            <w:r w:rsidRPr="004D2AD5">
              <w:rPr>
                <w:rStyle w:val="Hyperlink"/>
                <w:rFonts w:ascii="Arial" w:hAnsi="Arial" w:cs="Arial"/>
                <w:noProof/>
              </w:rPr>
              <w:t>Required Support Services</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_Toc224653579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5</w:t>
            </w:r>
            <w:r w:rsidRPr="004D2AD5">
              <w:rPr>
                <w:rFonts w:ascii="Arial" w:hAnsi="Arial" w:cs="Arial"/>
                <w:noProof/>
                <w:webHidden/>
              </w:rPr>
              <w:fldChar w:fldCharType="end"/>
            </w:r>
          </w:hyperlink>
        </w:p>
        <w:p w14:paraId="6AD18EBC" w14:textId="77777777" w:rsidR="004D2AD5" w:rsidRPr="004D2AD5" w:rsidRDefault="004D2AD5">
          <w:pPr>
            <w:pStyle w:val="TOC2"/>
            <w:tabs>
              <w:tab w:val="right" w:leader="dot" w:pos="9350"/>
            </w:tabs>
            <w:rPr>
              <w:rFonts w:ascii="Arial" w:eastAsiaTheme="minorEastAsia" w:hAnsi="Arial" w:cs="Arial"/>
              <w:noProof/>
            </w:rPr>
          </w:pPr>
          <w:hyperlink w:anchor="_Toc224653580" w:history="1">
            <w:r w:rsidRPr="004D2AD5">
              <w:rPr>
                <w:rStyle w:val="Hyperlink"/>
                <w:rFonts w:ascii="Arial" w:hAnsi="Arial" w:cs="Arial"/>
                <w:noProof/>
              </w:rPr>
              <w:t>Conclusion</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_Toc224653580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6</w:t>
            </w:r>
            <w:r w:rsidRPr="004D2AD5">
              <w:rPr>
                <w:rFonts w:ascii="Arial" w:hAnsi="Arial" w:cs="Arial"/>
                <w:noProof/>
                <w:webHidden/>
              </w:rPr>
              <w:fldChar w:fldCharType="end"/>
            </w:r>
          </w:hyperlink>
        </w:p>
        <w:p w14:paraId="045DA103" w14:textId="77777777" w:rsidR="004D2AD5" w:rsidRPr="004D2AD5" w:rsidRDefault="004D2AD5">
          <w:pPr>
            <w:pStyle w:val="TOC2"/>
            <w:tabs>
              <w:tab w:val="right" w:leader="dot" w:pos="9350"/>
            </w:tabs>
            <w:rPr>
              <w:rFonts w:ascii="Arial" w:eastAsiaTheme="minorEastAsia" w:hAnsi="Arial" w:cs="Arial"/>
              <w:noProof/>
            </w:rPr>
          </w:pPr>
          <w:hyperlink w:anchor="_Toc224653581" w:history="1">
            <w:r w:rsidRPr="004D2AD5">
              <w:rPr>
                <w:rStyle w:val="Hyperlink"/>
                <w:rFonts w:ascii="Arial" w:hAnsi="Arial" w:cs="Arial"/>
                <w:noProof/>
              </w:rPr>
              <w:t>References</w:t>
            </w:r>
            <w:r w:rsidRPr="004D2AD5">
              <w:rPr>
                <w:rFonts w:ascii="Arial" w:hAnsi="Arial" w:cs="Arial"/>
                <w:noProof/>
                <w:webHidden/>
              </w:rPr>
              <w:tab/>
            </w:r>
            <w:r w:rsidRPr="004D2AD5">
              <w:rPr>
                <w:rFonts w:ascii="Arial" w:hAnsi="Arial" w:cs="Arial"/>
                <w:noProof/>
                <w:webHidden/>
              </w:rPr>
              <w:fldChar w:fldCharType="begin"/>
            </w:r>
            <w:r w:rsidRPr="004D2AD5">
              <w:rPr>
                <w:rFonts w:ascii="Arial" w:hAnsi="Arial" w:cs="Arial"/>
                <w:noProof/>
                <w:webHidden/>
              </w:rPr>
              <w:instrText xml:space="preserve"> PAGEREF _Toc224653581 \h </w:instrText>
            </w:r>
            <w:r w:rsidRPr="004D2AD5">
              <w:rPr>
                <w:rFonts w:ascii="Arial" w:hAnsi="Arial" w:cs="Arial"/>
                <w:noProof/>
                <w:webHidden/>
              </w:rPr>
            </w:r>
            <w:r w:rsidRPr="004D2AD5">
              <w:rPr>
                <w:rFonts w:ascii="Arial" w:hAnsi="Arial" w:cs="Arial"/>
                <w:noProof/>
                <w:webHidden/>
              </w:rPr>
              <w:fldChar w:fldCharType="separate"/>
            </w:r>
            <w:r w:rsidRPr="004D2AD5">
              <w:rPr>
                <w:rFonts w:ascii="Arial" w:hAnsi="Arial" w:cs="Arial"/>
                <w:noProof/>
                <w:webHidden/>
              </w:rPr>
              <w:t>7</w:t>
            </w:r>
            <w:r w:rsidRPr="004D2AD5">
              <w:rPr>
                <w:rFonts w:ascii="Arial" w:hAnsi="Arial" w:cs="Arial"/>
                <w:noProof/>
                <w:webHidden/>
              </w:rPr>
              <w:fldChar w:fldCharType="end"/>
            </w:r>
          </w:hyperlink>
        </w:p>
        <w:p w14:paraId="16F693FC" w14:textId="77777777" w:rsidR="004D2AD5" w:rsidRPr="004D2AD5" w:rsidRDefault="004D2AD5" w:rsidP="004D2AD5">
          <w:pPr>
            <w:spacing w:line="360" w:lineRule="auto"/>
            <w:rPr>
              <w:rFonts w:ascii="Arial" w:hAnsi="Arial" w:cs="Arial"/>
              <w:b/>
              <w:bCs/>
              <w:noProof/>
            </w:rPr>
          </w:pPr>
          <w:r w:rsidRPr="004D2AD5">
            <w:rPr>
              <w:rFonts w:ascii="Arial" w:hAnsi="Arial" w:cs="Arial"/>
              <w:b/>
              <w:bCs/>
              <w:noProof/>
            </w:rPr>
            <w:fldChar w:fldCharType="end"/>
          </w:r>
        </w:p>
      </w:sdtContent>
    </w:sdt>
    <w:p w14:paraId="0C97DE40" w14:textId="77777777" w:rsidR="004D2AD5" w:rsidRPr="004D2AD5" w:rsidRDefault="004D2AD5" w:rsidP="004D2AD5">
      <w:pPr>
        <w:spacing w:line="360" w:lineRule="auto"/>
        <w:rPr>
          <w:rFonts w:ascii="Arial" w:hAnsi="Arial" w:cs="Arial"/>
        </w:rPr>
      </w:pPr>
      <w:r w:rsidRPr="004D2AD5">
        <w:rPr>
          <w:rFonts w:ascii="Arial" w:hAnsi="Arial" w:cs="Arial"/>
        </w:rPr>
        <w:br w:type="page"/>
      </w:r>
    </w:p>
    <w:p w14:paraId="3935FD77" w14:textId="77777777" w:rsidR="004D2AD5" w:rsidRPr="004D2AD5" w:rsidRDefault="004D2AD5" w:rsidP="004D2AD5">
      <w:pPr>
        <w:pStyle w:val="Heading2"/>
        <w:spacing w:before="120" w:beforeAutospacing="0" w:after="120" w:afterAutospacing="0" w:line="360" w:lineRule="auto"/>
        <w:rPr>
          <w:rFonts w:ascii="Arial" w:hAnsi="Arial" w:cs="Arial"/>
        </w:rPr>
      </w:pPr>
      <w:bookmarkStart w:id="0" w:name="_Toc224653575"/>
      <w:r w:rsidRPr="004D2AD5">
        <w:rPr>
          <w:rFonts w:ascii="Arial" w:hAnsi="Arial" w:cs="Arial"/>
        </w:rPr>
        <w:t>Introduction</w:t>
      </w:r>
      <w:bookmarkEnd w:id="0"/>
    </w:p>
    <w:p w14:paraId="6675EAA0" w14:textId="77777777" w:rsidR="004E5687" w:rsidRDefault="004E5687" w:rsidP="004E5687">
      <w:pPr>
        <w:spacing w:line="360" w:lineRule="auto"/>
        <w:rPr>
          <w:rFonts w:ascii="Arial" w:hAnsi="Arial" w:cs="Arial"/>
        </w:rPr>
      </w:pPr>
      <w:r w:rsidRPr="004E5687">
        <w:rPr>
          <w:rFonts w:ascii="Arial" w:hAnsi="Arial" w:cs="Arial"/>
        </w:rPr>
        <w:t>Dementia is described as a neurological disorder that affects the mind, causing an individual to experience cognitive decline, including memory, thinking, behaviour, and the ability to carry out daily activities (World Health Organisation, 2023). It is not described as an illness but rather as an umbrella that covers various health conditions, including Alzheimer’s disease, which is the most common form of dementia. The most common symptoms experienced by an individual diagnosed with the condition include memory loss, confusion, communication, judgment, and behaviour (NHS, 2024).</w:t>
      </w:r>
    </w:p>
    <w:p w14:paraId="0B703254" w14:textId="54B6D9DC" w:rsidR="004D2AD5" w:rsidRPr="004D2AD5" w:rsidRDefault="004E5687" w:rsidP="004E5687">
      <w:pPr>
        <w:spacing w:line="360" w:lineRule="auto"/>
        <w:rPr>
          <w:rFonts w:ascii="Arial" w:hAnsi="Arial" w:cs="Arial"/>
        </w:rPr>
      </w:pPr>
      <w:r w:rsidRPr="004E5687">
        <w:rPr>
          <w:rFonts w:ascii="Arial" w:hAnsi="Arial" w:cs="Arial"/>
        </w:rPr>
        <w:t>Dementia has been described as one of the major public health challenges in the world today, considering the rising numbers of the population diagnosed with the condition. According to the World Health Organisation (2023), the total number of people in the world diagnosed with the condition is more than 55 million, with 10 million people diagnosed with the condition annually. Within the United Kingdom, the total number of individuals suffering from the condition stands at 900,000 and is likely to increase due to the rising numbers of the aging population (Alzheimer’s Society, 2024)</w:t>
      </w:r>
      <w:r w:rsidR="004D2AD5" w:rsidRPr="004D2AD5">
        <w:rPr>
          <w:rFonts w:ascii="Arial" w:hAnsi="Arial" w:cs="Arial"/>
        </w:rPr>
        <w:t>.</w:t>
      </w:r>
    </w:p>
    <w:p w14:paraId="6A4781B3"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1" w:name="_Toc224653576"/>
      <w:r w:rsidRPr="004D2AD5">
        <w:rPr>
          <w:rFonts w:ascii="Arial" w:hAnsi="Arial" w:cs="Arial"/>
        </w:rPr>
        <w:t>Measurement and Monitoring Approaches</w:t>
      </w:r>
      <w:bookmarkEnd w:id="1"/>
    </w:p>
    <w:p w14:paraId="3F797537" w14:textId="77777777" w:rsidR="004E5687" w:rsidRDefault="004E5687" w:rsidP="004E5687">
      <w:pPr>
        <w:spacing w:line="360" w:lineRule="auto"/>
        <w:rPr>
          <w:rFonts w:ascii="Arial" w:hAnsi="Arial" w:cs="Arial"/>
        </w:rPr>
      </w:pPr>
      <w:r w:rsidRPr="004E5687">
        <w:rPr>
          <w:rFonts w:ascii="Arial" w:hAnsi="Arial" w:cs="Arial"/>
        </w:rPr>
        <w:t>Measurement and monitoring of cases of dementia are effective components of public health practice that help healthcare systems make sense of the patterns of the disease. Dementia can be measured using epidemiological indicators such as the incidence of the disease, which is the number of cases that occur over a specified period of time, and the prevalence of the disease, which is the total number of cases of the disease within the population (World Health Organisation, 2023).</w:t>
      </w:r>
    </w:p>
    <w:p w14:paraId="75844DFC" w14:textId="7DD5268C" w:rsidR="004E5687" w:rsidRDefault="004E5687" w:rsidP="004E5687">
      <w:pPr>
        <w:spacing w:line="360" w:lineRule="auto"/>
        <w:rPr>
          <w:rFonts w:ascii="Arial" w:hAnsi="Arial" w:cs="Arial"/>
        </w:rPr>
      </w:pPr>
      <w:r w:rsidRPr="004E5687">
        <w:rPr>
          <w:rFonts w:ascii="Arial" w:hAnsi="Arial" w:cs="Arial"/>
        </w:rPr>
        <w:t>Apart from surveys, various screening tools are utili</w:t>
      </w:r>
      <w:r w:rsidR="00B667F0">
        <w:rPr>
          <w:rFonts w:ascii="Arial" w:hAnsi="Arial" w:cs="Arial"/>
        </w:rPr>
        <w:t>s</w:t>
      </w:r>
      <w:r w:rsidRPr="004E5687">
        <w:rPr>
          <w:rFonts w:ascii="Arial" w:hAnsi="Arial" w:cs="Arial"/>
        </w:rPr>
        <w:t>ed by healthcare professionals to determine cognitive decline. The General Practitioner Assessment of Cognition, as well as the Informant Questionnaire on Cognitive Decline in the Elderly, is used in the diagnosis of early signs of dementia, thus leading to the diagnosis of the condition (Wikipedia). In addition, the Clinical Dementia Rating is used in the assessment of the severity of dementia, thus creating a lot of information regarding the outcomes of the patients with the condition (Wikipedia).</w:t>
      </w:r>
    </w:p>
    <w:p w14:paraId="27F3EFCD" w14:textId="05D5B3C5" w:rsidR="004E5687" w:rsidRDefault="004E5687" w:rsidP="004E5687">
      <w:pPr>
        <w:spacing w:line="360" w:lineRule="auto"/>
        <w:rPr>
          <w:rFonts w:ascii="Arial" w:hAnsi="Arial" w:cs="Arial"/>
        </w:rPr>
      </w:pPr>
      <w:r w:rsidRPr="004E5687">
        <w:rPr>
          <w:rFonts w:ascii="Arial" w:hAnsi="Arial" w:cs="Arial"/>
        </w:rPr>
        <w:t>On a broader level, national and international bodies, such as the World Health Organisation, depend on health information systems and patient registries for collecting and analy</w:t>
      </w:r>
      <w:r w:rsidR="00B667F0">
        <w:rPr>
          <w:rFonts w:ascii="Arial" w:hAnsi="Arial" w:cs="Arial"/>
        </w:rPr>
        <w:t>s</w:t>
      </w:r>
      <w:r w:rsidRPr="004E5687">
        <w:rPr>
          <w:rFonts w:ascii="Arial" w:hAnsi="Arial" w:cs="Arial"/>
        </w:rPr>
        <w:t>ing data on dementia. These systems help in compiling information on trends in hospital, outpatient, and social care data on the diagnosis, treatment, and outcomes of patients with dementia. This enables effective coordination in the management and policy formulation on dementia, as it is constantly monitored (World Health Organisation). In addition, the Global Dementia Observatory encourages the collection of standardized data for monitoring and comparing data on dementia (World Health Organisation).</w:t>
      </w:r>
    </w:p>
    <w:p w14:paraId="589E1216" w14:textId="725E3AF2" w:rsidR="004E5687" w:rsidRDefault="004E5687" w:rsidP="004E5687">
      <w:pPr>
        <w:spacing w:line="360" w:lineRule="auto"/>
        <w:rPr>
          <w:rFonts w:ascii="Arial" w:hAnsi="Arial" w:cs="Arial"/>
        </w:rPr>
      </w:pPr>
      <w:r w:rsidRPr="004E5687">
        <w:rPr>
          <w:rFonts w:ascii="Arial" w:hAnsi="Arial" w:cs="Arial"/>
        </w:rPr>
        <w:t>Community-based monitoring strategies are also significant, especially considering that the majority of persons with dementia are at home. These are regular health checks, home care records, and the use of technology such as remote sensors and machine learning technology to monitor the behavio</w:t>
      </w:r>
      <w:r w:rsidR="00B667F0">
        <w:rPr>
          <w:rFonts w:ascii="Arial" w:hAnsi="Arial" w:cs="Arial"/>
        </w:rPr>
        <w:t>u</w:t>
      </w:r>
      <w:r w:rsidRPr="004E5687">
        <w:rPr>
          <w:rFonts w:ascii="Arial" w:hAnsi="Arial" w:cs="Arial"/>
        </w:rPr>
        <w:t>r of the patient and identify any changes in the patient’s condition. This can help in the reduction of hospitalizations by monitoring the risks in real-time (Abedi et al., 2025).</w:t>
      </w:r>
    </w:p>
    <w:p w14:paraId="506EB308" w14:textId="4328CCD4" w:rsidR="004D2AD5" w:rsidRPr="004D2AD5" w:rsidRDefault="004E5687" w:rsidP="004E5687">
      <w:pPr>
        <w:spacing w:line="360" w:lineRule="auto"/>
        <w:rPr>
          <w:rFonts w:ascii="Arial" w:hAnsi="Arial" w:cs="Arial"/>
        </w:rPr>
      </w:pPr>
      <w:r w:rsidRPr="004E5687">
        <w:rPr>
          <w:rFonts w:ascii="Arial" w:hAnsi="Arial" w:cs="Arial"/>
        </w:rPr>
        <w:t>On the whole, the combination of epidemiological methods, clinical tools, and health information systems offers an integrated approach to the measurement and monitoring of dementia</w:t>
      </w:r>
      <w:r w:rsidR="004D2AD5" w:rsidRPr="004D2AD5">
        <w:rPr>
          <w:rFonts w:ascii="Arial" w:hAnsi="Arial" w:cs="Arial"/>
        </w:rPr>
        <w:t>.</w:t>
      </w:r>
    </w:p>
    <w:p w14:paraId="41D71851"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2" w:name="_Toc224653577"/>
      <w:r w:rsidRPr="004D2AD5">
        <w:rPr>
          <w:rFonts w:ascii="Arial" w:hAnsi="Arial" w:cs="Arial"/>
        </w:rPr>
        <w:t>Control Measures</w:t>
      </w:r>
      <w:bookmarkEnd w:id="2"/>
    </w:p>
    <w:p w14:paraId="03FF2F72" w14:textId="77777777" w:rsidR="004F08D5" w:rsidRDefault="004F08D5" w:rsidP="004F08D5">
      <w:pPr>
        <w:spacing w:line="360" w:lineRule="auto"/>
        <w:rPr>
          <w:rFonts w:ascii="Arial" w:hAnsi="Arial" w:cs="Arial"/>
        </w:rPr>
      </w:pPr>
      <w:r w:rsidRPr="004F08D5">
        <w:rPr>
          <w:rFonts w:ascii="Arial" w:hAnsi="Arial" w:cs="Arial"/>
        </w:rPr>
        <w:t>The control measures of dementia are mainly based on reducing the risk, intervening early, and implementing policies, as no cure for the condition exists. It has been observed that a large percentage of dementia can be prevented or delayed by controlling the risk factors. Research has indicated that up to 40-45% of dementia cases may be preventable (Alzheimer’s Society, 2024; CDC, 2024) (Alzheimer's Society).</w:t>
      </w:r>
    </w:p>
    <w:p w14:paraId="21A54581" w14:textId="6FCBE973" w:rsidR="004F08D5" w:rsidRDefault="004F08D5" w:rsidP="004F08D5">
      <w:pPr>
        <w:spacing w:line="360" w:lineRule="auto"/>
        <w:rPr>
          <w:rFonts w:ascii="Arial" w:hAnsi="Arial" w:cs="Arial"/>
        </w:rPr>
      </w:pPr>
      <w:r w:rsidRPr="004F08D5">
        <w:rPr>
          <w:rFonts w:ascii="Arial" w:hAnsi="Arial" w:cs="Arial"/>
        </w:rPr>
        <w:t>Healthy lifestyle habits have been indicated as one of the most effective measures in controlling cases of dementia. Physical activity, healthy nutrition, healthy weight, and avoiding smoking and alcohol consumption are all linked with a low risk of dementia (NHS, 2024) (nhs.uk). In addition, the management of hypertension, diabetes, and hyperlipidaemia is crucial since all these diseases have the potential to affect the blood vessels, thus leading to brain damage (CDC, 2024). Stimulation of the mind is another way of controlling dementia since it is associated with cognitive functions (GOV.UK, 2022) (GOV.UK).</w:t>
      </w:r>
    </w:p>
    <w:p w14:paraId="1EB12D68" w14:textId="5C682DB8" w:rsidR="004F08D5" w:rsidRDefault="004F08D5" w:rsidP="004F08D5">
      <w:pPr>
        <w:spacing w:line="360" w:lineRule="auto"/>
        <w:rPr>
          <w:rFonts w:ascii="Arial" w:hAnsi="Arial" w:cs="Arial"/>
        </w:rPr>
      </w:pPr>
      <w:r w:rsidRPr="004F08D5">
        <w:rPr>
          <w:rFonts w:ascii="Arial" w:hAnsi="Arial" w:cs="Arial"/>
        </w:rPr>
        <w:t>Public health interventions are also very instrumental in the prevention of dementia at the population level. Governments and other health organisations implement public interventions such as awareness campaigns, screening programmes, and education campaigns to encourage individuals to live a healthy lifestyle. In addition, governments can also implement policies that promote education and reduce inequality among the population, as education and inequality are also known to increase the risk of developing dementia.</w:t>
      </w:r>
    </w:p>
    <w:p w14:paraId="4E9BBA1F" w14:textId="0E27B7D8" w:rsidR="004F08D5" w:rsidRDefault="004F08D5" w:rsidP="004F08D5">
      <w:pPr>
        <w:spacing w:line="360" w:lineRule="auto"/>
        <w:rPr>
          <w:rFonts w:ascii="Arial" w:hAnsi="Arial" w:cs="Arial"/>
        </w:rPr>
      </w:pPr>
      <w:r w:rsidRPr="004F08D5">
        <w:rPr>
          <w:rFonts w:ascii="Arial" w:hAnsi="Arial" w:cs="Arial"/>
        </w:rPr>
        <w:t>Another significant factor in controlling the disease is the early diagnosis and intervention of the disease. Early diagnosis of the disease helps individuals access the necessary treatment and support services that can slow the progression of the disease. Routine checks are essential in controlling the disease, especially in primary healthcare settings (Dementia UK, 2024) (dementiauk.org).</w:t>
      </w:r>
    </w:p>
    <w:p w14:paraId="4BB645E7" w14:textId="47401F69" w:rsidR="004D2AD5" w:rsidRPr="004D2AD5" w:rsidRDefault="004F08D5" w:rsidP="004F08D5">
      <w:pPr>
        <w:spacing w:line="360" w:lineRule="auto"/>
        <w:rPr>
          <w:rFonts w:ascii="Arial" w:hAnsi="Arial" w:cs="Arial"/>
        </w:rPr>
      </w:pPr>
      <w:r w:rsidRPr="004F08D5">
        <w:rPr>
          <w:rFonts w:ascii="Arial" w:hAnsi="Arial" w:cs="Arial"/>
        </w:rPr>
        <w:t>In summary, for effective control of dementia, a multi-faceted strategy involving lifestyle modifications, clinical interventions, and policy approaches is necessary. This is because it is the only way to reduce the burden of dementia, which is constantly on the increase worldwide</w:t>
      </w:r>
      <w:r w:rsidR="004D2AD5" w:rsidRPr="004D2AD5">
        <w:rPr>
          <w:rFonts w:ascii="Arial" w:hAnsi="Arial" w:cs="Arial"/>
        </w:rPr>
        <w:t>.</w:t>
      </w:r>
    </w:p>
    <w:p w14:paraId="2AA48FBA"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3" w:name="_Toc224653578"/>
      <w:r w:rsidRPr="004D2AD5">
        <w:rPr>
          <w:rFonts w:ascii="Arial" w:hAnsi="Arial" w:cs="Arial"/>
        </w:rPr>
        <w:t>Community Consequences</w:t>
      </w:r>
      <w:bookmarkEnd w:id="3"/>
    </w:p>
    <w:p w14:paraId="445CE9DC" w14:textId="6B9DD418" w:rsidR="004F08D5" w:rsidRDefault="004F08D5" w:rsidP="004F08D5">
      <w:pPr>
        <w:spacing w:line="360" w:lineRule="auto"/>
        <w:rPr>
          <w:rFonts w:ascii="Arial" w:hAnsi="Arial" w:cs="Arial"/>
        </w:rPr>
      </w:pPr>
      <w:r w:rsidRPr="004F08D5">
        <w:rPr>
          <w:rFonts w:ascii="Arial" w:hAnsi="Arial" w:cs="Arial"/>
        </w:rPr>
        <w:t>The impact of dementia on an individual, family, community, and society cannot be overemphasi</w:t>
      </w:r>
      <w:r w:rsidR="00B667F0">
        <w:rPr>
          <w:rFonts w:ascii="Arial" w:hAnsi="Arial" w:cs="Arial"/>
        </w:rPr>
        <w:t>s</w:t>
      </w:r>
      <w:r w:rsidRPr="004F08D5">
        <w:rPr>
          <w:rFonts w:ascii="Arial" w:hAnsi="Arial" w:cs="Arial"/>
        </w:rPr>
        <w:t>ed. In terms of an individual, dementia impacts the cognitive ability and quality of life of an individual. This is because, with the progression of the condition, the individual ends up forgetting some of his/her memories and becomes dependent on other people’s support in daily activities.</w:t>
      </w:r>
    </w:p>
    <w:p w14:paraId="6301DBBA" w14:textId="3B847E08" w:rsidR="004F08D5" w:rsidRDefault="004F08D5" w:rsidP="004F08D5">
      <w:pPr>
        <w:spacing w:line="360" w:lineRule="auto"/>
        <w:rPr>
          <w:rFonts w:ascii="Arial" w:hAnsi="Arial" w:cs="Arial"/>
        </w:rPr>
      </w:pPr>
      <w:r w:rsidRPr="004F08D5">
        <w:rPr>
          <w:rFonts w:ascii="Arial" w:hAnsi="Arial" w:cs="Arial"/>
        </w:rPr>
        <w:t>Besides, dementia patients are also impacted by different forms of mental illnesses such as depression and anxiety, which affect their quality of life (Care Quality Commission, 2024) (cqc.org.uk). The effects on families/caregivers are also considerable. Informal caregivers, such as family members, play a vital part in caring for people with dementia.</w:t>
      </w:r>
    </w:p>
    <w:p w14:paraId="09458ACA" w14:textId="77777777" w:rsidR="00B667F0" w:rsidRDefault="004F08D5" w:rsidP="00B667F0">
      <w:pPr>
        <w:spacing w:line="360" w:lineRule="auto"/>
        <w:rPr>
          <w:rFonts w:ascii="Arial" w:hAnsi="Arial" w:cs="Arial"/>
        </w:rPr>
      </w:pPr>
      <w:r w:rsidRPr="004F08D5">
        <w:rPr>
          <w:rFonts w:ascii="Arial" w:hAnsi="Arial" w:cs="Arial"/>
        </w:rPr>
        <w:t>Statistics show that 75% of carers are affected by the effects on their health, with some experiencing stress, tiredness, and loneliness (Care Quality Commission, 2024) (cqc.org.uk). Secondly, the high proportion of carers who are forced to reduce or stop working due to the burden of care leads to economic loss as they stop earning (NHS England, 2024</w:t>
      </w:r>
      <w:r w:rsidR="004D2AD5" w:rsidRPr="004D2AD5">
        <w:rPr>
          <w:rFonts w:ascii="Arial" w:hAnsi="Arial" w:cs="Arial"/>
        </w:rPr>
        <w:t>).</w:t>
      </w:r>
    </w:p>
    <w:p w14:paraId="6D38C907" w14:textId="77777777" w:rsidR="00B667F0" w:rsidRDefault="00B667F0" w:rsidP="00B667F0">
      <w:pPr>
        <w:spacing w:line="360" w:lineRule="auto"/>
        <w:rPr>
          <w:rFonts w:ascii="Arial" w:hAnsi="Arial" w:cs="Arial"/>
        </w:rPr>
      </w:pPr>
      <w:r w:rsidRPr="00B667F0">
        <w:rPr>
          <w:rFonts w:ascii="Arial" w:hAnsi="Arial" w:cs="Arial"/>
        </w:rPr>
        <w:t>From the societal perspective, it has also been found that dementia puts a considerable burden on health and social care services. It has been estimated that the total annual cost of dementia in the United Kingdom amounts to around £42 billion, and it may rise to £90 billion by the year 2040 as the population continues to age (Alzheimer’s Society, 2024). Interestingly, it has also been found that around 63% of the costs are incurred by the people themselves (Alzheimer’s Society, 2024).</w:t>
      </w:r>
    </w:p>
    <w:p w14:paraId="2F1F56E8" w14:textId="36850037" w:rsidR="004D2AD5" w:rsidRPr="004D2AD5" w:rsidRDefault="00B667F0" w:rsidP="00B667F0">
      <w:pPr>
        <w:spacing w:line="360" w:lineRule="auto"/>
        <w:rPr>
          <w:rFonts w:ascii="Arial" w:hAnsi="Arial" w:cs="Arial"/>
        </w:rPr>
      </w:pPr>
      <w:r w:rsidRPr="00B667F0">
        <w:rPr>
          <w:rFonts w:ascii="Arial" w:hAnsi="Arial" w:cs="Arial"/>
        </w:rPr>
        <w:t>It is apparent that the effects of the condition are not limited to the patient but extend to the family and the larger society as well. The increased incidence of the condition points to the need to address the issue as soon as possible through effective public health interventions</w:t>
      </w:r>
      <w:r w:rsidR="004D2AD5" w:rsidRPr="004D2AD5">
        <w:rPr>
          <w:rFonts w:ascii="Arial" w:hAnsi="Arial" w:cs="Arial"/>
        </w:rPr>
        <w:t>.</w:t>
      </w:r>
    </w:p>
    <w:p w14:paraId="6055D18E"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4" w:name="_Toc224653579"/>
      <w:r w:rsidRPr="004D2AD5">
        <w:rPr>
          <w:rFonts w:ascii="Arial" w:hAnsi="Arial" w:cs="Arial"/>
        </w:rPr>
        <w:t>Required Support Services</w:t>
      </w:r>
      <w:bookmarkEnd w:id="4"/>
    </w:p>
    <w:p w14:paraId="100E9229" w14:textId="77777777" w:rsidR="00B667F0" w:rsidRDefault="00B667F0" w:rsidP="00B667F0">
      <w:pPr>
        <w:spacing w:line="360" w:lineRule="auto"/>
        <w:rPr>
          <w:rFonts w:ascii="Arial" w:hAnsi="Arial" w:cs="Arial"/>
        </w:rPr>
      </w:pPr>
      <w:r w:rsidRPr="00B667F0">
        <w:rPr>
          <w:rFonts w:ascii="Arial" w:hAnsi="Arial" w:cs="Arial"/>
        </w:rPr>
        <w:t>In addition, dementia also calls for different health and social care facilities. These facilities must be comprehensive for proper support for individuals and families experiencing dementia. Effective support for individuals with dementia improves their quality of life and allows for their independent living.</w:t>
      </w:r>
    </w:p>
    <w:p w14:paraId="6E963CAD" w14:textId="77777777" w:rsidR="00B667F0" w:rsidRDefault="00B667F0" w:rsidP="00B667F0">
      <w:pPr>
        <w:spacing w:line="360" w:lineRule="auto"/>
        <w:rPr>
          <w:rFonts w:ascii="Arial" w:hAnsi="Arial" w:cs="Arial"/>
        </w:rPr>
      </w:pPr>
      <w:r w:rsidRPr="00B667F0">
        <w:rPr>
          <w:rFonts w:ascii="Arial" w:hAnsi="Arial" w:cs="Arial"/>
        </w:rPr>
        <w:t>The importance of healthcare services in managing dementia cannot be overstated. An individual diagnosed with dementia requires constant medical support and care from general practitioners and neurologists. The National Health Service (NHS) offers access to different types of care services, such as cognitive assessment, medication management, physiotherapy, speech and language therapy, and regular health monitoring (NHS, 2024). These services are crucial for the management and control of the condition and other related medical conditions (nhs.uk).</w:t>
      </w:r>
    </w:p>
    <w:p w14:paraId="19C3ECEB" w14:textId="77777777" w:rsidR="00B667F0" w:rsidRDefault="00B667F0" w:rsidP="00B667F0">
      <w:pPr>
        <w:spacing w:line="360" w:lineRule="auto"/>
        <w:rPr>
          <w:rFonts w:ascii="Arial" w:hAnsi="Arial" w:cs="Arial"/>
        </w:rPr>
      </w:pPr>
      <w:r w:rsidRPr="00B667F0">
        <w:rPr>
          <w:rFonts w:ascii="Arial" w:hAnsi="Arial" w:cs="Arial"/>
        </w:rPr>
        <w:t>Secondly, social care services play an important role in meeting daily living needs. Social services under local authority social services assist individuals with personal care services such as washing, dressing, and meal preparation. These services include home care visits, day centers, and respite care services that enable individuals with dementia to live in their homes as long as possible with dignity (nhs.uk).</w:t>
      </w:r>
    </w:p>
    <w:p w14:paraId="480B8111" w14:textId="77777777" w:rsidR="00B667F0" w:rsidRDefault="00B667F0" w:rsidP="00B667F0">
      <w:pPr>
        <w:spacing w:line="360" w:lineRule="auto"/>
        <w:rPr>
          <w:rFonts w:ascii="Arial" w:hAnsi="Arial" w:cs="Arial"/>
        </w:rPr>
      </w:pPr>
      <w:r w:rsidRPr="00B667F0">
        <w:rPr>
          <w:rFonts w:ascii="Arial" w:hAnsi="Arial" w:cs="Arial"/>
        </w:rPr>
        <w:t>Another significant aspect is the formulation of individualised care plans. Once a person is diagnosed with a condition, they should be provided with a structured care plan that outlines their medical needs, services required, and future care plans. These plans are reviewed from time to time to ensure that proper care is given as the condition progresses (nhs.uk). The coordination of care services by healthcare professionals is also important in delivering holistic care services.</w:t>
      </w:r>
    </w:p>
    <w:p w14:paraId="2A99FBA4" w14:textId="77777777" w:rsidR="00B667F0" w:rsidRDefault="00B667F0" w:rsidP="00B667F0">
      <w:pPr>
        <w:spacing w:line="360" w:lineRule="auto"/>
        <w:rPr>
          <w:rFonts w:ascii="Arial" w:hAnsi="Arial" w:cs="Arial"/>
        </w:rPr>
      </w:pPr>
      <w:r w:rsidRPr="00B667F0">
        <w:rPr>
          <w:rFonts w:ascii="Arial" w:hAnsi="Arial" w:cs="Arial"/>
        </w:rPr>
        <w:t>Supporting family members and carers is equally important. Caring for a family member can cause emotional and physical strain on the carer. Therefore, services such as counseling and carer assessments are Important.</w:t>
      </w:r>
    </w:p>
    <w:p w14:paraId="0B024B64" w14:textId="26C69049" w:rsidR="004D2AD5" w:rsidRPr="004D2AD5" w:rsidRDefault="00B667F0" w:rsidP="00B667F0">
      <w:pPr>
        <w:spacing w:line="360" w:lineRule="auto"/>
        <w:rPr>
          <w:rFonts w:ascii="Arial" w:hAnsi="Arial" w:cs="Arial"/>
        </w:rPr>
      </w:pPr>
      <w:r w:rsidRPr="00B667F0">
        <w:rPr>
          <w:rFonts w:ascii="Arial" w:hAnsi="Arial" w:cs="Arial"/>
        </w:rPr>
        <w:t>In conclusion, the multidisciplinary approach of the healthcare, social care, and community care services is Important to address the complex needs of a person with dementia and improve the quality of life</w:t>
      </w:r>
      <w:r w:rsidR="004D2AD5" w:rsidRPr="004D2AD5">
        <w:rPr>
          <w:rFonts w:ascii="Arial" w:hAnsi="Arial" w:cs="Arial"/>
        </w:rPr>
        <w:t>.</w:t>
      </w:r>
    </w:p>
    <w:p w14:paraId="7212DEFE"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5" w:name="_Toc224653580"/>
      <w:r w:rsidRPr="004D2AD5">
        <w:rPr>
          <w:rFonts w:ascii="Arial" w:hAnsi="Arial" w:cs="Arial"/>
        </w:rPr>
        <w:t>Conclusion</w:t>
      </w:r>
      <w:bookmarkEnd w:id="5"/>
    </w:p>
    <w:p w14:paraId="78FCEF5A" w14:textId="77777777" w:rsidR="00B667F0" w:rsidRDefault="00B667F0" w:rsidP="00B667F0">
      <w:pPr>
        <w:spacing w:line="360" w:lineRule="auto"/>
        <w:rPr>
          <w:rFonts w:ascii="Arial" w:hAnsi="Arial" w:cs="Arial"/>
        </w:rPr>
      </w:pPr>
      <w:r w:rsidRPr="00B667F0">
        <w:rPr>
          <w:rFonts w:ascii="Arial" w:hAnsi="Arial" w:cs="Arial"/>
        </w:rPr>
        <w:t xml:space="preserve">Thus, in conclusion, it may be said that the problem of dementia represents an emerging public health problem that is of great concern, and it is </w:t>
      </w:r>
      <w:r>
        <w:rPr>
          <w:rFonts w:ascii="Arial" w:hAnsi="Arial" w:cs="Arial"/>
        </w:rPr>
        <w:t>characterised</w:t>
      </w:r>
      <w:r w:rsidRPr="00B667F0">
        <w:rPr>
          <w:rFonts w:ascii="Arial" w:hAnsi="Arial" w:cs="Arial"/>
        </w:rPr>
        <w:t xml:space="preserve"> by cognitive decline, as measured in the form of incidence and prevalence.</w:t>
      </w:r>
    </w:p>
    <w:p w14:paraId="2D723391" w14:textId="1A773DD8" w:rsidR="00B667F0" w:rsidRDefault="00B667F0" w:rsidP="00B667F0">
      <w:pPr>
        <w:spacing w:line="360" w:lineRule="auto"/>
        <w:rPr>
          <w:rFonts w:ascii="Arial" w:hAnsi="Arial" w:cs="Arial"/>
        </w:rPr>
      </w:pPr>
      <w:r w:rsidRPr="00B667F0">
        <w:rPr>
          <w:rFonts w:ascii="Arial" w:hAnsi="Arial" w:cs="Arial"/>
        </w:rPr>
        <w:t>The importance of monitoring systems in understanding the patterns of diseases cannot be overstated. Dementia is one of the diseases that cannot be cured, but there are certain control measures that can be put in place to reduce its effects.</w:t>
      </w:r>
    </w:p>
    <w:p w14:paraId="68530DE8" w14:textId="113111DA" w:rsidR="004D2AD5" w:rsidRPr="004D2AD5" w:rsidRDefault="00B667F0" w:rsidP="00B667F0">
      <w:pPr>
        <w:spacing w:line="360" w:lineRule="auto"/>
        <w:rPr>
          <w:rFonts w:ascii="Arial" w:eastAsia="Times New Roman" w:hAnsi="Arial" w:cs="Arial"/>
          <w:sz w:val="36"/>
          <w:szCs w:val="36"/>
        </w:rPr>
      </w:pPr>
      <w:r w:rsidRPr="00B667F0">
        <w:rPr>
          <w:rFonts w:ascii="Arial" w:hAnsi="Arial" w:cs="Arial"/>
        </w:rPr>
        <w:t>Moreover, dementia also has a significant impact on society, especially with regard to economic costs and caregiving. For example, there are almost 982,000 people suffering from dementia in the UK, and this has cost £42 billion annually (Alzheimer’s Society, 2024). In order to effectively deal with these problems, support services should be put in place. In conclusion, it is important to note that dealing with dementia effectively requires an integrated approach.</w:t>
      </w:r>
      <w:r w:rsidR="004D2AD5" w:rsidRPr="004D2AD5">
        <w:rPr>
          <w:rFonts w:ascii="Arial" w:hAnsi="Arial" w:cs="Arial"/>
        </w:rPr>
        <w:br w:type="page"/>
      </w:r>
    </w:p>
    <w:p w14:paraId="55497CA9" w14:textId="77777777" w:rsidR="004D2AD5" w:rsidRPr="004D2AD5" w:rsidRDefault="004D2AD5" w:rsidP="004D2AD5">
      <w:pPr>
        <w:pStyle w:val="Heading2"/>
        <w:spacing w:before="240" w:beforeAutospacing="0" w:after="120" w:afterAutospacing="0" w:line="360" w:lineRule="auto"/>
        <w:rPr>
          <w:rFonts w:ascii="Arial" w:hAnsi="Arial" w:cs="Arial"/>
        </w:rPr>
      </w:pPr>
      <w:bookmarkStart w:id="6" w:name="_Toc224653581"/>
      <w:r w:rsidRPr="004D2AD5">
        <w:rPr>
          <w:rFonts w:ascii="Arial" w:hAnsi="Arial" w:cs="Arial"/>
        </w:rPr>
        <w:t>References</w:t>
      </w:r>
      <w:bookmarkEnd w:id="6"/>
    </w:p>
    <w:p w14:paraId="7F403123" w14:textId="77777777" w:rsidR="004D2AD5" w:rsidRPr="004D2AD5" w:rsidRDefault="004D2AD5" w:rsidP="004D2AD5">
      <w:pPr>
        <w:spacing w:line="360" w:lineRule="auto"/>
        <w:rPr>
          <w:rFonts w:ascii="Arial" w:hAnsi="Arial" w:cs="Arial"/>
        </w:rPr>
      </w:pPr>
      <w:r w:rsidRPr="004D2AD5">
        <w:rPr>
          <w:rFonts w:ascii="Arial" w:hAnsi="Arial" w:cs="Arial"/>
        </w:rPr>
        <w:t xml:space="preserve">Alzheimer’s Society (2024) </w:t>
      </w:r>
      <w:r w:rsidRPr="004D2AD5">
        <w:rPr>
          <w:rFonts w:ascii="Arial" w:hAnsi="Arial" w:cs="Arial"/>
          <w:i/>
          <w:iCs/>
        </w:rPr>
        <w:t>Dementia UK: Update on prevalence and cost</w:t>
      </w:r>
      <w:r w:rsidRPr="004D2AD5">
        <w:rPr>
          <w:rFonts w:ascii="Arial" w:hAnsi="Arial" w:cs="Arial"/>
        </w:rPr>
        <w:t xml:space="preserve">. Available at: </w:t>
      </w:r>
      <w:hyperlink r:id="rId8" w:history="1">
        <w:r w:rsidRPr="004D2AD5">
          <w:rPr>
            <w:rStyle w:val="Hyperlink"/>
            <w:rFonts w:ascii="Arial" w:hAnsi="Arial" w:cs="Arial"/>
          </w:rPr>
          <w:t>Alzheimer’s Society dementia statistics</w:t>
        </w:r>
      </w:hyperlink>
    </w:p>
    <w:p w14:paraId="5CAA126F" w14:textId="77777777" w:rsidR="004D2AD5" w:rsidRPr="004D2AD5" w:rsidRDefault="004D2AD5" w:rsidP="004D2AD5">
      <w:pPr>
        <w:spacing w:line="360" w:lineRule="auto"/>
        <w:rPr>
          <w:rFonts w:ascii="Arial" w:hAnsi="Arial" w:cs="Arial"/>
        </w:rPr>
      </w:pPr>
      <w:r w:rsidRPr="004D2AD5">
        <w:rPr>
          <w:rFonts w:ascii="Arial" w:hAnsi="Arial" w:cs="Arial"/>
        </w:rPr>
        <w:t xml:space="preserve">AlAlzheimer’s Society (2024). </w:t>
      </w:r>
      <w:r w:rsidRPr="004D2AD5">
        <w:rPr>
          <w:rFonts w:ascii="Arial" w:hAnsi="Arial" w:cs="Arial"/>
          <w:i/>
          <w:iCs/>
        </w:rPr>
        <w:t>The economic impact of dementia</w:t>
      </w:r>
      <w:r w:rsidRPr="004D2AD5">
        <w:rPr>
          <w:rFonts w:ascii="Arial" w:hAnsi="Arial" w:cs="Arial"/>
        </w:rPr>
        <w:t xml:space="preserve">.Available at: </w:t>
      </w:r>
      <w:hyperlink r:id="rId9" w:history="1">
        <w:r w:rsidRPr="004D2AD5">
          <w:rPr>
            <w:rStyle w:val="Hyperlink"/>
            <w:rFonts w:ascii="Arial" w:hAnsi="Arial" w:cs="Arial"/>
          </w:rPr>
          <w:t>Economic impact of dementia</w:t>
        </w:r>
      </w:hyperlink>
    </w:p>
    <w:p w14:paraId="03921CF2" w14:textId="77777777" w:rsidR="004D2AD5" w:rsidRPr="004D2AD5" w:rsidRDefault="004D2AD5" w:rsidP="004D2AD5">
      <w:pPr>
        <w:spacing w:line="360" w:lineRule="auto"/>
        <w:rPr>
          <w:rFonts w:ascii="Arial" w:hAnsi="Arial" w:cs="Arial"/>
        </w:rPr>
      </w:pPr>
      <w:r w:rsidRPr="004D2AD5">
        <w:rPr>
          <w:rFonts w:ascii="Arial" w:hAnsi="Arial" w:cs="Arial"/>
        </w:rPr>
        <w:t xml:space="preserve">Care Quality Commission (2024). </w:t>
      </w:r>
      <w:r w:rsidRPr="004D2AD5">
        <w:rPr>
          <w:rFonts w:ascii="Arial" w:hAnsi="Arial" w:cs="Arial"/>
          <w:i/>
          <w:iCs/>
        </w:rPr>
        <w:t>Health and social care support for people with dementia</w:t>
      </w:r>
      <w:r w:rsidRPr="004D2AD5">
        <w:rPr>
          <w:rFonts w:ascii="Arial" w:hAnsi="Arial" w:cs="Arial"/>
        </w:rPr>
        <w:t xml:space="preserve">. Available at: </w:t>
      </w:r>
      <w:hyperlink r:id="rId10" w:history="1">
        <w:r w:rsidRPr="004D2AD5">
          <w:rPr>
            <w:rStyle w:val="Hyperlink"/>
            <w:rFonts w:ascii="Arial" w:hAnsi="Arial" w:cs="Arial"/>
          </w:rPr>
          <w:t>https://www.cqc.org.uk</w:t>
        </w:r>
      </w:hyperlink>
    </w:p>
    <w:p w14:paraId="176D239E" w14:textId="77777777" w:rsidR="004D2AD5" w:rsidRPr="004D2AD5" w:rsidRDefault="004D2AD5" w:rsidP="004D2AD5">
      <w:pPr>
        <w:spacing w:line="360" w:lineRule="auto"/>
        <w:rPr>
          <w:rFonts w:ascii="Arial" w:hAnsi="Arial" w:cs="Arial"/>
        </w:rPr>
      </w:pPr>
      <w:r w:rsidRPr="004D2AD5">
        <w:rPr>
          <w:rFonts w:ascii="Arial" w:hAnsi="Arial" w:cs="Arial"/>
        </w:rPr>
        <w:t xml:space="preserve">Centres for Disease Control and Prevention (CDC) (2024) </w:t>
      </w:r>
      <w:r w:rsidRPr="004D2AD5">
        <w:rPr>
          <w:rFonts w:ascii="Arial" w:hAnsi="Arial" w:cs="Arial"/>
          <w:i/>
          <w:iCs/>
        </w:rPr>
        <w:t>Alzheimer’s Disease and Dementia Prevention</w:t>
      </w:r>
      <w:r w:rsidRPr="004D2AD5">
        <w:rPr>
          <w:rFonts w:ascii="Arial" w:hAnsi="Arial" w:cs="Arial"/>
        </w:rPr>
        <w:t xml:space="preserve">. Available at: </w:t>
      </w:r>
      <w:hyperlink r:id="rId11" w:history="1">
        <w:r w:rsidRPr="004D2AD5">
          <w:rPr>
            <w:rStyle w:val="Hyperlink"/>
            <w:rFonts w:ascii="Arial" w:hAnsi="Arial" w:cs="Arial"/>
          </w:rPr>
          <w:t>https://www.cdc.gov/alzheimers-dementia</w:t>
        </w:r>
      </w:hyperlink>
    </w:p>
    <w:p w14:paraId="50FC249C" w14:textId="77777777" w:rsidR="004D2AD5" w:rsidRPr="004D2AD5" w:rsidRDefault="004D2AD5" w:rsidP="004D2AD5">
      <w:pPr>
        <w:spacing w:line="360" w:lineRule="auto"/>
        <w:rPr>
          <w:rFonts w:ascii="Arial" w:hAnsi="Arial" w:cs="Arial"/>
        </w:rPr>
      </w:pPr>
      <w:r w:rsidRPr="004D2AD5">
        <w:rPr>
          <w:rFonts w:ascii="Arial" w:hAnsi="Arial" w:cs="Arial"/>
        </w:rPr>
        <w:t xml:space="preserve">GOV.UK (2025) </w:t>
      </w:r>
      <w:r w:rsidRPr="004D2AD5">
        <w:rPr>
          <w:rFonts w:ascii="Arial" w:hAnsi="Arial" w:cs="Arial"/>
          <w:i/>
          <w:iCs/>
        </w:rPr>
        <w:t>Dementia profile: prevalence and supporting well-being topics statistical commentary</w:t>
      </w:r>
      <w:r w:rsidRPr="004D2AD5">
        <w:rPr>
          <w:rFonts w:ascii="Arial" w:hAnsi="Arial" w:cs="Arial"/>
        </w:rPr>
        <w:t xml:space="preserve">. Available at: </w:t>
      </w:r>
      <w:hyperlink r:id="rId12" w:history="1">
        <w:r w:rsidRPr="004D2AD5">
          <w:rPr>
            <w:rStyle w:val="Hyperlink"/>
            <w:rFonts w:ascii="Arial" w:hAnsi="Arial" w:cs="Arial"/>
          </w:rPr>
          <w:t>UK dementia profile statistics</w:t>
        </w:r>
      </w:hyperlink>
    </w:p>
    <w:p w14:paraId="7415680F" w14:textId="77777777" w:rsidR="004D2AD5" w:rsidRPr="004D2AD5" w:rsidRDefault="004D2AD5" w:rsidP="004D2AD5">
      <w:pPr>
        <w:spacing w:line="360" w:lineRule="auto"/>
        <w:rPr>
          <w:rFonts w:ascii="Arial" w:hAnsi="Arial" w:cs="Arial"/>
        </w:rPr>
      </w:pPr>
      <w:r w:rsidRPr="004D2AD5">
        <w:rPr>
          <w:rFonts w:ascii="Arial" w:hAnsi="Arial" w:cs="Arial"/>
        </w:rPr>
        <w:t xml:space="preserve">NHS (2024) </w:t>
      </w:r>
      <w:r w:rsidRPr="004D2AD5">
        <w:rPr>
          <w:rFonts w:ascii="Arial" w:hAnsi="Arial" w:cs="Arial"/>
          <w:i/>
          <w:iCs/>
        </w:rPr>
        <w:t>Dementia: Overview, prevention and care</w:t>
      </w:r>
      <w:r w:rsidRPr="004D2AD5">
        <w:rPr>
          <w:rFonts w:ascii="Arial" w:hAnsi="Arial" w:cs="Arial"/>
        </w:rPr>
        <w:t xml:space="preserve">. Available at: </w:t>
      </w:r>
      <w:hyperlink r:id="rId13" w:history="1">
        <w:r w:rsidRPr="004D2AD5">
          <w:rPr>
            <w:rStyle w:val="Hyperlink"/>
            <w:rFonts w:ascii="Arial" w:hAnsi="Arial" w:cs="Arial"/>
          </w:rPr>
          <w:t>https://www.nhs.uk</w:t>
        </w:r>
      </w:hyperlink>
    </w:p>
    <w:p w14:paraId="7445FD29" w14:textId="77777777" w:rsidR="004D2AD5" w:rsidRPr="004D2AD5" w:rsidRDefault="004D2AD5" w:rsidP="004D2AD5">
      <w:pPr>
        <w:spacing w:line="360" w:lineRule="auto"/>
        <w:rPr>
          <w:rFonts w:ascii="Arial" w:hAnsi="Arial" w:cs="Arial"/>
        </w:rPr>
      </w:pPr>
      <w:r w:rsidRPr="004D2AD5">
        <w:rPr>
          <w:rFonts w:ascii="Arial" w:hAnsi="Arial" w:cs="Arial"/>
        </w:rPr>
        <w:t xml:space="preserve">NHS England (2024) </w:t>
      </w:r>
      <w:r w:rsidRPr="004D2AD5">
        <w:rPr>
          <w:rFonts w:ascii="Arial" w:hAnsi="Arial" w:cs="Arial"/>
          <w:i/>
          <w:iCs/>
        </w:rPr>
        <w:t>Dementia diagnoses in England at record high</w:t>
      </w:r>
      <w:r w:rsidRPr="004D2AD5">
        <w:rPr>
          <w:rFonts w:ascii="Arial" w:hAnsi="Arial" w:cs="Arial"/>
        </w:rPr>
        <w:t xml:space="preserve">. Available at: </w:t>
      </w:r>
      <w:hyperlink r:id="rId14" w:history="1">
        <w:r w:rsidRPr="004D2AD5">
          <w:rPr>
            <w:rStyle w:val="Hyperlink"/>
            <w:rFonts w:ascii="Arial" w:hAnsi="Arial" w:cs="Arial"/>
          </w:rPr>
          <w:t>NHS dementia diagnosis report</w:t>
        </w:r>
      </w:hyperlink>
    </w:p>
    <w:p w14:paraId="3C0DF585" w14:textId="77777777" w:rsidR="004D2AD5" w:rsidRPr="004D2AD5" w:rsidRDefault="004D2AD5" w:rsidP="004D2AD5">
      <w:pPr>
        <w:spacing w:line="360" w:lineRule="auto"/>
        <w:rPr>
          <w:rFonts w:ascii="Arial" w:hAnsi="Arial" w:cs="Arial"/>
        </w:rPr>
      </w:pPr>
      <w:r w:rsidRPr="004D2AD5">
        <w:rPr>
          <w:rFonts w:ascii="Arial" w:hAnsi="Arial" w:cs="Arial"/>
        </w:rPr>
        <w:t xml:space="preserve">World Health Organisation (2023) </w:t>
      </w:r>
      <w:r w:rsidRPr="004D2AD5">
        <w:rPr>
          <w:rFonts w:ascii="Arial" w:hAnsi="Arial" w:cs="Arial"/>
          <w:i/>
          <w:iCs/>
        </w:rPr>
        <w:t>Dementia Fact Sheet</w:t>
      </w:r>
      <w:r w:rsidRPr="004D2AD5">
        <w:rPr>
          <w:rFonts w:ascii="Arial" w:hAnsi="Arial" w:cs="Arial"/>
        </w:rPr>
        <w:t xml:space="preserve">. Available at: </w:t>
      </w:r>
      <w:hyperlink r:id="rId15" w:history="1">
        <w:r w:rsidRPr="004D2AD5">
          <w:rPr>
            <w:rStyle w:val="Hyperlink"/>
            <w:rFonts w:ascii="Arial" w:hAnsi="Arial" w:cs="Arial"/>
          </w:rPr>
          <w:t>https://www.who.int</w:t>
        </w:r>
      </w:hyperlink>
    </w:p>
    <w:p w14:paraId="7E90D13F" w14:textId="77777777" w:rsidR="005D79FC" w:rsidRPr="004D2AD5" w:rsidRDefault="005D79FC" w:rsidP="004D2AD5">
      <w:pPr>
        <w:pStyle w:val="NormalWeb"/>
        <w:spacing w:line="360" w:lineRule="auto"/>
        <w:jc w:val="both"/>
        <w:rPr>
          <w:rFonts w:ascii="Arial" w:hAnsi="Arial" w:cs="Arial"/>
          <w:sz w:val="20"/>
        </w:rPr>
      </w:pPr>
    </w:p>
    <w:sectPr w:rsidR="005D79FC" w:rsidRPr="004D2AD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8F671" w14:textId="77777777" w:rsidR="00970804" w:rsidRDefault="00970804" w:rsidP="00784DF6">
      <w:pPr>
        <w:spacing w:after="0" w:line="240" w:lineRule="auto"/>
      </w:pPr>
      <w:r>
        <w:separator/>
      </w:r>
    </w:p>
  </w:endnote>
  <w:endnote w:type="continuationSeparator" w:id="0">
    <w:p w14:paraId="6E8309AA" w14:textId="77777777" w:rsidR="00970804" w:rsidRDefault="00970804" w:rsidP="00784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461245"/>
      <w:docPartObj>
        <w:docPartGallery w:val="Page Numbers (Bottom of Page)"/>
        <w:docPartUnique/>
      </w:docPartObj>
    </w:sdtPr>
    <w:sdtEndPr>
      <w:rPr>
        <w:noProof/>
      </w:rPr>
    </w:sdtEndPr>
    <w:sdtContent>
      <w:p w14:paraId="35A9DFB8" w14:textId="77777777" w:rsidR="004D2AD5" w:rsidRDefault="004D2AD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50F85F59" w14:textId="77777777" w:rsidR="00784DF6" w:rsidRDefault="00784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6BB9B" w14:textId="77777777" w:rsidR="00970804" w:rsidRDefault="00970804" w:rsidP="00784DF6">
      <w:pPr>
        <w:spacing w:after="0" w:line="240" w:lineRule="auto"/>
      </w:pPr>
      <w:r>
        <w:separator/>
      </w:r>
    </w:p>
  </w:footnote>
  <w:footnote w:type="continuationSeparator" w:id="0">
    <w:p w14:paraId="7B161AE1" w14:textId="77777777" w:rsidR="00970804" w:rsidRDefault="00970804" w:rsidP="00784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72F2B"/>
    <w:multiLevelType w:val="multilevel"/>
    <w:tmpl w:val="5EBCC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B01BFC"/>
    <w:multiLevelType w:val="multilevel"/>
    <w:tmpl w:val="8810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AD0DF3"/>
    <w:multiLevelType w:val="multilevel"/>
    <w:tmpl w:val="9E36E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516E1"/>
    <w:multiLevelType w:val="multilevel"/>
    <w:tmpl w:val="C20E5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16468">
    <w:abstractNumId w:val="0"/>
  </w:num>
  <w:num w:numId="2" w16cid:durableId="1640649988">
    <w:abstractNumId w:val="2"/>
  </w:num>
  <w:num w:numId="3" w16cid:durableId="816802460">
    <w:abstractNumId w:val="1"/>
  </w:num>
  <w:num w:numId="4" w16cid:durableId="812479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77A"/>
    <w:rsid w:val="00084073"/>
    <w:rsid w:val="002405D9"/>
    <w:rsid w:val="004D2AD5"/>
    <w:rsid w:val="004E5687"/>
    <w:rsid w:val="004F08D5"/>
    <w:rsid w:val="0053677A"/>
    <w:rsid w:val="005D79FC"/>
    <w:rsid w:val="00652B0D"/>
    <w:rsid w:val="00784DF6"/>
    <w:rsid w:val="007A2245"/>
    <w:rsid w:val="007D378C"/>
    <w:rsid w:val="00970804"/>
    <w:rsid w:val="00A07390"/>
    <w:rsid w:val="00B667F0"/>
    <w:rsid w:val="00B74C2F"/>
    <w:rsid w:val="00D758A7"/>
    <w:rsid w:val="00DB731C"/>
    <w:rsid w:val="00DE6395"/>
    <w:rsid w:val="00E776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F7F21"/>
  <w15:chartTrackingRefBased/>
  <w15:docId w15:val="{00ABE16A-7E8A-4AA1-9303-40E98C9FD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AD5"/>
  </w:style>
  <w:style w:type="paragraph" w:styleId="Heading1">
    <w:name w:val="heading 1"/>
    <w:basedOn w:val="Normal"/>
    <w:link w:val="Heading1Char"/>
    <w:uiPriority w:val="9"/>
    <w:qFormat/>
    <w:rsid w:val="00B74C2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74C2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784DF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C2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74C2F"/>
    <w:rPr>
      <w:rFonts w:ascii="Times New Roman" w:eastAsia="Times New Roman" w:hAnsi="Times New Roman" w:cs="Times New Roman"/>
      <w:b/>
      <w:bCs/>
      <w:sz w:val="36"/>
      <w:szCs w:val="36"/>
    </w:rPr>
  </w:style>
  <w:style w:type="paragraph" w:styleId="NormalWeb">
    <w:name w:val="Normal (Web)"/>
    <w:basedOn w:val="Normal"/>
    <w:uiPriority w:val="99"/>
    <w:unhideWhenUsed/>
    <w:rsid w:val="00B74C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74C2F"/>
    <w:rPr>
      <w:b/>
      <w:bCs/>
    </w:rPr>
  </w:style>
  <w:style w:type="character" w:styleId="Emphasis">
    <w:name w:val="Emphasis"/>
    <w:basedOn w:val="DefaultParagraphFont"/>
    <w:uiPriority w:val="20"/>
    <w:qFormat/>
    <w:rsid w:val="00B74C2F"/>
    <w:rPr>
      <w:i/>
      <w:iCs/>
    </w:rPr>
  </w:style>
  <w:style w:type="character" w:styleId="Hyperlink">
    <w:name w:val="Hyperlink"/>
    <w:basedOn w:val="DefaultParagraphFont"/>
    <w:uiPriority w:val="99"/>
    <w:unhideWhenUsed/>
    <w:rsid w:val="00B74C2F"/>
    <w:rPr>
      <w:color w:val="0000FF"/>
      <w:u w:val="single"/>
    </w:rPr>
  </w:style>
  <w:style w:type="character" w:customStyle="1" w:styleId="bzpyqfadein">
    <w:name w:val="bz_pyq_fadein"/>
    <w:basedOn w:val="DefaultParagraphFont"/>
    <w:rsid w:val="00B74C2F"/>
  </w:style>
  <w:style w:type="character" w:customStyle="1" w:styleId="whitespace-normal">
    <w:name w:val="whitespace-normal"/>
    <w:basedOn w:val="DefaultParagraphFont"/>
    <w:rsid w:val="00B74C2F"/>
  </w:style>
  <w:style w:type="character" w:customStyle="1" w:styleId="Heading3Char">
    <w:name w:val="Heading 3 Char"/>
    <w:basedOn w:val="DefaultParagraphFont"/>
    <w:link w:val="Heading3"/>
    <w:uiPriority w:val="9"/>
    <w:rsid w:val="00784DF6"/>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784D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DF6"/>
  </w:style>
  <w:style w:type="paragraph" w:styleId="Footer">
    <w:name w:val="footer"/>
    <w:basedOn w:val="Normal"/>
    <w:link w:val="FooterChar"/>
    <w:uiPriority w:val="99"/>
    <w:unhideWhenUsed/>
    <w:rsid w:val="00784D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DF6"/>
  </w:style>
  <w:style w:type="paragraph" w:styleId="TOCHeading">
    <w:name w:val="TOC Heading"/>
    <w:basedOn w:val="Heading1"/>
    <w:next w:val="Normal"/>
    <w:uiPriority w:val="39"/>
    <w:unhideWhenUsed/>
    <w:qFormat/>
    <w:rsid w:val="00784DF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784DF6"/>
    <w:pPr>
      <w:spacing w:after="100"/>
    </w:pPr>
  </w:style>
  <w:style w:type="paragraph" w:styleId="TOC2">
    <w:name w:val="toc 2"/>
    <w:basedOn w:val="Normal"/>
    <w:next w:val="Normal"/>
    <w:autoRedefine/>
    <w:uiPriority w:val="39"/>
    <w:unhideWhenUsed/>
    <w:rsid w:val="00784DF6"/>
    <w:pPr>
      <w:spacing w:after="100"/>
      <w:ind w:left="220"/>
    </w:pPr>
  </w:style>
  <w:style w:type="paragraph" w:styleId="TOC3">
    <w:name w:val="toc 3"/>
    <w:basedOn w:val="Normal"/>
    <w:next w:val="Normal"/>
    <w:autoRedefine/>
    <w:uiPriority w:val="39"/>
    <w:unhideWhenUsed/>
    <w:rsid w:val="00784D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347873">
      <w:bodyDiv w:val="1"/>
      <w:marLeft w:val="0"/>
      <w:marRight w:val="0"/>
      <w:marTop w:val="0"/>
      <w:marBottom w:val="0"/>
      <w:divBdr>
        <w:top w:val="none" w:sz="0" w:space="0" w:color="auto"/>
        <w:left w:val="none" w:sz="0" w:space="0" w:color="auto"/>
        <w:bottom w:val="none" w:sz="0" w:space="0" w:color="auto"/>
        <w:right w:val="none" w:sz="0" w:space="0" w:color="auto"/>
      </w:divBdr>
    </w:div>
    <w:div w:id="502821728">
      <w:bodyDiv w:val="1"/>
      <w:marLeft w:val="0"/>
      <w:marRight w:val="0"/>
      <w:marTop w:val="0"/>
      <w:marBottom w:val="0"/>
      <w:divBdr>
        <w:top w:val="none" w:sz="0" w:space="0" w:color="auto"/>
        <w:left w:val="none" w:sz="0" w:space="0" w:color="auto"/>
        <w:bottom w:val="none" w:sz="0" w:space="0" w:color="auto"/>
        <w:right w:val="none" w:sz="0" w:space="0" w:color="auto"/>
      </w:divBdr>
    </w:div>
    <w:div w:id="757483460">
      <w:bodyDiv w:val="1"/>
      <w:marLeft w:val="0"/>
      <w:marRight w:val="0"/>
      <w:marTop w:val="0"/>
      <w:marBottom w:val="0"/>
      <w:divBdr>
        <w:top w:val="none" w:sz="0" w:space="0" w:color="auto"/>
        <w:left w:val="none" w:sz="0" w:space="0" w:color="auto"/>
        <w:bottom w:val="none" w:sz="0" w:space="0" w:color="auto"/>
        <w:right w:val="none" w:sz="0" w:space="0" w:color="auto"/>
      </w:divBdr>
    </w:div>
    <w:div w:id="1089810228">
      <w:bodyDiv w:val="1"/>
      <w:marLeft w:val="0"/>
      <w:marRight w:val="0"/>
      <w:marTop w:val="0"/>
      <w:marBottom w:val="0"/>
      <w:divBdr>
        <w:top w:val="none" w:sz="0" w:space="0" w:color="auto"/>
        <w:left w:val="none" w:sz="0" w:space="0" w:color="auto"/>
        <w:bottom w:val="none" w:sz="0" w:space="0" w:color="auto"/>
        <w:right w:val="none" w:sz="0" w:space="0" w:color="auto"/>
      </w:divBdr>
      <w:divsChild>
        <w:div w:id="1163012210">
          <w:marLeft w:val="0"/>
          <w:marRight w:val="0"/>
          <w:marTop w:val="120"/>
          <w:marBottom w:val="120"/>
          <w:divBdr>
            <w:top w:val="none" w:sz="0" w:space="0" w:color="auto"/>
            <w:left w:val="none" w:sz="0" w:space="0" w:color="auto"/>
            <w:bottom w:val="none" w:sz="0" w:space="0" w:color="auto"/>
            <w:right w:val="none" w:sz="0" w:space="0" w:color="auto"/>
          </w:divBdr>
        </w:div>
        <w:div w:id="667560909">
          <w:marLeft w:val="0"/>
          <w:marRight w:val="0"/>
          <w:marTop w:val="120"/>
          <w:marBottom w:val="120"/>
          <w:divBdr>
            <w:top w:val="none" w:sz="0" w:space="0" w:color="auto"/>
            <w:left w:val="none" w:sz="0" w:space="0" w:color="auto"/>
            <w:bottom w:val="none" w:sz="0" w:space="0" w:color="auto"/>
            <w:right w:val="none" w:sz="0" w:space="0" w:color="auto"/>
          </w:divBdr>
        </w:div>
        <w:div w:id="1796286176">
          <w:marLeft w:val="0"/>
          <w:marRight w:val="0"/>
          <w:marTop w:val="120"/>
          <w:marBottom w:val="120"/>
          <w:divBdr>
            <w:top w:val="none" w:sz="0" w:space="0" w:color="auto"/>
            <w:left w:val="none" w:sz="0" w:space="0" w:color="auto"/>
            <w:bottom w:val="none" w:sz="0" w:space="0" w:color="auto"/>
            <w:right w:val="none" w:sz="0" w:space="0" w:color="auto"/>
          </w:divBdr>
        </w:div>
        <w:div w:id="31348223">
          <w:marLeft w:val="0"/>
          <w:marRight w:val="0"/>
          <w:marTop w:val="120"/>
          <w:marBottom w:val="120"/>
          <w:divBdr>
            <w:top w:val="none" w:sz="0" w:space="0" w:color="auto"/>
            <w:left w:val="none" w:sz="0" w:space="0" w:color="auto"/>
            <w:bottom w:val="none" w:sz="0" w:space="0" w:color="auto"/>
            <w:right w:val="none" w:sz="0" w:space="0" w:color="auto"/>
          </w:divBdr>
        </w:div>
        <w:div w:id="981425928">
          <w:marLeft w:val="0"/>
          <w:marRight w:val="0"/>
          <w:marTop w:val="120"/>
          <w:marBottom w:val="120"/>
          <w:divBdr>
            <w:top w:val="none" w:sz="0" w:space="0" w:color="auto"/>
            <w:left w:val="none" w:sz="0" w:space="0" w:color="auto"/>
            <w:bottom w:val="none" w:sz="0" w:space="0" w:color="auto"/>
            <w:right w:val="none" w:sz="0" w:space="0" w:color="auto"/>
          </w:divBdr>
        </w:div>
        <w:div w:id="1393892759">
          <w:marLeft w:val="0"/>
          <w:marRight w:val="0"/>
          <w:marTop w:val="120"/>
          <w:marBottom w:val="120"/>
          <w:divBdr>
            <w:top w:val="none" w:sz="0" w:space="0" w:color="auto"/>
            <w:left w:val="none" w:sz="0" w:space="0" w:color="auto"/>
            <w:bottom w:val="none" w:sz="0" w:space="0" w:color="auto"/>
            <w:right w:val="none" w:sz="0" w:space="0" w:color="auto"/>
          </w:divBdr>
        </w:div>
        <w:div w:id="912087788">
          <w:marLeft w:val="0"/>
          <w:marRight w:val="0"/>
          <w:marTop w:val="120"/>
          <w:marBottom w:val="120"/>
          <w:divBdr>
            <w:top w:val="none" w:sz="0" w:space="0" w:color="auto"/>
            <w:left w:val="none" w:sz="0" w:space="0" w:color="auto"/>
            <w:bottom w:val="none" w:sz="0" w:space="0" w:color="auto"/>
            <w:right w:val="none" w:sz="0" w:space="0" w:color="auto"/>
          </w:divBdr>
        </w:div>
        <w:div w:id="952706575">
          <w:marLeft w:val="0"/>
          <w:marRight w:val="0"/>
          <w:marTop w:val="120"/>
          <w:marBottom w:val="120"/>
          <w:divBdr>
            <w:top w:val="none" w:sz="0" w:space="0" w:color="auto"/>
            <w:left w:val="none" w:sz="0" w:space="0" w:color="auto"/>
            <w:bottom w:val="none" w:sz="0" w:space="0" w:color="auto"/>
            <w:right w:val="none" w:sz="0" w:space="0" w:color="auto"/>
          </w:divBdr>
        </w:div>
        <w:div w:id="435827771">
          <w:marLeft w:val="0"/>
          <w:marRight w:val="0"/>
          <w:marTop w:val="120"/>
          <w:marBottom w:val="120"/>
          <w:divBdr>
            <w:top w:val="none" w:sz="0" w:space="0" w:color="auto"/>
            <w:left w:val="none" w:sz="0" w:space="0" w:color="auto"/>
            <w:bottom w:val="none" w:sz="0" w:space="0" w:color="auto"/>
            <w:right w:val="none" w:sz="0" w:space="0" w:color="auto"/>
          </w:divBdr>
        </w:div>
        <w:div w:id="1378503006">
          <w:marLeft w:val="0"/>
          <w:marRight w:val="0"/>
          <w:marTop w:val="120"/>
          <w:marBottom w:val="120"/>
          <w:divBdr>
            <w:top w:val="none" w:sz="0" w:space="0" w:color="auto"/>
            <w:left w:val="none" w:sz="0" w:space="0" w:color="auto"/>
            <w:bottom w:val="none" w:sz="0" w:space="0" w:color="auto"/>
            <w:right w:val="none" w:sz="0" w:space="0" w:color="auto"/>
          </w:divBdr>
        </w:div>
        <w:div w:id="787821893">
          <w:marLeft w:val="0"/>
          <w:marRight w:val="0"/>
          <w:marTop w:val="120"/>
          <w:marBottom w:val="120"/>
          <w:divBdr>
            <w:top w:val="none" w:sz="0" w:space="0" w:color="auto"/>
            <w:left w:val="none" w:sz="0" w:space="0" w:color="auto"/>
            <w:bottom w:val="none" w:sz="0" w:space="0" w:color="auto"/>
            <w:right w:val="none" w:sz="0" w:space="0" w:color="auto"/>
          </w:divBdr>
        </w:div>
        <w:div w:id="663824020">
          <w:marLeft w:val="0"/>
          <w:marRight w:val="0"/>
          <w:marTop w:val="120"/>
          <w:marBottom w:val="120"/>
          <w:divBdr>
            <w:top w:val="none" w:sz="0" w:space="0" w:color="auto"/>
            <w:left w:val="none" w:sz="0" w:space="0" w:color="auto"/>
            <w:bottom w:val="none" w:sz="0" w:space="0" w:color="auto"/>
            <w:right w:val="none" w:sz="0" w:space="0" w:color="auto"/>
          </w:divBdr>
        </w:div>
        <w:div w:id="95176017">
          <w:marLeft w:val="0"/>
          <w:marRight w:val="0"/>
          <w:marTop w:val="120"/>
          <w:marBottom w:val="120"/>
          <w:divBdr>
            <w:top w:val="none" w:sz="0" w:space="0" w:color="auto"/>
            <w:left w:val="none" w:sz="0" w:space="0" w:color="auto"/>
            <w:bottom w:val="none" w:sz="0" w:space="0" w:color="auto"/>
            <w:right w:val="none" w:sz="0" w:space="0" w:color="auto"/>
          </w:divBdr>
        </w:div>
        <w:div w:id="1195849168">
          <w:marLeft w:val="0"/>
          <w:marRight w:val="0"/>
          <w:marTop w:val="120"/>
          <w:marBottom w:val="120"/>
          <w:divBdr>
            <w:top w:val="none" w:sz="0" w:space="0" w:color="auto"/>
            <w:left w:val="none" w:sz="0" w:space="0" w:color="auto"/>
            <w:bottom w:val="none" w:sz="0" w:space="0" w:color="auto"/>
            <w:right w:val="none" w:sz="0" w:space="0" w:color="auto"/>
          </w:divBdr>
        </w:div>
        <w:div w:id="46535990">
          <w:marLeft w:val="0"/>
          <w:marRight w:val="0"/>
          <w:marTop w:val="120"/>
          <w:marBottom w:val="120"/>
          <w:divBdr>
            <w:top w:val="none" w:sz="0" w:space="0" w:color="auto"/>
            <w:left w:val="none" w:sz="0" w:space="0" w:color="auto"/>
            <w:bottom w:val="none" w:sz="0" w:space="0" w:color="auto"/>
            <w:right w:val="none" w:sz="0" w:space="0" w:color="auto"/>
          </w:divBdr>
        </w:div>
        <w:div w:id="976301633">
          <w:marLeft w:val="0"/>
          <w:marRight w:val="0"/>
          <w:marTop w:val="120"/>
          <w:marBottom w:val="120"/>
          <w:divBdr>
            <w:top w:val="none" w:sz="0" w:space="0" w:color="auto"/>
            <w:left w:val="none" w:sz="0" w:space="0" w:color="auto"/>
            <w:bottom w:val="none" w:sz="0" w:space="0" w:color="auto"/>
            <w:right w:val="none" w:sz="0" w:space="0" w:color="auto"/>
          </w:divBdr>
        </w:div>
        <w:div w:id="24916916">
          <w:marLeft w:val="0"/>
          <w:marRight w:val="0"/>
          <w:marTop w:val="120"/>
          <w:marBottom w:val="120"/>
          <w:divBdr>
            <w:top w:val="none" w:sz="0" w:space="0" w:color="auto"/>
            <w:left w:val="none" w:sz="0" w:space="0" w:color="auto"/>
            <w:bottom w:val="none" w:sz="0" w:space="0" w:color="auto"/>
            <w:right w:val="none" w:sz="0" w:space="0" w:color="auto"/>
          </w:divBdr>
        </w:div>
        <w:div w:id="546722332">
          <w:marLeft w:val="0"/>
          <w:marRight w:val="0"/>
          <w:marTop w:val="120"/>
          <w:marBottom w:val="120"/>
          <w:divBdr>
            <w:top w:val="none" w:sz="0" w:space="0" w:color="auto"/>
            <w:left w:val="none" w:sz="0" w:space="0" w:color="auto"/>
            <w:bottom w:val="none" w:sz="0" w:space="0" w:color="auto"/>
            <w:right w:val="none" w:sz="0" w:space="0" w:color="auto"/>
          </w:divBdr>
        </w:div>
        <w:div w:id="220212024">
          <w:marLeft w:val="0"/>
          <w:marRight w:val="0"/>
          <w:marTop w:val="120"/>
          <w:marBottom w:val="120"/>
          <w:divBdr>
            <w:top w:val="none" w:sz="0" w:space="0" w:color="auto"/>
            <w:left w:val="none" w:sz="0" w:space="0" w:color="auto"/>
            <w:bottom w:val="none" w:sz="0" w:space="0" w:color="auto"/>
            <w:right w:val="none" w:sz="0" w:space="0" w:color="auto"/>
          </w:divBdr>
        </w:div>
        <w:div w:id="576869453">
          <w:marLeft w:val="0"/>
          <w:marRight w:val="0"/>
          <w:marTop w:val="120"/>
          <w:marBottom w:val="120"/>
          <w:divBdr>
            <w:top w:val="none" w:sz="0" w:space="0" w:color="auto"/>
            <w:left w:val="none" w:sz="0" w:space="0" w:color="auto"/>
            <w:bottom w:val="none" w:sz="0" w:space="0" w:color="auto"/>
            <w:right w:val="none" w:sz="0" w:space="0" w:color="auto"/>
          </w:divBdr>
        </w:div>
        <w:div w:id="995765260">
          <w:marLeft w:val="0"/>
          <w:marRight w:val="0"/>
          <w:marTop w:val="120"/>
          <w:marBottom w:val="120"/>
          <w:divBdr>
            <w:top w:val="none" w:sz="0" w:space="0" w:color="auto"/>
            <w:left w:val="none" w:sz="0" w:space="0" w:color="auto"/>
            <w:bottom w:val="none" w:sz="0" w:space="0" w:color="auto"/>
            <w:right w:val="none" w:sz="0" w:space="0" w:color="auto"/>
          </w:divBdr>
        </w:div>
        <w:div w:id="1387609295">
          <w:marLeft w:val="0"/>
          <w:marRight w:val="0"/>
          <w:marTop w:val="120"/>
          <w:marBottom w:val="120"/>
          <w:divBdr>
            <w:top w:val="none" w:sz="0" w:space="0" w:color="auto"/>
            <w:left w:val="none" w:sz="0" w:space="0" w:color="auto"/>
            <w:bottom w:val="none" w:sz="0" w:space="0" w:color="auto"/>
            <w:right w:val="none" w:sz="0" w:space="0" w:color="auto"/>
          </w:divBdr>
        </w:div>
        <w:div w:id="1944260293">
          <w:marLeft w:val="0"/>
          <w:marRight w:val="0"/>
          <w:marTop w:val="120"/>
          <w:marBottom w:val="120"/>
          <w:divBdr>
            <w:top w:val="none" w:sz="0" w:space="0" w:color="auto"/>
            <w:left w:val="none" w:sz="0" w:space="0" w:color="auto"/>
            <w:bottom w:val="none" w:sz="0" w:space="0" w:color="auto"/>
            <w:right w:val="none" w:sz="0" w:space="0" w:color="auto"/>
          </w:divBdr>
        </w:div>
        <w:div w:id="904032117">
          <w:marLeft w:val="0"/>
          <w:marRight w:val="0"/>
          <w:marTop w:val="120"/>
          <w:marBottom w:val="120"/>
          <w:divBdr>
            <w:top w:val="none" w:sz="0" w:space="0" w:color="auto"/>
            <w:left w:val="none" w:sz="0" w:space="0" w:color="auto"/>
            <w:bottom w:val="none" w:sz="0" w:space="0" w:color="auto"/>
            <w:right w:val="none" w:sz="0" w:space="0" w:color="auto"/>
          </w:divBdr>
        </w:div>
        <w:div w:id="293105060">
          <w:marLeft w:val="0"/>
          <w:marRight w:val="0"/>
          <w:marTop w:val="120"/>
          <w:marBottom w:val="120"/>
          <w:divBdr>
            <w:top w:val="none" w:sz="0" w:space="0" w:color="auto"/>
            <w:left w:val="none" w:sz="0" w:space="0" w:color="auto"/>
            <w:bottom w:val="none" w:sz="0" w:space="0" w:color="auto"/>
            <w:right w:val="none" w:sz="0" w:space="0" w:color="auto"/>
          </w:divBdr>
        </w:div>
        <w:div w:id="1437212238">
          <w:marLeft w:val="0"/>
          <w:marRight w:val="0"/>
          <w:marTop w:val="120"/>
          <w:marBottom w:val="120"/>
          <w:divBdr>
            <w:top w:val="none" w:sz="0" w:space="0" w:color="auto"/>
            <w:left w:val="none" w:sz="0" w:space="0" w:color="auto"/>
            <w:bottom w:val="none" w:sz="0" w:space="0" w:color="auto"/>
            <w:right w:val="none" w:sz="0" w:space="0" w:color="auto"/>
          </w:divBdr>
        </w:div>
        <w:div w:id="934556497">
          <w:marLeft w:val="0"/>
          <w:marRight w:val="0"/>
          <w:marTop w:val="120"/>
          <w:marBottom w:val="120"/>
          <w:divBdr>
            <w:top w:val="none" w:sz="0" w:space="0" w:color="auto"/>
            <w:left w:val="none" w:sz="0" w:space="0" w:color="auto"/>
            <w:bottom w:val="none" w:sz="0" w:space="0" w:color="auto"/>
            <w:right w:val="none" w:sz="0" w:space="0" w:color="auto"/>
          </w:divBdr>
        </w:div>
        <w:div w:id="965702167">
          <w:marLeft w:val="0"/>
          <w:marRight w:val="0"/>
          <w:marTop w:val="120"/>
          <w:marBottom w:val="120"/>
          <w:divBdr>
            <w:top w:val="none" w:sz="0" w:space="0" w:color="auto"/>
            <w:left w:val="none" w:sz="0" w:space="0" w:color="auto"/>
            <w:bottom w:val="none" w:sz="0" w:space="0" w:color="auto"/>
            <w:right w:val="none" w:sz="0" w:space="0" w:color="auto"/>
          </w:divBdr>
        </w:div>
        <w:div w:id="277956017">
          <w:marLeft w:val="0"/>
          <w:marRight w:val="0"/>
          <w:marTop w:val="120"/>
          <w:marBottom w:val="120"/>
          <w:divBdr>
            <w:top w:val="none" w:sz="0" w:space="0" w:color="auto"/>
            <w:left w:val="none" w:sz="0" w:space="0" w:color="auto"/>
            <w:bottom w:val="none" w:sz="0" w:space="0" w:color="auto"/>
            <w:right w:val="none" w:sz="0" w:space="0" w:color="auto"/>
          </w:divBdr>
        </w:div>
        <w:div w:id="950622716">
          <w:marLeft w:val="0"/>
          <w:marRight w:val="0"/>
          <w:marTop w:val="120"/>
          <w:marBottom w:val="120"/>
          <w:divBdr>
            <w:top w:val="none" w:sz="0" w:space="0" w:color="auto"/>
            <w:left w:val="none" w:sz="0" w:space="0" w:color="auto"/>
            <w:bottom w:val="none" w:sz="0" w:space="0" w:color="auto"/>
            <w:right w:val="none" w:sz="0" w:space="0" w:color="auto"/>
          </w:divBdr>
        </w:div>
        <w:div w:id="786049094">
          <w:marLeft w:val="0"/>
          <w:marRight w:val="0"/>
          <w:marTop w:val="120"/>
          <w:marBottom w:val="120"/>
          <w:divBdr>
            <w:top w:val="none" w:sz="0" w:space="0" w:color="auto"/>
            <w:left w:val="none" w:sz="0" w:space="0" w:color="auto"/>
            <w:bottom w:val="none" w:sz="0" w:space="0" w:color="auto"/>
            <w:right w:val="none" w:sz="0" w:space="0" w:color="auto"/>
          </w:divBdr>
        </w:div>
        <w:div w:id="603660198">
          <w:marLeft w:val="0"/>
          <w:marRight w:val="0"/>
          <w:marTop w:val="120"/>
          <w:marBottom w:val="120"/>
          <w:divBdr>
            <w:top w:val="none" w:sz="0" w:space="0" w:color="auto"/>
            <w:left w:val="none" w:sz="0" w:space="0" w:color="auto"/>
            <w:bottom w:val="none" w:sz="0" w:space="0" w:color="auto"/>
            <w:right w:val="none" w:sz="0" w:space="0" w:color="auto"/>
          </w:divBdr>
        </w:div>
      </w:divsChild>
    </w:div>
    <w:div w:id="1187870622">
      <w:bodyDiv w:val="1"/>
      <w:marLeft w:val="0"/>
      <w:marRight w:val="0"/>
      <w:marTop w:val="0"/>
      <w:marBottom w:val="0"/>
      <w:divBdr>
        <w:top w:val="none" w:sz="0" w:space="0" w:color="auto"/>
        <w:left w:val="none" w:sz="0" w:space="0" w:color="auto"/>
        <w:bottom w:val="none" w:sz="0" w:space="0" w:color="auto"/>
        <w:right w:val="none" w:sz="0" w:space="0" w:color="auto"/>
      </w:divBdr>
    </w:div>
    <w:div w:id="1633442833">
      <w:bodyDiv w:val="1"/>
      <w:marLeft w:val="0"/>
      <w:marRight w:val="0"/>
      <w:marTop w:val="0"/>
      <w:marBottom w:val="0"/>
      <w:divBdr>
        <w:top w:val="none" w:sz="0" w:space="0" w:color="auto"/>
        <w:left w:val="none" w:sz="0" w:space="0" w:color="auto"/>
        <w:bottom w:val="none" w:sz="0" w:space="0" w:color="auto"/>
        <w:right w:val="none" w:sz="0" w:space="0" w:color="auto"/>
      </w:divBdr>
    </w:div>
    <w:div w:id="1672878334">
      <w:bodyDiv w:val="1"/>
      <w:marLeft w:val="0"/>
      <w:marRight w:val="0"/>
      <w:marTop w:val="0"/>
      <w:marBottom w:val="0"/>
      <w:divBdr>
        <w:top w:val="none" w:sz="0" w:space="0" w:color="auto"/>
        <w:left w:val="none" w:sz="0" w:space="0" w:color="auto"/>
        <w:bottom w:val="none" w:sz="0" w:space="0" w:color="auto"/>
        <w:right w:val="none" w:sz="0" w:space="0" w:color="auto"/>
      </w:divBdr>
    </w:div>
    <w:div w:id="1802722237">
      <w:bodyDiv w:val="1"/>
      <w:marLeft w:val="0"/>
      <w:marRight w:val="0"/>
      <w:marTop w:val="0"/>
      <w:marBottom w:val="0"/>
      <w:divBdr>
        <w:top w:val="none" w:sz="0" w:space="0" w:color="auto"/>
        <w:left w:val="none" w:sz="0" w:space="0" w:color="auto"/>
        <w:bottom w:val="none" w:sz="0" w:space="0" w:color="auto"/>
        <w:right w:val="none" w:sz="0" w:space="0" w:color="auto"/>
      </w:divBdr>
    </w:div>
    <w:div w:id="1809588833">
      <w:bodyDiv w:val="1"/>
      <w:marLeft w:val="0"/>
      <w:marRight w:val="0"/>
      <w:marTop w:val="0"/>
      <w:marBottom w:val="0"/>
      <w:divBdr>
        <w:top w:val="none" w:sz="0" w:space="0" w:color="auto"/>
        <w:left w:val="none" w:sz="0" w:space="0" w:color="auto"/>
        <w:bottom w:val="none" w:sz="0" w:space="0" w:color="auto"/>
        <w:right w:val="none" w:sz="0" w:space="0" w:color="auto"/>
      </w:divBdr>
    </w:div>
    <w:div w:id="1815180495">
      <w:bodyDiv w:val="1"/>
      <w:marLeft w:val="0"/>
      <w:marRight w:val="0"/>
      <w:marTop w:val="0"/>
      <w:marBottom w:val="0"/>
      <w:divBdr>
        <w:top w:val="none" w:sz="0" w:space="0" w:color="auto"/>
        <w:left w:val="none" w:sz="0" w:space="0" w:color="auto"/>
        <w:bottom w:val="none" w:sz="0" w:space="0" w:color="auto"/>
        <w:right w:val="none" w:sz="0" w:space="0" w:color="auto"/>
      </w:divBdr>
    </w:div>
    <w:div w:id="189472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what-we-do/policy-and-influencing/dementia-scale-impact-numbers?utm_source=chatgpt.com" TargetMode="External" /><Relationship Id="rId13" Type="http://schemas.openxmlformats.org/officeDocument/2006/relationships/hyperlink" Target="https://www.nhs.uk/"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gov.uk/government/statistics/dementia-profile-march-2025-update/dementia-profile-prevalence-and-supporting-well-topics-statistical-commentary-march-2025?utm_source=chatgpt.com"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dc.gov/alzheimers-dementia" TargetMode="External" /><Relationship Id="rId5" Type="http://schemas.openxmlformats.org/officeDocument/2006/relationships/webSettings" Target="webSettings.xml" /><Relationship Id="rId15" Type="http://schemas.openxmlformats.org/officeDocument/2006/relationships/hyperlink" Target="https://www.who.int/" TargetMode="External" /><Relationship Id="rId10" Type="http://schemas.openxmlformats.org/officeDocument/2006/relationships/hyperlink" Target="https://www.cqc.org.uk/" TargetMode="External" /><Relationship Id="rId4" Type="http://schemas.openxmlformats.org/officeDocument/2006/relationships/settings" Target="settings.xml" /><Relationship Id="rId9" Type="http://schemas.openxmlformats.org/officeDocument/2006/relationships/hyperlink" Target="https://www.alzheimers.org.uk/what-we-do/policy-and-influencing/economic-impact-of-dementia?utm_source=chatgpt.com" TargetMode="External" /><Relationship Id="rId14" Type="http://schemas.openxmlformats.org/officeDocument/2006/relationships/hyperlink" Target="https://www.england.nhs.uk/2024/07/dementia-diagnoses-in-england-at-record-high/?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D3B1C-20D4-4DEE-AB2D-D94A08DB39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PMLS</dc:creator>
  <cp:keywords/>
  <dc:description/>
  <cp:lastModifiedBy>LISHY AKBAR</cp:lastModifiedBy>
  <cp:revision>2</cp:revision>
  <dcterms:created xsi:type="dcterms:W3CDTF">2026-03-22T16:57:00Z</dcterms:created>
  <dcterms:modified xsi:type="dcterms:W3CDTF">2026-03-22T16:57:00Z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6310ac47-5506-44a8-ab1a-6bec6f847b3e</vt:lpwstr>
  </property>
</Properties>
</file>