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2844238C"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585C8C">
              <w:rPr>
                <w:rFonts w:ascii="Times New Roman" w:hAnsi="Times New Roman" w:cs="Times New Roman"/>
                <w:b/>
                <w:color w:val="auto"/>
                <w:sz w:val="48"/>
              </w:rPr>
              <w:t xml:space="preserve">Karma Riddell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49B69057"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Email </w:t>
            </w:r>
            <w:proofErr w:type="gramStart"/>
            <w:r>
              <w:rPr>
                <w:rFonts w:ascii="Times New Roman" w:hAnsi="Times New Roman" w:cs="Times New Roman"/>
                <w:b/>
                <w:color w:val="auto"/>
                <w:sz w:val="48"/>
              </w:rPr>
              <w:t>address:</w:t>
            </w:r>
            <w:r w:rsidR="00585C8C">
              <w:rPr>
                <w:rFonts w:ascii="Times New Roman" w:hAnsi="Times New Roman" w:cs="Times New Roman"/>
                <w:b/>
                <w:color w:val="auto"/>
                <w:sz w:val="48"/>
              </w:rPr>
              <w:t>2518487@student.uwtsd.ac.uk</w:t>
            </w:r>
            <w:proofErr w:type="gramEnd"/>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443098F" w14:textId="1895CA67" w:rsidR="00585C8C" w:rsidRPr="005D3F07" w:rsidRDefault="00585C8C"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2518487</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proofErr w:type="spellStart"/>
      <w:r w:rsidR="0078112D">
        <w:rPr>
          <w:sz w:val="24"/>
          <w:szCs w:val="24"/>
        </w:rPr>
        <w:t>carers</w:t>
      </w:r>
      <w:proofErr w:type="spellEnd"/>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proofErr w:type="spellStart"/>
      <w:r w:rsidR="007D0F11" w:rsidRPr="00706BB5">
        <w:rPr>
          <w:i/>
          <w:iCs/>
          <w:color w:val="auto"/>
          <w:sz w:val="24"/>
          <w:szCs w:val="24"/>
        </w:rPr>
        <w:t>carers</w:t>
      </w:r>
      <w:proofErr w:type="spellEnd"/>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proofErr w:type="gramStart"/>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proofErr w:type="gramEnd"/>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1BD7DD43"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AB2550">
        <w:rPr>
          <w:sz w:val="24"/>
          <w:szCs w:val="24"/>
        </w:rPr>
        <w:t>17/12/2025</w:t>
      </w:r>
      <w:r w:rsidR="00C7108B">
        <w:rPr>
          <w:sz w:val="24"/>
          <w:szCs w:val="24"/>
        </w:rPr>
        <w:t xml:space="preserve">_ _ _ _ _ _ _ _ _ _ _ _ _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65835516" w14:textId="77777777" w:rsidR="00D3203C" w:rsidRDefault="00D3203C" w:rsidP="00D3203C">
            <w:pPr>
              <w:jc w:val="both"/>
              <w:rPr>
                <w:i/>
                <w:sz w:val="24"/>
                <w:szCs w:val="24"/>
              </w:rPr>
            </w:pPr>
          </w:p>
          <w:p w14:paraId="6E21401D" w14:textId="77777777" w:rsidR="00D3203C" w:rsidRDefault="00D3203C" w:rsidP="00D3203C">
            <w:pPr>
              <w:jc w:val="both"/>
              <w:rPr>
                <w:i/>
                <w:sz w:val="24"/>
                <w:szCs w:val="24"/>
              </w:rPr>
            </w:pPr>
          </w:p>
          <w:p w14:paraId="067765B9" w14:textId="713E0052" w:rsidR="006676C7" w:rsidRDefault="00123D48" w:rsidP="006676C7">
            <w:pPr>
              <w:pStyle w:val="NormalWeb"/>
              <w:spacing w:line="300" w:lineRule="atLeast"/>
              <w:rPr>
                <w:rFonts w:ascii="Segoe UI" w:hAnsi="Segoe UI" w:cs="Segoe UI"/>
                <w:sz w:val="21"/>
                <w:szCs w:val="21"/>
              </w:rPr>
            </w:pPr>
            <w:r>
              <w:rPr>
                <w:rStyle w:val="normaltextrun"/>
                <w:rFonts w:ascii="Cambria" w:hAnsi="Cambria"/>
                <w:color w:val="000000"/>
                <w:sz w:val="22"/>
                <w:szCs w:val="22"/>
                <w:shd w:val="clear" w:color="auto" w:fill="FFFFFF"/>
                <w:lang w:val="en-US"/>
              </w:rPr>
              <w:t>The review is to reassess the care and support needs of Service User 1, following a change in financial circumstances</w:t>
            </w:r>
            <w:r>
              <w:rPr>
                <w:rStyle w:val="normaltextrun"/>
                <w:rFonts w:ascii="Cambria" w:hAnsi="Cambria"/>
                <w:color w:val="000000"/>
                <w:sz w:val="22"/>
                <w:szCs w:val="22"/>
                <w:shd w:val="clear" w:color="auto" w:fill="FFFFFF"/>
                <w:lang w:val="en-US"/>
              </w:rPr>
              <w:t xml:space="preserve"> and eligibility for support with funding</w:t>
            </w:r>
            <w:r>
              <w:rPr>
                <w:rStyle w:val="normaltextrun"/>
                <w:rFonts w:ascii="Cambria" w:hAnsi="Cambria"/>
                <w:color w:val="000000"/>
                <w:sz w:val="22"/>
                <w:szCs w:val="22"/>
                <w:shd w:val="clear" w:color="auto" w:fill="FFFFFF"/>
                <w:lang w:val="en-US"/>
              </w:rPr>
              <w:t>. The review is</w:t>
            </w:r>
            <w:r>
              <w:rPr>
                <w:rStyle w:val="normaltextrun"/>
                <w:rFonts w:ascii="Cambria" w:hAnsi="Cambria"/>
                <w:color w:val="000000"/>
                <w:sz w:val="22"/>
                <w:szCs w:val="22"/>
                <w:shd w:val="clear" w:color="auto" w:fill="FFFFFF"/>
                <w:lang w:val="en-US"/>
              </w:rPr>
              <w:t xml:space="preserve"> in</w:t>
            </w:r>
            <w:r>
              <w:rPr>
                <w:rStyle w:val="normaltextrun"/>
                <w:rFonts w:ascii="Cambria" w:hAnsi="Cambria"/>
                <w:color w:val="000000"/>
                <w:sz w:val="22"/>
                <w:szCs w:val="22"/>
                <w:shd w:val="clear" w:color="auto" w:fill="FFFFFF"/>
                <w:lang w:val="en-US"/>
              </w:rPr>
              <w:t xml:space="preserve"> accordance with the principles and duties of the Social Services and Well-being (Wales) Act 2014, ensuring that well-being, outcomes, strengths</w:t>
            </w:r>
            <w:r>
              <w:rPr>
                <w:rStyle w:val="normaltextrun"/>
                <w:rFonts w:ascii="Cambria" w:hAnsi="Cambria"/>
                <w:color w:val="000000"/>
                <w:sz w:val="22"/>
                <w:szCs w:val="22"/>
                <w:shd w:val="clear" w:color="auto" w:fill="FFFFFF"/>
                <w:lang w:val="en-US"/>
              </w:rPr>
              <w:t xml:space="preserve"> and</w:t>
            </w:r>
            <w:r>
              <w:rPr>
                <w:rStyle w:val="normaltextrun"/>
                <w:rFonts w:ascii="Cambria" w:hAnsi="Cambria"/>
                <w:color w:val="000000"/>
                <w:sz w:val="22"/>
                <w:szCs w:val="22"/>
                <w:shd w:val="clear" w:color="auto" w:fill="FFFFFF"/>
                <w:lang w:val="en-US"/>
              </w:rPr>
              <w:t xml:space="preserve"> risks </w:t>
            </w:r>
            <w:r>
              <w:rPr>
                <w:rStyle w:val="normaltextrun"/>
                <w:rFonts w:ascii="Cambria" w:hAnsi="Cambria"/>
                <w:color w:val="000000"/>
                <w:sz w:val="22"/>
                <w:szCs w:val="22"/>
                <w:shd w:val="clear" w:color="auto" w:fill="FFFFFF"/>
                <w:lang w:val="en-US"/>
              </w:rPr>
              <w:t xml:space="preserve">are </w:t>
            </w:r>
            <w:r>
              <w:rPr>
                <w:rStyle w:val="normaltextrun"/>
                <w:rFonts w:ascii="Cambria" w:hAnsi="Cambria"/>
                <w:color w:val="000000"/>
                <w:sz w:val="22"/>
                <w:szCs w:val="22"/>
                <w:shd w:val="clear" w:color="auto" w:fill="FFFFFF"/>
                <w:lang w:val="en-US"/>
              </w:rPr>
              <w:t>explored. The process will remain person-</w:t>
            </w:r>
            <w:proofErr w:type="spellStart"/>
            <w:r>
              <w:rPr>
                <w:rStyle w:val="normaltextrun"/>
                <w:rFonts w:ascii="Cambria" w:hAnsi="Cambria"/>
                <w:color w:val="000000"/>
                <w:sz w:val="22"/>
                <w:szCs w:val="22"/>
                <w:shd w:val="clear" w:color="auto" w:fill="FFFFFF"/>
                <w:lang w:val="en-US"/>
              </w:rPr>
              <w:t>centred</w:t>
            </w:r>
            <w:proofErr w:type="spellEnd"/>
            <w:r>
              <w:rPr>
                <w:rStyle w:val="normaltextrun"/>
                <w:rFonts w:ascii="Cambria" w:hAnsi="Cambria"/>
                <w:color w:val="000000"/>
                <w:sz w:val="22"/>
                <w:szCs w:val="22"/>
                <w:shd w:val="clear" w:color="auto" w:fill="FFFFFF"/>
                <w:lang w:val="en-US"/>
              </w:rPr>
              <w:t xml:space="preserve"> and outcome-focused, promoting the individual's rights, dignity and well-being while ensuring care arrangements remain appropriate and sustainable.</w:t>
            </w:r>
            <w:r>
              <w:rPr>
                <w:rStyle w:val="scxw158899120"/>
                <w:rFonts w:ascii="Cambria" w:hAnsi="Cambria"/>
                <w:color w:val="000000"/>
                <w:sz w:val="22"/>
                <w:szCs w:val="22"/>
                <w:shd w:val="clear" w:color="auto" w:fill="FFFFFF"/>
              </w:rPr>
              <w:t> </w:t>
            </w:r>
            <w:r>
              <w:rPr>
                <w:rFonts w:ascii="Cambria" w:hAnsi="Cambria"/>
                <w:color w:val="000000"/>
                <w:sz w:val="22"/>
                <w:szCs w:val="22"/>
                <w:shd w:val="clear" w:color="auto" w:fill="FFFFFF"/>
              </w:rPr>
              <w:br/>
            </w:r>
            <w:r>
              <w:rPr>
                <w:rStyle w:val="scxw158899120"/>
                <w:rFonts w:ascii="Cambria" w:hAnsi="Cambria"/>
                <w:color w:val="000000"/>
                <w:sz w:val="22"/>
                <w:szCs w:val="22"/>
                <w:shd w:val="clear" w:color="auto" w:fill="FFFFFF"/>
              </w:rPr>
              <w:t> </w:t>
            </w:r>
            <w:r>
              <w:rPr>
                <w:rFonts w:ascii="Cambria" w:hAnsi="Cambria"/>
                <w:color w:val="000000"/>
                <w:sz w:val="22"/>
                <w:szCs w:val="22"/>
                <w:shd w:val="clear" w:color="auto" w:fill="FFFFFF"/>
              </w:rPr>
              <w:br/>
            </w:r>
            <w:r>
              <w:rPr>
                <w:rStyle w:val="normaltextrun"/>
                <w:rFonts w:ascii="Cambria" w:hAnsi="Cambria"/>
                <w:color w:val="000000"/>
                <w:sz w:val="22"/>
                <w:szCs w:val="22"/>
                <w:shd w:val="clear" w:color="auto" w:fill="FFFFFF"/>
                <w:lang w:val="en-US"/>
              </w:rPr>
              <w:t xml:space="preserve">Service User 1 has previously been assessed as lacking capacity to make decisions regarding their care and support under the Mental Capacity Act 2005. Consent for the review was therefore obtained via telephone from the appointed Lasting Power of Attorney (LPA) To </w:t>
            </w:r>
            <w:proofErr w:type="spellStart"/>
            <w:r>
              <w:rPr>
                <w:rStyle w:val="normaltextrun"/>
                <w:rFonts w:ascii="Cambria" w:hAnsi="Cambria"/>
                <w:color w:val="000000"/>
                <w:sz w:val="22"/>
                <w:szCs w:val="22"/>
                <w:shd w:val="clear" w:color="auto" w:fill="FFFFFF"/>
                <w:lang w:val="en-US"/>
              </w:rPr>
              <w:t>minimise</w:t>
            </w:r>
            <w:proofErr w:type="spellEnd"/>
            <w:r>
              <w:rPr>
                <w:rStyle w:val="normaltextrun"/>
                <w:rFonts w:ascii="Cambria" w:hAnsi="Cambria"/>
                <w:color w:val="000000"/>
                <w:sz w:val="22"/>
                <w:szCs w:val="22"/>
                <w:shd w:val="clear" w:color="auto" w:fill="FFFFFF"/>
                <w:lang w:val="en-US"/>
              </w:rPr>
              <w:t xml:space="preserve"> distress the review will take place </w:t>
            </w:r>
            <w:proofErr w:type="gramStart"/>
            <w:r>
              <w:rPr>
                <w:rStyle w:val="normaltextrun"/>
                <w:rFonts w:ascii="Cambria" w:hAnsi="Cambria"/>
                <w:color w:val="000000"/>
                <w:sz w:val="22"/>
                <w:szCs w:val="22"/>
                <w:shd w:val="clear" w:color="auto" w:fill="FFFFFF"/>
                <w:lang w:val="en-US"/>
              </w:rPr>
              <w:t>within in</w:t>
            </w:r>
            <w:proofErr w:type="gramEnd"/>
            <w:r>
              <w:rPr>
                <w:rStyle w:val="normaltextrun"/>
                <w:rFonts w:ascii="Cambria" w:hAnsi="Cambria"/>
                <w:color w:val="000000"/>
                <w:sz w:val="22"/>
                <w:szCs w:val="22"/>
                <w:shd w:val="clear" w:color="auto" w:fill="FFFFFF"/>
                <w:lang w:val="en-US"/>
              </w:rPr>
              <w:t xml:space="preserve"> a familiar setting, involving family and adapting communication to meet the individual's needs.</w:t>
            </w:r>
            <w:r>
              <w:rPr>
                <w:rStyle w:val="scxw158899120"/>
                <w:rFonts w:ascii="Cambria" w:hAnsi="Cambria"/>
                <w:color w:val="000000"/>
                <w:sz w:val="22"/>
                <w:szCs w:val="22"/>
                <w:shd w:val="clear" w:color="auto" w:fill="FFFFFF"/>
              </w:rPr>
              <w:t> </w:t>
            </w:r>
            <w:r>
              <w:rPr>
                <w:rFonts w:ascii="Cambria" w:hAnsi="Cambria"/>
                <w:color w:val="000000"/>
                <w:sz w:val="22"/>
                <w:szCs w:val="22"/>
                <w:shd w:val="clear" w:color="auto" w:fill="FFFFFF"/>
              </w:rPr>
              <w:br/>
            </w:r>
            <w:r>
              <w:rPr>
                <w:rStyle w:val="scxw158899120"/>
                <w:rFonts w:ascii="Cambria" w:hAnsi="Cambria"/>
                <w:color w:val="000000"/>
                <w:sz w:val="22"/>
                <w:szCs w:val="22"/>
                <w:shd w:val="clear" w:color="auto" w:fill="FFFFFF"/>
              </w:rPr>
              <w:t> </w:t>
            </w:r>
            <w:r>
              <w:rPr>
                <w:rFonts w:ascii="Cambria" w:hAnsi="Cambria"/>
                <w:color w:val="000000"/>
                <w:sz w:val="22"/>
                <w:szCs w:val="22"/>
                <w:shd w:val="clear" w:color="auto" w:fill="FFFFFF"/>
              </w:rPr>
              <w:br/>
            </w:r>
            <w:r>
              <w:rPr>
                <w:rStyle w:val="normaltextrun"/>
                <w:rFonts w:ascii="Cambria" w:hAnsi="Cambria"/>
                <w:color w:val="000000"/>
                <w:sz w:val="22"/>
                <w:szCs w:val="22"/>
                <w:shd w:val="clear" w:color="auto" w:fill="FFFFFF"/>
                <w:lang w:val="en-US"/>
              </w:rPr>
              <w:t xml:space="preserve">Service user 1 is a Welsh speaker and the Active Offer (Welsh Government 2022) has been recorded on the local authority system. The review will therefore be conducted bilingually to ensure meaningful participation and promote well-being. This is particularly important within Wales, where Welsh remains the first </w:t>
            </w:r>
            <w:r>
              <w:rPr>
                <w:rStyle w:val="normaltextrun"/>
                <w:rFonts w:ascii="Cambria" w:hAnsi="Cambria"/>
                <w:color w:val="000000"/>
                <w:sz w:val="22"/>
                <w:szCs w:val="22"/>
                <w:shd w:val="clear" w:color="auto" w:fill="FFFFFF"/>
                <w:lang w:val="en-US"/>
              </w:rPr>
              <w:t>language</w:t>
            </w:r>
            <w:r>
              <w:rPr>
                <w:rStyle w:val="normaltextrun"/>
                <w:rFonts w:ascii="Cambria" w:hAnsi="Cambria"/>
                <w:color w:val="000000"/>
                <w:sz w:val="22"/>
                <w:szCs w:val="22"/>
                <w:shd w:val="clear" w:color="auto" w:fill="FFFFFF"/>
                <w:lang w:val="en-US"/>
              </w:rPr>
              <w:t xml:space="preserve"> of many. Census 2021 data identified that 17.9% of residents in our local </w:t>
            </w:r>
            <w:r>
              <w:rPr>
                <w:rStyle w:val="normaltextrun"/>
                <w:rFonts w:ascii="Cambria" w:hAnsi="Cambria"/>
                <w:color w:val="000000"/>
                <w:sz w:val="22"/>
                <w:szCs w:val="22"/>
                <w:shd w:val="clear" w:color="auto" w:fill="FFFFFF"/>
                <w:lang w:val="en-US"/>
              </w:rPr>
              <w:t>authority</w:t>
            </w:r>
            <w:r>
              <w:rPr>
                <w:rStyle w:val="normaltextrun"/>
                <w:rFonts w:ascii="Cambria" w:hAnsi="Cambria"/>
                <w:color w:val="000000"/>
                <w:sz w:val="22"/>
                <w:szCs w:val="22"/>
                <w:shd w:val="clear" w:color="auto" w:fill="FFFFFF"/>
                <w:lang w:val="en-US"/>
              </w:rPr>
              <w:t xml:space="preserve"> and 22.5% of residents in the </w:t>
            </w:r>
            <w:r>
              <w:rPr>
                <w:rStyle w:val="normaltextrun"/>
                <w:rFonts w:ascii="Cambria" w:hAnsi="Cambria"/>
                <w:color w:val="000000"/>
                <w:sz w:val="22"/>
                <w:szCs w:val="22"/>
                <w:shd w:val="clear" w:color="auto" w:fill="FFFFFF"/>
                <w:lang w:val="en-US"/>
              </w:rPr>
              <w:t>neighboring</w:t>
            </w:r>
            <w:r>
              <w:rPr>
                <w:rStyle w:val="normaltextrun"/>
                <w:rFonts w:ascii="Cambria" w:hAnsi="Cambria"/>
                <w:color w:val="000000"/>
                <w:sz w:val="22"/>
                <w:szCs w:val="22"/>
                <w:shd w:val="clear" w:color="auto" w:fill="FFFFFF"/>
                <w:lang w:val="en-US"/>
              </w:rPr>
              <w:t xml:space="preserve"> </w:t>
            </w:r>
            <w:r>
              <w:rPr>
                <w:rStyle w:val="normaltextrun"/>
                <w:rFonts w:ascii="Cambria" w:hAnsi="Cambria"/>
                <w:color w:val="000000"/>
                <w:sz w:val="22"/>
                <w:szCs w:val="22"/>
                <w:shd w:val="clear" w:color="auto" w:fill="FFFFFF"/>
                <w:lang w:val="en-US"/>
              </w:rPr>
              <w:t>authority</w:t>
            </w:r>
            <w:r>
              <w:rPr>
                <w:rStyle w:val="normaltextrun"/>
                <w:rFonts w:ascii="Cambria" w:hAnsi="Cambria"/>
                <w:color w:val="000000"/>
                <w:sz w:val="22"/>
                <w:szCs w:val="22"/>
                <w:shd w:val="clear" w:color="auto" w:fill="FFFFFF"/>
                <w:lang w:val="en-US"/>
              </w:rPr>
              <w:t xml:space="preserve"> </w:t>
            </w:r>
            <w:proofErr w:type="gramStart"/>
            <w:r>
              <w:rPr>
                <w:rStyle w:val="normaltextrun"/>
                <w:rFonts w:ascii="Cambria" w:hAnsi="Cambria"/>
                <w:color w:val="000000"/>
                <w:sz w:val="22"/>
                <w:szCs w:val="22"/>
                <w:shd w:val="clear" w:color="auto" w:fill="FFFFFF"/>
                <w:lang w:val="en-US"/>
              </w:rPr>
              <w:t>are able to</w:t>
            </w:r>
            <w:proofErr w:type="gramEnd"/>
            <w:r>
              <w:rPr>
                <w:rStyle w:val="normaltextrun"/>
                <w:rFonts w:ascii="Cambria" w:hAnsi="Cambria"/>
                <w:color w:val="000000"/>
                <w:sz w:val="22"/>
                <w:szCs w:val="22"/>
                <w:shd w:val="clear" w:color="auto" w:fill="FFFFFF"/>
                <w:lang w:val="en-US"/>
              </w:rPr>
              <w:t xml:space="preserve"> speak Welsh, reinforcing the importance of providing services in an individual's preferred language to support communication, dignity and identity. Welsh Language Commissioner data further demonstrates that Welsh language needs remain a key consideration across health and social care services in Wales.</w:t>
            </w:r>
            <w:r>
              <w:rPr>
                <w:rStyle w:val="scxw158899120"/>
                <w:rFonts w:ascii="Cambria" w:hAnsi="Cambria"/>
                <w:color w:val="000000"/>
                <w:sz w:val="22"/>
                <w:szCs w:val="22"/>
                <w:shd w:val="clear" w:color="auto" w:fill="FFFFFF"/>
              </w:rPr>
              <w:t> </w:t>
            </w:r>
            <w:r>
              <w:rPr>
                <w:rFonts w:ascii="Cambria" w:hAnsi="Cambria"/>
                <w:color w:val="000000"/>
                <w:sz w:val="22"/>
                <w:szCs w:val="22"/>
                <w:shd w:val="clear" w:color="auto" w:fill="FFFFFF"/>
              </w:rPr>
              <w:br/>
            </w:r>
            <w:r>
              <w:rPr>
                <w:rStyle w:val="scxw158899120"/>
                <w:rFonts w:ascii="Cambria" w:hAnsi="Cambria"/>
                <w:color w:val="000000"/>
                <w:sz w:val="22"/>
                <w:szCs w:val="22"/>
                <w:shd w:val="clear" w:color="auto" w:fill="FFFFFF"/>
              </w:rPr>
              <w:t> </w:t>
            </w:r>
            <w:r>
              <w:rPr>
                <w:rFonts w:ascii="Cambria" w:hAnsi="Cambria"/>
                <w:color w:val="000000"/>
                <w:sz w:val="22"/>
                <w:szCs w:val="22"/>
                <w:shd w:val="clear" w:color="auto" w:fill="FFFFFF"/>
              </w:rPr>
              <w:br/>
            </w:r>
            <w:r>
              <w:rPr>
                <w:rStyle w:val="normaltextrun"/>
                <w:rFonts w:ascii="Cambria" w:hAnsi="Cambria"/>
                <w:color w:val="000000"/>
                <w:sz w:val="22"/>
                <w:szCs w:val="22"/>
                <w:shd w:val="clear" w:color="auto" w:fill="FFFFFF"/>
                <w:lang w:val="en-US"/>
              </w:rPr>
              <w:t xml:space="preserve">As the care home was within a neighboring authority there were also questions around ordinarily residency and who should be completing the review. Family members live abroad, potentially affecting ongoing involvement in </w:t>
            </w:r>
            <w:r>
              <w:rPr>
                <w:rStyle w:val="normaltextrun"/>
                <w:rFonts w:ascii="Cambria" w:hAnsi="Cambria"/>
                <w:color w:val="000000"/>
                <w:sz w:val="22"/>
                <w:szCs w:val="22"/>
                <w:shd w:val="clear" w:color="auto" w:fill="FFFFFF"/>
                <w:lang w:val="en-US"/>
              </w:rPr>
              <w:t>future care planning</w:t>
            </w:r>
            <w:r>
              <w:rPr>
                <w:rStyle w:val="normaltextrun"/>
                <w:rFonts w:ascii="Cambria" w:hAnsi="Cambria"/>
                <w:color w:val="000000"/>
                <w:sz w:val="22"/>
                <w:szCs w:val="22"/>
                <w:shd w:val="clear" w:color="auto" w:fill="FFFFFF"/>
                <w:lang w:val="en-US"/>
              </w:rPr>
              <w:t>. The review will also consider concerns regarding safeguarding and the operation of the LPA in line with the Wales Safeguarding Procedures. Consistent with Trevithick's relationship-based approach, the intervention will focus on communication, partnership working, observation and understanding the person's lived experience to support effective assessment and care planning (Trevithick, 2012).</w:t>
            </w:r>
            <w:r>
              <w:rPr>
                <w:rStyle w:val="eop"/>
                <w:rFonts w:ascii="Cambria" w:hAnsi="Cambria"/>
                <w:color w:val="000000"/>
                <w:sz w:val="22"/>
                <w:szCs w:val="22"/>
                <w:bdr w:val="none" w:sz="0" w:space="0" w:color="auto" w:frame="1"/>
                <w:shd w:val="clear" w:color="auto" w:fill="C6C6C6"/>
              </w:rPr>
              <w:t> </w:t>
            </w:r>
          </w:p>
          <w:p w14:paraId="0D3913BB" w14:textId="41410317" w:rsidR="006676C7" w:rsidRDefault="006676C7" w:rsidP="006676C7">
            <w:pPr>
              <w:pStyle w:val="NormalWeb"/>
              <w:spacing w:line="300" w:lineRule="atLeast"/>
              <w:rPr>
                <w:rFonts w:ascii="Segoe UI" w:hAnsi="Segoe UI" w:cs="Segoe UI"/>
                <w:sz w:val="21"/>
                <w:szCs w:val="21"/>
              </w:rPr>
            </w:pPr>
            <w:r>
              <w:rPr>
                <w:rFonts w:ascii="Segoe UI" w:hAnsi="Segoe UI" w:cs="Segoe UI"/>
                <w:sz w:val="21"/>
                <w:szCs w:val="21"/>
              </w:rPr>
              <w:t>Word count 3</w:t>
            </w:r>
            <w:r w:rsidR="00123D48">
              <w:rPr>
                <w:rFonts w:ascii="Segoe UI" w:hAnsi="Segoe UI" w:cs="Segoe UI"/>
                <w:sz w:val="21"/>
                <w:szCs w:val="21"/>
              </w:rPr>
              <w:t>39</w:t>
            </w:r>
          </w:p>
          <w:p w14:paraId="716154EA" w14:textId="77777777" w:rsidR="00B96A74" w:rsidRDefault="00B96A74" w:rsidP="006676C7">
            <w:pPr>
              <w:pStyle w:val="NormalWeb"/>
              <w:spacing w:line="300" w:lineRule="atLeast"/>
              <w:rPr>
                <w:rFonts w:ascii="Segoe UI" w:hAnsi="Segoe UI" w:cs="Segoe UI"/>
                <w:sz w:val="21"/>
                <w:szCs w:val="21"/>
              </w:rPr>
            </w:pPr>
          </w:p>
          <w:p w14:paraId="2ACAC701" w14:textId="77777777" w:rsidR="00B96A74" w:rsidRDefault="00B96A74" w:rsidP="006676C7">
            <w:pPr>
              <w:pStyle w:val="NormalWeb"/>
              <w:spacing w:line="300" w:lineRule="atLeast"/>
              <w:rPr>
                <w:rFonts w:ascii="Segoe UI" w:hAnsi="Segoe UI" w:cs="Segoe UI"/>
                <w:sz w:val="21"/>
                <w:szCs w:val="21"/>
              </w:rPr>
            </w:pPr>
          </w:p>
          <w:p w14:paraId="4A6C0E34" w14:textId="0D95C53A" w:rsidR="00A31B37" w:rsidRDefault="00A31B37" w:rsidP="00D3203C">
            <w:pPr>
              <w:jc w:val="both"/>
              <w:rPr>
                <w:i/>
                <w:sz w:val="24"/>
                <w:szCs w:val="24"/>
              </w:rPr>
            </w:pPr>
          </w:p>
          <w:p w14:paraId="79637977" w14:textId="62E01AAB" w:rsidR="00A31B37" w:rsidRDefault="00A31B37" w:rsidP="00D3203C">
            <w:pPr>
              <w:jc w:val="both"/>
              <w:rPr>
                <w:i/>
                <w:sz w:val="24"/>
                <w:szCs w:val="24"/>
              </w:rPr>
            </w:pPr>
            <w:r>
              <w:rPr>
                <w:i/>
                <w:sz w:val="24"/>
                <w:szCs w:val="24"/>
              </w:rPr>
              <w:t xml:space="preserve"> </w:t>
            </w:r>
          </w:p>
          <w:p w14:paraId="00B2155A" w14:textId="77777777" w:rsidR="008B5687" w:rsidRDefault="008B5687" w:rsidP="00D3203C">
            <w:pPr>
              <w:jc w:val="both"/>
              <w:rPr>
                <w:i/>
                <w:sz w:val="24"/>
                <w:szCs w:val="24"/>
              </w:rPr>
            </w:pPr>
          </w:p>
          <w:p w14:paraId="343E836E" w14:textId="77777777" w:rsidR="00D3203C" w:rsidRDefault="00D3203C" w:rsidP="00D3203C">
            <w:pPr>
              <w:jc w:val="both"/>
              <w:rPr>
                <w:i/>
                <w:sz w:val="24"/>
                <w:szCs w:val="24"/>
              </w:rPr>
            </w:pP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r w:rsidR="00123D48" w:rsidRPr="008B28E7" w14:paraId="63DCBF54" w14:textId="77777777" w:rsidTr="5158DB01">
        <w:tc>
          <w:tcPr>
            <w:tcW w:w="10278" w:type="dxa"/>
          </w:tcPr>
          <w:p w14:paraId="27FE5A59" w14:textId="77777777" w:rsidR="00123D48" w:rsidRPr="00F15354" w:rsidRDefault="00123D48">
            <w:pPr>
              <w:jc w:val="both"/>
              <w:rPr>
                <w:b/>
                <w:bCs/>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proofErr w:type="spellStart"/>
            <w:r w:rsidR="007D0F11">
              <w:rPr>
                <w:color w:val="auto"/>
                <w:sz w:val="24"/>
                <w:szCs w:val="24"/>
              </w:rPr>
              <w:t>carers</w:t>
            </w:r>
            <w:proofErr w:type="spellEnd"/>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Pr="00706BB5" w:rsidRDefault="00243DB0">
            <w:pPr>
              <w:jc w:val="both"/>
              <w:rPr>
                <w:b/>
                <w:bCs/>
                <w:i/>
                <w:iCs/>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w:t>
            </w:r>
            <w:proofErr w:type="gramStart"/>
            <w:r w:rsidR="00BC4ED3">
              <w:rPr>
                <w:sz w:val="24"/>
                <w:szCs w:val="24"/>
              </w:rPr>
              <w:t xml:space="preserve">make </w:t>
            </w:r>
            <w:r w:rsidR="00392F73">
              <w:rPr>
                <w:sz w:val="24"/>
                <w:szCs w:val="24"/>
              </w:rPr>
              <w:t>reference</w:t>
            </w:r>
            <w:proofErr w:type="gramEnd"/>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77777777" w:rsidR="00243DB0" w:rsidRPr="008B28E7" w:rsidRDefault="00243DB0" w:rsidP="00243DB0">
            <w:pPr>
              <w:jc w:val="both"/>
              <w:rPr>
                <w:sz w:val="24"/>
                <w:szCs w:val="24"/>
              </w:rPr>
            </w:pPr>
          </w:p>
          <w:p w14:paraId="2759BED2" w14:textId="77777777" w:rsidR="00243DB0" w:rsidRDefault="00243DB0" w:rsidP="00243DB0">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sidR="002F2185">
              <w:rPr>
                <w:i/>
                <w:sz w:val="24"/>
                <w:szCs w:val="24"/>
              </w:rPr>
              <w:t>.</w:t>
            </w:r>
          </w:p>
          <w:p w14:paraId="446E8246" w14:textId="77777777" w:rsidR="00CE293E" w:rsidRDefault="00CE293E" w:rsidP="00243DB0">
            <w:pPr>
              <w:jc w:val="both"/>
              <w:rPr>
                <w:i/>
                <w:sz w:val="24"/>
                <w:szCs w:val="24"/>
              </w:rPr>
            </w:pPr>
          </w:p>
          <w:p w14:paraId="523B04B8" w14:textId="77777777" w:rsidR="00585C8C" w:rsidRDefault="00585C8C" w:rsidP="00585C8C">
            <w:pPr>
              <w:pStyle w:val="NormalWeb"/>
              <w:spacing w:line="300" w:lineRule="atLeast"/>
              <w:rPr>
                <w:rFonts w:ascii="Segoe UI" w:hAnsi="Segoe UI" w:cs="Segoe UI"/>
                <w:sz w:val="21"/>
                <w:szCs w:val="21"/>
              </w:rPr>
            </w:pPr>
            <w:r>
              <w:rPr>
                <w:rFonts w:ascii="Segoe UI" w:hAnsi="Segoe UI" w:cs="Segoe UI"/>
                <w:sz w:val="21"/>
                <w:szCs w:val="21"/>
              </w:rPr>
              <w:t>This observation provided an opportunity to reflect on my communication methods and skills during a review of Service User 1’s care needs at her residential home. Reflection is an essential part of social work practice because it enables practitioners to evaluate their effectiveness, identify areas for development and ensure that interventions are consistent with professional values and ethical standards. Gibbs' (1988) Reflective Cycle provides a useful framework for analysing the interaction and considering how communication supported person-centred practice. Throughout the review, I sought to uphold the principles of the Social Services and Well-being (Wales) Act 2014, the Mental Capacity Act 2005 and the Code of Professional Practice for Social Care by promoting participation, respecting dignity and ensuring Service User 1 remained central to the assessment process despite her cognitive difficulties.</w:t>
            </w:r>
          </w:p>
          <w:p w14:paraId="3D30DB5D" w14:textId="77777777" w:rsidR="00585C8C" w:rsidRDefault="00585C8C" w:rsidP="00585C8C">
            <w:pPr>
              <w:pStyle w:val="NormalWeb"/>
              <w:spacing w:line="300" w:lineRule="atLeast"/>
              <w:rPr>
                <w:rFonts w:ascii="Segoe UI" w:hAnsi="Segoe UI" w:cs="Segoe UI"/>
                <w:sz w:val="21"/>
                <w:szCs w:val="21"/>
              </w:rPr>
            </w:pPr>
            <w:r>
              <w:rPr>
                <w:rFonts w:ascii="Segoe UI" w:hAnsi="Segoe UI" w:cs="Segoe UI"/>
                <w:sz w:val="21"/>
                <w:szCs w:val="21"/>
              </w:rPr>
              <w:t xml:space="preserve">Prior to the visit, I reviewed the available records and familiarised myself with Service User 1's circumstances. This preparation allowed me to create a plan as to how I would conduct the review to ensure that Service User 1 was able to engage in the review. As social workers we should assess communication needs continuously rather than assume a standard approach will be effective. On meeting Service User 1, it became clear that significant memory impairment would affect how information needed to be shared and discussed. She struggled to remember my name and asked who I was several </w:t>
            </w:r>
            <w:proofErr w:type="gramStart"/>
            <w:r>
              <w:rPr>
                <w:rFonts w:ascii="Segoe UI" w:hAnsi="Segoe UI" w:cs="Segoe UI"/>
                <w:sz w:val="21"/>
                <w:szCs w:val="21"/>
              </w:rPr>
              <w:t>times,</w:t>
            </w:r>
            <w:proofErr w:type="gramEnd"/>
            <w:r>
              <w:rPr>
                <w:rFonts w:ascii="Segoe UI" w:hAnsi="Segoe UI" w:cs="Segoe UI"/>
                <w:sz w:val="21"/>
                <w:szCs w:val="21"/>
              </w:rPr>
              <w:t xml:space="preserve"> a reintroduction and explanation was provided each time. Rather than viewing this as a barrier to engagement, I recognised the need to adapt my communication style to maximise her involvement. Trevithick (2012, p.13) states that "communication lies at the heart of effective social work practice." This was evident throughout the observation, as the success of the review depended not on the amount of information shared </w:t>
            </w:r>
            <w:proofErr w:type="gramStart"/>
            <w:r>
              <w:rPr>
                <w:rFonts w:ascii="Segoe UI" w:hAnsi="Segoe UI" w:cs="Segoe UI"/>
                <w:sz w:val="21"/>
                <w:szCs w:val="21"/>
              </w:rPr>
              <w:t>but on my ability</w:t>
            </w:r>
            <w:proofErr w:type="gramEnd"/>
            <w:r>
              <w:rPr>
                <w:rFonts w:ascii="Segoe UI" w:hAnsi="Segoe UI" w:cs="Segoe UI"/>
                <w:sz w:val="21"/>
                <w:szCs w:val="21"/>
              </w:rPr>
              <w:t xml:space="preserve"> to communicate in a way that was meaningful and accessible to Service User 1.</w:t>
            </w:r>
          </w:p>
          <w:p w14:paraId="165C546E" w14:textId="77777777" w:rsidR="00585C8C" w:rsidRDefault="00585C8C" w:rsidP="00585C8C">
            <w:pPr>
              <w:pStyle w:val="NormalWeb"/>
              <w:spacing w:line="300" w:lineRule="atLeast"/>
              <w:rPr>
                <w:rFonts w:ascii="Segoe UI" w:hAnsi="Segoe UI" w:cs="Segoe UI"/>
                <w:sz w:val="21"/>
                <w:szCs w:val="21"/>
              </w:rPr>
            </w:pPr>
            <w:r>
              <w:rPr>
                <w:rFonts w:ascii="Segoe UI" w:hAnsi="Segoe UI" w:cs="Segoe UI"/>
                <w:sz w:val="21"/>
                <w:szCs w:val="21"/>
              </w:rPr>
              <w:t xml:space="preserve">A strength of my communication was the use of repetition, reassurance and checking understanding. I explained the purpose of the visit several times and used straightforward language, avoiding complicated language. This enabled Service User 1 to participate in discussions despite her difficulties retaining information. Importantly, I did not rely solely on information provided by family members or care staff. Although Service User 1 lacked capacity in relation to decisions regarding her care and support, the principles of the Mental Capacity Act 2005 require individuals to be supported to participate as fully as </w:t>
            </w:r>
            <w:r>
              <w:rPr>
                <w:rFonts w:ascii="Segoe UI" w:hAnsi="Segoe UI" w:cs="Segoe UI"/>
                <w:sz w:val="21"/>
                <w:szCs w:val="21"/>
              </w:rPr>
              <w:lastRenderedPageBreak/>
              <w:t>possible in decisions affecting them. I addressed questions to Service User 1 first, listened to her views and ensured her wishes were heard throughout the review. This reflected a person-centred approach by recognising her as the expert in her own lived experience. Even where her memory difficulties impacted on her ability to provide consistent information, her feelings, preferences and experiences remained important and worthy of consideration.</w:t>
            </w:r>
          </w:p>
          <w:p w14:paraId="6F1FCB09" w14:textId="77777777" w:rsidR="00585C8C" w:rsidRDefault="00585C8C" w:rsidP="00585C8C">
            <w:pPr>
              <w:pStyle w:val="NormalWeb"/>
              <w:spacing w:line="300" w:lineRule="atLeast"/>
              <w:rPr>
                <w:rFonts w:ascii="Segoe UI" w:hAnsi="Segoe UI" w:cs="Segoe UI"/>
                <w:sz w:val="21"/>
                <w:szCs w:val="21"/>
              </w:rPr>
            </w:pPr>
            <w:r>
              <w:rPr>
                <w:rFonts w:ascii="Segoe UI" w:hAnsi="Segoe UI" w:cs="Segoe UI"/>
                <w:sz w:val="21"/>
                <w:szCs w:val="21"/>
              </w:rPr>
              <w:t xml:space="preserve">The observation also highlighted the importance of relationship-based practice. Developing rapport was particularly important because being observed by Practice Assessor 1 could have created a more formal atmosphere. I was conscious that both Service User 1 and her family needed to feel comfortable sharing their views. Feedback from the family indicated that they felt listened to and respected throughout the visit. They commented that explanations were provided several times using different approaches due to Service User 1's forgetfulness and that I took time to communicate with each person in the way most relevant to them. This feedback suggests that I was able to build trust and demonstrate empathy, both of which are essential skills of effective social work communication. Thompson (2021, p.115) argues that "communication is the foundation upon which effective helping relationships are built." The positive feedback received supports the view that a helping relationship was successfully established with both Service User 1 and her family. Reflecting upon this, I recognised that effective communication is more </w:t>
            </w:r>
            <w:proofErr w:type="spellStart"/>
            <w:r>
              <w:rPr>
                <w:rFonts w:ascii="Segoe UI" w:hAnsi="Segoe UI" w:cs="Segoe UI"/>
                <w:sz w:val="21"/>
                <w:szCs w:val="21"/>
              </w:rPr>
              <w:t>then</w:t>
            </w:r>
            <w:proofErr w:type="spellEnd"/>
            <w:r>
              <w:rPr>
                <w:rFonts w:ascii="Segoe UI" w:hAnsi="Segoe UI" w:cs="Segoe UI"/>
                <w:sz w:val="21"/>
                <w:szCs w:val="21"/>
              </w:rPr>
              <w:t xml:space="preserve"> conversation and includes creating an environment where individuals feel valued, respected and able to participate without fear of judgement.</w:t>
            </w:r>
          </w:p>
          <w:p w14:paraId="31BD189F" w14:textId="77777777" w:rsidR="00585C8C" w:rsidRDefault="00585C8C" w:rsidP="00585C8C">
            <w:pPr>
              <w:pStyle w:val="NormalWeb"/>
              <w:spacing w:line="300" w:lineRule="atLeast"/>
              <w:rPr>
                <w:rFonts w:ascii="Segoe UI" w:hAnsi="Segoe UI" w:cs="Segoe UI"/>
                <w:sz w:val="21"/>
                <w:szCs w:val="21"/>
              </w:rPr>
            </w:pPr>
            <w:r>
              <w:rPr>
                <w:rFonts w:ascii="Segoe UI" w:hAnsi="Segoe UI" w:cs="Segoe UI"/>
                <w:sz w:val="21"/>
                <w:szCs w:val="21"/>
              </w:rPr>
              <w:t xml:space="preserve">An important aspect of the review involved responding to the complexities of the family discussion. When family members arrived, the conversation became difficult to manage because there were competing priorities. Family Member 2 wished to focus on ongoing safeguarding concerns, while Family Member 1 moved between several topics. Family Member 2 was unable to speak </w:t>
            </w:r>
            <w:proofErr w:type="gramStart"/>
            <w:r>
              <w:rPr>
                <w:rFonts w:ascii="Segoe UI" w:hAnsi="Segoe UI" w:cs="Segoe UI"/>
                <w:sz w:val="21"/>
                <w:szCs w:val="21"/>
              </w:rPr>
              <w:t>Welsh,</w:t>
            </w:r>
            <w:proofErr w:type="gramEnd"/>
            <w:r>
              <w:rPr>
                <w:rFonts w:ascii="Segoe UI" w:hAnsi="Segoe UI" w:cs="Segoe UI"/>
                <w:sz w:val="21"/>
                <w:szCs w:val="21"/>
              </w:rPr>
              <w:t xml:space="preserve"> therefore large parts had to be repeated in English for him to understand. Some people may have conducted the review in English to accommodate </w:t>
            </w:r>
            <w:proofErr w:type="gramStart"/>
            <w:r>
              <w:rPr>
                <w:rFonts w:ascii="Segoe UI" w:hAnsi="Segoe UI" w:cs="Segoe UI"/>
                <w:sz w:val="21"/>
                <w:szCs w:val="21"/>
              </w:rPr>
              <w:t>this,</w:t>
            </w:r>
            <w:proofErr w:type="gramEnd"/>
            <w:r>
              <w:rPr>
                <w:rFonts w:ascii="Segoe UI" w:hAnsi="Segoe UI" w:cs="Segoe UI"/>
                <w:sz w:val="21"/>
                <w:szCs w:val="21"/>
              </w:rPr>
              <w:t xml:space="preserve"> however I felt that it was important to speak in Servicer user 1 preferred language. As a result, the discussion sometimes lacked structure and Service User 1 sometimes lost concentration. This presented a challenge because social work communication involves balancing the perspectives of multiple individuals while ensuring the voice of the person receiving care is not lost. I used active listening skills to acknowledge concerns whilst gently redirecting conversations back to the purpose of the review. I summarised key points, clarified information and regularly refocused attention on Service User 1's experiences. Although these strategies proved effective, critical reflection suggests that setting a clearer agenda at the beginning of the family discussion may have reduced the need for repetition and created greater structure. This would have enabled all participants to feel heard while maintaining a stronger focus on the outcomes of the review.</w:t>
            </w:r>
          </w:p>
          <w:p w14:paraId="3E666B72" w14:textId="77777777" w:rsidR="00585C8C" w:rsidRDefault="00585C8C" w:rsidP="00585C8C">
            <w:pPr>
              <w:pStyle w:val="NormalWeb"/>
              <w:spacing w:line="300" w:lineRule="atLeast"/>
              <w:rPr>
                <w:rFonts w:ascii="Segoe UI" w:hAnsi="Segoe UI" w:cs="Segoe UI"/>
                <w:sz w:val="21"/>
                <w:szCs w:val="21"/>
              </w:rPr>
            </w:pPr>
            <w:r>
              <w:rPr>
                <w:rFonts w:ascii="Segoe UI" w:hAnsi="Segoe UI" w:cs="Segoe UI"/>
                <w:sz w:val="21"/>
                <w:szCs w:val="21"/>
              </w:rPr>
              <w:t xml:space="preserve">The observation also demonstrated my ability to communicate in a culturally and linguistically sensitive manner. Service User 1 is a Welsh </w:t>
            </w:r>
            <w:proofErr w:type="gramStart"/>
            <w:r>
              <w:rPr>
                <w:rFonts w:ascii="Segoe UI" w:hAnsi="Segoe UI" w:cs="Segoe UI"/>
                <w:sz w:val="21"/>
                <w:szCs w:val="21"/>
              </w:rPr>
              <w:t>speaker,</w:t>
            </w:r>
            <w:proofErr w:type="gramEnd"/>
            <w:r>
              <w:rPr>
                <w:rFonts w:ascii="Segoe UI" w:hAnsi="Segoe UI" w:cs="Segoe UI"/>
                <w:sz w:val="21"/>
                <w:szCs w:val="21"/>
              </w:rPr>
              <w:t xml:space="preserve"> the Active Offer had been recorded on the system. The principle of the Active Offer, as outlined in </w:t>
            </w:r>
            <w:r>
              <w:rPr>
                <w:rStyle w:val="Emphasis"/>
                <w:rFonts w:ascii="Segoe UI" w:hAnsi="Segoe UI" w:cs="Segoe UI"/>
                <w:sz w:val="21"/>
                <w:szCs w:val="21"/>
              </w:rPr>
              <w:t>More Than Just Words</w:t>
            </w:r>
            <w:r>
              <w:rPr>
                <w:rFonts w:ascii="Segoe UI" w:hAnsi="Segoe UI" w:cs="Segoe UI"/>
                <w:sz w:val="21"/>
                <w:szCs w:val="21"/>
              </w:rPr>
              <w:t xml:space="preserve"> (Welsh Government, 2012), is that services are delivered in Welsh without individuals having to request them. During the review, I communicated bilingually and ensured Welsh language needs were considered throughout. Although </w:t>
            </w:r>
            <w:proofErr w:type="spellStart"/>
            <w:r>
              <w:rPr>
                <w:rFonts w:ascii="Segoe UI" w:hAnsi="Segoe UI" w:cs="Segoe UI"/>
                <w:sz w:val="21"/>
                <w:szCs w:val="21"/>
              </w:rPr>
              <w:t>ia</w:t>
            </w:r>
            <w:proofErr w:type="spellEnd"/>
            <w:r>
              <w:rPr>
                <w:rFonts w:ascii="Segoe UI" w:hAnsi="Segoe UI" w:cs="Segoe UI"/>
                <w:sz w:val="21"/>
                <w:szCs w:val="21"/>
              </w:rPr>
              <w:t xml:space="preserve"> mainly communicated bilingually due to accommodate Family member 3, evidence suggesting that some bilingual individuals living with dementia may experience increasing difficulty accessing a second language as cognitive impairment progresses. Research indicates that people with dementia may revert to </w:t>
            </w:r>
            <w:r>
              <w:rPr>
                <w:rFonts w:ascii="Segoe UI" w:hAnsi="Segoe UI" w:cs="Segoe UI"/>
                <w:sz w:val="21"/>
                <w:szCs w:val="21"/>
              </w:rPr>
              <w:lastRenderedPageBreak/>
              <w:t xml:space="preserve">their first language or find it easier to communicate through the language most strongly associated with certain life experiences and memories. This has significant implications for practice because communication difficulties may be mistakenly interpreted as cognitive difficulties when they are </w:t>
            </w:r>
            <w:proofErr w:type="gramStart"/>
            <w:r>
              <w:rPr>
                <w:rFonts w:ascii="Segoe UI" w:hAnsi="Segoe UI" w:cs="Segoe UI"/>
                <w:sz w:val="21"/>
                <w:szCs w:val="21"/>
              </w:rPr>
              <w:t>actually related</w:t>
            </w:r>
            <w:proofErr w:type="gramEnd"/>
            <w:r>
              <w:rPr>
                <w:rFonts w:ascii="Segoe UI" w:hAnsi="Segoe UI" w:cs="Segoe UI"/>
                <w:sz w:val="21"/>
                <w:szCs w:val="21"/>
              </w:rPr>
              <w:t xml:space="preserve"> to language ability. Consequently, I can see that although Welsh may be the preferred language it may not always be the most appropriate language, and vice versa. It is important to be flexible. </w:t>
            </w:r>
          </w:p>
          <w:p w14:paraId="7A34CC87" w14:textId="77777777" w:rsidR="00585C8C" w:rsidRDefault="00585C8C" w:rsidP="00585C8C">
            <w:pPr>
              <w:pStyle w:val="NormalWeb"/>
              <w:spacing w:line="300" w:lineRule="atLeast"/>
              <w:rPr>
                <w:rFonts w:ascii="Segoe UI" w:hAnsi="Segoe UI" w:cs="Segoe UI"/>
                <w:sz w:val="21"/>
                <w:szCs w:val="21"/>
              </w:rPr>
            </w:pPr>
            <w:r>
              <w:rPr>
                <w:rFonts w:ascii="Segoe UI" w:hAnsi="Segoe UI" w:cs="Segoe UI"/>
                <w:sz w:val="21"/>
                <w:szCs w:val="21"/>
              </w:rPr>
              <w:t>Feedback from family highlighted I was able to engage in relevant conversation through their first language and that this contributed positively to the overall experience. By proactively using Welsh rather than waiting to be asked, I demonstrated a commitment to the wider values of anti-oppressive practice. Reflecting on this increased my awareness of how language is closely linked to identity, culture and personal history. Supporting people to communicate in their preferred language is not solely about meeting requirements; it is also about promoting dignity, inclusion and emotional wellbeing.</w:t>
            </w:r>
          </w:p>
          <w:p w14:paraId="56974842" w14:textId="77777777" w:rsidR="00585C8C" w:rsidRDefault="00585C8C" w:rsidP="00585C8C">
            <w:pPr>
              <w:pStyle w:val="NormalWeb"/>
              <w:spacing w:line="300" w:lineRule="atLeast"/>
              <w:rPr>
                <w:rFonts w:ascii="Segoe UI" w:hAnsi="Segoe UI" w:cs="Segoe UI"/>
                <w:sz w:val="21"/>
                <w:szCs w:val="21"/>
              </w:rPr>
            </w:pPr>
            <w:r>
              <w:rPr>
                <w:rFonts w:ascii="Segoe UI" w:hAnsi="Segoe UI" w:cs="Segoe UI"/>
                <w:sz w:val="21"/>
                <w:szCs w:val="21"/>
              </w:rPr>
              <w:t>The Social Care Wales Code of Professional Practice, (Social Care Wales, 2017</w:t>
            </w:r>
            <w:proofErr w:type="gramStart"/>
            <w:r>
              <w:rPr>
                <w:rFonts w:ascii="Segoe UI" w:hAnsi="Segoe UI" w:cs="Segoe UI"/>
                <w:sz w:val="21"/>
                <w:szCs w:val="21"/>
              </w:rPr>
              <w:t>)  requires</w:t>
            </w:r>
            <w:proofErr w:type="gramEnd"/>
            <w:r>
              <w:rPr>
                <w:rFonts w:ascii="Segoe UI" w:hAnsi="Segoe UI" w:cs="Segoe UI"/>
                <w:sz w:val="21"/>
                <w:szCs w:val="21"/>
              </w:rPr>
              <w:t xml:space="preserve"> practitioners to respect diversity and communicate appropriately according to individual need. I believe my communication was consistent with these principles. Rather than adopting a one-size-fits-all approach, I modified my communication style in response to Service User 1's cognitive impairment, language preferences and the emotional needs of family members. </w:t>
            </w:r>
          </w:p>
          <w:p w14:paraId="04BBF781" w14:textId="77777777" w:rsidR="00585C8C" w:rsidRDefault="00585C8C" w:rsidP="00585C8C">
            <w:pPr>
              <w:pStyle w:val="NormalWeb"/>
              <w:spacing w:line="300" w:lineRule="atLeast"/>
              <w:rPr>
                <w:rFonts w:ascii="Segoe UI" w:hAnsi="Segoe UI" w:cs="Segoe UI"/>
                <w:sz w:val="21"/>
                <w:szCs w:val="21"/>
              </w:rPr>
            </w:pPr>
            <w:r>
              <w:rPr>
                <w:rFonts w:ascii="Segoe UI" w:hAnsi="Segoe UI" w:cs="Segoe UI"/>
                <w:sz w:val="21"/>
                <w:szCs w:val="21"/>
              </w:rPr>
              <w:t>The observation also increased my awareness that communication skills must be continually evaluated throughout practice. I monitored verbal and non-verbal responses, assessed understanding and adapted my approach when information was not retained. This process of assessing, adapting and reassessing communication demonstrated professional self-awareness and ensured that my interventions remained responsive to changing needs throughout the review.</w:t>
            </w:r>
          </w:p>
          <w:p w14:paraId="3A12B614" w14:textId="77777777" w:rsidR="00585C8C" w:rsidRDefault="00585C8C" w:rsidP="00585C8C">
            <w:pPr>
              <w:pStyle w:val="NormalWeb"/>
              <w:spacing w:line="300" w:lineRule="atLeast"/>
              <w:rPr>
                <w:rFonts w:ascii="Segoe UI" w:hAnsi="Segoe UI" w:cs="Segoe UI"/>
                <w:sz w:val="21"/>
                <w:szCs w:val="21"/>
              </w:rPr>
            </w:pPr>
            <w:r>
              <w:rPr>
                <w:rFonts w:ascii="Segoe UI" w:hAnsi="Segoe UI" w:cs="Segoe UI"/>
                <w:sz w:val="21"/>
                <w:szCs w:val="21"/>
              </w:rPr>
              <w:t>Overall, this observation highlighted several communication strengths, including active listening, empathy, flexibility, bilingual communication, repetition of information and the ability to maintain a person-centred focus during complex discussions. Feedback from family members and care staff provided evidence that these approaches were effective in promoting participation, building trust and supporting positive working relationships. However, reflection also identified areas for development, particularly around establishing clearer structures when multiple stakeholders are present. In future reviews, setting a more explicit agenda at the outset may help maintain focus, support participation and ensure that important issues are addressed more systematically. This experience reinforced the importance of adapting communication to cognitive, linguistic and cultural needs and demonstrated how reflective practice can enhance professional development. By applying these principles, I was able to uphold social work values, demonstrate adherence to the Code of Professional Practice and contribute to a review process that was respectful, inclusive and person-centred.</w:t>
            </w:r>
          </w:p>
          <w:p w14:paraId="7ADFE92A" w14:textId="77777777" w:rsidR="00585C8C" w:rsidRDefault="00585C8C" w:rsidP="00585C8C"/>
          <w:p w14:paraId="69278A34" w14:textId="27E935E3" w:rsidR="00CE293E" w:rsidRDefault="00585C8C" w:rsidP="00243DB0">
            <w:pPr>
              <w:jc w:val="both"/>
              <w:rPr>
                <w:i/>
                <w:sz w:val="24"/>
                <w:szCs w:val="24"/>
              </w:rPr>
            </w:pPr>
            <w:r>
              <w:rPr>
                <w:i/>
                <w:sz w:val="24"/>
                <w:szCs w:val="24"/>
              </w:rPr>
              <w:t>Word count 1425</w:t>
            </w: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 xml:space="preserve">Some or </w:t>
      </w:r>
      <w:proofErr w:type="gramStart"/>
      <w:r w:rsidRPr="00E3288D">
        <w:rPr>
          <w:i/>
          <w:sz w:val="24"/>
          <w:szCs w:val="24"/>
        </w:rPr>
        <w:t>all of</w:t>
      </w:r>
      <w:proofErr w:type="gramEnd"/>
      <w:r w:rsidRPr="00E3288D">
        <w:rPr>
          <w:i/>
          <w:sz w:val="24"/>
          <w:szCs w:val="24"/>
        </w:rPr>
        <w:t xml:space="preserve">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6"/>
        <w:gridCol w:w="7374"/>
      </w:tblGrid>
      <w:tr w:rsidR="00CA3593" w:rsidRPr="008B28E7" w14:paraId="711D7535" w14:textId="77777777" w:rsidTr="3EE31E8D">
        <w:tc>
          <w:tcPr>
            <w:tcW w:w="2718" w:type="dxa"/>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tcPr>
          <w:p w14:paraId="6F3F794D" w14:textId="22E78D6F" w:rsidR="00CA3593" w:rsidRPr="008B28E7" w:rsidRDefault="0073467A" w:rsidP="00FF7EBB">
            <w:pPr>
              <w:jc w:val="both"/>
              <w:rPr>
                <w:sz w:val="24"/>
                <w:szCs w:val="24"/>
              </w:rPr>
            </w:pPr>
            <w:proofErr w:type="gramStart"/>
            <w:r>
              <w:rPr>
                <w:sz w:val="24"/>
                <w:szCs w:val="24"/>
              </w:rPr>
              <w:t>Yes</w:t>
            </w:r>
            <w:proofErr w:type="gramEnd"/>
            <w:r>
              <w:rPr>
                <w:sz w:val="24"/>
                <w:szCs w:val="24"/>
              </w:rPr>
              <w:t xml:space="preserve"> they arrived early and had contacted prior to </w:t>
            </w:r>
            <w:proofErr w:type="gramStart"/>
            <w:r>
              <w:rPr>
                <w:sz w:val="24"/>
                <w:szCs w:val="24"/>
              </w:rPr>
              <w:t>make arrangements</w:t>
            </w:r>
            <w:proofErr w:type="gramEnd"/>
            <w:r>
              <w:rPr>
                <w:sz w:val="24"/>
                <w:szCs w:val="24"/>
              </w:rPr>
              <w:t>.</w:t>
            </w:r>
          </w:p>
        </w:tc>
      </w:tr>
      <w:tr w:rsidR="00CA3593" w:rsidRPr="008B28E7" w14:paraId="1012FA0D" w14:textId="77777777" w:rsidTr="3EE31E8D">
        <w:tc>
          <w:tcPr>
            <w:tcW w:w="2718" w:type="dxa"/>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tcPr>
          <w:p w14:paraId="7EF49005" w14:textId="7E8BEFE3" w:rsidR="00CA3593" w:rsidRDefault="0073467A" w:rsidP="00FF7EBB">
            <w:pPr>
              <w:jc w:val="both"/>
              <w:rPr>
                <w:sz w:val="24"/>
                <w:szCs w:val="24"/>
              </w:rPr>
            </w:pPr>
            <w:r>
              <w:rPr>
                <w:sz w:val="24"/>
                <w:szCs w:val="24"/>
              </w:rPr>
              <w:t>Yes, this was checked with the home staff, family and client.</w:t>
            </w:r>
          </w:p>
          <w:p w14:paraId="26545C64" w14:textId="77777777" w:rsidR="0073467A" w:rsidRDefault="0073467A" w:rsidP="00FF7EBB">
            <w:pPr>
              <w:jc w:val="both"/>
              <w:rPr>
                <w:sz w:val="24"/>
                <w:szCs w:val="24"/>
              </w:rPr>
            </w:pPr>
          </w:p>
          <w:p w14:paraId="0F0363A9" w14:textId="5B8453B3" w:rsidR="0073467A" w:rsidRPr="008B28E7" w:rsidRDefault="0073467A" w:rsidP="00FF7EBB">
            <w:pPr>
              <w:jc w:val="both"/>
              <w:rPr>
                <w:sz w:val="24"/>
                <w:szCs w:val="24"/>
              </w:rPr>
            </w:pPr>
            <w:r>
              <w:rPr>
                <w:sz w:val="24"/>
                <w:szCs w:val="24"/>
              </w:rPr>
              <w:t xml:space="preserve">They not only explained to the family members, </w:t>
            </w:r>
            <w:proofErr w:type="gramStart"/>
            <w:r>
              <w:rPr>
                <w:sz w:val="24"/>
                <w:szCs w:val="24"/>
              </w:rPr>
              <w:t>they</w:t>
            </w:r>
            <w:proofErr w:type="gramEnd"/>
            <w:r>
              <w:rPr>
                <w:sz w:val="24"/>
                <w:szCs w:val="24"/>
              </w:rPr>
              <w:t xml:space="preserve"> explained several times to the client in different ways due to their forgetfulness</w:t>
            </w:r>
          </w:p>
        </w:tc>
      </w:tr>
      <w:tr w:rsidR="00CA3593" w:rsidRPr="008B28E7" w14:paraId="254F62F1" w14:textId="77777777" w:rsidTr="3EE31E8D">
        <w:tc>
          <w:tcPr>
            <w:tcW w:w="2718" w:type="dxa"/>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tcPr>
          <w:p w14:paraId="077B6E9E" w14:textId="10A49590" w:rsidR="00CA3593" w:rsidRPr="008B28E7" w:rsidRDefault="0073467A" w:rsidP="00FF7EBB">
            <w:pPr>
              <w:jc w:val="both"/>
              <w:rPr>
                <w:sz w:val="24"/>
                <w:szCs w:val="24"/>
              </w:rPr>
            </w:pPr>
            <w:proofErr w:type="gramStart"/>
            <w:r>
              <w:rPr>
                <w:sz w:val="24"/>
                <w:szCs w:val="24"/>
              </w:rPr>
              <w:t>Yes</w:t>
            </w:r>
            <w:proofErr w:type="gramEnd"/>
            <w:r>
              <w:rPr>
                <w:sz w:val="24"/>
                <w:szCs w:val="24"/>
              </w:rPr>
              <w:t xml:space="preserve"> we understood why we met today we needed to review the care and collate information to apply for funding.</w:t>
            </w:r>
          </w:p>
        </w:tc>
      </w:tr>
      <w:tr w:rsidR="00CA3593" w:rsidRPr="008B28E7" w14:paraId="793B8DB8" w14:textId="77777777" w:rsidTr="3EE31E8D">
        <w:tc>
          <w:tcPr>
            <w:tcW w:w="2718" w:type="dxa"/>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tcPr>
          <w:p w14:paraId="3A375EC5" w14:textId="5378BCC3" w:rsidR="00CA3593" w:rsidRPr="008B28E7" w:rsidRDefault="0073467A" w:rsidP="00FF7EBB">
            <w:pPr>
              <w:jc w:val="both"/>
              <w:rPr>
                <w:sz w:val="24"/>
                <w:szCs w:val="24"/>
              </w:rPr>
            </w:pPr>
            <w:r>
              <w:rPr>
                <w:sz w:val="24"/>
                <w:szCs w:val="24"/>
              </w:rPr>
              <w:t xml:space="preserve">The social worker had arrived early and read through the homes notes and care plans etc. </w:t>
            </w:r>
          </w:p>
        </w:tc>
      </w:tr>
      <w:tr w:rsidR="00CA3593" w:rsidRPr="008B28E7" w14:paraId="7B9FBC52" w14:textId="77777777" w:rsidTr="3EE31E8D">
        <w:tc>
          <w:tcPr>
            <w:tcW w:w="2718" w:type="dxa"/>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tcPr>
          <w:p w14:paraId="7761BD15" w14:textId="1D1ECA35" w:rsidR="00CA3593" w:rsidRPr="008B28E7" w:rsidRDefault="0073467A" w:rsidP="00FF7EBB">
            <w:pPr>
              <w:jc w:val="both"/>
              <w:rPr>
                <w:sz w:val="24"/>
                <w:szCs w:val="24"/>
              </w:rPr>
            </w:pPr>
            <w:proofErr w:type="gramStart"/>
            <w:r>
              <w:rPr>
                <w:sz w:val="24"/>
                <w:szCs w:val="24"/>
              </w:rPr>
              <w:lastRenderedPageBreak/>
              <w:t>Absolutely  yes</w:t>
            </w:r>
            <w:proofErr w:type="gramEnd"/>
            <w:r>
              <w:rPr>
                <w:sz w:val="24"/>
                <w:szCs w:val="24"/>
              </w:rPr>
              <w:t xml:space="preserve">, very person </w:t>
            </w:r>
            <w:proofErr w:type="spellStart"/>
            <w:r>
              <w:rPr>
                <w:sz w:val="24"/>
                <w:szCs w:val="24"/>
              </w:rPr>
              <w:t>centered</w:t>
            </w:r>
            <w:proofErr w:type="spellEnd"/>
            <w:r>
              <w:rPr>
                <w:sz w:val="24"/>
                <w:szCs w:val="24"/>
              </w:rPr>
              <w:t xml:space="preserve"> today and took time to explain in different ways to each party present in the most relevant way.</w:t>
            </w:r>
          </w:p>
        </w:tc>
      </w:tr>
      <w:tr w:rsidR="00A12F22" w:rsidRPr="008B28E7" w14:paraId="7EA05E3F" w14:textId="77777777" w:rsidTr="3EE31E8D">
        <w:tc>
          <w:tcPr>
            <w:tcW w:w="2718" w:type="dxa"/>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tcPr>
          <w:p w14:paraId="203A7B7E" w14:textId="24704723" w:rsidR="00A12F22" w:rsidRPr="008B28E7" w:rsidRDefault="0073467A" w:rsidP="00FF7EBB">
            <w:pPr>
              <w:jc w:val="both"/>
              <w:rPr>
                <w:sz w:val="24"/>
                <w:szCs w:val="24"/>
              </w:rPr>
            </w:pPr>
            <w:r>
              <w:rPr>
                <w:sz w:val="24"/>
                <w:szCs w:val="24"/>
              </w:rPr>
              <w:t xml:space="preserve">The social worker was able to answer our questions and allay any fears. All involved from SSD were lovely today and listed to us and </w:t>
            </w:r>
            <w:proofErr w:type="gramStart"/>
            <w:r>
              <w:rPr>
                <w:sz w:val="24"/>
                <w:szCs w:val="24"/>
              </w:rPr>
              <w:t>entered into</w:t>
            </w:r>
            <w:proofErr w:type="gramEnd"/>
            <w:r>
              <w:rPr>
                <w:sz w:val="24"/>
                <w:szCs w:val="24"/>
              </w:rPr>
              <w:t xml:space="preserve"> relevant conversation via our first language Welsh. </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8"/>
        <w:gridCol w:w="7372"/>
      </w:tblGrid>
      <w:tr w:rsidR="00D0503D" w:rsidRPr="008B28E7" w14:paraId="134324FF" w14:textId="77777777" w:rsidTr="00D0503D">
        <w:tc>
          <w:tcPr>
            <w:tcW w:w="2718" w:type="dxa"/>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tcPr>
          <w:p w14:paraId="0EEC1DE2" w14:textId="346F5162" w:rsidR="00D0503D" w:rsidRPr="008B28E7" w:rsidRDefault="0073467A" w:rsidP="00D0503D">
            <w:pPr>
              <w:jc w:val="both"/>
              <w:rPr>
                <w:sz w:val="24"/>
                <w:szCs w:val="24"/>
              </w:rPr>
            </w:pPr>
            <w:proofErr w:type="gramStart"/>
            <w:r>
              <w:rPr>
                <w:sz w:val="24"/>
                <w:szCs w:val="24"/>
              </w:rPr>
              <w:t>Yes</w:t>
            </w:r>
            <w:proofErr w:type="gramEnd"/>
            <w:r>
              <w:rPr>
                <w:sz w:val="24"/>
                <w:szCs w:val="24"/>
              </w:rPr>
              <w:t xml:space="preserve"> thank </w:t>
            </w:r>
            <w:proofErr w:type="gramStart"/>
            <w:r>
              <w:rPr>
                <w:sz w:val="24"/>
                <w:szCs w:val="24"/>
              </w:rPr>
              <w:t>you ,</w:t>
            </w:r>
            <w:proofErr w:type="gramEnd"/>
            <w:r>
              <w:rPr>
                <w:sz w:val="24"/>
                <w:szCs w:val="24"/>
              </w:rPr>
              <w:t xml:space="preserve"> all involved were lovely people and they were able to answer all our queries and allay any fears. </w:t>
            </w:r>
          </w:p>
        </w:tc>
      </w:tr>
      <w:tr w:rsidR="00D0503D" w:rsidRPr="008B28E7" w14:paraId="45ABECAD" w14:textId="77777777" w:rsidTr="00D0503D">
        <w:tc>
          <w:tcPr>
            <w:tcW w:w="2718" w:type="dxa"/>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tcPr>
          <w:p w14:paraId="18CB2DE2" w14:textId="44E8E266" w:rsidR="00D0503D" w:rsidRPr="008B28E7" w:rsidRDefault="0073467A" w:rsidP="00D0503D">
            <w:pPr>
              <w:jc w:val="both"/>
              <w:rPr>
                <w:sz w:val="24"/>
                <w:szCs w:val="24"/>
              </w:rPr>
            </w:pPr>
            <w:r>
              <w:rPr>
                <w:sz w:val="24"/>
                <w:szCs w:val="24"/>
              </w:rPr>
              <w:t xml:space="preserve">Nothing we can think of. </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C16384" w14:textId="77777777" w:rsidR="002343E5" w:rsidRDefault="002343E5">
      <w:r>
        <w:separator/>
      </w:r>
    </w:p>
  </w:endnote>
  <w:endnote w:type="continuationSeparator" w:id="0">
    <w:p w14:paraId="5927EB7A" w14:textId="77777777" w:rsidR="002343E5" w:rsidRDefault="002343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4AD013F" w:rsidR="00A5656A" w:rsidRDefault="00A5656A">
    <w:pPr>
      <w:pStyle w:val="Footer"/>
      <w:jc w:val="right"/>
    </w:pPr>
    <w:r>
      <w:fldChar w:fldCharType="begin"/>
    </w:r>
    <w:r>
      <w:instrText xml:space="preserve"> PAGE   \* MERGEFORMAT </w:instrText>
    </w:r>
    <w:r>
      <w:fldChar w:fldCharType="separate"/>
    </w:r>
    <w:r w:rsidR="00222604">
      <w:rPr>
        <w:noProof/>
      </w:rPr>
      <w:t>1</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F41A8E" w14:textId="77777777" w:rsidR="002343E5" w:rsidRDefault="002343E5">
      <w:r>
        <w:separator/>
      </w:r>
    </w:p>
  </w:footnote>
  <w:footnote w:type="continuationSeparator" w:id="0">
    <w:p w14:paraId="1F324F0C" w14:textId="77777777" w:rsidR="002343E5" w:rsidRDefault="002343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558861395">
    <w:abstractNumId w:val="1"/>
    <w:lvlOverride w:ilvl="0">
      <w:lvl w:ilvl="0">
        <w:start w:val="1"/>
        <w:numFmt w:val="bullet"/>
        <w:lvlText w:val=""/>
        <w:lvlJc w:val="left"/>
        <w:pPr>
          <w:ind w:left="720" w:hanging="360"/>
        </w:pPr>
        <w:rPr>
          <w:rFonts w:ascii="Symbol" w:hAnsi="Symbol" w:hint="default"/>
        </w:rPr>
      </w:lvl>
    </w:lvlOverride>
  </w:num>
  <w:num w:numId="2" w16cid:durableId="2107379521">
    <w:abstractNumId w:val="22"/>
  </w:num>
  <w:num w:numId="3" w16cid:durableId="476185528">
    <w:abstractNumId w:val="45"/>
  </w:num>
  <w:num w:numId="4" w16cid:durableId="719552172">
    <w:abstractNumId w:val="47"/>
  </w:num>
  <w:num w:numId="5" w16cid:durableId="1938948606">
    <w:abstractNumId w:val="34"/>
  </w:num>
  <w:num w:numId="6" w16cid:durableId="462701642">
    <w:abstractNumId w:val="32"/>
  </w:num>
  <w:num w:numId="7" w16cid:durableId="1913350826">
    <w:abstractNumId w:val="29"/>
  </w:num>
  <w:num w:numId="8" w16cid:durableId="732433394">
    <w:abstractNumId w:val="30"/>
  </w:num>
  <w:num w:numId="9" w16cid:durableId="933781999">
    <w:abstractNumId w:val="10"/>
  </w:num>
  <w:num w:numId="10" w16cid:durableId="2134905930">
    <w:abstractNumId w:val="33"/>
  </w:num>
  <w:num w:numId="11" w16cid:durableId="443303713">
    <w:abstractNumId w:val="17"/>
  </w:num>
  <w:num w:numId="12" w16cid:durableId="1618635068">
    <w:abstractNumId w:val="16"/>
  </w:num>
  <w:num w:numId="13" w16cid:durableId="1752314165">
    <w:abstractNumId w:val="27"/>
  </w:num>
  <w:num w:numId="14" w16cid:durableId="637996919">
    <w:abstractNumId w:val="8"/>
  </w:num>
  <w:num w:numId="15" w16cid:durableId="1448550968">
    <w:abstractNumId w:val="26"/>
  </w:num>
  <w:num w:numId="16" w16cid:durableId="391346869">
    <w:abstractNumId w:val="15"/>
  </w:num>
  <w:num w:numId="17" w16cid:durableId="2012173207">
    <w:abstractNumId w:val="13"/>
  </w:num>
  <w:num w:numId="18" w16cid:durableId="114721162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24818546">
    <w:abstractNumId w:val="23"/>
  </w:num>
  <w:num w:numId="20" w16cid:durableId="1937902877">
    <w:abstractNumId w:val="18"/>
  </w:num>
  <w:num w:numId="21" w16cid:durableId="682168947">
    <w:abstractNumId w:val="14"/>
  </w:num>
  <w:num w:numId="22" w16cid:durableId="903839098">
    <w:abstractNumId w:val="11"/>
  </w:num>
  <w:num w:numId="23" w16cid:durableId="840896549">
    <w:abstractNumId w:val="28"/>
  </w:num>
  <w:num w:numId="24" w16cid:durableId="785734473">
    <w:abstractNumId w:val="19"/>
  </w:num>
  <w:num w:numId="25" w16cid:durableId="1062829686">
    <w:abstractNumId w:val="41"/>
  </w:num>
  <w:num w:numId="26" w16cid:durableId="1238594470">
    <w:abstractNumId w:val="35"/>
  </w:num>
  <w:num w:numId="27" w16cid:durableId="1306160225">
    <w:abstractNumId w:val="40"/>
  </w:num>
  <w:num w:numId="28" w16cid:durableId="1029843273">
    <w:abstractNumId w:val="20"/>
  </w:num>
  <w:num w:numId="29" w16cid:durableId="440998390">
    <w:abstractNumId w:val="43"/>
  </w:num>
  <w:num w:numId="30" w16cid:durableId="445390068">
    <w:abstractNumId w:val="31"/>
  </w:num>
  <w:num w:numId="31" w16cid:durableId="1787040871">
    <w:abstractNumId w:val="12"/>
  </w:num>
  <w:num w:numId="32" w16cid:durableId="901528623">
    <w:abstractNumId w:val="44"/>
  </w:num>
  <w:num w:numId="33" w16cid:durableId="308899529">
    <w:abstractNumId w:val="39"/>
  </w:num>
  <w:num w:numId="34" w16cid:durableId="1407410963">
    <w:abstractNumId w:val="5"/>
  </w:num>
  <w:num w:numId="35" w16cid:durableId="1905019212">
    <w:abstractNumId w:val="46"/>
  </w:num>
  <w:num w:numId="36" w16cid:durableId="324094000">
    <w:abstractNumId w:val="42"/>
  </w:num>
  <w:num w:numId="37" w16cid:durableId="1197155844">
    <w:abstractNumId w:val="36"/>
  </w:num>
  <w:num w:numId="38" w16cid:durableId="301690205">
    <w:abstractNumId w:val="37"/>
  </w:num>
  <w:num w:numId="39" w16cid:durableId="547570342">
    <w:abstractNumId w:val="4"/>
  </w:num>
  <w:num w:numId="40" w16cid:durableId="1471826036">
    <w:abstractNumId w:val="6"/>
  </w:num>
  <w:num w:numId="41" w16cid:durableId="1095394120">
    <w:abstractNumId w:val="25"/>
  </w:num>
  <w:num w:numId="42" w16cid:durableId="1310594415">
    <w:abstractNumId w:val="7"/>
  </w:num>
  <w:num w:numId="43" w16cid:durableId="911308553">
    <w:abstractNumId w:val="3"/>
  </w:num>
  <w:num w:numId="44" w16cid:durableId="1510096416">
    <w:abstractNumId w:val="38"/>
  </w:num>
  <w:num w:numId="45" w16cid:durableId="2073698099">
    <w:abstractNumId w:val="0"/>
  </w:num>
  <w:num w:numId="46" w16cid:durableId="365984497">
    <w:abstractNumId w:val="14"/>
  </w:num>
  <w:num w:numId="47" w16cid:durableId="1746106542">
    <w:abstractNumId w:val="48"/>
  </w:num>
  <w:num w:numId="48" w16cid:durableId="104537568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336737013">
    <w:abstractNumId w:val="11"/>
  </w:num>
  <w:num w:numId="50" w16cid:durableId="601766474">
    <w:abstractNumId w:val="28"/>
  </w:num>
  <w:num w:numId="51" w16cid:durableId="243760682">
    <w:abstractNumId w:val="24"/>
  </w:num>
  <w:num w:numId="52" w16cid:durableId="960763891">
    <w:abstractNumId w:val="21"/>
  </w:num>
  <w:num w:numId="53" w16cid:durableId="490219317">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9E5"/>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5529"/>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277"/>
    <w:rsid w:val="00112391"/>
    <w:rsid w:val="00114F52"/>
    <w:rsid w:val="00117346"/>
    <w:rsid w:val="00123D48"/>
    <w:rsid w:val="00130119"/>
    <w:rsid w:val="00132812"/>
    <w:rsid w:val="001347F8"/>
    <w:rsid w:val="001359EE"/>
    <w:rsid w:val="00137BB5"/>
    <w:rsid w:val="00137E05"/>
    <w:rsid w:val="001447F6"/>
    <w:rsid w:val="00147DE3"/>
    <w:rsid w:val="00150794"/>
    <w:rsid w:val="00151DA6"/>
    <w:rsid w:val="001568AE"/>
    <w:rsid w:val="001608C4"/>
    <w:rsid w:val="00161E1B"/>
    <w:rsid w:val="00164832"/>
    <w:rsid w:val="00171418"/>
    <w:rsid w:val="001772BF"/>
    <w:rsid w:val="001772DE"/>
    <w:rsid w:val="0019496C"/>
    <w:rsid w:val="00195084"/>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69A7"/>
    <w:rsid w:val="0021792F"/>
    <w:rsid w:val="00220D06"/>
    <w:rsid w:val="00222604"/>
    <w:rsid w:val="002246A0"/>
    <w:rsid w:val="00230439"/>
    <w:rsid w:val="00232A09"/>
    <w:rsid w:val="002343E5"/>
    <w:rsid w:val="00235176"/>
    <w:rsid w:val="00236061"/>
    <w:rsid w:val="0024100E"/>
    <w:rsid w:val="00241C1B"/>
    <w:rsid w:val="0024288B"/>
    <w:rsid w:val="00243DB0"/>
    <w:rsid w:val="00244215"/>
    <w:rsid w:val="00247265"/>
    <w:rsid w:val="00260663"/>
    <w:rsid w:val="002657E9"/>
    <w:rsid w:val="0026665E"/>
    <w:rsid w:val="0027147E"/>
    <w:rsid w:val="002761F4"/>
    <w:rsid w:val="002775E1"/>
    <w:rsid w:val="00277979"/>
    <w:rsid w:val="00291ADD"/>
    <w:rsid w:val="002920DF"/>
    <w:rsid w:val="00292F3D"/>
    <w:rsid w:val="00295CA1"/>
    <w:rsid w:val="00296FD4"/>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4437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5C8C"/>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336E3"/>
    <w:rsid w:val="006447DE"/>
    <w:rsid w:val="00644889"/>
    <w:rsid w:val="0065276E"/>
    <w:rsid w:val="00654329"/>
    <w:rsid w:val="00654CEC"/>
    <w:rsid w:val="00655507"/>
    <w:rsid w:val="006579FD"/>
    <w:rsid w:val="006635E3"/>
    <w:rsid w:val="006669F3"/>
    <w:rsid w:val="006676C7"/>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67A"/>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D50CB"/>
    <w:rsid w:val="007F10BD"/>
    <w:rsid w:val="007F312E"/>
    <w:rsid w:val="007F3F7E"/>
    <w:rsid w:val="007F4BA4"/>
    <w:rsid w:val="007F6AB0"/>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3F91"/>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A535F"/>
    <w:rsid w:val="008B07DE"/>
    <w:rsid w:val="008B1309"/>
    <w:rsid w:val="008B28E7"/>
    <w:rsid w:val="008B568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727BD"/>
    <w:rsid w:val="0098262C"/>
    <w:rsid w:val="0098427C"/>
    <w:rsid w:val="00986B43"/>
    <w:rsid w:val="00986C0B"/>
    <w:rsid w:val="00986D46"/>
    <w:rsid w:val="00991FDA"/>
    <w:rsid w:val="00992ACA"/>
    <w:rsid w:val="00997218"/>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1B37"/>
    <w:rsid w:val="00A37416"/>
    <w:rsid w:val="00A40ED6"/>
    <w:rsid w:val="00A45E79"/>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255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6A74"/>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49A"/>
    <w:rsid w:val="00C34C23"/>
    <w:rsid w:val="00C368FA"/>
    <w:rsid w:val="00C42005"/>
    <w:rsid w:val="00C4664D"/>
    <w:rsid w:val="00C472AA"/>
    <w:rsid w:val="00C50A05"/>
    <w:rsid w:val="00C549E8"/>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293E"/>
    <w:rsid w:val="00CE4BC4"/>
    <w:rsid w:val="00CE7DA2"/>
    <w:rsid w:val="00CF1864"/>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84841"/>
    <w:rsid w:val="00D876E6"/>
    <w:rsid w:val="00D90958"/>
    <w:rsid w:val="00DA1025"/>
    <w:rsid w:val="00DA22EC"/>
    <w:rsid w:val="00DA4D97"/>
    <w:rsid w:val="00DA5682"/>
    <w:rsid w:val="00DA5860"/>
    <w:rsid w:val="00DA5C0C"/>
    <w:rsid w:val="00DB2767"/>
    <w:rsid w:val="00DC1B10"/>
    <w:rsid w:val="00DC2924"/>
    <w:rsid w:val="00DC4729"/>
    <w:rsid w:val="00DD31C5"/>
    <w:rsid w:val="00DD5020"/>
    <w:rsid w:val="00DD63BE"/>
    <w:rsid w:val="00DE4296"/>
    <w:rsid w:val="00DE5D42"/>
    <w:rsid w:val="00DF2469"/>
    <w:rsid w:val="00DF7899"/>
    <w:rsid w:val="00E0524C"/>
    <w:rsid w:val="00E15751"/>
    <w:rsid w:val="00E15A27"/>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933"/>
    <w:rsid w:val="00EC4B89"/>
    <w:rsid w:val="00EC59A5"/>
    <w:rsid w:val="00EC6E15"/>
    <w:rsid w:val="00ED13DD"/>
    <w:rsid w:val="00ED1B30"/>
    <w:rsid w:val="00ED5D03"/>
    <w:rsid w:val="00EE01ED"/>
    <w:rsid w:val="00EE1AC1"/>
    <w:rsid w:val="00EE39D6"/>
    <w:rsid w:val="00EE52AD"/>
    <w:rsid w:val="00EE5BC3"/>
    <w:rsid w:val="00EE6FAB"/>
    <w:rsid w:val="00EF328C"/>
    <w:rsid w:val="00EF68BB"/>
    <w:rsid w:val="00EF74AF"/>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unhideWhenUsed/>
    <w:rsid w:val="0057780F"/>
    <w:rPr>
      <w:rFonts w:cs="Times New Roman"/>
      <w:lang w:val="x-none" w:eastAsia="x-none"/>
    </w:rPr>
  </w:style>
  <w:style w:type="character" w:customStyle="1" w:styleId="CommentTextChar">
    <w:name w:val="Comment Text Char"/>
    <w:link w:val="CommentText"/>
    <w:uiPriority w:val="99"/>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styleId="NormalWeb">
    <w:name w:val="Normal (Web)"/>
    <w:basedOn w:val="Normal"/>
    <w:uiPriority w:val="99"/>
    <w:unhideWhenUsed/>
    <w:rsid w:val="006676C7"/>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Strong">
    <w:name w:val="Strong"/>
    <w:basedOn w:val="DefaultParagraphFont"/>
    <w:uiPriority w:val="22"/>
    <w:qFormat/>
    <w:rsid w:val="006676C7"/>
    <w:rPr>
      <w:b/>
      <w:bCs/>
    </w:rPr>
  </w:style>
  <w:style w:type="character" w:styleId="Emphasis">
    <w:name w:val="Emphasis"/>
    <w:basedOn w:val="DefaultParagraphFont"/>
    <w:uiPriority w:val="20"/>
    <w:qFormat/>
    <w:rsid w:val="00B96A74"/>
    <w:rPr>
      <w:i/>
      <w:iCs/>
    </w:rPr>
  </w:style>
  <w:style w:type="character" w:customStyle="1" w:styleId="normaltextrun">
    <w:name w:val="normaltextrun"/>
    <w:basedOn w:val="DefaultParagraphFont"/>
    <w:rsid w:val="00123D48"/>
  </w:style>
  <w:style w:type="character" w:customStyle="1" w:styleId="scxw158899120">
    <w:name w:val="scxw158899120"/>
    <w:basedOn w:val="DefaultParagraphFont"/>
    <w:rsid w:val="00123D48"/>
  </w:style>
  <w:style w:type="character" w:customStyle="1" w:styleId="eop">
    <w:name w:val="eop"/>
    <w:basedOn w:val="DefaultParagraphFont"/>
    <w:rsid w:val="00123D48"/>
  </w:style>
  <w:style w:type="character" w:customStyle="1" w:styleId="scxw231923078">
    <w:name w:val="scxw231923078"/>
    <w:basedOn w:val="DefaultParagraphFont"/>
    <w:rsid w:val="007F6A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41CF471FD656142A18648629781B87F" ma:contentTypeVersion="19" ma:contentTypeDescription="Create a new document." ma:contentTypeScope="" ma:versionID="46e15b06097508c144a9f14b42b36766">
  <xsd:schema xmlns:xsd="http://www.w3.org/2001/XMLSchema" xmlns:xs="http://www.w3.org/2001/XMLSchema" xmlns:p="http://schemas.microsoft.com/office/2006/metadata/properties" xmlns:ns1="http://schemas.microsoft.com/sharepoint/v3" xmlns:ns3="1b97bfc6-b7f9-4f97-bda1-3491dbcf9c0d" xmlns:ns4="abb439bd-a363-4333-83d0-f95c527ffab9" targetNamespace="http://schemas.microsoft.com/office/2006/metadata/properties" ma:root="true" ma:fieldsID="fc95c6ea7d79455af962c08c16777490" ns1:_="" ns3:_="" ns4:_="">
    <xsd:import namespace="http://schemas.microsoft.com/sharepoint/v3"/>
    <xsd:import namespace="1b97bfc6-b7f9-4f97-bda1-3491dbcf9c0d"/>
    <xsd:import namespace="abb439bd-a363-4333-83d0-f95c527ffab9"/>
    <xsd:element name="properties">
      <xsd:complexType>
        <xsd:sequence>
          <xsd:element name="documentManagement">
            <xsd:complexType>
              <xsd:all>
                <xsd:element ref="ns3:MediaServiceMetadata" minOccurs="0"/>
                <xsd:element ref="ns3:MediaServiceFastMetadata" minOccurs="0"/>
                <xsd:element ref="ns1:_ip_UnifiedCompliancePolicyProperties" minOccurs="0"/>
                <xsd:element ref="ns1:_ip_UnifiedCompliancePolicyUIAction"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0" nillable="true" ma:displayName="Unified Compliance Policy Properties" ma:hidden="true" ma:internalName="_ip_UnifiedCompliancePolicyProperties">
      <xsd:simpleType>
        <xsd:restriction base="dms:Note"/>
      </xsd:simpleType>
    </xsd:element>
    <xsd:element name="_ip_UnifiedCompliancePolicyUIAction" ma:index="1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b97bfc6-b7f9-4f97-bda1-3491dbcf9c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_activity" ma:index="26"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bb439bd-a363-4333-83d0-f95c527ffab9"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activity xmlns="1b97bfc6-b7f9-4f97-bda1-3491dbcf9c0d"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D9304657-323D-483E-A0A3-A48AABAEE6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b97bfc6-b7f9-4f97-bda1-3491dbcf9c0d"/>
    <ds:schemaRef ds:uri="abb439bd-a363-4333-83d0-f95c527ffa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3216BB-FDA6-418D-8422-FD4047DC2923}">
  <ds:schemaRefs>
    <ds:schemaRef ds:uri="http://schemas.microsoft.com/office/2006/metadata/properties"/>
    <ds:schemaRef ds:uri="http://schemas.microsoft.com/office/infopath/2007/PartnerControls"/>
    <ds:schemaRef ds:uri="http://schemas.microsoft.com/sharepoint/v3"/>
    <ds:schemaRef ds:uri="1b97bfc6-b7f9-4f97-bda1-3491dbcf9c0d"/>
  </ds:schemaRefs>
</ds:datastoreItem>
</file>

<file path=customXml/itemProps4.xml><?xml version="1.0" encoding="utf-8"?>
<ds:datastoreItem xmlns:ds="http://schemas.openxmlformats.org/officeDocument/2006/customXml" ds:itemID="{A9C3E297-D102-41C3-997C-6696FF66D7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9</Pages>
  <Words>2661</Words>
  <Characters>15732</Characters>
  <Application>Microsoft Office Word</Application>
  <DocSecurity>4</DocSecurity>
  <Lines>204</Lines>
  <Paragraphs>21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18372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Karma Riddell</cp:lastModifiedBy>
  <cp:revision>2</cp:revision>
  <cp:lastPrinted>2020-02-11T19:20:00Z</cp:lastPrinted>
  <dcterms:created xsi:type="dcterms:W3CDTF">2026-10-06T15:37:00Z</dcterms:created>
  <dcterms:modified xsi:type="dcterms:W3CDTF">2026-10-06T15:37:00Z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0x010100F41CF471FD656142A18648629781B87F</vt:lpwstr>
  </property>
</Properties>
</file>