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C200F" w14:textId="77777777" w:rsidR="00D84783" w:rsidRPr="005E6D84" w:rsidRDefault="00D84783" w:rsidP="00D84783">
      <w:pPr>
        <w:spacing w:after="200" w:line="276" w:lineRule="auto"/>
        <w:jc w:val="center"/>
        <w:rPr>
          <w:b/>
          <w:bCs/>
          <w:color w:val="000000" w:themeColor="text1"/>
          <w:sz w:val="28"/>
          <w:lang w:val="en-GB"/>
        </w:rPr>
      </w:pPr>
      <w:r w:rsidRPr="005E6D84">
        <w:rPr>
          <w:b/>
          <w:noProof/>
          <w:color w:val="000000" w:themeColor="text1"/>
          <w:sz w:val="28"/>
          <w:lang w:val="en-GB" w:eastAsia="en-GB"/>
        </w:rPr>
        <w:drawing>
          <wp:inline distT="0" distB="0" distL="0" distR="0" wp14:anchorId="5DF4F8B7" wp14:editId="19F65F25">
            <wp:extent cx="3325845" cy="1781175"/>
            <wp:effectExtent l="0" t="0" r="0" b="0"/>
            <wp:docPr id="9528325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6403"/>
                    <a:stretch>
                      <a:fillRect/>
                    </a:stretch>
                  </pic:blipFill>
                  <pic:spPr bwMode="auto">
                    <a:xfrm>
                      <a:off x="0" y="0"/>
                      <a:ext cx="3325845" cy="1781175"/>
                    </a:xfrm>
                    <a:prstGeom prst="rect">
                      <a:avLst/>
                    </a:prstGeom>
                    <a:noFill/>
                    <a:ln>
                      <a:noFill/>
                    </a:ln>
                  </pic:spPr>
                </pic:pic>
              </a:graphicData>
            </a:graphic>
          </wp:inline>
        </w:drawing>
      </w:r>
    </w:p>
    <w:p w14:paraId="0B5FD066" w14:textId="77777777" w:rsidR="00D84783" w:rsidRPr="005E6D84" w:rsidRDefault="00D84783" w:rsidP="006944E6">
      <w:pPr>
        <w:spacing w:after="200" w:line="276" w:lineRule="auto"/>
        <w:rPr>
          <w:b/>
          <w:bCs/>
          <w:color w:val="000000" w:themeColor="text1"/>
          <w:sz w:val="28"/>
          <w:lang w:val="en-GB"/>
        </w:rPr>
      </w:pPr>
    </w:p>
    <w:p w14:paraId="762D92B2" w14:textId="44F7A4A4" w:rsidR="00D84783" w:rsidRPr="00C86D23" w:rsidRDefault="00D84783" w:rsidP="00C86D23">
      <w:pPr>
        <w:spacing w:after="200" w:line="276" w:lineRule="auto"/>
        <w:jc w:val="center"/>
        <w:rPr>
          <w:b/>
          <w:bCs/>
          <w:color w:val="000000" w:themeColor="text1"/>
          <w:sz w:val="28"/>
          <w:lang w:val="en-GB"/>
        </w:rPr>
      </w:pPr>
      <w:r w:rsidRPr="005E6D84">
        <w:rPr>
          <w:b/>
          <w:bCs/>
          <w:color w:val="000000" w:themeColor="text1"/>
          <w:sz w:val="28"/>
          <w:lang w:val="en-GB"/>
        </w:rPr>
        <w:t xml:space="preserve">Student </w:t>
      </w:r>
      <w:r w:rsidR="005C4782" w:rsidRPr="005E6D84">
        <w:rPr>
          <w:b/>
          <w:bCs/>
          <w:color w:val="000000" w:themeColor="text1"/>
          <w:sz w:val="28"/>
          <w:lang w:val="en-GB"/>
        </w:rPr>
        <w:t>Name:</w:t>
      </w:r>
      <w:r w:rsidR="00C86D23">
        <w:rPr>
          <w:b/>
          <w:bCs/>
          <w:color w:val="000000" w:themeColor="text1"/>
          <w:sz w:val="28"/>
          <w:lang w:val="en-GB"/>
        </w:rPr>
        <w:t xml:space="preserve"> </w:t>
      </w:r>
      <w:r w:rsidR="0041186B" w:rsidRPr="005E6D84">
        <w:rPr>
          <w:bCs/>
          <w:color w:val="000000" w:themeColor="text1"/>
          <w:sz w:val="28"/>
          <w:lang w:val="en-GB"/>
        </w:rPr>
        <w:t>Vrunda Natvarbhai Parmar</w:t>
      </w:r>
    </w:p>
    <w:p w14:paraId="38B13465" w14:textId="7B6832BB" w:rsidR="00D84783" w:rsidRPr="009C3085" w:rsidRDefault="00D84783" w:rsidP="009C3085">
      <w:pPr>
        <w:spacing w:after="200" w:line="276" w:lineRule="auto"/>
        <w:jc w:val="center"/>
        <w:rPr>
          <w:b/>
          <w:bCs/>
          <w:color w:val="000000" w:themeColor="text1"/>
          <w:sz w:val="28"/>
          <w:lang w:val="en-GB"/>
        </w:rPr>
      </w:pPr>
      <w:r w:rsidRPr="005E6D84">
        <w:rPr>
          <w:b/>
          <w:bCs/>
          <w:color w:val="000000" w:themeColor="text1"/>
          <w:sz w:val="28"/>
          <w:lang w:val="en-GB"/>
        </w:rPr>
        <w:t>Student Number</w:t>
      </w:r>
      <w:r w:rsidR="009C3085">
        <w:rPr>
          <w:b/>
          <w:bCs/>
          <w:color w:val="000000" w:themeColor="text1"/>
          <w:sz w:val="28"/>
          <w:lang w:val="en-GB"/>
        </w:rPr>
        <w:t xml:space="preserve">: </w:t>
      </w:r>
      <w:r w:rsidR="0041186B" w:rsidRPr="005E6D84">
        <w:rPr>
          <w:bCs/>
          <w:color w:val="000000" w:themeColor="text1"/>
          <w:sz w:val="28"/>
          <w:lang w:val="en-GB"/>
        </w:rPr>
        <w:t>2418330</w:t>
      </w:r>
    </w:p>
    <w:p w14:paraId="3F33A7D4" w14:textId="6F2FEE54" w:rsidR="00D84783" w:rsidRPr="0006138A" w:rsidRDefault="00D84783" w:rsidP="0006138A">
      <w:pPr>
        <w:spacing w:after="200" w:line="276" w:lineRule="auto"/>
        <w:jc w:val="center"/>
        <w:rPr>
          <w:b/>
          <w:bCs/>
          <w:color w:val="000000" w:themeColor="text1"/>
          <w:sz w:val="28"/>
          <w:lang w:val="en-GB"/>
        </w:rPr>
      </w:pPr>
      <w:r w:rsidRPr="005E6D84">
        <w:rPr>
          <w:b/>
          <w:bCs/>
          <w:color w:val="000000" w:themeColor="text1"/>
          <w:sz w:val="28"/>
          <w:lang w:val="en-GB"/>
        </w:rPr>
        <w:t xml:space="preserve">Module Name: </w:t>
      </w:r>
      <w:r w:rsidRPr="005E6D84">
        <w:rPr>
          <w:color w:val="000000" w:themeColor="text1"/>
          <w:sz w:val="28"/>
          <w:lang w:val="en-GB"/>
        </w:rPr>
        <w:t>Strategic management</w:t>
      </w:r>
    </w:p>
    <w:p w14:paraId="72A22B5C" w14:textId="0D3281C1" w:rsidR="00D84783" w:rsidRPr="0006138A" w:rsidRDefault="00D84783" w:rsidP="0006138A">
      <w:pPr>
        <w:spacing w:after="200" w:line="276" w:lineRule="auto"/>
        <w:jc w:val="center"/>
        <w:rPr>
          <w:b/>
          <w:bCs/>
          <w:color w:val="000000" w:themeColor="text1"/>
          <w:sz w:val="28"/>
          <w:lang w:val="en-GB"/>
        </w:rPr>
      </w:pPr>
      <w:r w:rsidRPr="005E6D84">
        <w:rPr>
          <w:b/>
          <w:bCs/>
          <w:color w:val="000000" w:themeColor="text1"/>
          <w:sz w:val="28"/>
          <w:lang w:val="en-GB"/>
        </w:rPr>
        <w:t xml:space="preserve">Module Code: </w:t>
      </w:r>
      <w:r w:rsidRPr="005E6D84">
        <w:rPr>
          <w:color w:val="000000" w:themeColor="text1"/>
          <w:sz w:val="28"/>
          <w:lang w:val="en-GB"/>
        </w:rPr>
        <w:t>LCMB70</w:t>
      </w:r>
      <w:r w:rsidR="0041186B" w:rsidRPr="005E6D84">
        <w:rPr>
          <w:color w:val="000000" w:themeColor="text1"/>
          <w:sz w:val="28"/>
          <w:lang w:val="en-GB"/>
        </w:rPr>
        <w:t>03</w:t>
      </w:r>
    </w:p>
    <w:p w14:paraId="3A8CB91E" w14:textId="67487E38" w:rsidR="00D84783" w:rsidRPr="0006138A" w:rsidRDefault="00D84783" w:rsidP="0006138A">
      <w:pPr>
        <w:spacing w:after="200" w:line="276" w:lineRule="auto"/>
        <w:jc w:val="center"/>
        <w:rPr>
          <w:b/>
          <w:bCs/>
          <w:color w:val="000000" w:themeColor="text1"/>
          <w:sz w:val="28"/>
          <w:lang w:val="en-GB"/>
        </w:rPr>
      </w:pPr>
      <w:r w:rsidRPr="005E6D84">
        <w:rPr>
          <w:b/>
          <w:bCs/>
          <w:color w:val="000000" w:themeColor="text1"/>
          <w:sz w:val="28"/>
          <w:lang w:val="en-GB"/>
        </w:rPr>
        <w:t xml:space="preserve">Lecture Name: </w:t>
      </w:r>
      <w:r w:rsidR="0041186B" w:rsidRPr="005E6D84">
        <w:rPr>
          <w:bCs/>
          <w:color w:val="000000" w:themeColor="text1"/>
          <w:sz w:val="28"/>
          <w:lang w:val="en-GB"/>
        </w:rPr>
        <w:t>Jia Mao</w:t>
      </w:r>
    </w:p>
    <w:p w14:paraId="68367638" w14:textId="56ADD0AA" w:rsidR="00D84783" w:rsidRPr="0006138A" w:rsidRDefault="00D84783" w:rsidP="0006138A">
      <w:pPr>
        <w:spacing w:after="200" w:line="276" w:lineRule="auto"/>
        <w:jc w:val="center"/>
        <w:rPr>
          <w:b/>
          <w:bCs/>
          <w:color w:val="000000" w:themeColor="text1"/>
          <w:sz w:val="28"/>
          <w:lang w:val="en-GB"/>
        </w:rPr>
      </w:pPr>
      <w:r w:rsidRPr="005E6D84">
        <w:rPr>
          <w:b/>
          <w:bCs/>
          <w:color w:val="000000" w:themeColor="text1"/>
          <w:sz w:val="28"/>
          <w:lang w:val="en-GB"/>
        </w:rPr>
        <w:t xml:space="preserve">Assignment Title: </w:t>
      </w:r>
      <w:r w:rsidRPr="005E6D84">
        <w:rPr>
          <w:color w:val="000000" w:themeColor="text1"/>
          <w:sz w:val="28"/>
          <w:lang w:val="en-GB"/>
        </w:rPr>
        <w:t>Report</w:t>
      </w:r>
    </w:p>
    <w:p w14:paraId="2B55E372" w14:textId="413DE4D3" w:rsidR="00F22E40" w:rsidRDefault="00D84783" w:rsidP="00FF3065">
      <w:pPr>
        <w:spacing w:after="200" w:line="276" w:lineRule="auto"/>
        <w:jc w:val="center"/>
        <w:rPr>
          <w:color w:val="000000" w:themeColor="text1"/>
          <w:sz w:val="28"/>
          <w:lang w:val="en-GB"/>
        </w:rPr>
      </w:pPr>
      <w:r w:rsidRPr="005E6D84">
        <w:rPr>
          <w:b/>
          <w:bCs/>
          <w:color w:val="000000" w:themeColor="text1"/>
          <w:sz w:val="28"/>
          <w:lang w:val="en-GB"/>
        </w:rPr>
        <w:t xml:space="preserve">Company: </w:t>
      </w:r>
      <w:r w:rsidR="00FF3065">
        <w:rPr>
          <w:b/>
          <w:bCs/>
          <w:color w:val="000000" w:themeColor="text1"/>
          <w:sz w:val="28"/>
          <w:lang w:val="en-GB"/>
        </w:rPr>
        <w:t xml:space="preserve"> </w:t>
      </w:r>
      <w:r w:rsidRPr="005E6D84">
        <w:rPr>
          <w:color w:val="000000" w:themeColor="text1"/>
          <w:sz w:val="28"/>
          <w:lang w:val="en-GB"/>
        </w:rPr>
        <w:t>Lloyd</w:t>
      </w:r>
      <w:r w:rsidR="00852F52">
        <w:rPr>
          <w:color w:val="000000" w:themeColor="text1"/>
          <w:sz w:val="28"/>
          <w:lang w:val="en-GB"/>
        </w:rPr>
        <w:t>s</w:t>
      </w:r>
      <w:r w:rsidRPr="005E6D84">
        <w:rPr>
          <w:color w:val="000000" w:themeColor="text1"/>
          <w:sz w:val="28"/>
          <w:lang w:val="en-GB"/>
        </w:rPr>
        <w:t xml:space="preserve"> Bank </w:t>
      </w:r>
    </w:p>
    <w:p w14:paraId="0E5BABB1" w14:textId="77777777" w:rsidR="00F22E40" w:rsidRDefault="00F22E40">
      <w:pPr>
        <w:spacing w:after="200" w:line="276" w:lineRule="auto"/>
        <w:jc w:val="left"/>
        <w:rPr>
          <w:color w:val="000000" w:themeColor="text1"/>
          <w:sz w:val="28"/>
          <w:lang w:val="en-GB"/>
        </w:rPr>
      </w:pPr>
      <w:r>
        <w:rPr>
          <w:color w:val="000000" w:themeColor="text1"/>
          <w:sz w:val="28"/>
          <w:lang w:val="en-GB"/>
        </w:rPr>
        <w:br w:type="page"/>
      </w:r>
    </w:p>
    <w:p w14:paraId="418EA289" w14:textId="77777777" w:rsidR="00D84783" w:rsidRPr="00FF3065" w:rsidRDefault="00D84783" w:rsidP="00FF3065">
      <w:pPr>
        <w:spacing w:after="200" w:line="276" w:lineRule="auto"/>
        <w:jc w:val="center"/>
        <w:rPr>
          <w:b/>
          <w:bCs/>
          <w:color w:val="000000" w:themeColor="text1"/>
          <w:sz w:val="28"/>
          <w:lang w:val="en-GB"/>
        </w:rPr>
      </w:pPr>
    </w:p>
    <w:sdt>
      <w:sdtPr>
        <w:rPr>
          <w:rFonts w:eastAsiaTheme="minorHAnsi" w:cstheme="minorBidi"/>
          <w:b w:val="0"/>
          <w:bCs w:val="0"/>
          <w:color w:val="auto"/>
          <w:sz w:val="24"/>
          <w:szCs w:val="22"/>
          <w:lang w:val="en-GB"/>
        </w:rPr>
        <w:id w:val="1467774791"/>
        <w:docPartObj>
          <w:docPartGallery w:val="Table of Contents"/>
          <w:docPartUnique/>
        </w:docPartObj>
      </w:sdtPr>
      <w:sdtEndPr>
        <w:rPr>
          <w:noProof/>
        </w:rPr>
      </w:sdtEndPr>
      <w:sdtContent>
        <w:p w14:paraId="13C5A4B8" w14:textId="48429947" w:rsidR="00F765E4" w:rsidRPr="005E6D84" w:rsidRDefault="00F765E4">
          <w:pPr>
            <w:pStyle w:val="TOCHeading"/>
            <w:rPr>
              <w:lang w:val="en-GB"/>
            </w:rPr>
          </w:pPr>
          <w:r w:rsidRPr="005E6D84">
            <w:rPr>
              <w:lang w:val="en-GB"/>
            </w:rPr>
            <w:t>Table of Contents</w:t>
          </w:r>
        </w:p>
        <w:p w14:paraId="2526B5A5" w14:textId="2631955D" w:rsidR="00DA6AD4" w:rsidRDefault="00F765E4">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r w:rsidRPr="005E6D84">
            <w:rPr>
              <w:lang w:val="en-GB"/>
            </w:rPr>
            <w:fldChar w:fldCharType="begin"/>
          </w:r>
          <w:r w:rsidRPr="005E6D84">
            <w:rPr>
              <w:lang w:val="en-GB"/>
            </w:rPr>
            <w:instrText xml:space="preserve"> TOC \o "1-3" \h \z \u </w:instrText>
          </w:r>
          <w:r w:rsidRPr="005E6D84">
            <w:rPr>
              <w:lang w:val="en-GB"/>
            </w:rPr>
            <w:fldChar w:fldCharType="separate"/>
          </w:r>
          <w:hyperlink w:anchor="_Toc216708573" w:history="1">
            <w:r w:rsidR="00DA6AD4" w:rsidRPr="0018095B">
              <w:rPr>
                <w:rStyle w:val="Hyperlink"/>
                <w:noProof/>
                <w:lang w:val="en-GB"/>
              </w:rPr>
              <w:t>Introduction</w:t>
            </w:r>
            <w:r w:rsidR="00DA6AD4">
              <w:rPr>
                <w:noProof/>
                <w:webHidden/>
              </w:rPr>
              <w:tab/>
            </w:r>
            <w:r w:rsidR="00DA6AD4">
              <w:rPr>
                <w:noProof/>
                <w:webHidden/>
              </w:rPr>
              <w:fldChar w:fldCharType="begin"/>
            </w:r>
            <w:r w:rsidR="00DA6AD4">
              <w:rPr>
                <w:noProof/>
                <w:webHidden/>
              </w:rPr>
              <w:instrText xml:space="preserve"> PAGEREF _Toc216708573 \h </w:instrText>
            </w:r>
            <w:r w:rsidR="00DA6AD4">
              <w:rPr>
                <w:noProof/>
                <w:webHidden/>
              </w:rPr>
            </w:r>
            <w:r w:rsidR="00DA6AD4">
              <w:rPr>
                <w:noProof/>
                <w:webHidden/>
              </w:rPr>
              <w:fldChar w:fldCharType="separate"/>
            </w:r>
            <w:r w:rsidR="00DA6AD4">
              <w:rPr>
                <w:noProof/>
                <w:webHidden/>
              </w:rPr>
              <w:t>3</w:t>
            </w:r>
            <w:r w:rsidR="00DA6AD4">
              <w:rPr>
                <w:noProof/>
                <w:webHidden/>
              </w:rPr>
              <w:fldChar w:fldCharType="end"/>
            </w:r>
          </w:hyperlink>
        </w:p>
        <w:p w14:paraId="591346D8" w14:textId="2B694A10" w:rsidR="00DA6AD4" w:rsidRDefault="00DA6AD4">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74" w:history="1">
            <w:r w:rsidRPr="0018095B">
              <w:rPr>
                <w:rStyle w:val="Hyperlink"/>
                <w:noProof/>
                <w:lang w:val="en-GB"/>
              </w:rPr>
              <w:t>Overview of the company and the country</w:t>
            </w:r>
            <w:r>
              <w:rPr>
                <w:noProof/>
                <w:webHidden/>
              </w:rPr>
              <w:tab/>
            </w:r>
            <w:r>
              <w:rPr>
                <w:noProof/>
                <w:webHidden/>
              </w:rPr>
              <w:fldChar w:fldCharType="begin"/>
            </w:r>
            <w:r>
              <w:rPr>
                <w:noProof/>
                <w:webHidden/>
              </w:rPr>
              <w:instrText xml:space="preserve"> PAGEREF _Toc216708574 \h </w:instrText>
            </w:r>
            <w:r>
              <w:rPr>
                <w:noProof/>
                <w:webHidden/>
              </w:rPr>
            </w:r>
            <w:r>
              <w:rPr>
                <w:noProof/>
                <w:webHidden/>
              </w:rPr>
              <w:fldChar w:fldCharType="separate"/>
            </w:r>
            <w:r>
              <w:rPr>
                <w:noProof/>
                <w:webHidden/>
              </w:rPr>
              <w:t>3</w:t>
            </w:r>
            <w:r>
              <w:rPr>
                <w:noProof/>
                <w:webHidden/>
              </w:rPr>
              <w:fldChar w:fldCharType="end"/>
            </w:r>
          </w:hyperlink>
        </w:p>
        <w:p w14:paraId="5391A662" w14:textId="3A9BD23D" w:rsidR="00DA6AD4" w:rsidRDefault="00DA6AD4">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75" w:history="1">
            <w:r w:rsidRPr="0018095B">
              <w:rPr>
                <w:rStyle w:val="Hyperlink"/>
                <w:noProof/>
                <w:lang w:val="en-GB"/>
              </w:rPr>
              <w:t>Comprehensive Strategic Analysis</w:t>
            </w:r>
            <w:r>
              <w:rPr>
                <w:noProof/>
                <w:webHidden/>
              </w:rPr>
              <w:tab/>
            </w:r>
            <w:r>
              <w:rPr>
                <w:noProof/>
                <w:webHidden/>
              </w:rPr>
              <w:fldChar w:fldCharType="begin"/>
            </w:r>
            <w:r>
              <w:rPr>
                <w:noProof/>
                <w:webHidden/>
              </w:rPr>
              <w:instrText xml:space="preserve"> PAGEREF _Toc216708575 \h </w:instrText>
            </w:r>
            <w:r>
              <w:rPr>
                <w:noProof/>
                <w:webHidden/>
              </w:rPr>
            </w:r>
            <w:r>
              <w:rPr>
                <w:noProof/>
                <w:webHidden/>
              </w:rPr>
              <w:fldChar w:fldCharType="separate"/>
            </w:r>
            <w:r>
              <w:rPr>
                <w:noProof/>
                <w:webHidden/>
              </w:rPr>
              <w:t>5</w:t>
            </w:r>
            <w:r>
              <w:rPr>
                <w:noProof/>
                <w:webHidden/>
              </w:rPr>
              <w:fldChar w:fldCharType="end"/>
            </w:r>
          </w:hyperlink>
        </w:p>
        <w:p w14:paraId="15A8D63F" w14:textId="6EBBEC31" w:rsidR="00DA6AD4" w:rsidRDefault="00DA6AD4">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76" w:history="1">
            <w:r w:rsidRPr="0018095B">
              <w:rPr>
                <w:rStyle w:val="Hyperlink"/>
                <w:noProof/>
                <w:lang w:val="en-GB"/>
              </w:rPr>
              <w:t>PESTLE Analysis Framework</w:t>
            </w:r>
            <w:r>
              <w:rPr>
                <w:noProof/>
                <w:webHidden/>
              </w:rPr>
              <w:tab/>
            </w:r>
            <w:r>
              <w:rPr>
                <w:noProof/>
                <w:webHidden/>
              </w:rPr>
              <w:fldChar w:fldCharType="begin"/>
            </w:r>
            <w:r>
              <w:rPr>
                <w:noProof/>
                <w:webHidden/>
              </w:rPr>
              <w:instrText xml:space="preserve"> PAGEREF _Toc216708576 \h </w:instrText>
            </w:r>
            <w:r>
              <w:rPr>
                <w:noProof/>
                <w:webHidden/>
              </w:rPr>
            </w:r>
            <w:r>
              <w:rPr>
                <w:noProof/>
                <w:webHidden/>
              </w:rPr>
              <w:fldChar w:fldCharType="separate"/>
            </w:r>
            <w:r>
              <w:rPr>
                <w:noProof/>
                <w:webHidden/>
              </w:rPr>
              <w:t>5</w:t>
            </w:r>
            <w:r>
              <w:rPr>
                <w:noProof/>
                <w:webHidden/>
              </w:rPr>
              <w:fldChar w:fldCharType="end"/>
            </w:r>
          </w:hyperlink>
        </w:p>
        <w:p w14:paraId="092FDDCC" w14:textId="34CE4FA3" w:rsidR="00DA6AD4" w:rsidRDefault="00DA6AD4">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77" w:history="1">
            <w:r w:rsidRPr="0018095B">
              <w:rPr>
                <w:rStyle w:val="Hyperlink"/>
                <w:noProof/>
                <w:lang w:val="en-GB"/>
              </w:rPr>
              <w:t>Competitive Analysis: Porter's Five Forces Framework</w:t>
            </w:r>
            <w:r>
              <w:rPr>
                <w:noProof/>
                <w:webHidden/>
              </w:rPr>
              <w:tab/>
            </w:r>
            <w:r>
              <w:rPr>
                <w:noProof/>
                <w:webHidden/>
              </w:rPr>
              <w:fldChar w:fldCharType="begin"/>
            </w:r>
            <w:r>
              <w:rPr>
                <w:noProof/>
                <w:webHidden/>
              </w:rPr>
              <w:instrText xml:space="preserve"> PAGEREF _Toc216708577 \h </w:instrText>
            </w:r>
            <w:r>
              <w:rPr>
                <w:noProof/>
                <w:webHidden/>
              </w:rPr>
            </w:r>
            <w:r>
              <w:rPr>
                <w:noProof/>
                <w:webHidden/>
              </w:rPr>
              <w:fldChar w:fldCharType="separate"/>
            </w:r>
            <w:r>
              <w:rPr>
                <w:noProof/>
                <w:webHidden/>
              </w:rPr>
              <w:t>8</w:t>
            </w:r>
            <w:r>
              <w:rPr>
                <w:noProof/>
                <w:webHidden/>
              </w:rPr>
              <w:fldChar w:fldCharType="end"/>
            </w:r>
          </w:hyperlink>
        </w:p>
        <w:p w14:paraId="0C5C8359" w14:textId="369566B7" w:rsidR="00DA6AD4" w:rsidRDefault="00DA6AD4">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78" w:history="1">
            <w:r w:rsidRPr="0018095B">
              <w:rPr>
                <w:rStyle w:val="Hyperlink"/>
                <w:noProof/>
                <w:lang w:val="en-GB"/>
              </w:rPr>
              <w:t>Strategy Development and Formulation</w:t>
            </w:r>
            <w:r>
              <w:rPr>
                <w:noProof/>
                <w:webHidden/>
              </w:rPr>
              <w:tab/>
            </w:r>
            <w:r>
              <w:rPr>
                <w:noProof/>
                <w:webHidden/>
              </w:rPr>
              <w:fldChar w:fldCharType="begin"/>
            </w:r>
            <w:r>
              <w:rPr>
                <w:noProof/>
                <w:webHidden/>
              </w:rPr>
              <w:instrText xml:space="preserve"> PAGEREF _Toc216708578 \h </w:instrText>
            </w:r>
            <w:r>
              <w:rPr>
                <w:noProof/>
                <w:webHidden/>
              </w:rPr>
            </w:r>
            <w:r>
              <w:rPr>
                <w:noProof/>
                <w:webHidden/>
              </w:rPr>
              <w:fldChar w:fldCharType="separate"/>
            </w:r>
            <w:r>
              <w:rPr>
                <w:noProof/>
                <w:webHidden/>
              </w:rPr>
              <w:t>11</w:t>
            </w:r>
            <w:r>
              <w:rPr>
                <w:noProof/>
                <w:webHidden/>
              </w:rPr>
              <w:fldChar w:fldCharType="end"/>
            </w:r>
          </w:hyperlink>
        </w:p>
        <w:p w14:paraId="5427B590" w14:textId="3637EE43" w:rsidR="00DA6AD4" w:rsidRDefault="00DA6AD4">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79" w:history="1">
            <w:r w:rsidRPr="0018095B">
              <w:rPr>
                <w:rStyle w:val="Hyperlink"/>
                <w:noProof/>
                <w:lang w:val="en-GB"/>
              </w:rPr>
              <w:t>Strategic Market Entry Framework: Digital Partnership Model</w:t>
            </w:r>
            <w:r>
              <w:rPr>
                <w:noProof/>
                <w:webHidden/>
              </w:rPr>
              <w:tab/>
            </w:r>
            <w:r>
              <w:rPr>
                <w:noProof/>
                <w:webHidden/>
              </w:rPr>
              <w:fldChar w:fldCharType="begin"/>
            </w:r>
            <w:r>
              <w:rPr>
                <w:noProof/>
                <w:webHidden/>
              </w:rPr>
              <w:instrText xml:space="preserve"> PAGEREF _Toc216708579 \h </w:instrText>
            </w:r>
            <w:r>
              <w:rPr>
                <w:noProof/>
                <w:webHidden/>
              </w:rPr>
            </w:r>
            <w:r>
              <w:rPr>
                <w:noProof/>
                <w:webHidden/>
              </w:rPr>
              <w:fldChar w:fldCharType="separate"/>
            </w:r>
            <w:r>
              <w:rPr>
                <w:noProof/>
                <w:webHidden/>
              </w:rPr>
              <w:t>11</w:t>
            </w:r>
            <w:r>
              <w:rPr>
                <w:noProof/>
                <w:webHidden/>
              </w:rPr>
              <w:fldChar w:fldCharType="end"/>
            </w:r>
          </w:hyperlink>
        </w:p>
        <w:p w14:paraId="126D330D" w14:textId="45249C2B" w:rsidR="00DA6AD4" w:rsidRDefault="00DA6AD4">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80" w:history="1">
            <w:r w:rsidRPr="0018095B">
              <w:rPr>
                <w:rStyle w:val="Hyperlink"/>
                <w:noProof/>
                <w:lang w:val="en-GB"/>
              </w:rPr>
              <w:t>Phased Market Entry Strategy</w:t>
            </w:r>
            <w:r>
              <w:rPr>
                <w:noProof/>
                <w:webHidden/>
              </w:rPr>
              <w:tab/>
            </w:r>
            <w:r>
              <w:rPr>
                <w:noProof/>
                <w:webHidden/>
              </w:rPr>
              <w:fldChar w:fldCharType="begin"/>
            </w:r>
            <w:r>
              <w:rPr>
                <w:noProof/>
                <w:webHidden/>
              </w:rPr>
              <w:instrText xml:space="preserve"> PAGEREF _Toc216708580 \h </w:instrText>
            </w:r>
            <w:r>
              <w:rPr>
                <w:noProof/>
                <w:webHidden/>
              </w:rPr>
            </w:r>
            <w:r>
              <w:rPr>
                <w:noProof/>
                <w:webHidden/>
              </w:rPr>
              <w:fldChar w:fldCharType="separate"/>
            </w:r>
            <w:r>
              <w:rPr>
                <w:noProof/>
                <w:webHidden/>
              </w:rPr>
              <w:t>12</w:t>
            </w:r>
            <w:r>
              <w:rPr>
                <w:noProof/>
                <w:webHidden/>
              </w:rPr>
              <w:fldChar w:fldCharType="end"/>
            </w:r>
          </w:hyperlink>
        </w:p>
        <w:p w14:paraId="024C361E" w14:textId="059CFF7B" w:rsidR="00DA6AD4" w:rsidRDefault="00DA6AD4">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81" w:history="1">
            <w:r w:rsidRPr="0018095B">
              <w:rPr>
                <w:rStyle w:val="Hyperlink"/>
                <w:noProof/>
                <w:lang w:val="en-GB"/>
              </w:rPr>
              <w:t>Competitive Differentiation Strategy</w:t>
            </w:r>
            <w:r>
              <w:rPr>
                <w:noProof/>
                <w:webHidden/>
              </w:rPr>
              <w:tab/>
            </w:r>
            <w:r>
              <w:rPr>
                <w:noProof/>
                <w:webHidden/>
              </w:rPr>
              <w:fldChar w:fldCharType="begin"/>
            </w:r>
            <w:r>
              <w:rPr>
                <w:noProof/>
                <w:webHidden/>
              </w:rPr>
              <w:instrText xml:space="preserve"> PAGEREF _Toc216708581 \h </w:instrText>
            </w:r>
            <w:r>
              <w:rPr>
                <w:noProof/>
                <w:webHidden/>
              </w:rPr>
            </w:r>
            <w:r>
              <w:rPr>
                <w:noProof/>
                <w:webHidden/>
              </w:rPr>
              <w:fldChar w:fldCharType="separate"/>
            </w:r>
            <w:r>
              <w:rPr>
                <w:noProof/>
                <w:webHidden/>
              </w:rPr>
              <w:t>14</w:t>
            </w:r>
            <w:r>
              <w:rPr>
                <w:noProof/>
                <w:webHidden/>
              </w:rPr>
              <w:fldChar w:fldCharType="end"/>
            </w:r>
          </w:hyperlink>
        </w:p>
        <w:p w14:paraId="40C4DFCF" w14:textId="241B3CE8" w:rsidR="00DA6AD4" w:rsidRDefault="00DA6AD4">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82" w:history="1">
            <w:r w:rsidRPr="0018095B">
              <w:rPr>
                <w:rStyle w:val="Hyperlink"/>
                <w:noProof/>
                <w:lang w:val="en-GB"/>
              </w:rPr>
              <w:t>Competitive Positioning Against Market Competitors</w:t>
            </w:r>
            <w:r>
              <w:rPr>
                <w:noProof/>
                <w:webHidden/>
              </w:rPr>
              <w:tab/>
            </w:r>
            <w:r>
              <w:rPr>
                <w:noProof/>
                <w:webHidden/>
              </w:rPr>
              <w:fldChar w:fldCharType="begin"/>
            </w:r>
            <w:r>
              <w:rPr>
                <w:noProof/>
                <w:webHidden/>
              </w:rPr>
              <w:instrText xml:space="preserve"> PAGEREF _Toc216708582 \h </w:instrText>
            </w:r>
            <w:r>
              <w:rPr>
                <w:noProof/>
                <w:webHidden/>
              </w:rPr>
            </w:r>
            <w:r>
              <w:rPr>
                <w:noProof/>
                <w:webHidden/>
              </w:rPr>
              <w:fldChar w:fldCharType="separate"/>
            </w:r>
            <w:r>
              <w:rPr>
                <w:noProof/>
                <w:webHidden/>
              </w:rPr>
              <w:t>15</w:t>
            </w:r>
            <w:r>
              <w:rPr>
                <w:noProof/>
                <w:webHidden/>
              </w:rPr>
              <w:fldChar w:fldCharType="end"/>
            </w:r>
          </w:hyperlink>
        </w:p>
        <w:p w14:paraId="5BCAE9E8" w14:textId="43DC4BD1" w:rsidR="00DA6AD4" w:rsidRDefault="00DA6AD4">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83" w:history="1">
            <w:r w:rsidRPr="0018095B">
              <w:rPr>
                <w:rStyle w:val="Hyperlink"/>
                <w:noProof/>
                <w:lang w:val="en-GB"/>
              </w:rPr>
              <w:t>Risk Mitigation Framework</w:t>
            </w:r>
            <w:r>
              <w:rPr>
                <w:noProof/>
                <w:webHidden/>
              </w:rPr>
              <w:tab/>
            </w:r>
            <w:r>
              <w:rPr>
                <w:noProof/>
                <w:webHidden/>
              </w:rPr>
              <w:fldChar w:fldCharType="begin"/>
            </w:r>
            <w:r>
              <w:rPr>
                <w:noProof/>
                <w:webHidden/>
              </w:rPr>
              <w:instrText xml:space="preserve"> PAGEREF _Toc216708583 \h </w:instrText>
            </w:r>
            <w:r>
              <w:rPr>
                <w:noProof/>
                <w:webHidden/>
              </w:rPr>
            </w:r>
            <w:r>
              <w:rPr>
                <w:noProof/>
                <w:webHidden/>
              </w:rPr>
              <w:fldChar w:fldCharType="separate"/>
            </w:r>
            <w:r>
              <w:rPr>
                <w:noProof/>
                <w:webHidden/>
              </w:rPr>
              <w:t>15</w:t>
            </w:r>
            <w:r>
              <w:rPr>
                <w:noProof/>
                <w:webHidden/>
              </w:rPr>
              <w:fldChar w:fldCharType="end"/>
            </w:r>
          </w:hyperlink>
        </w:p>
        <w:p w14:paraId="127C54BB" w14:textId="670AC89A" w:rsidR="00DA6AD4" w:rsidRDefault="00DA6AD4">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84" w:history="1">
            <w:r w:rsidRPr="0018095B">
              <w:rPr>
                <w:rStyle w:val="Hyperlink"/>
                <w:noProof/>
                <w:lang w:val="en-GB"/>
              </w:rPr>
              <w:t>Performance evaluation framework</w:t>
            </w:r>
            <w:r>
              <w:rPr>
                <w:noProof/>
                <w:webHidden/>
              </w:rPr>
              <w:tab/>
            </w:r>
            <w:r>
              <w:rPr>
                <w:noProof/>
                <w:webHidden/>
              </w:rPr>
              <w:fldChar w:fldCharType="begin"/>
            </w:r>
            <w:r>
              <w:rPr>
                <w:noProof/>
                <w:webHidden/>
              </w:rPr>
              <w:instrText xml:space="preserve"> PAGEREF _Toc216708584 \h </w:instrText>
            </w:r>
            <w:r>
              <w:rPr>
                <w:noProof/>
                <w:webHidden/>
              </w:rPr>
            </w:r>
            <w:r>
              <w:rPr>
                <w:noProof/>
                <w:webHidden/>
              </w:rPr>
              <w:fldChar w:fldCharType="separate"/>
            </w:r>
            <w:r>
              <w:rPr>
                <w:noProof/>
                <w:webHidden/>
              </w:rPr>
              <w:t>18</w:t>
            </w:r>
            <w:r>
              <w:rPr>
                <w:noProof/>
                <w:webHidden/>
              </w:rPr>
              <w:fldChar w:fldCharType="end"/>
            </w:r>
          </w:hyperlink>
        </w:p>
        <w:p w14:paraId="46CB4F8B" w14:textId="61BE8F1A" w:rsidR="00DA6AD4" w:rsidRDefault="00DA6AD4">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85" w:history="1">
            <w:r w:rsidRPr="0018095B">
              <w:rPr>
                <w:rStyle w:val="Hyperlink"/>
                <w:noProof/>
                <w:lang w:val="en-GB"/>
              </w:rPr>
              <w:t>Balanced Scorecard Design</w:t>
            </w:r>
            <w:r>
              <w:rPr>
                <w:noProof/>
                <w:webHidden/>
              </w:rPr>
              <w:tab/>
            </w:r>
            <w:r>
              <w:rPr>
                <w:noProof/>
                <w:webHidden/>
              </w:rPr>
              <w:fldChar w:fldCharType="begin"/>
            </w:r>
            <w:r>
              <w:rPr>
                <w:noProof/>
                <w:webHidden/>
              </w:rPr>
              <w:instrText xml:space="preserve"> PAGEREF _Toc216708585 \h </w:instrText>
            </w:r>
            <w:r>
              <w:rPr>
                <w:noProof/>
                <w:webHidden/>
              </w:rPr>
            </w:r>
            <w:r>
              <w:rPr>
                <w:noProof/>
                <w:webHidden/>
              </w:rPr>
              <w:fldChar w:fldCharType="separate"/>
            </w:r>
            <w:r>
              <w:rPr>
                <w:noProof/>
                <w:webHidden/>
              </w:rPr>
              <w:t>18</w:t>
            </w:r>
            <w:r>
              <w:rPr>
                <w:noProof/>
                <w:webHidden/>
              </w:rPr>
              <w:fldChar w:fldCharType="end"/>
            </w:r>
          </w:hyperlink>
        </w:p>
        <w:p w14:paraId="00B75786" w14:textId="108C7496" w:rsidR="00DA6AD4" w:rsidRDefault="00DA6AD4">
          <w:pPr>
            <w:pStyle w:val="TOC2"/>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86" w:history="1">
            <w:r w:rsidRPr="0018095B">
              <w:rPr>
                <w:rStyle w:val="Hyperlink"/>
                <w:noProof/>
                <w:lang w:val="en-GB"/>
              </w:rPr>
              <w:t>Triple Bottom Line Performance Framework</w:t>
            </w:r>
            <w:r>
              <w:rPr>
                <w:noProof/>
                <w:webHidden/>
              </w:rPr>
              <w:tab/>
            </w:r>
            <w:r>
              <w:rPr>
                <w:noProof/>
                <w:webHidden/>
              </w:rPr>
              <w:fldChar w:fldCharType="begin"/>
            </w:r>
            <w:r>
              <w:rPr>
                <w:noProof/>
                <w:webHidden/>
              </w:rPr>
              <w:instrText xml:space="preserve"> PAGEREF _Toc216708586 \h </w:instrText>
            </w:r>
            <w:r>
              <w:rPr>
                <w:noProof/>
                <w:webHidden/>
              </w:rPr>
            </w:r>
            <w:r>
              <w:rPr>
                <w:noProof/>
                <w:webHidden/>
              </w:rPr>
              <w:fldChar w:fldCharType="separate"/>
            </w:r>
            <w:r>
              <w:rPr>
                <w:noProof/>
                <w:webHidden/>
              </w:rPr>
              <w:t>20</w:t>
            </w:r>
            <w:r>
              <w:rPr>
                <w:noProof/>
                <w:webHidden/>
              </w:rPr>
              <w:fldChar w:fldCharType="end"/>
            </w:r>
          </w:hyperlink>
        </w:p>
        <w:p w14:paraId="14A562DC" w14:textId="6A677637" w:rsidR="00DA6AD4" w:rsidRDefault="00DA6AD4">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87" w:history="1">
            <w:r w:rsidRPr="0018095B">
              <w:rPr>
                <w:rStyle w:val="Hyperlink"/>
                <w:noProof/>
                <w:lang w:val="en-GB"/>
              </w:rPr>
              <w:t>Conclusion</w:t>
            </w:r>
            <w:r>
              <w:rPr>
                <w:noProof/>
                <w:webHidden/>
              </w:rPr>
              <w:tab/>
            </w:r>
            <w:r>
              <w:rPr>
                <w:noProof/>
                <w:webHidden/>
              </w:rPr>
              <w:fldChar w:fldCharType="begin"/>
            </w:r>
            <w:r>
              <w:rPr>
                <w:noProof/>
                <w:webHidden/>
              </w:rPr>
              <w:instrText xml:space="preserve"> PAGEREF _Toc216708587 \h </w:instrText>
            </w:r>
            <w:r>
              <w:rPr>
                <w:noProof/>
                <w:webHidden/>
              </w:rPr>
            </w:r>
            <w:r>
              <w:rPr>
                <w:noProof/>
                <w:webHidden/>
              </w:rPr>
              <w:fldChar w:fldCharType="separate"/>
            </w:r>
            <w:r>
              <w:rPr>
                <w:noProof/>
                <w:webHidden/>
              </w:rPr>
              <w:t>22</w:t>
            </w:r>
            <w:r>
              <w:rPr>
                <w:noProof/>
                <w:webHidden/>
              </w:rPr>
              <w:fldChar w:fldCharType="end"/>
            </w:r>
          </w:hyperlink>
        </w:p>
        <w:p w14:paraId="27CE47B9" w14:textId="0B8AC01A" w:rsidR="00DA6AD4" w:rsidRDefault="00DA6AD4">
          <w:pPr>
            <w:pStyle w:val="TOC1"/>
            <w:tabs>
              <w:tab w:val="right" w:leader="dot" w:pos="9350"/>
            </w:tabs>
            <w:rPr>
              <w:rFonts w:asciiTheme="minorHAnsi" w:eastAsiaTheme="minorEastAsia" w:hAnsiTheme="minorHAnsi"/>
              <w:noProof/>
              <w:kern w:val="2"/>
              <w:szCs w:val="24"/>
              <w:shd w:val="clear" w:color="auto" w:fill="auto"/>
              <w:lang w:val="en-IN" w:eastAsia="en-IN"/>
              <w14:ligatures w14:val="standardContextual"/>
            </w:rPr>
          </w:pPr>
          <w:hyperlink w:anchor="_Toc216708588" w:history="1">
            <w:r w:rsidRPr="0018095B">
              <w:rPr>
                <w:rStyle w:val="Hyperlink"/>
                <w:noProof/>
                <w:lang w:val="en-GB"/>
              </w:rPr>
              <w:t>References</w:t>
            </w:r>
            <w:r>
              <w:rPr>
                <w:noProof/>
                <w:webHidden/>
              </w:rPr>
              <w:tab/>
            </w:r>
            <w:r>
              <w:rPr>
                <w:noProof/>
                <w:webHidden/>
              </w:rPr>
              <w:fldChar w:fldCharType="begin"/>
            </w:r>
            <w:r>
              <w:rPr>
                <w:noProof/>
                <w:webHidden/>
              </w:rPr>
              <w:instrText xml:space="preserve"> PAGEREF _Toc216708588 \h </w:instrText>
            </w:r>
            <w:r>
              <w:rPr>
                <w:noProof/>
                <w:webHidden/>
              </w:rPr>
            </w:r>
            <w:r>
              <w:rPr>
                <w:noProof/>
                <w:webHidden/>
              </w:rPr>
              <w:fldChar w:fldCharType="separate"/>
            </w:r>
            <w:r>
              <w:rPr>
                <w:noProof/>
                <w:webHidden/>
              </w:rPr>
              <w:t>23</w:t>
            </w:r>
            <w:r>
              <w:rPr>
                <w:noProof/>
                <w:webHidden/>
              </w:rPr>
              <w:fldChar w:fldCharType="end"/>
            </w:r>
          </w:hyperlink>
        </w:p>
        <w:p w14:paraId="204CE436" w14:textId="2FA25338" w:rsidR="00F765E4" w:rsidRPr="005E6D84" w:rsidRDefault="00F765E4">
          <w:pPr>
            <w:rPr>
              <w:lang w:val="en-GB"/>
            </w:rPr>
          </w:pPr>
          <w:r w:rsidRPr="005E6D84">
            <w:rPr>
              <w:b/>
              <w:bCs/>
              <w:noProof/>
              <w:lang w:val="en-GB"/>
            </w:rPr>
            <w:fldChar w:fldCharType="end"/>
          </w:r>
        </w:p>
      </w:sdtContent>
    </w:sdt>
    <w:p w14:paraId="2A199CA1" w14:textId="77777777" w:rsidR="00DE306F" w:rsidRPr="005E6D84" w:rsidRDefault="00DE306F">
      <w:pPr>
        <w:spacing w:after="200" w:line="276" w:lineRule="auto"/>
        <w:jc w:val="left"/>
        <w:rPr>
          <w:rFonts w:eastAsiaTheme="majorEastAsia" w:cstheme="majorBidi"/>
          <w:b/>
          <w:bCs/>
          <w:color w:val="000000" w:themeColor="text1"/>
          <w:sz w:val="28"/>
          <w:szCs w:val="28"/>
          <w:lang w:val="en-GB"/>
        </w:rPr>
      </w:pPr>
      <w:r w:rsidRPr="005E6D84">
        <w:rPr>
          <w:lang w:val="en-GB"/>
        </w:rPr>
        <w:br w:type="page"/>
      </w:r>
    </w:p>
    <w:p w14:paraId="1903564C" w14:textId="45F383F1" w:rsidR="008F3539" w:rsidRPr="005E6D84" w:rsidRDefault="00A750C5" w:rsidP="008F3539">
      <w:pPr>
        <w:pStyle w:val="Heading1"/>
        <w:rPr>
          <w:lang w:val="en-GB"/>
        </w:rPr>
      </w:pPr>
      <w:bookmarkStart w:id="0" w:name="_Toc216708573"/>
      <w:r w:rsidRPr="005E6D84">
        <w:rPr>
          <w:lang w:val="en-GB"/>
        </w:rPr>
        <w:lastRenderedPageBreak/>
        <w:t>Introduction</w:t>
      </w:r>
      <w:bookmarkEnd w:id="0"/>
      <w:r w:rsidRPr="005E6D84">
        <w:rPr>
          <w:lang w:val="en-GB"/>
        </w:rPr>
        <w:t xml:space="preserve"> </w:t>
      </w:r>
    </w:p>
    <w:p w14:paraId="301258D5" w14:textId="77777777" w:rsidR="006D50D9" w:rsidRPr="005E6D84" w:rsidRDefault="00A750C5" w:rsidP="008D65A9">
      <w:pPr>
        <w:rPr>
          <w:lang w:val="en-GB"/>
        </w:rPr>
      </w:pPr>
      <w:r w:rsidRPr="005E6D84">
        <w:rPr>
          <w:lang w:val="en-GB"/>
        </w:rPr>
        <w:t>Strategic management is referred to as the process of managing and overseeing the long-term strategy of the company to achieve its goals and objectives</w:t>
      </w:r>
      <w:r w:rsidR="00541C10" w:rsidRPr="005E6D84">
        <w:rPr>
          <w:lang w:val="en-GB"/>
        </w:rPr>
        <w:t xml:space="preserve"> (Lynch, 2021)</w:t>
      </w:r>
      <w:r w:rsidRPr="005E6D84">
        <w:rPr>
          <w:lang w:val="en-GB"/>
        </w:rPr>
        <w:t xml:space="preserve">. SM involves a wide range of concepts that help the brand to evaluate its strategy to move ahead with a strategic plan of action to stay in competition with the other brands and make decisions on the basis of its strategic objectives and targets. </w:t>
      </w:r>
      <w:r w:rsidR="00F412F4" w:rsidRPr="005E6D84">
        <w:rPr>
          <w:lang w:val="en-GB"/>
        </w:rPr>
        <w:t>The use of different strategic tools and models is done in this context to evaluate the firm's business performance, position and analysis of the business environment of the company</w:t>
      </w:r>
      <w:r w:rsidR="00541C10" w:rsidRPr="005E6D84">
        <w:rPr>
          <w:lang w:val="en-GB"/>
        </w:rPr>
        <w:t xml:space="preserve"> (Grant, 2021)</w:t>
      </w:r>
      <w:r w:rsidR="00F412F4" w:rsidRPr="005E6D84">
        <w:rPr>
          <w:lang w:val="en-GB"/>
        </w:rPr>
        <w:t xml:space="preserve">. </w:t>
      </w:r>
      <w:r w:rsidRPr="005E6D84">
        <w:rPr>
          <w:lang w:val="en-GB"/>
        </w:rPr>
        <w:t xml:space="preserve">One of the key functions of conducting strategic analysis for any brand is related to assessing how the brand can achieve a competitive edge within the complex and competitive business environment. </w:t>
      </w:r>
    </w:p>
    <w:p w14:paraId="4AE6B833" w14:textId="7E80485E" w:rsidR="008D65A9" w:rsidRPr="005E6D84" w:rsidRDefault="00A750C5" w:rsidP="008D65A9">
      <w:pPr>
        <w:rPr>
          <w:lang w:val="en-GB"/>
        </w:rPr>
      </w:pPr>
      <w:r w:rsidRPr="005E6D84">
        <w:rPr>
          <w:lang w:val="en-GB"/>
        </w:rPr>
        <w:t xml:space="preserve">The purpose of the report is to conduct a strategic analysis, focus on strategic development as well as the implementation of the new expansion strategy for the brand selected, and lastly, to evaluate its performance using relevant and appropriate strategic management frameworks and models. </w:t>
      </w:r>
      <w:r w:rsidR="00F412F4" w:rsidRPr="005E6D84">
        <w:rPr>
          <w:lang w:val="en-GB"/>
        </w:rPr>
        <w:t>The present report is based on an analysis of the strategic position of the Lloyd</w:t>
      </w:r>
      <w:r w:rsidR="00852F52">
        <w:rPr>
          <w:lang w:val="en-GB"/>
        </w:rPr>
        <w:t>s</w:t>
      </w:r>
      <w:r w:rsidR="00F412F4" w:rsidRPr="005E6D84">
        <w:rPr>
          <w:lang w:val="en-GB"/>
        </w:rPr>
        <w:t xml:space="preserve"> Bank, which is a prominent banking institution established in the UK. The report will focus on conducting a strategic analysis of the brand and developing a strategic plan for the brand to expand its global operations and enter the Indonesian market. </w:t>
      </w:r>
    </w:p>
    <w:p w14:paraId="103547AF" w14:textId="77777777" w:rsidR="008F3539" w:rsidRPr="005E6D84" w:rsidRDefault="00A750C5" w:rsidP="008F3539">
      <w:pPr>
        <w:pStyle w:val="Heading1"/>
        <w:rPr>
          <w:lang w:val="en-GB"/>
        </w:rPr>
      </w:pPr>
      <w:bookmarkStart w:id="1" w:name="_Toc216708574"/>
      <w:r w:rsidRPr="005E6D84">
        <w:rPr>
          <w:lang w:val="en-GB"/>
        </w:rPr>
        <w:t>Overview of the company and the country</w:t>
      </w:r>
      <w:bookmarkEnd w:id="1"/>
      <w:r w:rsidRPr="005E6D84">
        <w:rPr>
          <w:lang w:val="en-GB"/>
        </w:rPr>
        <w:t xml:space="preserve"> </w:t>
      </w:r>
    </w:p>
    <w:p w14:paraId="670BBF2B" w14:textId="31B1A0D7" w:rsidR="008D65A9" w:rsidRPr="005E6D84" w:rsidRDefault="00A750C5" w:rsidP="008D65A9">
      <w:pPr>
        <w:rPr>
          <w:lang w:val="en-GB"/>
        </w:rPr>
      </w:pPr>
      <w:r w:rsidRPr="005E6D84">
        <w:rPr>
          <w:lang w:val="en-GB"/>
        </w:rPr>
        <w:t>Lloyds Bank is a UK-based bank that operates across both retail and commercial banking operations and offers a wide range of services to its clients. The bank was established in 1975 and has significantly evolved over the period of time since then. Currently, Lloyd's Bank is also recognised as one of the largest providers of financial services in the UK. The different banking services that are provided by the brand to its retail and corporate customers involve digital or online banking, mortgage, insurance services and retail or private banking services</w:t>
      </w:r>
      <w:r w:rsidR="00541C10" w:rsidRPr="005E6D84">
        <w:rPr>
          <w:lang w:val="en-GB"/>
        </w:rPr>
        <w:t xml:space="preserve"> (</w:t>
      </w:r>
      <w:r w:rsidR="00920A88" w:rsidRPr="005E6D84">
        <w:rPr>
          <w:lang w:val="en-GB"/>
        </w:rPr>
        <w:t>Lloyd</w:t>
      </w:r>
      <w:r w:rsidR="00920A88">
        <w:rPr>
          <w:lang w:val="en-GB"/>
        </w:rPr>
        <w:t xml:space="preserve">’s </w:t>
      </w:r>
      <w:r w:rsidR="00541C10" w:rsidRPr="005E6D84">
        <w:rPr>
          <w:lang w:val="en-GB"/>
        </w:rPr>
        <w:t>bank, 2025)</w:t>
      </w:r>
      <w:r w:rsidRPr="005E6D84">
        <w:rPr>
          <w:lang w:val="en-GB"/>
        </w:rPr>
        <w:t xml:space="preserve">. </w:t>
      </w:r>
      <w:r w:rsidR="00451615" w:rsidRPr="005E6D84">
        <w:rPr>
          <w:lang w:val="en-GB"/>
        </w:rPr>
        <w:t xml:space="preserve">The brand also has a strong base of loyal customers in the markets of the UK, USA and some other European countries. </w:t>
      </w:r>
    </w:p>
    <w:p w14:paraId="48B1B01C" w14:textId="77777777" w:rsidR="00B23B0B" w:rsidRPr="005E6D84" w:rsidRDefault="00A750C5" w:rsidP="00B23B0B">
      <w:pPr>
        <w:keepNext/>
        <w:rPr>
          <w:lang w:val="en-GB"/>
        </w:rPr>
      </w:pPr>
      <w:r w:rsidRPr="005E6D84">
        <w:rPr>
          <w:noProof/>
          <w:lang w:val="en-GB" w:eastAsia="en-GB"/>
        </w:rPr>
        <w:lastRenderedPageBreak/>
        <w:drawing>
          <wp:inline distT="0" distB="0" distL="0" distR="0" wp14:anchorId="1BACE00A" wp14:editId="521BB20E">
            <wp:extent cx="5362575" cy="2886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62575" cy="2886075"/>
                    </a:xfrm>
                    <a:prstGeom prst="rect">
                      <a:avLst/>
                    </a:prstGeom>
                  </pic:spPr>
                </pic:pic>
              </a:graphicData>
            </a:graphic>
          </wp:inline>
        </w:drawing>
      </w:r>
    </w:p>
    <w:p w14:paraId="63BDF3B1" w14:textId="7F6B9C2C" w:rsidR="00B23B0B" w:rsidRPr="005E6D84" w:rsidRDefault="00A750C5" w:rsidP="00B23B0B">
      <w:pPr>
        <w:pStyle w:val="Caption"/>
        <w:jc w:val="center"/>
        <w:rPr>
          <w:color w:val="auto"/>
          <w:sz w:val="24"/>
          <w:lang w:val="en-GB"/>
        </w:rPr>
      </w:pPr>
      <w:r w:rsidRPr="005E6D84">
        <w:rPr>
          <w:color w:val="auto"/>
          <w:sz w:val="24"/>
          <w:lang w:val="en-GB"/>
        </w:rPr>
        <w:t xml:space="preserve">Figure </w:t>
      </w:r>
      <w:r w:rsidRPr="005E6D84">
        <w:rPr>
          <w:color w:val="auto"/>
          <w:sz w:val="24"/>
          <w:lang w:val="en-GB"/>
        </w:rPr>
        <w:fldChar w:fldCharType="begin"/>
      </w:r>
      <w:r w:rsidRPr="005E6D84">
        <w:rPr>
          <w:color w:val="auto"/>
          <w:sz w:val="24"/>
          <w:lang w:val="en-GB"/>
        </w:rPr>
        <w:instrText xml:space="preserve"> SEQ Figure \* ARABIC </w:instrText>
      </w:r>
      <w:r w:rsidRPr="005E6D84">
        <w:rPr>
          <w:color w:val="auto"/>
          <w:sz w:val="24"/>
          <w:lang w:val="en-GB"/>
        </w:rPr>
        <w:fldChar w:fldCharType="separate"/>
      </w:r>
      <w:r w:rsidR="00740FD6" w:rsidRPr="005E6D84">
        <w:rPr>
          <w:noProof/>
          <w:color w:val="auto"/>
          <w:sz w:val="24"/>
          <w:lang w:val="en-GB"/>
        </w:rPr>
        <w:t>1</w:t>
      </w:r>
      <w:r w:rsidRPr="005E6D84">
        <w:rPr>
          <w:color w:val="auto"/>
          <w:sz w:val="24"/>
          <w:lang w:val="en-GB"/>
        </w:rPr>
        <w:fldChar w:fldCharType="end"/>
      </w:r>
      <w:r w:rsidRPr="005E6D84">
        <w:rPr>
          <w:color w:val="auto"/>
          <w:sz w:val="24"/>
          <w:lang w:val="en-GB"/>
        </w:rPr>
        <w:t>: Popularity of Lloyd's Bank in the UK</w:t>
      </w:r>
    </w:p>
    <w:p w14:paraId="093ABF1F" w14:textId="2FC625A4" w:rsidR="00B23B0B" w:rsidRPr="005E6D84" w:rsidRDefault="00A750C5" w:rsidP="00B23B0B">
      <w:pPr>
        <w:jc w:val="center"/>
        <w:rPr>
          <w:lang w:val="en-GB"/>
        </w:rPr>
      </w:pPr>
      <w:r w:rsidRPr="005E6D84">
        <w:rPr>
          <w:lang w:val="en-GB"/>
        </w:rPr>
        <w:t xml:space="preserve">(Source: </w:t>
      </w:r>
      <w:r w:rsidR="00920A88" w:rsidRPr="005E6D84">
        <w:rPr>
          <w:lang w:val="en-GB"/>
        </w:rPr>
        <w:t>Lloyd</w:t>
      </w:r>
      <w:r w:rsidR="00920A88">
        <w:rPr>
          <w:lang w:val="en-GB"/>
        </w:rPr>
        <w:t>s</w:t>
      </w:r>
      <w:r w:rsidR="00920A88" w:rsidRPr="005E6D84">
        <w:rPr>
          <w:lang w:val="en-GB"/>
        </w:rPr>
        <w:t xml:space="preserve"> bank</w:t>
      </w:r>
      <w:r w:rsidRPr="005E6D84">
        <w:rPr>
          <w:lang w:val="en-GB"/>
        </w:rPr>
        <w:t>, 2025)</w:t>
      </w:r>
    </w:p>
    <w:p w14:paraId="2DC2B85E" w14:textId="42FB8101" w:rsidR="00B23B0B" w:rsidRPr="005E6D84" w:rsidRDefault="00A750C5" w:rsidP="00B23B0B">
      <w:pPr>
        <w:rPr>
          <w:lang w:val="en-GB"/>
        </w:rPr>
      </w:pPr>
      <w:r w:rsidRPr="005E6D84">
        <w:rPr>
          <w:lang w:val="en-GB"/>
        </w:rPr>
        <w:t>The chart above reflects the popularity of the online and digital banking services provided by the different banking institutions in the UK to their customers. It can be found that Lloyd Bank has secured 7</w:t>
      </w:r>
      <w:r w:rsidRPr="005E6D84">
        <w:rPr>
          <w:vertAlign w:val="superscript"/>
          <w:lang w:val="en-GB"/>
        </w:rPr>
        <w:t>th</w:t>
      </w:r>
      <w:r w:rsidRPr="005E6D84">
        <w:rPr>
          <w:lang w:val="en-GB"/>
        </w:rPr>
        <w:t xml:space="preserve"> rank in this dimension, with 77% of customers willing to recommend the banking services of Lloyd to their known ones (</w:t>
      </w:r>
      <w:r w:rsidR="00D81C9D" w:rsidRPr="005E6D84">
        <w:rPr>
          <w:lang w:val="en-GB"/>
        </w:rPr>
        <w:t>Lloyd</w:t>
      </w:r>
      <w:r w:rsidR="00920A88">
        <w:rPr>
          <w:lang w:val="en-GB"/>
        </w:rPr>
        <w:t xml:space="preserve">s </w:t>
      </w:r>
      <w:r w:rsidR="00D81C9D" w:rsidRPr="005E6D84">
        <w:rPr>
          <w:lang w:val="en-GB"/>
        </w:rPr>
        <w:t>bank, 2025</w:t>
      </w:r>
      <w:r w:rsidRPr="005E6D84">
        <w:rPr>
          <w:lang w:val="en-GB"/>
        </w:rPr>
        <w:t xml:space="preserve">). </w:t>
      </w:r>
      <w:r w:rsidR="00D81C9D" w:rsidRPr="005E6D84">
        <w:rPr>
          <w:lang w:val="en-GB"/>
        </w:rPr>
        <w:t xml:space="preserve">The rising popularity, brand awareness and recognition in the market of the UK make it feasible for the brand to expand its operations geographically and explore the opportunities available in the new markets. </w:t>
      </w:r>
      <w:r w:rsidR="00451615" w:rsidRPr="005E6D84">
        <w:rPr>
          <w:lang w:val="en-GB"/>
        </w:rPr>
        <w:t xml:space="preserve">Lloyds Bank can therefore adopt a market expansion approach for achieving this strategic goal in the times ahead. </w:t>
      </w:r>
    </w:p>
    <w:p w14:paraId="2227B927" w14:textId="77777777" w:rsidR="007835A1" w:rsidRPr="005E6D84" w:rsidRDefault="00A750C5" w:rsidP="00B23B0B">
      <w:pPr>
        <w:rPr>
          <w:lang w:val="en-GB"/>
        </w:rPr>
      </w:pPr>
      <w:r w:rsidRPr="005E6D84">
        <w:rPr>
          <w:lang w:val="en-GB"/>
        </w:rPr>
        <w:t>The chosen country for the expansion of Lloyd Bank will be Indonesia. Indonesia is one of the emerging Asian countries with a huge young population and a favourable digital environment for the brand to expand into. The selected country is also renowned for its tech-savvy population and transformation towards digitalisation in the current times</w:t>
      </w:r>
      <w:r w:rsidR="00541C10" w:rsidRPr="005E6D84">
        <w:rPr>
          <w:lang w:val="en-GB"/>
        </w:rPr>
        <w:t xml:space="preserve"> (Andrian </w:t>
      </w:r>
      <w:r w:rsidR="00541C10" w:rsidRPr="005E6D84">
        <w:rPr>
          <w:i/>
          <w:lang w:val="en-GB"/>
        </w:rPr>
        <w:t>et.al</w:t>
      </w:r>
      <w:r w:rsidR="00541C10" w:rsidRPr="005E6D84">
        <w:rPr>
          <w:lang w:val="en-GB"/>
        </w:rPr>
        <w:t xml:space="preserve"> 2022)</w:t>
      </w:r>
      <w:r w:rsidRPr="005E6D84">
        <w:rPr>
          <w:lang w:val="en-GB"/>
        </w:rPr>
        <w:t xml:space="preserve">. The expansion of the operations in Indonesia will offer a wide range of opportunities for the management of Lloyd Bank, as the adoption of digital banking services in this market is constantly rising, and there is a huge demand for high-quality digital banking services in the nation. </w:t>
      </w:r>
    </w:p>
    <w:p w14:paraId="68F6E030" w14:textId="77777777" w:rsidR="007835A1" w:rsidRPr="005E6D84" w:rsidRDefault="00A750C5" w:rsidP="00B23B0B">
      <w:pPr>
        <w:rPr>
          <w:lang w:val="en-GB"/>
        </w:rPr>
      </w:pPr>
      <w:r w:rsidRPr="005E6D84">
        <w:rPr>
          <w:lang w:val="en-GB"/>
        </w:rPr>
        <w:t xml:space="preserve">The banking and financial service industry in Indonesia is growing rapidly and has emerged as one of the leading and most profitable among the other ASEAN countries in terms of net interest margin. </w:t>
      </w:r>
      <w:r w:rsidR="00E81DD8" w:rsidRPr="005E6D84">
        <w:rPr>
          <w:lang w:val="en-GB"/>
        </w:rPr>
        <w:t xml:space="preserve">The GDP contribution of this industry in Indonesia is growing at a 4.7% CAGR as of </w:t>
      </w:r>
      <w:r w:rsidR="00E81DD8" w:rsidRPr="005E6D84">
        <w:rPr>
          <w:lang w:val="en-GB"/>
        </w:rPr>
        <w:lastRenderedPageBreak/>
        <w:t xml:space="preserve">2024 (Statista, 2025). Thus, the growing market </w:t>
      </w:r>
      <w:r w:rsidR="00342D29" w:rsidRPr="005E6D84">
        <w:rPr>
          <w:lang w:val="en-GB"/>
        </w:rPr>
        <w:t>demand and</w:t>
      </w:r>
      <w:r w:rsidR="00E81DD8" w:rsidRPr="005E6D84">
        <w:rPr>
          <w:lang w:val="en-GB"/>
        </w:rPr>
        <w:t xml:space="preserve"> opportunities in the selected market are one of the major reasons why Indonesia can be selected as a potential market for expansion for the management of Lloyd Bank. </w:t>
      </w:r>
      <w:r w:rsidR="00342D29" w:rsidRPr="005E6D84">
        <w:rPr>
          <w:lang w:val="en-GB"/>
        </w:rPr>
        <w:t xml:space="preserve">Not only </w:t>
      </w:r>
      <w:r w:rsidR="00451615" w:rsidRPr="005E6D84">
        <w:rPr>
          <w:lang w:val="en-GB"/>
        </w:rPr>
        <w:t>is this the overall socio-cultural environment as well as the growing economic position of the brand</w:t>
      </w:r>
      <w:r w:rsidR="00342D29" w:rsidRPr="005E6D84">
        <w:rPr>
          <w:lang w:val="en-GB"/>
        </w:rPr>
        <w:t xml:space="preserve">, but also one of </w:t>
      </w:r>
      <w:r w:rsidR="00451615" w:rsidRPr="005E6D84">
        <w:rPr>
          <w:lang w:val="en-GB"/>
        </w:rPr>
        <w:t>the major reasons why it is selected as a potential market for the international expansion of Lloyd Bank. The rapidly growing population, advanced technological infrastructure and growing need for digital banking services in the country and strong resources in the country are some of the major factors that make Indonesia the most feasible option for the expansion in the times ahead</w:t>
      </w:r>
      <w:r w:rsidR="00541C10" w:rsidRPr="005E6D84">
        <w:rPr>
          <w:lang w:val="en-GB"/>
        </w:rPr>
        <w:t xml:space="preserve"> (Puspitasari </w:t>
      </w:r>
      <w:r w:rsidR="00541C10" w:rsidRPr="005E6D84">
        <w:rPr>
          <w:i/>
          <w:lang w:val="en-GB"/>
        </w:rPr>
        <w:t>et.al</w:t>
      </w:r>
      <w:r w:rsidR="00541C10" w:rsidRPr="005E6D84">
        <w:rPr>
          <w:lang w:val="en-GB"/>
        </w:rPr>
        <w:t xml:space="preserve"> 2021)</w:t>
      </w:r>
      <w:r w:rsidR="00451615" w:rsidRPr="005E6D84">
        <w:rPr>
          <w:lang w:val="en-GB"/>
        </w:rPr>
        <w:t xml:space="preserve">. </w:t>
      </w:r>
    </w:p>
    <w:p w14:paraId="739A1D2F" w14:textId="77777777" w:rsidR="00565403" w:rsidRPr="005E6D84" w:rsidRDefault="00565403" w:rsidP="00565403">
      <w:pPr>
        <w:pStyle w:val="Heading1"/>
        <w:rPr>
          <w:rStyle w:val="m15408485597120198gmail-apple-converted-space"/>
          <w:lang w:val="en-GB"/>
        </w:rPr>
      </w:pPr>
      <w:bookmarkStart w:id="2" w:name="_Toc216708575"/>
      <w:r w:rsidRPr="005E6D84">
        <w:rPr>
          <w:rStyle w:val="m15408485597120198gmail-apple-converted-space"/>
          <w:lang w:val="en-GB"/>
        </w:rPr>
        <w:t>Comprehensive Strategic Analysis</w:t>
      </w:r>
      <w:bookmarkEnd w:id="2"/>
      <w:r w:rsidRPr="005E6D84">
        <w:rPr>
          <w:rStyle w:val="m15408485597120198gmail-apple-converted-space"/>
          <w:lang w:val="en-GB"/>
        </w:rPr>
        <w:t xml:space="preserve"> </w:t>
      </w:r>
    </w:p>
    <w:p w14:paraId="7A5E8D74" w14:textId="77777777" w:rsidR="00565403" w:rsidRPr="005E6D84" w:rsidRDefault="00565403" w:rsidP="00565403">
      <w:pPr>
        <w:pStyle w:val="Heading2"/>
        <w:rPr>
          <w:lang w:val="en-GB"/>
        </w:rPr>
      </w:pPr>
      <w:bookmarkStart w:id="3" w:name="_Toc216708576"/>
      <w:r w:rsidRPr="005E6D84">
        <w:rPr>
          <w:lang w:val="en-GB"/>
        </w:rPr>
        <w:t>PESTLE Analysis Framework</w:t>
      </w:r>
      <w:bookmarkEnd w:id="3"/>
    </w:p>
    <w:p w14:paraId="1865A53C" w14:textId="77777777" w:rsidR="00565403" w:rsidRPr="005E6D84" w:rsidRDefault="00565403" w:rsidP="00565403">
      <w:pPr>
        <w:rPr>
          <w:b/>
          <w:bCs/>
          <w:lang w:val="en-GB"/>
        </w:rPr>
      </w:pPr>
      <w:r w:rsidRPr="005E6D84">
        <w:rPr>
          <w:b/>
          <w:bCs/>
          <w:lang w:val="en-GB"/>
        </w:rPr>
        <w:t>Political Environment</w:t>
      </w:r>
    </w:p>
    <w:p w14:paraId="0E80BFA6" w14:textId="5591AC27" w:rsidR="00565403" w:rsidRPr="005E6D84" w:rsidRDefault="00565403" w:rsidP="00565403">
      <w:pPr>
        <w:rPr>
          <w:lang w:val="en-GB"/>
        </w:rPr>
      </w:pPr>
      <w:r w:rsidRPr="005E6D84">
        <w:rPr>
          <w:lang w:val="en-GB"/>
        </w:rPr>
        <w:t xml:space="preserve">The political environment in Indonesia offers a very stable base of international banking development (Rachmad, 2024). The nation is a presidential system of government with authentic democratic institutions that has managed to hold general elections in October 2024. The government has shown a clear interest in the development of the financial sector by presenting several policy projects, as evidenced by the fact that the Project Garuda of developing Central Bank Digital Currency is planned by Bank Indonesia, and the adoption of the National Open API Payment Standard (SNAP), which aims to promote fintech development and the improvement of digital banking infrastructure (Sakti and Utami, 2024). </w:t>
      </w:r>
      <w:r w:rsidR="00A76AF2" w:rsidRPr="005E6D84">
        <w:rPr>
          <w:lang w:val="en-GB"/>
        </w:rPr>
        <w:t>However</w:t>
      </w:r>
      <w:r w:rsidRPr="005E6D84">
        <w:rPr>
          <w:lang w:val="en-GB"/>
        </w:rPr>
        <w:t>, geopolitical factors should be taken into consideration. The impact of global trade dynamics, especially its immediate debate that surrounds international tariffs and protectionism may pose macroeconomic uncertainty, which may affect currency values and international banking business.</w:t>
      </w:r>
    </w:p>
    <w:p w14:paraId="7C44F667" w14:textId="77777777" w:rsidR="00565403" w:rsidRPr="005E6D84" w:rsidRDefault="00565403" w:rsidP="00565403">
      <w:pPr>
        <w:rPr>
          <w:b/>
          <w:bCs/>
          <w:lang w:val="en-GB"/>
        </w:rPr>
      </w:pPr>
      <w:r w:rsidRPr="005E6D84">
        <w:rPr>
          <w:b/>
          <w:bCs/>
          <w:lang w:val="en-GB"/>
        </w:rPr>
        <w:t>Economic Fundamentals</w:t>
      </w:r>
    </w:p>
    <w:p w14:paraId="7CADC8F9" w14:textId="77777777" w:rsidR="00565403" w:rsidRPr="005E6D84" w:rsidRDefault="00565403" w:rsidP="00565403">
      <w:pPr>
        <w:rPr>
          <w:lang w:val="en-GB"/>
        </w:rPr>
      </w:pPr>
      <w:r w:rsidRPr="005E6D84">
        <w:rPr>
          <w:lang w:val="en-GB"/>
        </w:rPr>
        <w:t xml:space="preserve">The economic trend of Indonesia offers attractive growth opportunities which are completely different as compared to advanced developed economies. The forecast of the Gross Domestic Product growth 4.9-5.1% in 2025 can be regarded as the continuation of the positive trend in the largest economy in Southeast Asia. Banking is especially an industry that has seen good credit growth (McKinsey &amp; Company, 2025).  </w:t>
      </w:r>
    </w:p>
    <w:p w14:paraId="20D7C9F2" w14:textId="77777777" w:rsidR="00740FD6" w:rsidRPr="005E6D84" w:rsidRDefault="00565403" w:rsidP="00740FD6">
      <w:pPr>
        <w:keepNext/>
        <w:jc w:val="center"/>
        <w:rPr>
          <w:lang w:val="en-GB"/>
        </w:rPr>
      </w:pPr>
      <w:r w:rsidRPr="005E6D84">
        <w:rPr>
          <w:noProof/>
          <w:szCs w:val="24"/>
          <w:lang w:val="en-GB"/>
        </w:rPr>
        <w:lastRenderedPageBreak/>
        <w:drawing>
          <wp:inline distT="0" distB="0" distL="0" distR="0" wp14:anchorId="4D8868BF" wp14:editId="052733AB">
            <wp:extent cx="5943600" cy="3306445"/>
            <wp:effectExtent l="0" t="0" r="0" b="8255"/>
            <wp:docPr id="1990041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041485" name=""/>
                    <pic:cNvPicPr/>
                  </pic:nvPicPr>
                  <pic:blipFill>
                    <a:blip r:embed="rId10"/>
                    <a:stretch>
                      <a:fillRect/>
                    </a:stretch>
                  </pic:blipFill>
                  <pic:spPr>
                    <a:xfrm>
                      <a:off x="0" y="0"/>
                      <a:ext cx="5943600" cy="3306445"/>
                    </a:xfrm>
                    <a:prstGeom prst="rect">
                      <a:avLst/>
                    </a:prstGeom>
                  </pic:spPr>
                </pic:pic>
              </a:graphicData>
            </a:graphic>
          </wp:inline>
        </w:drawing>
      </w:r>
    </w:p>
    <w:p w14:paraId="3203E687" w14:textId="4B4580A6" w:rsidR="00565403" w:rsidRPr="005E6D84" w:rsidRDefault="00740FD6" w:rsidP="00740FD6">
      <w:pPr>
        <w:pStyle w:val="Caption"/>
        <w:jc w:val="center"/>
        <w:rPr>
          <w:color w:val="000000" w:themeColor="text1"/>
          <w:sz w:val="24"/>
          <w:szCs w:val="24"/>
          <w:lang w:val="en-GB"/>
        </w:rPr>
      </w:pPr>
      <w:r w:rsidRPr="005E6D84">
        <w:rPr>
          <w:color w:val="000000" w:themeColor="text1"/>
          <w:sz w:val="24"/>
          <w:szCs w:val="24"/>
          <w:lang w:val="en-GB"/>
        </w:rPr>
        <w:t xml:space="preserve">Figure </w:t>
      </w:r>
      <w:r w:rsidRPr="005E6D84">
        <w:rPr>
          <w:color w:val="000000" w:themeColor="text1"/>
          <w:sz w:val="24"/>
          <w:szCs w:val="24"/>
          <w:lang w:val="en-GB"/>
        </w:rPr>
        <w:fldChar w:fldCharType="begin"/>
      </w:r>
      <w:r w:rsidRPr="005E6D84">
        <w:rPr>
          <w:color w:val="000000" w:themeColor="text1"/>
          <w:sz w:val="24"/>
          <w:szCs w:val="24"/>
          <w:lang w:val="en-GB"/>
        </w:rPr>
        <w:instrText xml:space="preserve"> SEQ Figure \* ARABIC </w:instrText>
      </w:r>
      <w:r w:rsidRPr="005E6D84">
        <w:rPr>
          <w:color w:val="000000" w:themeColor="text1"/>
          <w:sz w:val="24"/>
          <w:szCs w:val="24"/>
          <w:lang w:val="en-GB"/>
        </w:rPr>
        <w:fldChar w:fldCharType="separate"/>
      </w:r>
      <w:r w:rsidRPr="005E6D84">
        <w:rPr>
          <w:noProof/>
          <w:color w:val="000000" w:themeColor="text1"/>
          <w:sz w:val="24"/>
          <w:szCs w:val="24"/>
          <w:lang w:val="en-GB"/>
        </w:rPr>
        <w:t>2</w:t>
      </w:r>
      <w:r w:rsidRPr="005E6D84">
        <w:rPr>
          <w:color w:val="000000" w:themeColor="text1"/>
          <w:sz w:val="24"/>
          <w:szCs w:val="24"/>
          <w:lang w:val="en-GB"/>
        </w:rPr>
        <w:fldChar w:fldCharType="end"/>
      </w:r>
      <w:r w:rsidRPr="005E6D84">
        <w:rPr>
          <w:color w:val="000000" w:themeColor="text1"/>
          <w:sz w:val="24"/>
          <w:szCs w:val="24"/>
          <w:lang w:val="en-GB"/>
        </w:rPr>
        <w:t>: Southeast Asian Economies Development</w:t>
      </w:r>
    </w:p>
    <w:p w14:paraId="1E1154E6" w14:textId="77777777" w:rsidR="00565403" w:rsidRPr="005E6D84" w:rsidRDefault="00565403" w:rsidP="00565403">
      <w:pPr>
        <w:jc w:val="center"/>
        <w:rPr>
          <w:lang w:val="en-GB"/>
        </w:rPr>
      </w:pPr>
      <w:r w:rsidRPr="005E6D84">
        <w:rPr>
          <w:lang w:val="en-GB"/>
        </w:rPr>
        <w:t xml:space="preserve">(Source: </w:t>
      </w:r>
      <w:r w:rsidRPr="005E6D84">
        <w:rPr>
          <w:rFonts w:cs="Times New Roman"/>
          <w:szCs w:val="24"/>
          <w:lang w:val="en-GB"/>
        </w:rPr>
        <w:t>McKinsey &amp; Company, 2025</w:t>
      </w:r>
      <w:r w:rsidRPr="005E6D84">
        <w:rPr>
          <w:lang w:val="en-GB"/>
        </w:rPr>
        <w:t>)</w:t>
      </w:r>
    </w:p>
    <w:p w14:paraId="19F2B7BA" w14:textId="7D7B891D" w:rsidR="00565403" w:rsidRPr="005E6D84" w:rsidRDefault="00565403" w:rsidP="00565403">
      <w:pPr>
        <w:rPr>
          <w:lang w:val="en-GB"/>
        </w:rPr>
      </w:pPr>
      <w:r w:rsidRPr="005E6D84">
        <w:rPr>
          <w:lang w:val="en-GB"/>
        </w:rPr>
        <w:t xml:space="preserve">The impact of the financial services industry on the national GDP has grown to USD 77 billion in 2022, with forecasts of USD 130 billion in 2025, which means that the industry gains momentum (EY, 2022). Also, by 2029, net interest income of digital banks is expected to be USD 3.63 billion (Statista, 2024). </w:t>
      </w:r>
      <w:r w:rsidR="007572E2" w:rsidRPr="005E6D84">
        <w:rPr>
          <w:lang w:val="en-GB"/>
        </w:rPr>
        <w:t>However</w:t>
      </w:r>
      <w:r w:rsidRPr="005E6D84">
        <w:rPr>
          <w:lang w:val="en-GB"/>
        </w:rPr>
        <w:t xml:space="preserve">, economic weaknesses should be taken into account. The nature of interest rates has posed tremendous pressure on the cost of funds. Furthermore, the narrowing of net interest margins has posed some competition especially to small financial institutions, which do not have access to </w:t>
      </w:r>
      <w:r w:rsidR="00E64726" w:rsidRPr="005E6D84">
        <w:rPr>
          <w:lang w:val="en-GB"/>
        </w:rPr>
        <w:t>low-cost</w:t>
      </w:r>
      <w:r w:rsidRPr="005E6D84">
        <w:rPr>
          <w:lang w:val="en-GB"/>
        </w:rPr>
        <w:t xml:space="preserve"> deposit bases.</w:t>
      </w:r>
    </w:p>
    <w:p w14:paraId="0F7F0894" w14:textId="77777777" w:rsidR="00565403" w:rsidRPr="005E6D84" w:rsidRDefault="00565403" w:rsidP="00565403">
      <w:pPr>
        <w:rPr>
          <w:b/>
          <w:bCs/>
          <w:lang w:val="en-GB"/>
        </w:rPr>
      </w:pPr>
      <w:r w:rsidRPr="005E6D84">
        <w:rPr>
          <w:b/>
          <w:bCs/>
          <w:lang w:val="en-GB"/>
        </w:rPr>
        <w:t>Sociocultural Characteristics</w:t>
      </w:r>
    </w:p>
    <w:p w14:paraId="1778DD7A" w14:textId="44D6B9A1" w:rsidR="00565403" w:rsidRPr="005E6D84" w:rsidRDefault="00565403" w:rsidP="00565403">
      <w:pPr>
        <w:keepNext/>
        <w:rPr>
          <w:lang w:val="en-GB"/>
        </w:rPr>
      </w:pPr>
      <w:r w:rsidRPr="005E6D84">
        <w:rPr>
          <w:lang w:val="en-GB"/>
        </w:rPr>
        <w:t xml:space="preserve">The sociocultural environment of Indonesia evidences superior attributes that </w:t>
      </w:r>
      <w:proofErr w:type="spellStart"/>
      <w:r w:rsidR="00A36385" w:rsidRPr="005E6D84">
        <w:rPr>
          <w:lang w:val="en-GB"/>
        </w:rPr>
        <w:t>favor</w:t>
      </w:r>
      <w:proofErr w:type="spellEnd"/>
      <w:r w:rsidRPr="005E6D84">
        <w:rPr>
          <w:lang w:val="en-GB"/>
        </w:rPr>
        <w:t xml:space="preserve"> the growth of digital banking. The digital adoption trends in the population are extraordinary characters that define the market unlike traditional emerging market characteristics. The frequency of using digital banking rose 158% in 2018-2023, which is indicative of major transformations in consumer preferences in financial services. The existing digital banking rates include around 31 percent of the population, and it is projected to reach 39 percent (around 75 million users) in 2026 (Market Research Indonesia, 2025). Additionally, Generation Z has especially high standards when it comes to digital-native banking experiences, with 57 per cent specifically </w:t>
      </w:r>
      <w:r w:rsidR="002D10C8" w:rsidRPr="005E6D84">
        <w:rPr>
          <w:lang w:val="en-GB"/>
        </w:rPr>
        <w:lastRenderedPageBreak/>
        <w:t>favouring</w:t>
      </w:r>
      <w:r w:rsidRPr="005E6D84">
        <w:rPr>
          <w:lang w:val="en-GB"/>
        </w:rPr>
        <w:t xml:space="preserve"> digital-native experiences with banking over traditional banking. The given demographic values the ability to have a streamlined mobile onboarding, a well-designed interface, and integrated digital ecosystems that would include banking, payments, and shopping and transportation services.</w:t>
      </w:r>
    </w:p>
    <w:p w14:paraId="12D53E48" w14:textId="77777777" w:rsidR="00565403" w:rsidRPr="005E6D84" w:rsidRDefault="00565403" w:rsidP="00565403">
      <w:pPr>
        <w:keepNext/>
        <w:jc w:val="center"/>
        <w:rPr>
          <w:szCs w:val="24"/>
          <w:lang w:val="en-GB"/>
        </w:rPr>
      </w:pPr>
      <w:r w:rsidRPr="005E6D84">
        <w:rPr>
          <w:noProof/>
          <w:szCs w:val="24"/>
          <w:lang w:val="en-GB"/>
        </w:rPr>
        <w:drawing>
          <wp:inline distT="0" distB="0" distL="0" distR="0" wp14:anchorId="4BF5D726" wp14:editId="314BB734">
            <wp:extent cx="4032250" cy="2610809"/>
            <wp:effectExtent l="0" t="0" r="6350" b="0"/>
            <wp:docPr id="1673364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364420" name=""/>
                    <pic:cNvPicPr/>
                  </pic:nvPicPr>
                  <pic:blipFill>
                    <a:blip r:embed="rId11"/>
                    <a:stretch>
                      <a:fillRect/>
                    </a:stretch>
                  </pic:blipFill>
                  <pic:spPr>
                    <a:xfrm>
                      <a:off x="0" y="0"/>
                      <a:ext cx="4032957" cy="2611267"/>
                    </a:xfrm>
                    <a:prstGeom prst="rect">
                      <a:avLst/>
                    </a:prstGeom>
                  </pic:spPr>
                </pic:pic>
              </a:graphicData>
            </a:graphic>
          </wp:inline>
        </w:drawing>
      </w:r>
    </w:p>
    <w:p w14:paraId="19C30309" w14:textId="50648F43" w:rsidR="00565403" w:rsidRPr="005E6D84" w:rsidRDefault="00565403" w:rsidP="00565403">
      <w:pPr>
        <w:pStyle w:val="Caption"/>
        <w:jc w:val="center"/>
        <w:rPr>
          <w:color w:val="auto"/>
          <w:sz w:val="24"/>
          <w:szCs w:val="24"/>
          <w:lang w:val="en-GB"/>
        </w:rPr>
      </w:pPr>
      <w:r w:rsidRPr="005E6D84">
        <w:rPr>
          <w:color w:val="auto"/>
          <w:sz w:val="24"/>
          <w:szCs w:val="24"/>
          <w:lang w:val="en-GB"/>
        </w:rPr>
        <w:t xml:space="preserve">Figure </w:t>
      </w:r>
      <w:r w:rsidRPr="005E6D84">
        <w:rPr>
          <w:color w:val="auto"/>
          <w:sz w:val="24"/>
          <w:szCs w:val="24"/>
          <w:lang w:val="en-GB"/>
        </w:rPr>
        <w:fldChar w:fldCharType="begin"/>
      </w:r>
      <w:r w:rsidRPr="005E6D84">
        <w:rPr>
          <w:color w:val="auto"/>
          <w:sz w:val="24"/>
          <w:szCs w:val="24"/>
          <w:lang w:val="en-GB"/>
        </w:rPr>
        <w:instrText xml:space="preserve"> SEQ Figure \* ARABIC </w:instrText>
      </w:r>
      <w:r w:rsidRPr="005E6D84">
        <w:rPr>
          <w:color w:val="auto"/>
          <w:sz w:val="24"/>
          <w:szCs w:val="24"/>
          <w:lang w:val="en-GB"/>
        </w:rPr>
        <w:fldChar w:fldCharType="separate"/>
      </w:r>
      <w:r w:rsidR="00740FD6" w:rsidRPr="005E6D84">
        <w:rPr>
          <w:noProof/>
          <w:color w:val="auto"/>
          <w:sz w:val="24"/>
          <w:szCs w:val="24"/>
          <w:lang w:val="en-GB"/>
        </w:rPr>
        <w:t>4</w:t>
      </w:r>
      <w:r w:rsidRPr="005E6D84">
        <w:rPr>
          <w:color w:val="auto"/>
          <w:sz w:val="24"/>
          <w:szCs w:val="24"/>
          <w:lang w:val="en-GB"/>
        </w:rPr>
        <w:fldChar w:fldCharType="end"/>
      </w:r>
      <w:r w:rsidRPr="005E6D84">
        <w:rPr>
          <w:color w:val="auto"/>
          <w:sz w:val="24"/>
          <w:szCs w:val="24"/>
          <w:lang w:val="en-GB"/>
        </w:rPr>
        <w:t>: Activities done in digital banking</w:t>
      </w:r>
    </w:p>
    <w:p w14:paraId="6958308E" w14:textId="77777777" w:rsidR="00565403" w:rsidRPr="005E6D84" w:rsidRDefault="00565403" w:rsidP="00565403">
      <w:pPr>
        <w:jc w:val="center"/>
        <w:rPr>
          <w:lang w:val="en-GB"/>
        </w:rPr>
      </w:pPr>
      <w:r w:rsidRPr="005E6D84">
        <w:rPr>
          <w:lang w:val="en-GB"/>
        </w:rPr>
        <w:t xml:space="preserve">(Source: </w:t>
      </w:r>
      <w:r w:rsidRPr="005E6D84">
        <w:rPr>
          <w:rFonts w:cs="Times New Roman"/>
          <w:szCs w:val="24"/>
          <w:lang w:val="en-GB"/>
        </w:rPr>
        <w:t>Market Research Indonesia, 2025</w:t>
      </w:r>
      <w:r w:rsidRPr="005E6D84">
        <w:rPr>
          <w:lang w:val="en-GB"/>
        </w:rPr>
        <w:t>)</w:t>
      </w:r>
    </w:p>
    <w:p w14:paraId="774BB1F1" w14:textId="77777777" w:rsidR="00565403" w:rsidRPr="005E6D84" w:rsidRDefault="00565403" w:rsidP="00565403">
      <w:pPr>
        <w:rPr>
          <w:b/>
          <w:bCs/>
          <w:lang w:val="en-GB"/>
        </w:rPr>
      </w:pPr>
      <w:r w:rsidRPr="005E6D84">
        <w:rPr>
          <w:b/>
          <w:bCs/>
          <w:lang w:val="en-GB"/>
        </w:rPr>
        <w:t>Technological Infrastructure</w:t>
      </w:r>
    </w:p>
    <w:p w14:paraId="2DF65C25" w14:textId="50863619" w:rsidR="00565403" w:rsidRPr="005E6D84" w:rsidRDefault="00565403" w:rsidP="00565403">
      <w:pPr>
        <w:rPr>
          <w:lang w:val="en-GB"/>
        </w:rPr>
      </w:pPr>
      <w:r w:rsidRPr="005E6D84">
        <w:rPr>
          <w:lang w:val="en-GB"/>
        </w:rPr>
        <w:t xml:space="preserve">The technological environment in Indonesia indicates the presence of growing capabilities that promote banking innovation and digital transformation. Mobile phone penetration is ever rising and mobile savvy populace presents populations with strong grounds to carry out digital banking expansions. The next-generation financial system programs that Bank Indonesia has launched are the National Open API Payment Standard (SNAP) and Project Garuda, which aims to promote ecosystem cooperation between legacy banks and fintech innovators as well as strengthening the financial system infrastructure (Jameaba, 2020). Application of blockchain technology in banking sector is being actively discussed to simplify the operations taking place on the back-end, clearing and settlement procedures, and increase efficiency in international transactions and financing small businesses within supply chains. </w:t>
      </w:r>
    </w:p>
    <w:p w14:paraId="5F39B901" w14:textId="77777777" w:rsidR="00565403" w:rsidRPr="005E6D84" w:rsidRDefault="00565403" w:rsidP="00565403">
      <w:pPr>
        <w:rPr>
          <w:b/>
          <w:bCs/>
          <w:lang w:val="en-GB"/>
        </w:rPr>
      </w:pPr>
      <w:r w:rsidRPr="005E6D84">
        <w:rPr>
          <w:b/>
          <w:bCs/>
          <w:lang w:val="en-GB"/>
        </w:rPr>
        <w:t>Environmental</w:t>
      </w:r>
    </w:p>
    <w:p w14:paraId="447B32BB" w14:textId="47D6466E" w:rsidR="00565403" w:rsidRPr="005E6D84" w:rsidRDefault="00565403" w:rsidP="00565403">
      <w:pPr>
        <w:rPr>
          <w:lang w:val="en-GB"/>
        </w:rPr>
      </w:pPr>
      <w:r w:rsidRPr="005E6D84">
        <w:rPr>
          <w:lang w:val="en-GB"/>
        </w:rPr>
        <w:t xml:space="preserve">Global sustainability has become more significant in the banking industry in Indonesia and this has been </w:t>
      </w:r>
      <w:r w:rsidR="00C96B68" w:rsidRPr="005E6D84">
        <w:rPr>
          <w:lang w:val="en-GB"/>
        </w:rPr>
        <w:t>fuelled</w:t>
      </w:r>
      <w:r w:rsidRPr="005E6D84">
        <w:rPr>
          <w:lang w:val="en-GB"/>
        </w:rPr>
        <w:t xml:space="preserve"> by regulation and environmental sustainability demands. One of the major regulatory improvements is Regulation No. 18/POJK.03/2025 on Bank Transparency and </w:t>
      </w:r>
      <w:r w:rsidRPr="005E6D84">
        <w:rPr>
          <w:lang w:val="en-GB"/>
        </w:rPr>
        <w:lastRenderedPageBreak/>
        <w:t xml:space="preserve">Publication of Reports which obliges banks to publish a wide range of ESG information (de Leede and Fisher, 2022). This is an inclusive disclosure system that requires the publication of financial statements, risk exposure reports, capital adequacy information, sustainability practices and implementation of governance. Banks are required to publish both quantitative and qualitative data on credit risk, market risk, operational risk, liquidity risk, legal risk, reputational risk, strategic risk, compliance risk and governance structures. </w:t>
      </w:r>
    </w:p>
    <w:p w14:paraId="455601D5" w14:textId="77777777" w:rsidR="00565403" w:rsidRPr="005E6D84" w:rsidRDefault="00565403" w:rsidP="00565403">
      <w:pPr>
        <w:pStyle w:val="Heading2"/>
        <w:rPr>
          <w:lang w:val="en-GB"/>
        </w:rPr>
      </w:pPr>
      <w:bookmarkStart w:id="4" w:name="_Toc216708577"/>
      <w:r w:rsidRPr="005E6D84">
        <w:rPr>
          <w:lang w:val="en-GB"/>
        </w:rPr>
        <w:t>Competitive Analysis: Porter's Five Forces Framework</w:t>
      </w:r>
      <w:bookmarkEnd w:id="4"/>
    </w:p>
    <w:p w14:paraId="0F911050" w14:textId="77777777" w:rsidR="00565403" w:rsidRPr="005E6D84" w:rsidRDefault="00565403" w:rsidP="00565403">
      <w:pPr>
        <w:rPr>
          <w:b/>
          <w:bCs/>
          <w:lang w:val="en-GB"/>
        </w:rPr>
      </w:pPr>
      <w:r w:rsidRPr="005E6D84">
        <w:rPr>
          <w:b/>
          <w:bCs/>
          <w:lang w:val="en-GB"/>
        </w:rPr>
        <w:t>Threat of New Entrants: Moderate to High</w:t>
      </w:r>
    </w:p>
    <w:p w14:paraId="4B2B8EED" w14:textId="45DE55C1" w:rsidR="00565403" w:rsidRPr="005E6D84" w:rsidRDefault="00565403" w:rsidP="00565403">
      <w:pPr>
        <w:rPr>
          <w:lang w:val="en-GB"/>
        </w:rPr>
      </w:pPr>
      <w:r w:rsidRPr="005E6D84">
        <w:rPr>
          <w:lang w:val="en-GB"/>
        </w:rPr>
        <w:t xml:space="preserve">The banking market in Indonesia portrays both the presence of significant entry barriers to the market and the persistence of opportunities in the sector. The licensing procedure via the OJK is formal and places substantial regulatory obstacles such that approvals are required throughout and substantial capital and compliance standards must be demonstrated. </w:t>
      </w:r>
      <w:r w:rsidR="00814BBA" w:rsidRPr="005E6D84">
        <w:rPr>
          <w:lang w:val="en-GB"/>
        </w:rPr>
        <w:t>However</w:t>
      </w:r>
      <w:r w:rsidRPr="005E6D84">
        <w:rPr>
          <w:lang w:val="en-GB"/>
        </w:rPr>
        <w:t>, the fintech ecosystem has grown exponentially, with the OJK issuing licenses to 127 non-compliant lenders in a 2024-wide purge of licenses, which amounts to market share concentrated on well-capitalised firms with the ability to meet high capital and cybersecurity standards (ICLG, 2025). There are 106 commercial banks in Indonesia, which have more than 24,300 commercial bank offices spread across the archipelagos. Bank Rakyat Indonesia, Bank Mandiri, and Bank Negara Indonesia are the largest banks that dominate the markets due to their comprehensive branch network and support of the government, despite a considerable level of penetration into the market by the digital banks and fintech operators</w:t>
      </w:r>
      <w:r w:rsidR="00BC25B5">
        <w:rPr>
          <w:lang w:val="en-GB"/>
        </w:rPr>
        <w:t xml:space="preserve"> </w:t>
      </w:r>
      <w:r w:rsidRPr="005E6D84">
        <w:rPr>
          <w:lang w:val="en-GB"/>
        </w:rPr>
        <w:t>(Ken Research, 2025).</w:t>
      </w:r>
    </w:p>
    <w:p w14:paraId="6116E6F9" w14:textId="77777777" w:rsidR="00565403" w:rsidRPr="005E6D84" w:rsidRDefault="00565403" w:rsidP="00565403">
      <w:pPr>
        <w:rPr>
          <w:b/>
          <w:bCs/>
          <w:lang w:val="en-GB"/>
        </w:rPr>
      </w:pPr>
      <w:r w:rsidRPr="005E6D84">
        <w:rPr>
          <w:b/>
          <w:bCs/>
          <w:lang w:val="en-GB"/>
        </w:rPr>
        <w:t>Bargaining Power of Suppliers: Moderate</w:t>
      </w:r>
    </w:p>
    <w:p w14:paraId="46A7C63C" w14:textId="697CA58A" w:rsidR="00565403" w:rsidRPr="005E6D84" w:rsidRDefault="00565403" w:rsidP="00565403">
      <w:pPr>
        <w:rPr>
          <w:lang w:val="en-GB"/>
        </w:rPr>
      </w:pPr>
      <w:r w:rsidRPr="005E6D84">
        <w:rPr>
          <w:lang w:val="en-GB"/>
        </w:rPr>
        <w:t xml:space="preserve">The suppliers of banking technology infrastructure in Indonesia are both international technology providers and emerging domestic fintech startups. Fintech companies also have a growing relationship with traditional banks, and more than 150 fintech operators are licensed to operate and compete on the market offering payment services, lending services, and data analytics services. The concentration between suppliers is moderate, and there are several competitive substitutes that ensure that the dependence on a single supplier is not made. </w:t>
      </w:r>
      <w:r w:rsidR="00920A88" w:rsidRPr="005E6D84">
        <w:rPr>
          <w:lang w:val="en-GB"/>
        </w:rPr>
        <w:t>Go To</w:t>
      </w:r>
      <w:r w:rsidRPr="005E6D84">
        <w:rPr>
          <w:lang w:val="en-GB"/>
        </w:rPr>
        <w:t xml:space="preserve"> </w:t>
      </w:r>
      <w:r w:rsidR="00920A88" w:rsidRPr="005E6D84">
        <w:rPr>
          <w:lang w:val="en-GB"/>
        </w:rPr>
        <w:t>Go Pay</w:t>
      </w:r>
      <w:r w:rsidRPr="005E6D84">
        <w:rPr>
          <w:lang w:val="en-GB"/>
        </w:rPr>
        <w:t xml:space="preserve">, Grab OVO and DANA have large volumes of payment processing but have many other specialised players with competitive offerings (Widjojo, 2020). The legacy banks have established strategic joint ventures and invested heavily in untapped fintech and technology firms to hasten digital transformation and use the established institutional benefits. Pilot projects with state-owned </w:t>
      </w:r>
      <w:r w:rsidRPr="005E6D84">
        <w:rPr>
          <w:lang w:val="en-GB"/>
        </w:rPr>
        <w:lastRenderedPageBreak/>
        <w:t>lenders indicate strategic development in the direction of direct competition to symbiotic relationships with a focus on ecosystem collaboration. The medium bargaining power of suppliers is in response to the rising technological potential and supplier competitive environments of the emerging market.</w:t>
      </w:r>
    </w:p>
    <w:p w14:paraId="2D6CB53A" w14:textId="77777777" w:rsidR="00565403" w:rsidRPr="005E6D84" w:rsidRDefault="00565403" w:rsidP="00565403">
      <w:pPr>
        <w:rPr>
          <w:b/>
          <w:bCs/>
          <w:lang w:val="en-GB"/>
        </w:rPr>
      </w:pPr>
      <w:r w:rsidRPr="005E6D84">
        <w:rPr>
          <w:b/>
          <w:bCs/>
          <w:lang w:val="en-GB"/>
        </w:rPr>
        <w:t>Bargaining Power of Customers: High</w:t>
      </w:r>
    </w:p>
    <w:p w14:paraId="3E714C36" w14:textId="0833D659" w:rsidR="00565403" w:rsidRPr="005E6D84" w:rsidRDefault="00565403" w:rsidP="00565403">
      <w:pPr>
        <w:rPr>
          <w:lang w:val="en-GB"/>
        </w:rPr>
      </w:pPr>
      <w:r w:rsidRPr="005E6D84">
        <w:rPr>
          <w:lang w:val="en-GB"/>
        </w:rPr>
        <w:t xml:space="preserve">Competitive substitutes and digital innovation also result in a high bargaining power of Indonesian banking customers, especially in the retail and digital customer segments. The use of digital banking has raised the expectation of customers towards mobile-first applications that incorporate financial planning, real-time portfolio management, and </w:t>
      </w:r>
      <w:r w:rsidR="006863E6" w:rsidRPr="005E6D84">
        <w:rPr>
          <w:lang w:val="en-GB"/>
        </w:rPr>
        <w:t>customized</w:t>
      </w:r>
      <w:r w:rsidRPr="005E6D84">
        <w:rPr>
          <w:lang w:val="en-GB"/>
        </w:rPr>
        <w:t xml:space="preserve"> advisory offerings (Sultana and Faisal, 2024). The customer migration trends have shown that there is rising use of digital alternatives where Indonesians feel that the technology brands provide better products and services that are more innovative than the traditional banking institutions. Super-app platforms Partnerships between digital banks and e-commerce platforms offer fully digitalized ecosystems that combine banking, payment, shopping, and transport in well-integrated settings. Time deposit stagnation is also observed in comparison with the Current and Savings Accounts (CASA) which undergo a booming growth, which is a preference of customers towards convenient and liquid digital products (Sultana and Faisal, 2024). Micro, small, and medium enterprise (MSME) customers show a specific risk in relation to credit availability challenges, as a threat and an opportunity to develop new services delivery innovations.</w:t>
      </w:r>
    </w:p>
    <w:p w14:paraId="1B857ACD" w14:textId="77777777" w:rsidR="00565403" w:rsidRPr="005E6D84" w:rsidRDefault="00565403" w:rsidP="00565403">
      <w:pPr>
        <w:rPr>
          <w:b/>
          <w:bCs/>
          <w:lang w:val="en-GB"/>
        </w:rPr>
      </w:pPr>
      <w:r w:rsidRPr="005E6D84">
        <w:rPr>
          <w:b/>
          <w:bCs/>
          <w:lang w:val="en-GB"/>
        </w:rPr>
        <w:t>Threat of Substitutes: High</w:t>
      </w:r>
    </w:p>
    <w:p w14:paraId="6AC4D360" w14:textId="40B7CF51" w:rsidR="00565403" w:rsidRPr="005E6D84" w:rsidRDefault="00565403" w:rsidP="00565403">
      <w:pPr>
        <w:rPr>
          <w:lang w:val="en-GB"/>
        </w:rPr>
      </w:pPr>
      <w:r w:rsidRPr="005E6D84">
        <w:rPr>
          <w:lang w:val="en-GB"/>
        </w:rPr>
        <w:t xml:space="preserve">The Indonesian fintech environment poses significant competitive risks to the ancient banking service delivery. In the fintech market, digital payment platforms were in control of 73.44% of transaction value in 2024, but this leadership is insignificant when compared with decreasing margins driving strategic bundling of analytics and supply-chain lending services (Market Research Indonesia, 2025). The emerging segment is </w:t>
      </w:r>
      <w:r w:rsidR="006863E6" w:rsidRPr="005E6D84">
        <w:rPr>
          <w:lang w:val="en-GB"/>
        </w:rPr>
        <w:t>neo banking</w:t>
      </w:r>
      <w:r w:rsidRPr="005E6D84">
        <w:rPr>
          <w:lang w:val="en-GB"/>
        </w:rPr>
        <w:t xml:space="preserve">, which is the most rapid-growing segment with a revenue forecast of 10.04% compound annual growth rates. The wider fintech sector is showing a fast rate of growth, and financial technology services in Indonesia are expected to increase to USD 20.93 billion in 2025 and USD 32.67 billion in 2030 (Mordor Intelligence, 2024). Namely, GoPay (GoTo Holdings) and OVO (Grab Holdings) are considered specific substitute competitors, as well as DANA and LinkAja, as well as a number of emerging </w:t>
      </w:r>
      <w:r w:rsidRPr="005E6D84">
        <w:rPr>
          <w:lang w:val="en-GB"/>
        </w:rPr>
        <w:lastRenderedPageBreak/>
        <w:t xml:space="preserve">peer-to-peer lending platforms, investment management applications, and insurance fintech providers. </w:t>
      </w:r>
    </w:p>
    <w:p w14:paraId="1BEDFFF7" w14:textId="77777777" w:rsidR="00565403" w:rsidRPr="005E6D84" w:rsidRDefault="00565403" w:rsidP="00565403">
      <w:pPr>
        <w:keepNext/>
        <w:jc w:val="center"/>
        <w:rPr>
          <w:szCs w:val="24"/>
          <w:lang w:val="en-GB"/>
        </w:rPr>
      </w:pPr>
      <w:r w:rsidRPr="005E6D84">
        <w:rPr>
          <w:noProof/>
          <w:szCs w:val="24"/>
          <w:lang w:val="en-GB"/>
        </w:rPr>
        <w:drawing>
          <wp:inline distT="0" distB="0" distL="0" distR="0" wp14:anchorId="40C01D08" wp14:editId="25269F43">
            <wp:extent cx="3333921" cy="3791145"/>
            <wp:effectExtent l="0" t="0" r="0" b="0"/>
            <wp:docPr id="1247607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07912" name=""/>
                    <pic:cNvPicPr/>
                  </pic:nvPicPr>
                  <pic:blipFill>
                    <a:blip r:embed="rId12"/>
                    <a:stretch>
                      <a:fillRect/>
                    </a:stretch>
                  </pic:blipFill>
                  <pic:spPr>
                    <a:xfrm>
                      <a:off x="0" y="0"/>
                      <a:ext cx="3333921" cy="3791145"/>
                    </a:xfrm>
                    <a:prstGeom prst="rect">
                      <a:avLst/>
                    </a:prstGeom>
                  </pic:spPr>
                </pic:pic>
              </a:graphicData>
            </a:graphic>
          </wp:inline>
        </w:drawing>
      </w:r>
    </w:p>
    <w:p w14:paraId="14816466" w14:textId="50E93CB7" w:rsidR="00565403" w:rsidRPr="005E6D84" w:rsidRDefault="00565403" w:rsidP="00565403">
      <w:pPr>
        <w:pStyle w:val="Caption"/>
        <w:jc w:val="center"/>
        <w:rPr>
          <w:color w:val="auto"/>
          <w:sz w:val="24"/>
          <w:szCs w:val="24"/>
          <w:lang w:val="en-GB"/>
        </w:rPr>
      </w:pPr>
      <w:r w:rsidRPr="005E6D84">
        <w:rPr>
          <w:color w:val="auto"/>
          <w:sz w:val="24"/>
          <w:szCs w:val="24"/>
          <w:lang w:val="en-GB"/>
        </w:rPr>
        <w:t xml:space="preserve">Figure </w:t>
      </w:r>
      <w:r w:rsidRPr="005E6D84">
        <w:rPr>
          <w:color w:val="auto"/>
          <w:sz w:val="24"/>
          <w:szCs w:val="24"/>
          <w:lang w:val="en-GB"/>
        </w:rPr>
        <w:fldChar w:fldCharType="begin"/>
      </w:r>
      <w:r w:rsidRPr="005E6D84">
        <w:rPr>
          <w:color w:val="auto"/>
          <w:sz w:val="24"/>
          <w:szCs w:val="24"/>
          <w:lang w:val="en-GB"/>
        </w:rPr>
        <w:instrText xml:space="preserve"> SEQ Figure \* ARABIC </w:instrText>
      </w:r>
      <w:r w:rsidRPr="005E6D84">
        <w:rPr>
          <w:color w:val="auto"/>
          <w:sz w:val="24"/>
          <w:szCs w:val="24"/>
          <w:lang w:val="en-GB"/>
        </w:rPr>
        <w:fldChar w:fldCharType="separate"/>
      </w:r>
      <w:r w:rsidR="00740FD6" w:rsidRPr="005E6D84">
        <w:rPr>
          <w:noProof/>
          <w:color w:val="auto"/>
          <w:sz w:val="24"/>
          <w:szCs w:val="24"/>
          <w:lang w:val="en-GB"/>
        </w:rPr>
        <w:t>5</w:t>
      </w:r>
      <w:r w:rsidRPr="005E6D84">
        <w:rPr>
          <w:color w:val="auto"/>
          <w:sz w:val="24"/>
          <w:szCs w:val="24"/>
          <w:lang w:val="en-GB"/>
        </w:rPr>
        <w:fldChar w:fldCharType="end"/>
      </w:r>
      <w:r w:rsidRPr="005E6D84">
        <w:rPr>
          <w:color w:val="auto"/>
          <w:sz w:val="24"/>
          <w:szCs w:val="24"/>
          <w:lang w:val="en-GB"/>
        </w:rPr>
        <w:t>: Indonesia Financial Technology Service Market</w:t>
      </w:r>
    </w:p>
    <w:p w14:paraId="42F56356" w14:textId="77777777" w:rsidR="00565403" w:rsidRPr="005E6D84" w:rsidRDefault="00565403" w:rsidP="00565403">
      <w:pPr>
        <w:jc w:val="center"/>
        <w:rPr>
          <w:lang w:val="en-GB"/>
        </w:rPr>
      </w:pPr>
      <w:r w:rsidRPr="005E6D84">
        <w:rPr>
          <w:lang w:val="en-GB"/>
        </w:rPr>
        <w:t xml:space="preserve">(Source: </w:t>
      </w:r>
      <w:r w:rsidRPr="005E6D84">
        <w:rPr>
          <w:rFonts w:cs="Times New Roman"/>
          <w:szCs w:val="24"/>
          <w:lang w:val="en-GB"/>
        </w:rPr>
        <w:t>Mordor Intelligence, 2024</w:t>
      </w:r>
      <w:r w:rsidRPr="005E6D84">
        <w:rPr>
          <w:lang w:val="en-GB"/>
        </w:rPr>
        <w:t>)</w:t>
      </w:r>
    </w:p>
    <w:p w14:paraId="5AF0C29E" w14:textId="06FDBEBF" w:rsidR="00565403" w:rsidRPr="005E6D84" w:rsidRDefault="00565403" w:rsidP="00565403">
      <w:pPr>
        <w:rPr>
          <w:lang w:val="en-GB"/>
        </w:rPr>
      </w:pPr>
      <w:r w:rsidRPr="005E6D84">
        <w:rPr>
          <w:lang w:val="en-GB"/>
        </w:rPr>
        <w:t xml:space="preserve">Super-app integration of financial services via ride-hailing, food delivery, and e-commerce apps form holistic banking alternatives, especially in relation to payments and lending necessities, especially to younger demographic groups. Financial services and cryptocurrency exchanges based on blockchains are the new alternative, and they have been especially popular with younger digital-natives who pursue </w:t>
      </w:r>
      <w:r w:rsidR="006863E6" w:rsidRPr="005E6D84">
        <w:rPr>
          <w:lang w:val="en-GB"/>
        </w:rPr>
        <w:t>decentralized</w:t>
      </w:r>
      <w:r w:rsidRPr="005E6D84">
        <w:rPr>
          <w:lang w:val="en-GB"/>
        </w:rPr>
        <w:t xml:space="preserve"> financial options.</w:t>
      </w:r>
    </w:p>
    <w:p w14:paraId="61670236" w14:textId="77777777" w:rsidR="00565403" w:rsidRPr="005E6D84" w:rsidRDefault="00565403" w:rsidP="00565403">
      <w:pPr>
        <w:rPr>
          <w:b/>
          <w:bCs/>
          <w:lang w:val="en-GB"/>
        </w:rPr>
      </w:pPr>
      <w:r w:rsidRPr="005E6D84">
        <w:rPr>
          <w:b/>
          <w:bCs/>
          <w:lang w:val="en-GB"/>
        </w:rPr>
        <w:t>Competitive Rivalry: Very High</w:t>
      </w:r>
    </w:p>
    <w:p w14:paraId="47CCB127" w14:textId="0939F84E" w:rsidR="00565403" w:rsidRPr="005E6D84" w:rsidRDefault="00565403" w:rsidP="00F765E4">
      <w:pPr>
        <w:rPr>
          <w:b/>
          <w:bCs/>
          <w:lang w:val="en-GB"/>
        </w:rPr>
      </w:pPr>
      <w:r w:rsidRPr="005E6D84">
        <w:rPr>
          <w:lang w:val="en-GB"/>
        </w:rPr>
        <w:t xml:space="preserve">The banking industry in Indonesia faces a stiff competitive rivalry that is informed by several supportive factors. The bigger banks still dominate in the growth of loans and deposits, with the smaller banks still struggling significantly especially because of increasing non-performing loans ratio in the micro, small and medium enterprises lending segments. The competition over low price funding has also increased significantly and the growth of the deposit has been highly reliant on the current and savings accounts since the growth of the time deposit has been </w:t>
      </w:r>
      <w:r w:rsidRPr="005E6D84">
        <w:rPr>
          <w:lang w:val="en-GB"/>
        </w:rPr>
        <w:lastRenderedPageBreak/>
        <w:t xml:space="preserve">stagnant. Funds cost rose by 100 plus basis points, between August 2022 and April 2024, and liquidity management and deposit competition became highly important strategic considerations (Loyttyniemi, 2025). </w:t>
      </w:r>
      <w:r w:rsidR="006863E6" w:rsidRPr="005E6D84">
        <w:rPr>
          <w:lang w:val="en-GB"/>
        </w:rPr>
        <w:t>However</w:t>
      </w:r>
      <w:r w:rsidRPr="005E6D84">
        <w:rPr>
          <w:lang w:val="en-GB"/>
        </w:rPr>
        <w:t>, analysts foresee the aggressive competition within the loan business will moderate in 2025 with the continued pressure on funding costs limiting the ability to generate profit. The development of digital banking has become a major competitive arena with banks such as Bank Mandiri and Bank Central Asia investing intensively in mobile apps and online banking offering as a way of competing with digital-native players (Abdul Hakim, 2025). The intensity of market competition is truly extraordinary, and the established banks are taking advantage of technology alliances and digital subsidiaries to compete with pure fintech and neobank contenders.</w:t>
      </w:r>
    </w:p>
    <w:p w14:paraId="12B4EF5A" w14:textId="77777777" w:rsidR="00565403" w:rsidRPr="005E6D84" w:rsidRDefault="00565403" w:rsidP="00565403">
      <w:pPr>
        <w:pStyle w:val="Heading1"/>
        <w:rPr>
          <w:lang w:val="en-GB"/>
        </w:rPr>
      </w:pPr>
      <w:bookmarkStart w:id="5" w:name="_Toc216708578"/>
      <w:r w:rsidRPr="005E6D84">
        <w:rPr>
          <w:lang w:val="en-GB"/>
        </w:rPr>
        <w:t>Strategy Development and Formulation</w:t>
      </w:r>
      <w:bookmarkEnd w:id="5"/>
      <w:r w:rsidRPr="005E6D84">
        <w:rPr>
          <w:lang w:val="en-GB"/>
        </w:rPr>
        <w:t xml:space="preserve"> </w:t>
      </w:r>
    </w:p>
    <w:p w14:paraId="424EFC6D" w14:textId="77777777" w:rsidR="00565403" w:rsidRPr="005E6D84" w:rsidRDefault="00565403" w:rsidP="00565403">
      <w:pPr>
        <w:pStyle w:val="Heading2"/>
        <w:rPr>
          <w:lang w:val="en-GB"/>
        </w:rPr>
      </w:pPr>
      <w:bookmarkStart w:id="6" w:name="_Toc216708579"/>
      <w:r w:rsidRPr="005E6D84">
        <w:rPr>
          <w:lang w:val="en-GB"/>
        </w:rPr>
        <w:t>Strategic Market Entry Framework: Digital Partnership Model</w:t>
      </w:r>
      <w:bookmarkEnd w:id="6"/>
    </w:p>
    <w:p w14:paraId="6B36CC4B" w14:textId="77777777" w:rsidR="00565403" w:rsidRPr="005E6D84" w:rsidRDefault="00565403" w:rsidP="00565403">
      <w:pPr>
        <w:rPr>
          <w:lang w:val="en-GB"/>
        </w:rPr>
      </w:pPr>
      <w:r w:rsidRPr="005E6D84">
        <w:rPr>
          <w:lang w:val="en-GB"/>
        </w:rPr>
        <w:t>Considering the high level of digitalization and the presence of advanced artificial intelligence systems at Lloyds Bank, as well as the market conditions in Indonesia, the best market entry approach would be a Strategic Partnership and Hybrid Distribution Approach as opposed to the conventional branch-based market expansion strategy. This plan takes advantage of the technological strengths of Lloyds and deals with the complexity of regulations and capital efficiency barrier.</w:t>
      </w:r>
    </w:p>
    <w:p w14:paraId="30484C43" w14:textId="77777777" w:rsidR="00565403" w:rsidRPr="005E6D84" w:rsidRDefault="00565403" w:rsidP="00565403">
      <w:pPr>
        <w:rPr>
          <w:b/>
          <w:bCs/>
          <w:lang w:val="en-GB"/>
        </w:rPr>
      </w:pPr>
      <w:r w:rsidRPr="005E6D84">
        <w:rPr>
          <w:b/>
          <w:bCs/>
          <w:lang w:val="en-GB"/>
        </w:rPr>
        <w:t>Strategic Foundation and Competitive Rationale</w:t>
      </w:r>
    </w:p>
    <w:p w14:paraId="60A27949" w14:textId="18DD507C" w:rsidR="00565403" w:rsidRPr="005E6D84" w:rsidRDefault="00565403" w:rsidP="00565403">
      <w:pPr>
        <w:rPr>
          <w:lang w:val="en-GB"/>
        </w:rPr>
      </w:pPr>
      <w:r w:rsidRPr="005E6D84">
        <w:rPr>
          <w:lang w:val="en-GB"/>
        </w:rPr>
        <w:t xml:space="preserve">The capability of Lloyds Banking Group to transform digitally has been exceptional and has resulted in immense competitive advantages in the digital first Indonesia market. The bank used Generative AI (Athena) to make the time of searching customer service drop 59 seconds to 20 seconds, which is an example of operational change that can be measured (Finextra, 2025). The group-wide data science capability of Lloyds includes the information on data scientists and AI developers and hosts advanced analytical functions to evaluate credit, customer segmentation, and frauds. The recent financial investment of the bank, to digital transformation of 4 billion pounds, with a 50 percent migration of cloud applications and the implementation of 50 applications of generative AI in the year 2025, place the bank in a </w:t>
      </w:r>
      <w:r w:rsidR="00733708" w:rsidRPr="005E6D84">
        <w:rPr>
          <w:lang w:val="en-GB"/>
        </w:rPr>
        <w:t>favourable</w:t>
      </w:r>
      <w:r w:rsidRPr="005E6D84">
        <w:rPr>
          <w:lang w:val="en-GB"/>
        </w:rPr>
        <w:t xml:space="preserve"> position to be competing in digital first markets (Lloyds Banking Group, 2025).</w:t>
      </w:r>
    </w:p>
    <w:p w14:paraId="5413C248" w14:textId="26F77AF7" w:rsidR="00565403" w:rsidRPr="005E6D84" w:rsidRDefault="00565403" w:rsidP="00565403">
      <w:pPr>
        <w:rPr>
          <w:lang w:val="en-GB"/>
        </w:rPr>
      </w:pPr>
      <w:r w:rsidRPr="005E6D84">
        <w:rPr>
          <w:lang w:val="en-GB"/>
        </w:rPr>
        <w:t xml:space="preserve">But branch expansion and branching </w:t>
      </w:r>
      <w:r w:rsidR="00733708" w:rsidRPr="005E6D84">
        <w:rPr>
          <w:lang w:val="en-GB"/>
        </w:rPr>
        <w:t>are</w:t>
      </w:r>
      <w:r w:rsidRPr="005E6D84">
        <w:rPr>
          <w:lang w:val="en-GB"/>
        </w:rPr>
        <w:t xml:space="preserve"> a massive challenge when entering the market directly. Indonesia has 106 commercial banks that have extensive customer relationships where most of </w:t>
      </w:r>
      <w:r w:rsidRPr="005E6D84">
        <w:rPr>
          <w:lang w:val="en-GB"/>
        </w:rPr>
        <w:lastRenderedPageBreak/>
        <w:t>them are run by state companies that enjoy implicit government support and wide networks of institutions. Instead of confronting retail branch banking where established advantages in the industry structure remain significant, Lloyds must consider strategic alliance with complementary ecosystem members to generate fast market penetration without high capital levels and regulatory burdens.</w:t>
      </w:r>
    </w:p>
    <w:p w14:paraId="1511190E" w14:textId="77777777" w:rsidR="00565403" w:rsidRPr="005E6D84" w:rsidRDefault="00565403" w:rsidP="00565403">
      <w:pPr>
        <w:pStyle w:val="Heading2"/>
        <w:rPr>
          <w:lang w:val="en-GB"/>
        </w:rPr>
      </w:pPr>
      <w:bookmarkStart w:id="7" w:name="_Toc216708580"/>
      <w:r w:rsidRPr="005E6D84">
        <w:rPr>
          <w:lang w:val="en-GB"/>
        </w:rPr>
        <w:t>Phased Market Entry Strategy</w:t>
      </w:r>
      <w:bookmarkEnd w:id="7"/>
    </w:p>
    <w:tbl>
      <w:tblPr>
        <w:tblStyle w:val="LightGrid-Accent12"/>
        <w:tblW w:w="0" w:type="auto"/>
        <w:tblLook w:val="04A0" w:firstRow="1" w:lastRow="0" w:firstColumn="1" w:lastColumn="0" w:noHBand="0" w:noVBand="1"/>
      </w:tblPr>
      <w:tblGrid>
        <w:gridCol w:w="1883"/>
        <w:gridCol w:w="1123"/>
        <w:gridCol w:w="1821"/>
        <w:gridCol w:w="2371"/>
        <w:gridCol w:w="2378"/>
      </w:tblGrid>
      <w:tr w:rsidR="00565403" w:rsidRPr="005E6D84" w14:paraId="0D8F4F9C" w14:textId="77777777" w:rsidTr="005328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C6D9F1" w:themeFill="text2" w:themeFillTint="33"/>
            <w:hideMark/>
          </w:tcPr>
          <w:p w14:paraId="4BFAD9D8" w14:textId="77777777" w:rsidR="00565403" w:rsidRPr="005E6D84" w:rsidRDefault="00565403" w:rsidP="0053284C">
            <w:pPr>
              <w:pStyle w:val="NoSpacing"/>
              <w:spacing w:line="360" w:lineRule="auto"/>
              <w:rPr>
                <w:rFonts w:cs="Times New Roman"/>
                <w:color w:val="000000" w:themeColor="text1"/>
                <w:lang w:val="en-GB"/>
              </w:rPr>
            </w:pPr>
            <w:r w:rsidRPr="005E6D84">
              <w:rPr>
                <w:rFonts w:cs="Times New Roman"/>
                <w:color w:val="000000" w:themeColor="text1"/>
                <w:lang w:val="en-GB"/>
              </w:rPr>
              <w:t>Phas</w:t>
            </w:r>
            <w:r w:rsidRPr="005E6D84">
              <w:rPr>
                <w:rFonts w:cs="Times New Roman"/>
                <w:color w:val="000000" w:themeColor="text1"/>
                <w:shd w:val="clear" w:color="auto" w:fill="C6D9F1" w:themeFill="text2" w:themeFillTint="33"/>
                <w:lang w:val="en-GB"/>
              </w:rPr>
              <w:t>e</w:t>
            </w:r>
          </w:p>
        </w:tc>
        <w:tc>
          <w:tcPr>
            <w:tcW w:w="0" w:type="auto"/>
            <w:shd w:val="clear" w:color="auto" w:fill="C6D9F1" w:themeFill="text2" w:themeFillTint="33"/>
            <w:hideMark/>
          </w:tcPr>
          <w:p w14:paraId="7184104D" w14:textId="77777777" w:rsidR="00565403" w:rsidRPr="005E6D84" w:rsidRDefault="00565403" w:rsidP="0053284C">
            <w:pPr>
              <w:pStyle w:val="NoSpacing"/>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000000" w:themeColor="text1"/>
                <w:lang w:val="en-GB"/>
              </w:rPr>
            </w:pPr>
            <w:r w:rsidRPr="005E6D84">
              <w:rPr>
                <w:rFonts w:cs="Times New Roman"/>
                <w:color w:val="000000" w:themeColor="text1"/>
                <w:lang w:val="en-GB"/>
              </w:rPr>
              <w:t>Timeline</w:t>
            </w:r>
          </w:p>
        </w:tc>
        <w:tc>
          <w:tcPr>
            <w:tcW w:w="0" w:type="auto"/>
            <w:shd w:val="clear" w:color="auto" w:fill="C6D9F1" w:themeFill="text2" w:themeFillTint="33"/>
            <w:hideMark/>
          </w:tcPr>
          <w:p w14:paraId="72725C32" w14:textId="77777777" w:rsidR="00565403" w:rsidRPr="005E6D84" w:rsidRDefault="00565403" w:rsidP="0053284C">
            <w:pPr>
              <w:pStyle w:val="NoSpacing"/>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000000" w:themeColor="text1"/>
                <w:lang w:val="en-GB"/>
              </w:rPr>
            </w:pPr>
            <w:r w:rsidRPr="005E6D84">
              <w:rPr>
                <w:rFonts w:cs="Times New Roman"/>
                <w:color w:val="000000" w:themeColor="text1"/>
                <w:lang w:val="en-GB"/>
              </w:rPr>
              <w:t>Core Strategy</w:t>
            </w:r>
          </w:p>
        </w:tc>
        <w:tc>
          <w:tcPr>
            <w:tcW w:w="0" w:type="auto"/>
            <w:shd w:val="clear" w:color="auto" w:fill="C6D9F1" w:themeFill="text2" w:themeFillTint="33"/>
            <w:hideMark/>
          </w:tcPr>
          <w:p w14:paraId="2847DEAE" w14:textId="77777777" w:rsidR="00565403" w:rsidRPr="005E6D84" w:rsidRDefault="00565403" w:rsidP="0053284C">
            <w:pPr>
              <w:pStyle w:val="NoSpacing"/>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000000" w:themeColor="text1"/>
                <w:lang w:val="en-GB"/>
              </w:rPr>
            </w:pPr>
            <w:r w:rsidRPr="005E6D84">
              <w:rPr>
                <w:rFonts w:cs="Times New Roman"/>
                <w:color w:val="000000" w:themeColor="text1"/>
                <w:lang w:val="en-GB"/>
              </w:rPr>
              <w:t>Key Activities</w:t>
            </w:r>
          </w:p>
        </w:tc>
        <w:tc>
          <w:tcPr>
            <w:tcW w:w="0" w:type="auto"/>
            <w:shd w:val="clear" w:color="auto" w:fill="C6D9F1" w:themeFill="text2" w:themeFillTint="33"/>
            <w:hideMark/>
          </w:tcPr>
          <w:p w14:paraId="68367E11" w14:textId="77777777" w:rsidR="00565403" w:rsidRPr="005E6D84" w:rsidRDefault="00565403" w:rsidP="0053284C">
            <w:pPr>
              <w:pStyle w:val="NoSpacing"/>
              <w:spacing w:line="360" w:lineRule="auto"/>
              <w:cnfStyle w:val="100000000000" w:firstRow="1" w:lastRow="0" w:firstColumn="0" w:lastColumn="0" w:oddVBand="0" w:evenVBand="0" w:oddHBand="0" w:evenHBand="0" w:firstRowFirstColumn="0" w:firstRowLastColumn="0" w:lastRowFirstColumn="0" w:lastRowLastColumn="0"/>
              <w:rPr>
                <w:rFonts w:cs="Times New Roman"/>
                <w:color w:val="000000" w:themeColor="text1"/>
                <w:lang w:val="en-GB"/>
              </w:rPr>
            </w:pPr>
            <w:r w:rsidRPr="005E6D84">
              <w:rPr>
                <w:rFonts w:cs="Times New Roman"/>
                <w:color w:val="000000" w:themeColor="text1"/>
                <w:lang w:val="en-GB"/>
              </w:rPr>
              <w:t>Outcomes</w:t>
            </w:r>
          </w:p>
        </w:tc>
      </w:tr>
      <w:tr w:rsidR="00565403" w:rsidRPr="005E6D84" w14:paraId="40261E14" w14:textId="77777777" w:rsidTr="005328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EDC9B2" w14:textId="77777777" w:rsidR="00565403" w:rsidRPr="005E6D84" w:rsidRDefault="00565403" w:rsidP="00733708">
            <w:pPr>
              <w:pStyle w:val="NoSpacing"/>
              <w:spacing w:line="360" w:lineRule="auto"/>
              <w:rPr>
                <w:lang w:val="en-GB"/>
              </w:rPr>
            </w:pPr>
            <w:r w:rsidRPr="005E6D84">
              <w:rPr>
                <w:lang w:val="en-GB"/>
              </w:rPr>
              <w:t>Phase 1: Digital-First Banking</w:t>
            </w:r>
          </w:p>
        </w:tc>
        <w:tc>
          <w:tcPr>
            <w:tcW w:w="0" w:type="auto"/>
            <w:hideMark/>
          </w:tcPr>
          <w:p w14:paraId="365F8A15" w14:textId="77777777" w:rsidR="00565403" w:rsidRPr="005E6D84" w:rsidRDefault="00565403" w:rsidP="00733708">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5E6D84">
              <w:rPr>
                <w:lang w:val="en-GB"/>
              </w:rPr>
              <w:t>Year 1–2</w:t>
            </w:r>
          </w:p>
        </w:tc>
        <w:tc>
          <w:tcPr>
            <w:tcW w:w="0" w:type="auto"/>
            <w:hideMark/>
          </w:tcPr>
          <w:p w14:paraId="0A4107FF" w14:textId="77777777" w:rsidR="00565403" w:rsidRPr="005E6D84" w:rsidRDefault="00565403" w:rsidP="00733708">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5E6D84">
              <w:rPr>
                <w:lang w:val="en-GB"/>
              </w:rPr>
              <w:t>Enter market via digital partnerships</w:t>
            </w:r>
          </w:p>
        </w:tc>
        <w:tc>
          <w:tcPr>
            <w:tcW w:w="0" w:type="auto"/>
            <w:hideMark/>
          </w:tcPr>
          <w:p w14:paraId="7BDC763C" w14:textId="77777777" w:rsidR="00565403" w:rsidRPr="005E6D84" w:rsidRDefault="00565403" w:rsidP="00733708">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5E6D84">
              <w:rPr>
                <w:lang w:val="en-GB"/>
              </w:rPr>
              <w:t>Embedded neobanking, AI credit scoring, data analytics, revenue-sharing</w:t>
            </w:r>
          </w:p>
        </w:tc>
        <w:tc>
          <w:tcPr>
            <w:tcW w:w="0" w:type="auto"/>
            <w:hideMark/>
          </w:tcPr>
          <w:p w14:paraId="53B0C944" w14:textId="69349F49" w:rsidR="00565403" w:rsidRPr="005E6D84" w:rsidRDefault="00565403" w:rsidP="00733708">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5E6D84">
              <w:rPr>
                <w:lang w:val="en-GB"/>
              </w:rPr>
              <w:t xml:space="preserve">500k users &amp; IDR 300 bn deposits (Y1); 3m users &amp; IDR 1.8 </w:t>
            </w:r>
            <w:r w:rsidR="00920A88" w:rsidRPr="005E6D84">
              <w:rPr>
                <w:lang w:val="en-GB"/>
              </w:rPr>
              <w:t>Tn</w:t>
            </w:r>
            <w:r w:rsidRPr="005E6D84">
              <w:rPr>
                <w:lang w:val="en-GB"/>
              </w:rPr>
              <w:t xml:space="preserve"> deposits (Y3)</w:t>
            </w:r>
          </w:p>
        </w:tc>
      </w:tr>
      <w:tr w:rsidR="00565403" w:rsidRPr="005E6D84" w14:paraId="791C1AC8" w14:textId="77777777" w:rsidTr="0053284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5CC015" w14:textId="77777777" w:rsidR="00565403" w:rsidRPr="005E6D84" w:rsidRDefault="00565403" w:rsidP="00733708">
            <w:pPr>
              <w:pStyle w:val="NoSpacing"/>
              <w:spacing w:line="360" w:lineRule="auto"/>
              <w:rPr>
                <w:lang w:val="en-GB"/>
              </w:rPr>
            </w:pPr>
            <w:r w:rsidRPr="005E6D84">
              <w:rPr>
                <w:lang w:val="en-GB"/>
              </w:rPr>
              <w:t>Phase 2: MSME &amp; Commercial Lending</w:t>
            </w:r>
          </w:p>
        </w:tc>
        <w:tc>
          <w:tcPr>
            <w:tcW w:w="0" w:type="auto"/>
            <w:hideMark/>
          </w:tcPr>
          <w:p w14:paraId="2E419ECD" w14:textId="77777777" w:rsidR="00565403" w:rsidRPr="005E6D84" w:rsidRDefault="00565403" w:rsidP="00733708">
            <w:pPr>
              <w:pStyle w:val="NoSpacing"/>
              <w:spacing w:line="360" w:lineRule="auto"/>
              <w:cnfStyle w:val="000000010000" w:firstRow="0" w:lastRow="0" w:firstColumn="0" w:lastColumn="0" w:oddVBand="0" w:evenVBand="0" w:oddHBand="0" w:evenHBand="1" w:firstRowFirstColumn="0" w:firstRowLastColumn="0" w:lastRowFirstColumn="0" w:lastRowLastColumn="0"/>
              <w:rPr>
                <w:lang w:val="en-GB"/>
              </w:rPr>
            </w:pPr>
            <w:r w:rsidRPr="005E6D84">
              <w:rPr>
                <w:lang w:val="en-GB"/>
              </w:rPr>
              <w:t>Year 2–4</w:t>
            </w:r>
          </w:p>
        </w:tc>
        <w:tc>
          <w:tcPr>
            <w:tcW w:w="0" w:type="auto"/>
            <w:hideMark/>
          </w:tcPr>
          <w:p w14:paraId="2675E8A7" w14:textId="77777777" w:rsidR="00565403" w:rsidRPr="005E6D84" w:rsidRDefault="00565403" w:rsidP="00733708">
            <w:pPr>
              <w:pStyle w:val="NoSpacing"/>
              <w:spacing w:line="360" w:lineRule="auto"/>
              <w:cnfStyle w:val="000000010000" w:firstRow="0" w:lastRow="0" w:firstColumn="0" w:lastColumn="0" w:oddVBand="0" w:evenVBand="0" w:oddHBand="0" w:evenHBand="1" w:firstRowFirstColumn="0" w:firstRowLastColumn="0" w:lastRowFirstColumn="0" w:lastRowLastColumn="0"/>
              <w:rPr>
                <w:lang w:val="en-GB"/>
              </w:rPr>
            </w:pPr>
            <w:r w:rsidRPr="005E6D84">
              <w:rPr>
                <w:lang w:val="en-GB"/>
              </w:rPr>
              <w:t>Expand into MSME and commercial finance</w:t>
            </w:r>
          </w:p>
        </w:tc>
        <w:tc>
          <w:tcPr>
            <w:tcW w:w="0" w:type="auto"/>
            <w:hideMark/>
          </w:tcPr>
          <w:p w14:paraId="146B21C4" w14:textId="77777777" w:rsidR="00565403" w:rsidRPr="005E6D84" w:rsidRDefault="00565403" w:rsidP="00733708">
            <w:pPr>
              <w:pStyle w:val="NoSpacing"/>
              <w:spacing w:line="360" w:lineRule="auto"/>
              <w:cnfStyle w:val="000000010000" w:firstRow="0" w:lastRow="0" w:firstColumn="0" w:lastColumn="0" w:oddVBand="0" w:evenVBand="0" w:oddHBand="0" w:evenHBand="1" w:firstRowFirstColumn="0" w:firstRowLastColumn="0" w:lastRowFirstColumn="0" w:lastRowLastColumn="0"/>
              <w:rPr>
                <w:lang w:val="en-GB"/>
              </w:rPr>
            </w:pPr>
            <w:r w:rsidRPr="005E6D84">
              <w:rPr>
                <w:lang w:val="en-GB"/>
              </w:rPr>
              <w:t>Fintech partnerships, supply-chain finance, CRE lending, FX &amp; treasury</w:t>
            </w:r>
          </w:p>
        </w:tc>
        <w:tc>
          <w:tcPr>
            <w:tcW w:w="0" w:type="auto"/>
            <w:hideMark/>
          </w:tcPr>
          <w:p w14:paraId="6CFB2089" w14:textId="77777777" w:rsidR="00565403" w:rsidRPr="005E6D84" w:rsidRDefault="00565403" w:rsidP="00733708">
            <w:pPr>
              <w:pStyle w:val="NoSpacing"/>
              <w:spacing w:line="360" w:lineRule="auto"/>
              <w:cnfStyle w:val="000000010000" w:firstRow="0" w:lastRow="0" w:firstColumn="0" w:lastColumn="0" w:oddVBand="0" w:evenVBand="0" w:oddHBand="0" w:evenHBand="1" w:firstRowFirstColumn="0" w:firstRowLastColumn="0" w:lastRowFirstColumn="0" w:lastRowLastColumn="0"/>
              <w:rPr>
                <w:lang w:val="en-GB"/>
              </w:rPr>
            </w:pPr>
            <w:r w:rsidRPr="005E6D84">
              <w:rPr>
                <w:lang w:val="en-GB"/>
              </w:rPr>
              <w:t>MSME credit expansion and diversified revenue</w:t>
            </w:r>
          </w:p>
        </w:tc>
      </w:tr>
      <w:tr w:rsidR="00565403" w:rsidRPr="005E6D84" w14:paraId="41301E86" w14:textId="77777777" w:rsidTr="005328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3C63F7" w14:textId="77777777" w:rsidR="00565403" w:rsidRPr="005E6D84" w:rsidRDefault="00565403" w:rsidP="00733708">
            <w:pPr>
              <w:pStyle w:val="NoSpacing"/>
              <w:spacing w:line="360" w:lineRule="auto"/>
              <w:rPr>
                <w:lang w:val="en-GB"/>
              </w:rPr>
            </w:pPr>
            <w:r w:rsidRPr="005E6D84">
              <w:rPr>
                <w:lang w:val="en-GB"/>
              </w:rPr>
              <w:t>Phase 3: Licensed Banking Subsidiary</w:t>
            </w:r>
          </w:p>
        </w:tc>
        <w:tc>
          <w:tcPr>
            <w:tcW w:w="0" w:type="auto"/>
            <w:hideMark/>
          </w:tcPr>
          <w:p w14:paraId="15D3D792" w14:textId="77777777" w:rsidR="00565403" w:rsidRPr="005E6D84" w:rsidRDefault="00565403" w:rsidP="00733708">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5E6D84">
              <w:rPr>
                <w:lang w:val="en-GB"/>
              </w:rPr>
              <w:t>Year 4–5</w:t>
            </w:r>
          </w:p>
        </w:tc>
        <w:tc>
          <w:tcPr>
            <w:tcW w:w="0" w:type="auto"/>
            <w:hideMark/>
          </w:tcPr>
          <w:p w14:paraId="7B01B189" w14:textId="77777777" w:rsidR="00565403" w:rsidRPr="005E6D84" w:rsidRDefault="00565403" w:rsidP="00733708">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5E6D84">
              <w:rPr>
                <w:lang w:val="en-GB"/>
              </w:rPr>
              <w:t>Establish full-service bank</w:t>
            </w:r>
          </w:p>
        </w:tc>
        <w:tc>
          <w:tcPr>
            <w:tcW w:w="0" w:type="auto"/>
            <w:hideMark/>
          </w:tcPr>
          <w:p w14:paraId="0B04C923" w14:textId="77777777" w:rsidR="00565403" w:rsidRPr="005E6D84" w:rsidRDefault="00565403" w:rsidP="00733708">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5E6D84">
              <w:rPr>
                <w:lang w:val="en-GB"/>
              </w:rPr>
              <w:t>Corporate banking, wealth management, Islamic finance, cross-border services</w:t>
            </w:r>
          </w:p>
        </w:tc>
        <w:tc>
          <w:tcPr>
            <w:tcW w:w="0" w:type="auto"/>
            <w:hideMark/>
          </w:tcPr>
          <w:p w14:paraId="51A4FAA3" w14:textId="77777777" w:rsidR="00565403" w:rsidRPr="005E6D84" w:rsidRDefault="00565403" w:rsidP="00733708">
            <w:pPr>
              <w:pStyle w:val="NoSpacing"/>
              <w:spacing w:line="360" w:lineRule="auto"/>
              <w:cnfStyle w:val="000000100000" w:firstRow="0" w:lastRow="0" w:firstColumn="0" w:lastColumn="0" w:oddVBand="0" w:evenVBand="0" w:oddHBand="1" w:evenHBand="0" w:firstRowFirstColumn="0" w:firstRowLastColumn="0" w:lastRowFirstColumn="0" w:lastRowLastColumn="0"/>
              <w:rPr>
                <w:lang w:val="en-GB"/>
              </w:rPr>
            </w:pPr>
            <w:r w:rsidRPr="005E6D84">
              <w:rPr>
                <w:lang w:val="en-GB"/>
              </w:rPr>
              <w:t>Long-term market consolidation and premium growth</w:t>
            </w:r>
          </w:p>
        </w:tc>
      </w:tr>
    </w:tbl>
    <w:p w14:paraId="6E0FD651" w14:textId="77777777" w:rsidR="00565403" w:rsidRPr="005E6D84" w:rsidRDefault="00565403" w:rsidP="00565403">
      <w:pPr>
        <w:rPr>
          <w:lang w:val="en-GB"/>
        </w:rPr>
      </w:pPr>
    </w:p>
    <w:p w14:paraId="709DC0E2" w14:textId="77777777" w:rsidR="00565403" w:rsidRPr="005E6D84" w:rsidRDefault="00565403" w:rsidP="00565403">
      <w:pPr>
        <w:rPr>
          <w:b/>
          <w:bCs/>
          <w:lang w:val="en-GB"/>
        </w:rPr>
      </w:pPr>
      <w:r w:rsidRPr="005E6D84">
        <w:rPr>
          <w:b/>
          <w:bCs/>
          <w:lang w:val="en-GB"/>
        </w:rPr>
        <w:t>Phase 1: Digital-First Financial Services (Year 1-2)</w:t>
      </w:r>
    </w:p>
    <w:p w14:paraId="6EFD87D3" w14:textId="25BF73C5" w:rsidR="00565403" w:rsidRPr="005E6D84" w:rsidRDefault="00565403" w:rsidP="00565403">
      <w:pPr>
        <w:rPr>
          <w:lang w:val="en-GB"/>
        </w:rPr>
      </w:pPr>
      <w:r w:rsidRPr="005E6D84">
        <w:rPr>
          <w:lang w:val="en-GB"/>
        </w:rPr>
        <w:t>Build</w:t>
      </w:r>
      <w:r w:rsidR="003E1F1F">
        <w:rPr>
          <w:lang w:val="en-GB"/>
        </w:rPr>
        <w:t>ing</w:t>
      </w:r>
      <w:r w:rsidRPr="005E6D84">
        <w:rPr>
          <w:lang w:val="en-GB"/>
        </w:rPr>
        <w:t xml:space="preserve"> a basic presence by engaging in digital banking relationships with the most popular e-commerce services (Tokopedia or Shopee) or super-app (Grab or </w:t>
      </w:r>
      <w:r w:rsidR="00920A88" w:rsidRPr="005E6D84">
        <w:rPr>
          <w:lang w:val="en-GB"/>
        </w:rPr>
        <w:t>Go To</w:t>
      </w:r>
      <w:r w:rsidRPr="005E6D84">
        <w:rPr>
          <w:lang w:val="en-GB"/>
        </w:rPr>
        <w:t xml:space="preserve">) in Indonesia (PLATFORM and AN, 2022). The strategy used here is the offering of underlying banking infrastructure, AI-based credit assessment, and advanced risk management systems by Lloyds. The structure of the partnership would involve: </w:t>
      </w:r>
    </w:p>
    <w:p w14:paraId="0F508EE2" w14:textId="6B2EF8C2" w:rsidR="00565403" w:rsidRPr="005E6D84" w:rsidRDefault="00565403" w:rsidP="00565403">
      <w:pPr>
        <w:pStyle w:val="ListParagraph"/>
        <w:numPr>
          <w:ilvl w:val="0"/>
          <w:numId w:val="7"/>
        </w:numPr>
        <w:rPr>
          <w:lang w:val="en-GB"/>
        </w:rPr>
      </w:pPr>
      <w:r w:rsidRPr="005E6D84">
        <w:rPr>
          <w:lang w:val="en-GB"/>
        </w:rPr>
        <w:t>White-label neobanking services embedded into the ecosystem of super-applications of the partner, which allow the customer to easily access the solution through trusted platforms.</w:t>
      </w:r>
    </w:p>
    <w:p w14:paraId="208636DD" w14:textId="77777777" w:rsidR="00565403" w:rsidRPr="005E6D84" w:rsidRDefault="00565403" w:rsidP="00565403">
      <w:pPr>
        <w:pStyle w:val="ListParagraph"/>
        <w:numPr>
          <w:ilvl w:val="0"/>
          <w:numId w:val="7"/>
        </w:numPr>
        <w:rPr>
          <w:lang w:val="en-GB"/>
        </w:rPr>
      </w:pPr>
      <w:r w:rsidRPr="005E6D84">
        <w:rPr>
          <w:lang w:val="en-GB"/>
        </w:rPr>
        <w:lastRenderedPageBreak/>
        <w:t>Leveraged by the capability of Lloyds to process applications in seconds (similar to days) using the most advanced artificial intelligence mining of mortgage applications) and credit rating (Mashetty et al., 2024).</w:t>
      </w:r>
    </w:p>
    <w:p w14:paraId="57F3900E" w14:textId="77777777" w:rsidR="00565403" w:rsidRPr="005E6D84" w:rsidRDefault="00565403" w:rsidP="00565403">
      <w:pPr>
        <w:pStyle w:val="ListParagraph"/>
        <w:numPr>
          <w:ilvl w:val="0"/>
          <w:numId w:val="7"/>
        </w:numPr>
        <w:rPr>
          <w:lang w:val="en-GB"/>
        </w:rPr>
      </w:pPr>
      <w:r w:rsidRPr="005E6D84">
        <w:rPr>
          <w:lang w:val="en-GB"/>
        </w:rPr>
        <w:t>Detailed customer data analytics of high-value micro-segments such as young professionals, e-commerce sellers and emerging MSME entrepreneurs.</w:t>
      </w:r>
    </w:p>
    <w:p w14:paraId="35EA45C6" w14:textId="77777777" w:rsidR="00565403" w:rsidRPr="005E6D84" w:rsidRDefault="00565403" w:rsidP="00565403">
      <w:pPr>
        <w:pStyle w:val="ListParagraph"/>
        <w:numPr>
          <w:ilvl w:val="0"/>
          <w:numId w:val="7"/>
        </w:numPr>
        <w:rPr>
          <w:lang w:val="en-GB"/>
        </w:rPr>
      </w:pPr>
      <w:r w:rsidRPr="005E6D84">
        <w:rPr>
          <w:lang w:val="en-GB"/>
        </w:rPr>
        <w:t>Revenue sharing models: Under these models, Lloyds will earn fees on deposits, lending originations and payment processing.</w:t>
      </w:r>
    </w:p>
    <w:p w14:paraId="77838ADA" w14:textId="73415563" w:rsidR="00565403" w:rsidRPr="005E6D84" w:rsidRDefault="00565403" w:rsidP="00565403">
      <w:pPr>
        <w:rPr>
          <w:lang w:val="en-GB"/>
        </w:rPr>
      </w:pPr>
      <w:r w:rsidRPr="005E6D84">
        <w:rPr>
          <w:lang w:val="en-GB"/>
        </w:rPr>
        <w:t xml:space="preserve">This is a strategy that takes advantage of the advanced data science that Lloyds has and does not require the heavy capital intensity and regulatory complexity of becoming a licensed bank overnight. </w:t>
      </w:r>
    </w:p>
    <w:p w14:paraId="0C72C9CE" w14:textId="77777777" w:rsidR="00565403" w:rsidRPr="005E6D84" w:rsidRDefault="00565403" w:rsidP="00565403">
      <w:pPr>
        <w:rPr>
          <w:b/>
          <w:bCs/>
          <w:lang w:val="en-GB"/>
        </w:rPr>
      </w:pPr>
      <w:r w:rsidRPr="005E6D84">
        <w:rPr>
          <w:b/>
          <w:bCs/>
          <w:lang w:val="en-GB"/>
        </w:rPr>
        <w:t>Phase 2: Targeted Commercial and MSME Lending (Year 2-4)</w:t>
      </w:r>
    </w:p>
    <w:p w14:paraId="2AB49A03" w14:textId="111B7278" w:rsidR="00565403" w:rsidRPr="005E6D84" w:rsidRDefault="00565403" w:rsidP="00565403">
      <w:pPr>
        <w:rPr>
          <w:lang w:val="en-GB"/>
        </w:rPr>
      </w:pPr>
      <w:r w:rsidRPr="005E6D84">
        <w:rPr>
          <w:lang w:val="en-GB"/>
        </w:rPr>
        <w:t>Grow</w:t>
      </w:r>
      <w:r w:rsidR="003E1F1F">
        <w:rPr>
          <w:lang w:val="en-GB"/>
        </w:rPr>
        <w:t>ing</w:t>
      </w:r>
      <w:r w:rsidRPr="005E6D84">
        <w:rPr>
          <w:lang w:val="en-GB"/>
        </w:rPr>
        <w:t xml:space="preserve"> market share into commercial banking through forming strategic relationships with business-oriented fintech solutions and supply-chain financing solution providers. This expansion encompasses:</w:t>
      </w:r>
    </w:p>
    <w:p w14:paraId="6D852513" w14:textId="77777777" w:rsidR="00565403" w:rsidRPr="005E6D84" w:rsidRDefault="00565403" w:rsidP="00565403">
      <w:pPr>
        <w:pStyle w:val="ListParagraph"/>
        <w:numPr>
          <w:ilvl w:val="0"/>
          <w:numId w:val="8"/>
        </w:numPr>
        <w:rPr>
          <w:lang w:val="en-GB"/>
        </w:rPr>
      </w:pPr>
      <w:r w:rsidRPr="005E6D84">
        <w:rPr>
          <w:lang w:val="en-GB"/>
        </w:rPr>
        <w:t>Collaborations with peer-to-peer lending sources (Modalku, Investree, Akseleran) or lending technology providers serving MSME population groups that are not already served by traditional banking organizations (Suryani et al., 2023)</w:t>
      </w:r>
    </w:p>
    <w:p w14:paraId="27EC4EC1" w14:textId="77777777" w:rsidR="00565403" w:rsidRPr="005E6D84" w:rsidRDefault="00565403" w:rsidP="00565403">
      <w:pPr>
        <w:pStyle w:val="ListParagraph"/>
        <w:numPr>
          <w:ilvl w:val="0"/>
          <w:numId w:val="8"/>
        </w:numPr>
        <w:rPr>
          <w:lang w:val="en-GB"/>
        </w:rPr>
      </w:pPr>
      <w:r w:rsidRPr="005E6D84">
        <w:rPr>
          <w:lang w:val="en-GB"/>
        </w:rPr>
        <w:t>Organized financing of the supply chain of e-commerce sellers based on transaction history analytics and platform data.</w:t>
      </w:r>
    </w:p>
    <w:p w14:paraId="2F95F78A" w14:textId="07978636" w:rsidR="00565403" w:rsidRPr="005E6D84" w:rsidRDefault="00565403" w:rsidP="00565403">
      <w:pPr>
        <w:pStyle w:val="ListParagraph"/>
        <w:numPr>
          <w:ilvl w:val="0"/>
          <w:numId w:val="8"/>
        </w:numPr>
        <w:rPr>
          <w:lang w:val="en-GB"/>
        </w:rPr>
      </w:pPr>
      <w:r w:rsidRPr="005E6D84">
        <w:rPr>
          <w:lang w:val="en-GB"/>
        </w:rPr>
        <w:t xml:space="preserve">Commercial real estate financing that is in </w:t>
      </w:r>
      <w:r w:rsidR="00920A88" w:rsidRPr="005E6D84">
        <w:rPr>
          <w:lang w:val="en-GB"/>
        </w:rPr>
        <w:t>Favor</w:t>
      </w:r>
      <w:r w:rsidRPr="005E6D84">
        <w:rPr>
          <w:lang w:val="en-GB"/>
        </w:rPr>
        <w:t xml:space="preserve"> of the extensive infrastructure development in Indonesia, especially the Nusantara capital relocation, in which considerable commercial financing is required.</w:t>
      </w:r>
    </w:p>
    <w:p w14:paraId="2746302B" w14:textId="77777777" w:rsidR="00565403" w:rsidRPr="005E6D84" w:rsidRDefault="00565403" w:rsidP="00565403">
      <w:pPr>
        <w:pStyle w:val="ListParagraph"/>
        <w:numPr>
          <w:ilvl w:val="0"/>
          <w:numId w:val="8"/>
        </w:numPr>
        <w:rPr>
          <w:lang w:val="en-GB"/>
        </w:rPr>
      </w:pPr>
      <w:r w:rsidRPr="005E6D84">
        <w:rPr>
          <w:lang w:val="en-GB"/>
        </w:rPr>
        <w:t>Treasury and foreign exchange services that meet the requirements of the Indonesian importers and exporters involved in international trade.</w:t>
      </w:r>
    </w:p>
    <w:p w14:paraId="4AB29C97" w14:textId="77777777" w:rsidR="00565403" w:rsidRPr="005E6D84" w:rsidRDefault="00565403" w:rsidP="00565403">
      <w:pPr>
        <w:rPr>
          <w:lang w:val="en-GB"/>
        </w:rPr>
      </w:pPr>
      <w:r w:rsidRPr="005E6D84">
        <w:rPr>
          <w:lang w:val="en-GB"/>
        </w:rPr>
        <w:t>The widespread experience of Lloyds in sustainable finance and structured lending fills market niche areas in MSME financing and mid-market commercial services that the current banking institutions fail to meet.</w:t>
      </w:r>
    </w:p>
    <w:p w14:paraId="412E24D2" w14:textId="77777777" w:rsidR="00565403" w:rsidRPr="005E6D84" w:rsidRDefault="00565403" w:rsidP="00565403">
      <w:pPr>
        <w:rPr>
          <w:b/>
          <w:bCs/>
          <w:lang w:val="en-GB"/>
        </w:rPr>
      </w:pPr>
      <w:r w:rsidRPr="005E6D84">
        <w:rPr>
          <w:b/>
          <w:bCs/>
          <w:lang w:val="en-GB"/>
        </w:rPr>
        <w:t>Phase 3: Licensed Banking Subsidiary (Year 4-5)</w:t>
      </w:r>
    </w:p>
    <w:p w14:paraId="22476F92" w14:textId="77777777" w:rsidR="00565403" w:rsidRPr="005E6D84" w:rsidRDefault="00565403" w:rsidP="00565403">
      <w:pPr>
        <w:rPr>
          <w:lang w:val="en-GB"/>
        </w:rPr>
      </w:pPr>
      <w:r w:rsidRPr="005E6D84">
        <w:rPr>
          <w:lang w:val="en-GB"/>
        </w:rPr>
        <w:t>After achieving a successful entry and development of a good relationship with the regulators, develop a licensed commercial bank with a focus on high-value corporate and wealth management markets. This phase would encompass:</w:t>
      </w:r>
    </w:p>
    <w:p w14:paraId="2990015E" w14:textId="77777777" w:rsidR="00565403" w:rsidRPr="005E6D84" w:rsidRDefault="00565403" w:rsidP="00565403">
      <w:pPr>
        <w:pStyle w:val="ListParagraph"/>
        <w:numPr>
          <w:ilvl w:val="0"/>
          <w:numId w:val="9"/>
        </w:numPr>
        <w:rPr>
          <w:lang w:val="en-GB"/>
        </w:rPr>
      </w:pPr>
      <w:r w:rsidRPr="005E6D84">
        <w:rPr>
          <w:lang w:val="en-GB"/>
        </w:rPr>
        <w:lastRenderedPageBreak/>
        <w:t>Corporate treasury, trade finance, and investment banking of multinational companies in Indonesia and regional enterprises that need the use of international banking services.</w:t>
      </w:r>
    </w:p>
    <w:p w14:paraId="14913803" w14:textId="77777777" w:rsidR="00565403" w:rsidRPr="005E6D84" w:rsidRDefault="00565403" w:rsidP="00565403">
      <w:pPr>
        <w:pStyle w:val="ListParagraph"/>
        <w:numPr>
          <w:ilvl w:val="0"/>
          <w:numId w:val="9"/>
        </w:numPr>
        <w:rPr>
          <w:lang w:val="en-GB"/>
        </w:rPr>
      </w:pPr>
      <w:r w:rsidRPr="005E6D84">
        <w:rPr>
          <w:lang w:val="en-GB"/>
        </w:rPr>
        <w:t>It has developed private banking and wealth management solutions which cater to the high-net-worth individual markets (The market size of the private banking in Indonesia is estimated at USD 2.3 billion in 2035 with the compound annual growth rate of 12.7) (Expert Market Research, 2025).</w:t>
      </w:r>
    </w:p>
    <w:p w14:paraId="221E7BCC" w14:textId="77777777" w:rsidR="00565403" w:rsidRPr="005E6D84" w:rsidRDefault="00565403" w:rsidP="00565403">
      <w:pPr>
        <w:pStyle w:val="ListParagraph"/>
        <w:numPr>
          <w:ilvl w:val="0"/>
          <w:numId w:val="9"/>
        </w:numPr>
        <w:rPr>
          <w:lang w:val="en-GB"/>
        </w:rPr>
      </w:pPr>
      <w:r w:rsidRPr="005E6D84">
        <w:rPr>
          <w:lang w:val="en-GB"/>
        </w:rPr>
        <w:t>Islamic financial services that target the rapidly increasing demand in Indonesia on Sharia-compliant financial services that are in tandem with the high number of Muslims in Indonesia and the rising interest in the Islamic finance.</w:t>
      </w:r>
    </w:p>
    <w:p w14:paraId="067FF723" w14:textId="77777777" w:rsidR="00565403" w:rsidRPr="005E6D84" w:rsidRDefault="00565403" w:rsidP="00565403">
      <w:pPr>
        <w:pStyle w:val="ListParagraph"/>
        <w:numPr>
          <w:ilvl w:val="0"/>
          <w:numId w:val="9"/>
        </w:numPr>
        <w:rPr>
          <w:lang w:val="en-GB"/>
        </w:rPr>
      </w:pPr>
      <w:r w:rsidRPr="005E6D84">
        <w:rPr>
          <w:lang w:val="en-GB"/>
        </w:rPr>
        <w:t>International banking experience and intermediary payment facilities utilizing the global correspondent banking systems of Lloyds.</w:t>
      </w:r>
    </w:p>
    <w:p w14:paraId="7638ABC4" w14:textId="77777777" w:rsidR="00565403" w:rsidRPr="005E6D84" w:rsidRDefault="00565403" w:rsidP="00565403">
      <w:pPr>
        <w:pStyle w:val="Heading2"/>
        <w:rPr>
          <w:lang w:val="en-GB"/>
        </w:rPr>
      </w:pPr>
      <w:bookmarkStart w:id="8" w:name="_Toc216708581"/>
      <w:r w:rsidRPr="005E6D84">
        <w:rPr>
          <w:lang w:val="en-GB"/>
        </w:rPr>
        <w:t>Competitive Differentiation Strategy</w:t>
      </w:r>
      <w:bookmarkEnd w:id="8"/>
    </w:p>
    <w:p w14:paraId="772264ED" w14:textId="77777777" w:rsidR="00565403" w:rsidRPr="005E6D84" w:rsidRDefault="00565403" w:rsidP="00565403">
      <w:pPr>
        <w:rPr>
          <w:lang w:val="en-GB"/>
        </w:rPr>
      </w:pPr>
      <w:r w:rsidRPr="005E6D84">
        <w:rPr>
          <w:lang w:val="en-GB"/>
        </w:rPr>
        <w:t>Value Proposition Development</w:t>
      </w:r>
    </w:p>
    <w:p w14:paraId="7D86D97F" w14:textId="39FE0A02" w:rsidR="00565403" w:rsidRPr="005E6D84" w:rsidRDefault="00565403" w:rsidP="00565403">
      <w:pPr>
        <w:numPr>
          <w:ilvl w:val="0"/>
          <w:numId w:val="6"/>
        </w:numPr>
        <w:rPr>
          <w:lang w:val="en-GB"/>
        </w:rPr>
      </w:pPr>
      <w:r w:rsidRPr="005E6D84">
        <w:rPr>
          <w:lang w:val="en-GB"/>
        </w:rPr>
        <w:t xml:space="preserve">Superior Digital Banking Experience: Lloyds Artificial intelligence-driven interfaces would deliver quicker loan applications (mortgage applications cut down to seconds), </w:t>
      </w:r>
      <w:r w:rsidR="0066565E" w:rsidRPr="005E6D84">
        <w:rPr>
          <w:lang w:val="en-GB"/>
        </w:rPr>
        <w:t>personalized</w:t>
      </w:r>
      <w:r w:rsidRPr="005E6D84">
        <w:rPr>
          <w:lang w:val="en-GB"/>
        </w:rPr>
        <w:t xml:space="preserve"> financial guidance by the use of agentic AI systems, and mobile-first banking akin to the most advanced neobanks across the world (Finextra, 2025). This is the ability to directly respond to the demand of digital-native financial services by customers.</w:t>
      </w:r>
    </w:p>
    <w:p w14:paraId="3952D1A7" w14:textId="77777777" w:rsidR="00565403" w:rsidRPr="005E6D84" w:rsidRDefault="00565403" w:rsidP="00565403">
      <w:pPr>
        <w:numPr>
          <w:ilvl w:val="0"/>
          <w:numId w:val="6"/>
        </w:numPr>
        <w:rPr>
          <w:lang w:val="en-GB"/>
        </w:rPr>
      </w:pPr>
      <w:r w:rsidRPr="005E6D84">
        <w:rPr>
          <w:lang w:val="en-GB"/>
        </w:rPr>
        <w:t>Advanced Credit Risk Assessment: The 92.6% credit risk management efficiency coupled with sophisticated machine learning models developed by Lloyds would allow its credit risk management models to be more inclusive of lending to underserved MSME segments, which is a vital market constraint since the growth in MSME lending is significantly lower than other types of credit (Hossain, 2023).</w:t>
      </w:r>
    </w:p>
    <w:p w14:paraId="568C97F8" w14:textId="77777777" w:rsidR="0066565E" w:rsidRPr="005E6D84" w:rsidRDefault="00565403" w:rsidP="00565403">
      <w:pPr>
        <w:numPr>
          <w:ilvl w:val="0"/>
          <w:numId w:val="6"/>
        </w:numPr>
        <w:rPr>
          <w:lang w:val="en-GB"/>
        </w:rPr>
      </w:pPr>
      <w:r w:rsidRPr="005E6D84">
        <w:rPr>
          <w:lang w:val="en-GB"/>
        </w:rPr>
        <w:t>International Standards and Institutional Credibility: Lloyds offers unmatched standards of safety and regulatory compliance as a FTSE 100 bank with A- credit rating by Standard and Poor, which directly responds to the issue of trust in financial services in the emerging markets</w:t>
      </w:r>
      <w:r w:rsidR="0066565E" w:rsidRPr="005E6D84">
        <w:rPr>
          <w:lang w:val="en-GB"/>
        </w:rPr>
        <w:t>.</w:t>
      </w:r>
    </w:p>
    <w:p w14:paraId="26A6C84A" w14:textId="77777777" w:rsidR="0066565E" w:rsidRPr="005E6D84" w:rsidRDefault="00565403" w:rsidP="00565403">
      <w:pPr>
        <w:numPr>
          <w:ilvl w:val="0"/>
          <w:numId w:val="6"/>
        </w:numPr>
        <w:rPr>
          <w:lang w:val="en-GB"/>
        </w:rPr>
      </w:pPr>
      <w:r w:rsidRPr="005E6D84">
        <w:rPr>
          <w:lang w:val="en-GB"/>
        </w:rPr>
        <w:t>Ecosystem Integration Architecture: This structure of partnership allows integration with the favorite shopping, payment and transporting platforms of customers, which will minimize switching costs and help to quickly enter the digital-native groups of users.</w:t>
      </w:r>
    </w:p>
    <w:p w14:paraId="20321090" w14:textId="77777777" w:rsidR="00565403" w:rsidRPr="005E6D84" w:rsidRDefault="00565403" w:rsidP="00565403">
      <w:pPr>
        <w:pStyle w:val="Heading2"/>
        <w:rPr>
          <w:lang w:val="en-GB"/>
        </w:rPr>
      </w:pPr>
      <w:bookmarkStart w:id="9" w:name="_Toc216708582"/>
      <w:r w:rsidRPr="005E6D84">
        <w:rPr>
          <w:lang w:val="en-GB"/>
        </w:rPr>
        <w:lastRenderedPageBreak/>
        <w:t>Competitive Positioning Against Market Competitors</w:t>
      </w:r>
      <w:bookmarkEnd w:id="9"/>
    </w:p>
    <w:p w14:paraId="3BB2165D" w14:textId="7F128A93" w:rsidR="00565403" w:rsidRPr="005E6D84" w:rsidRDefault="00565403" w:rsidP="00565403">
      <w:pPr>
        <w:rPr>
          <w:lang w:val="en-GB"/>
        </w:rPr>
      </w:pPr>
      <w:r w:rsidRPr="005E6D84">
        <w:rPr>
          <w:lang w:val="en-GB"/>
        </w:rPr>
        <w:t xml:space="preserve">Lloyds </w:t>
      </w:r>
      <w:r w:rsidR="004771FA">
        <w:rPr>
          <w:lang w:val="en-GB"/>
        </w:rPr>
        <w:t>will beat</w:t>
      </w:r>
      <w:r w:rsidRPr="005E6D84">
        <w:rPr>
          <w:lang w:val="en-GB"/>
        </w:rPr>
        <w:t xml:space="preserve"> state-owned banks (BRI, Bank Mandiri, BNI) in areas of better digital innovation, quicker product development, and service-oriented design. Although state-owned banks have cost-of-capital benefits and a large number of branches, they are generally slow in digital transformation because of bureaucratic limitations and outdated technology networks (Li, 2022). Compared to domestic private banks, the international capital, high levels of data science, and global treasury Lloyds offers, the local competitors do not, yet local competitors are more informed about the regional preferences and regulatory specifics. In contrast to online-native competitors (neobanks, pure fintech), the partnership business model at Lloyds offers unique benefits: a combination of conventional banking infrastructure, well-developed compliance systems, and customer confidence with innovation that is digital first.</w:t>
      </w:r>
      <w:r w:rsidR="00F73A51" w:rsidRPr="005E6D84">
        <w:rPr>
          <w:lang w:val="en-GB"/>
        </w:rPr>
        <w:t xml:space="preserve"> </w:t>
      </w:r>
    </w:p>
    <w:p w14:paraId="42399C72" w14:textId="45AFBD18" w:rsidR="00565403" w:rsidRPr="005E6D84" w:rsidRDefault="00565403" w:rsidP="00A0332A">
      <w:pPr>
        <w:pStyle w:val="Heading2"/>
        <w:rPr>
          <w:lang w:val="en-GB"/>
        </w:rPr>
      </w:pPr>
      <w:bookmarkStart w:id="10" w:name="_Toc216708583"/>
      <w:r w:rsidRPr="005E6D84">
        <w:rPr>
          <w:lang w:val="en-GB"/>
        </w:rPr>
        <w:t>Risk Mitigation Framework</w:t>
      </w:r>
      <w:bookmarkEnd w:id="10"/>
    </w:p>
    <w:tbl>
      <w:tblPr>
        <w:tblStyle w:val="TableGrid"/>
        <w:tblW w:w="0" w:type="auto"/>
        <w:tblLook w:val="04A0" w:firstRow="1" w:lastRow="0" w:firstColumn="1" w:lastColumn="0" w:noHBand="0" w:noVBand="1"/>
      </w:tblPr>
      <w:tblGrid>
        <w:gridCol w:w="1854"/>
        <w:gridCol w:w="2379"/>
        <w:gridCol w:w="1324"/>
        <w:gridCol w:w="1030"/>
        <w:gridCol w:w="1073"/>
        <w:gridCol w:w="1916"/>
      </w:tblGrid>
      <w:tr w:rsidR="00CE59C9" w:rsidRPr="005E6D84" w14:paraId="20C57C64" w14:textId="77777777" w:rsidTr="0053284C">
        <w:tc>
          <w:tcPr>
            <w:tcW w:w="0" w:type="auto"/>
            <w:shd w:val="clear" w:color="auto" w:fill="8DB3E2" w:themeFill="text2" w:themeFillTint="66"/>
            <w:hideMark/>
          </w:tcPr>
          <w:p w14:paraId="37339A94" w14:textId="77777777" w:rsidR="00565403" w:rsidRPr="000C72E2" w:rsidRDefault="00565403" w:rsidP="0053284C">
            <w:pPr>
              <w:pStyle w:val="NoSpacing"/>
              <w:spacing w:line="360" w:lineRule="auto"/>
              <w:rPr>
                <w:b/>
                <w:bCs/>
                <w:szCs w:val="24"/>
                <w:lang w:val="en-GB"/>
              </w:rPr>
            </w:pPr>
            <w:r w:rsidRPr="000C72E2">
              <w:rPr>
                <w:b/>
                <w:bCs/>
                <w:szCs w:val="24"/>
                <w:lang w:val="en-GB"/>
              </w:rPr>
              <w:t>Risk Category</w:t>
            </w:r>
          </w:p>
        </w:tc>
        <w:tc>
          <w:tcPr>
            <w:tcW w:w="0" w:type="auto"/>
            <w:shd w:val="clear" w:color="auto" w:fill="8DB3E2" w:themeFill="text2" w:themeFillTint="66"/>
            <w:hideMark/>
          </w:tcPr>
          <w:p w14:paraId="51BDFF73" w14:textId="77777777" w:rsidR="00565403" w:rsidRPr="000C72E2" w:rsidRDefault="00565403" w:rsidP="0053284C">
            <w:pPr>
              <w:pStyle w:val="NoSpacing"/>
              <w:spacing w:line="360" w:lineRule="auto"/>
              <w:rPr>
                <w:b/>
                <w:bCs/>
                <w:szCs w:val="24"/>
                <w:lang w:val="en-GB"/>
              </w:rPr>
            </w:pPr>
            <w:r w:rsidRPr="000C72E2">
              <w:rPr>
                <w:b/>
                <w:bCs/>
                <w:szCs w:val="24"/>
                <w:lang w:val="en-GB"/>
              </w:rPr>
              <w:t>Risk Description</w:t>
            </w:r>
          </w:p>
        </w:tc>
        <w:tc>
          <w:tcPr>
            <w:tcW w:w="0" w:type="auto"/>
            <w:shd w:val="clear" w:color="auto" w:fill="8DB3E2" w:themeFill="text2" w:themeFillTint="66"/>
            <w:hideMark/>
          </w:tcPr>
          <w:p w14:paraId="00FDB6E6" w14:textId="77777777" w:rsidR="00565403" w:rsidRPr="000C72E2" w:rsidRDefault="00565403" w:rsidP="0053284C">
            <w:pPr>
              <w:pStyle w:val="NoSpacing"/>
              <w:spacing w:line="360" w:lineRule="auto"/>
              <w:rPr>
                <w:b/>
                <w:bCs/>
                <w:szCs w:val="24"/>
                <w:lang w:val="en-GB"/>
              </w:rPr>
            </w:pPr>
            <w:r w:rsidRPr="000C72E2">
              <w:rPr>
                <w:b/>
                <w:bCs/>
                <w:szCs w:val="24"/>
                <w:lang w:val="en-GB"/>
              </w:rPr>
              <w:t>Likelihood</w:t>
            </w:r>
          </w:p>
        </w:tc>
        <w:tc>
          <w:tcPr>
            <w:tcW w:w="0" w:type="auto"/>
            <w:shd w:val="clear" w:color="auto" w:fill="8DB3E2" w:themeFill="text2" w:themeFillTint="66"/>
            <w:hideMark/>
          </w:tcPr>
          <w:p w14:paraId="205E3A0C" w14:textId="77777777" w:rsidR="00565403" w:rsidRPr="000C72E2" w:rsidRDefault="00565403" w:rsidP="0053284C">
            <w:pPr>
              <w:pStyle w:val="NoSpacing"/>
              <w:spacing w:line="360" w:lineRule="auto"/>
              <w:rPr>
                <w:b/>
                <w:bCs/>
                <w:szCs w:val="24"/>
                <w:lang w:val="en-GB"/>
              </w:rPr>
            </w:pPr>
            <w:r w:rsidRPr="000C72E2">
              <w:rPr>
                <w:b/>
                <w:bCs/>
                <w:szCs w:val="24"/>
                <w:lang w:val="en-GB"/>
              </w:rPr>
              <w:t>Impact</w:t>
            </w:r>
          </w:p>
        </w:tc>
        <w:tc>
          <w:tcPr>
            <w:tcW w:w="0" w:type="auto"/>
            <w:shd w:val="clear" w:color="auto" w:fill="8DB3E2" w:themeFill="text2" w:themeFillTint="66"/>
            <w:hideMark/>
          </w:tcPr>
          <w:p w14:paraId="59E5A371" w14:textId="77777777" w:rsidR="00565403" w:rsidRPr="000C72E2" w:rsidRDefault="00565403" w:rsidP="0053284C">
            <w:pPr>
              <w:pStyle w:val="NoSpacing"/>
              <w:spacing w:line="360" w:lineRule="auto"/>
              <w:rPr>
                <w:b/>
                <w:bCs/>
                <w:szCs w:val="24"/>
                <w:lang w:val="en-GB"/>
              </w:rPr>
            </w:pPr>
            <w:r w:rsidRPr="000C72E2">
              <w:rPr>
                <w:b/>
                <w:bCs/>
                <w:szCs w:val="24"/>
                <w:lang w:val="en-GB"/>
              </w:rPr>
              <w:t>Overall Risk Level</w:t>
            </w:r>
          </w:p>
        </w:tc>
        <w:tc>
          <w:tcPr>
            <w:tcW w:w="0" w:type="auto"/>
            <w:shd w:val="clear" w:color="auto" w:fill="8DB3E2" w:themeFill="text2" w:themeFillTint="66"/>
            <w:hideMark/>
          </w:tcPr>
          <w:p w14:paraId="59BC1D86" w14:textId="77777777" w:rsidR="00565403" w:rsidRPr="000C72E2" w:rsidRDefault="00565403" w:rsidP="0053284C">
            <w:pPr>
              <w:pStyle w:val="NoSpacing"/>
              <w:spacing w:line="360" w:lineRule="auto"/>
              <w:rPr>
                <w:b/>
                <w:bCs/>
                <w:szCs w:val="24"/>
                <w:lang w:val="en-GB"/>
              </w:rPr>
            </w:pPr>
            <w:r w:rsidRPr="000C72E2">
              <w:rPr>
                <w:b/>
                <w:bCs/>
                <w:szCs w:val="24"/>
                <w:lang w:val="en-GB"/>
              </w:rPr>
              <w:t>Key Mitigation Strategies</w:t>
            </w:r>
          </w:p>
        </w:tc>
      </w:tr>
      <w:tr w:rsidR="00CE59C9" w:rsidRPr="005E6D84" w14:paraId="187FEE52" w14:textId="77777777" w:rsidTr="0053284C">
        <w:tc>
          <w:tcPr>
            <w:tcW w:w="0" w:type="auto"/>
            <w:hideMark/>
          </w:tcPr>
          <w:p w14:paraId="5341D295" w14:textId="77777777" w:rsidR="00565403" w:rsidRPr="000C72E2" w:rsidRDefault="00565403" w:rsidP="0053284C">
            <w:pPr>
              <w:pStyle w:val="NoSpacing"/>
              <w:spacing w:line="360" w:lineRule="auto"/>
              <w:rPr>
                <w:szCs w:val="24"/>
                <w:lang w:val="en-GB"/>
              </w:rPr>
            </w:pPr>
            <w:r w:rsidRPr="000C72E2">
              <w:rPr>
                <w:szCs w:val="24"/>
                <w:lang w:val="en-GB"/>
              </w:rPr>
              <w:t>Regulatory Risk</w:t>
            </w:r>
          </w:p>
        </w:tc>
        <w:tc>
          <w:tcPr>
            <w:tcW w:w="0" w:type="auto"/>
            <w:hideMark/>
          </w:tcPr>
          <w:p w14:paraId="1F387832" w14:textId="58CFAFC0" w:rsidR="00565403" w:rsidRPr="000C72E2" w:rsidRDefault="00565403" w:rsidP="00A0332A">
            <w:pPr>
              <w:rPr>
                <w:sz w:val="24"/>
                <w:szCs w:val="24"/>
              </w:rPr>
            </w:pPr>
            <w:r w:rsidRPr="000C72E2">
              <w:rPr>
                <w:sz w:val="24"/>
                <w:szCs w:val="24"/>
                <w:lang w:val="en-GB"/>
              </w:rPr>
              <w:t>Strict disclosure, governance, and compliance requirements enforced by the Indonesian Financial Services Authority (OJK) under Regulation No. 18/2025</w:t>
            </w:r>
            <w:r w:rsidR="00A0332A" w:rsidRPr="000C72E2">
              <w:rPr>
                <w:sz w:val="24"/>
                <w:szCs w:val="24"/>
                <w:lang w:val="en-GB"/>
              </w:rPr>
              <w:t xml:space="preserve"> </w:t>
            </w:r>
            <w:r w:rsidR="00D012C6" w:rsidRPr="000C72E2">
              <w:rPr>
                <w:sz w:val="24"/>
                <w:szCs w:val="24"/>
                <w:lang w:val="en-GB"/>
              </w:rPr>
              <w:t>(</w:t>
            </w:r>
            <w:r w:rsidR="00A0332A" w:rsidRPr="000C72E2">
              <w:rPr>
                <w:sz w:val="24"/>
                <w:szCs w:val="24"/>
                <w:lang w:val="en-GB"/>
              </w:rPr>
              <w:t>Kusnawirawan et al., 2025)</w:t>
            </w:r>
          </w:p>
        </w:tc>
        <w:tc>
          <w:tcPr>
            <w:tcW w:w="0" w:type="auto"/>
            <w:shd w:val="clear" w:color="auto" w:fill="FFFF00"/>
            <w:hideMark/>
          </w:tcPr>
          <w:p w14:paraId="5467D660" w14:textId="77777777" w:rsidR="00565403" w:rsidRPr="000C72E2" w:rsidRDefault="00565403" w:rsidP="0053284C">
            <w:pPr>
              <w:pStyle w:val="NoSpacing"/>
              <w:spacing w:line="360" w:lineRule="auto"/>
              <w:rPr>
                <w:szCs w:val="24"/>
                <w:lang w:val="en-GB"/>
              </w:rPr>
            </w:pPr>
            <w:r w:rsidRPr="000C72E2">
              <w:rPr>
                <w:szCs w:val="24"/>
                <w:lang w:val="en-GB"/>
              </w:rPr>
              <w:t>Medium</w:t>
            </w:r>
          </w:p>
        </w:tc>
        <w:tc>
          <w:tcPr>
            <w:tcW w:w="0" w:type="auto"/>
            <w:shd w:val="clear" w:color="auto" w:fill="EE0000"/>
            <w:hideMark/>
          </w:tcPr>
          <w:p w14:paraId="2E981444" w14:textId="77777777" w:rsidR="00565403" w:rsidRPr="000C72E2" w:rsidRDefault="00565403" w:rsidP="0053284C">
            <w:pPr>
              <w:pStyle w:val="NoSpacing"/>
              <w:spacing w:line="360" w:lineRule="auto"/>
              <w:rPr>
                <w:szCs w:val="24"/>
                <w:lang w:val="en-GB"/>
              </w:rPr>
            </w:pPr>
            <w:r w:rsidRPr="000C72E2">
              <w:rPr>
                <w:szCs w:val="24"/>
                <w:lang w:val="en-GB"/>
              </w:rPr>
              <w:t>High</w:t>
            </w:r>
          </w:p>
        </w:tc>
        <w:tc>
          <w:tcPr>
            <w:tcW w:w="0" w:type="auto"/>
            <w:shd w:val="clear" w:color="auto" w:fill="EE0000"/>
            <w:hideMark/>
          </w:tcPr>
          <w:p w14:paraId="1B4E440E" w14:textId="77777777" w:rsidR="00565403" w:rsidRPr="000C72E2" w:rsidRDefault="00565403" w:rsidP="0053284C">
            <w:pPr>
              <w:pStyle w:val="NoSpacing"/>
              <w:spacing w:line="360" w:lineRule="auto"/>
              <w:rPr>
                <w:szCs w:val="24"/>
                <w:lang w:val="en-GB"/>
              </w:rPr>
            </w:pPr>
            <w:r w:rsidRPr="000C72E2">
              <w:rPr>
                <w:szCs w:val="24"/>
                <w:lang w:val="en-GB"/>
              </w:rPr>
              <w:t>High</w:t>
            </w:r>
          </w:p>
        </w:tc>
        <w:tc>
          <w:tcPr>
            <w:tcW w:w="0" w:type="auto"/>
            <w:hideMark/>
          </w:tcPr>
          <w:p w14:paraId="66850454" w14:textId="77777777" w:rsidR="003F0343" w:rsidRDefault="00565403" w:rsidP="0053284C">
            <w:pPr>
              <w:pStyle w:val="NoSpacing"/>
              <w:spacing w:line="360" w:lineRule="auto"/>
              <w:rPr>
                <w:szCs w:val="24"/>
                <w:lang w:val="en-GB"/>
              </w:rPr>
            </w:pPr>
            <w:r w:rsidRPr="000C72E2">
              <w:rPr>
                <w:szCs w:val="24"/>
                <w:lang w:val="en-GB"/>
              </w:rPr>
              <w:t>Establish dedicated compliance teams with OJK expertise</w:t>
            </w:r>
            <w:r w:rsidR="003F0343">
              <w:rPr>
                <w:szCs w:val="24"/>
                <w:lang w:val="en-GB"/>
              </w:rPr>
              <w:t>.</w:t>
            </w:r>
          </w:p>
          <w:p w14:paraId="24C63522" w14:textId="77777777" w:rsidR="008355E0" w:rsidRDefault="003F0343" w:rsidP="0053284C">
            <w:pPr>
              <w:pStyle w:val="NoSpacing"/>
              <w:spacing w:line="360" w:lineRule="auto"/>
              <w:rPr>
                <w:szCs w:val="24"/>
                <w:lang w:val="en-GB"/>
              </w:rPr>
            </w:pPr>
            <w:r>
              <w:rPr>
                <w:szCs w:val="24"/>
                <w:lang w:val="en-GB"/>
              </w:rPr>
              <w:t>I</w:t>
            </w:r>
            <w:r w:rsidR="00565403" w:rsidRPr="000C72E2">
              <w:rPr>
                <w:szCs w:val="24"/>
                <w:lang w:val="en-GB"/>
              </w:rPr>
              <w:t>mplement robust reporting and governance systems</w:t>
            </w:r>
            <w:r w:rsidR="008355E0">
              <w:rPr>
                <w:szCs w:val="24"/>
                <w:lang w:val="en-GB"/>
              </w:rPr>
              <w:t>.</w:t>
            </w:r>
          </w:p>
          <w:p w14:paraId="24958E47" w14:textId="56C4D8D2" w:rsidR="00565403" w:rsidRPr="000C72E2" w:rsidRDefault="008355E0" w:rsidP="0053284C">
            <w:pPr>
              <w:pStyle w:val="NoSpacing"/>
              <w:spacing w:line="360" w:lineRule="auto"/>
              <w:rPr>
                <w:szCs w:val="24"/>
                <w:lang w:val="en-GB"/>
              </w:rPr>
            </w:pPr>
            <w:r>
              <w:rPr>
                <w:szCs w:val="24"/>
                <w:lang w:val="en-GB"/>
              </w:rPr>
              <w:t>M</w:t>
            </w:r>
            <w:r w:rsidR="00565403" w:rsidRPr="000C72E2">
              <w:rPr>
                <w:szCs w:val="24"/>
                <w:lang w:val="en-GB"/>
              </w:rPr>
              <w:t>aintain continuous engagement with OJK on regulatory updates</w:t>
            </w:r>
          </w:p>
        </w:tc>
      </w:tr>
      <w:tr w:rsidR="00CE59C9" w:rsidRPr="005E6D84" w14:paraId="2AEF8B90" w14:textId="77777777" w:rsidTr="0053284C">
        <w:tc>
          <w:tcPr>
            <w:tcW w:w="0" w:type="auto"/>
            <w:hideMark/>
          </w:tcPr>
          <w:p w14:paraId="7EE67FED" w14:textId="77777777" w:rsidR="00565403" w:rsidRPr="000C72E2" w:rsidRDefault="00565403" w:rsidP="0053284C">
            <w:pPr>
              <w:pStyle w:val="NoSpacing"/>
              <w:spacing w:line="360" w:lineRule="auto"/>
              <w:rPr>
                <w:szCs w:val="24"/>
                <w:lang w:val="en-GB"/>
              </w:rPr>
            </w:pPr>
            <w:r w:rsidRPr="000C72E2">
              <w:rPr>
                <w:szCs w:val="24"/>
                <w:lang w:val="en-GB"/>
              </w:rPr>
              <w:t xml:space="preserve">Foreign </w:t>
            </w:r>
            <w:r w:rsidRPr="000C72E2">
              <w:rPr>
                <w:szCs w:val="24"/>
                <w:lang w:val="en-GB"/>
              </w:rPr>
              <w:lastRenderedPageBreak/>
              <w:t>Exchange &amp; Economic Risk</w:t>
            </w:r>
          </w:p>
        </w:tc>
        <w:tc>
          <w:tcPr>
            <w:tcW w:w="0" w:type="auto"/>
            <w:hideMark/>
          </w:tcPr>
          <w:p w14:paraId="6BC69384" w14:textId="77777777" w:rsidR="00565403" w:rsidRPr="000C72E2" w:rsidRDefault="00565403" w:rsidP="0053284C">
            <w:pPr>
              <w:pStyle w:val="NoSpacing"/>
              <w:spacing w:line="360" w:lineRule="auto"/>
              <w:rPr>
                <w:szCs w:val="24"/>
                <w:lang w:val="en-GB"/>
              </w:rPr>
            </w:pPr>
            <w:r w:rsidRPr="000C72E2">
              <w:rPr>
                <w:szCs w:val="24"/>
                <w:lang w:val="en-GB"/>
              </w:rPr>
              <w:lastRenderedPageBreak/>
              <w:t xml:space="preserve">Volatility of the </w:t>
            </w:r>
            <w:r w:rsidRPr="000C72E2">
              <w:rPr>
                <w:szCs w:val="24"/>
                <w:lang w:val="en-GB"/>
              </w:rPr>
              <w:lastRenderedPageBreak/>
              <w:t>Indonesian Rupiah due to global trade tensions, tariff policies, and macroeconomic fluctuations</w:t>
            </w:r>
          </w:p>
        </w:tc>
        <w:tc>
          <w:tcPr>
            <w:tcW w:w="0" w:type="auto"/>
            <w:shd w:val="clear" w:color="auto" w:fill="EE0000"/>
            <w:hideMark/>
          </w:tcPr>
          <w:p w14:paraId="3C1628DD" w14:textId="77777777" w:rsidR="00565403" w:rsidRPr="000C72E2" w:rsidRDefault="00565403" w:rsidP="0053284C">
            <w:pPr>
              <w:pStyle w:val="NoSpacing"/>
              <w:spacing w:line="360" w:lineRule="auto"/>
              <w:rPr>
                <w:szCs w:val="24"/>
                <w:lang w:val="en-GB"/>
              </w:rPr>
            </w:pPr>
            <w:r w:rsidRPr="000C72E2">
              <w:rPr>
                <w:szCs w:val="24"/>
                <w:lang w:val="en-GB"/>
              </w:rPr>
              <w:lastRenderedPageBreak/>
              <w:t>High</w:t>
            </w:r>
          </w:p>
        </w:tc>
        <w:tc>
          <w:tcPr>
            <w:tcW w:w="0" w:type="auto"/>
            <w:shd w:val="clear" w:color="auto" w:fill="EE0000"/>
            <w:hideMark/>
          </w:tcPr>
          <w:p w14:paraId="392A6E24" w14:textId="77777777" w:rsidR="00565403" w:rsidRPr="000C72E2" w:rsidRDefault="00565403" w:rsidP="0053284C">
            <w:pPr>
              <w:pStyle w:val="NoSpacing"/>
              <w:spacing w:line="360" w:lineRule="auto"/>
              <w:rPr>
                <w:szCs w:val="24"/>
                <w:lang w:val="en-GB"/>
              </w:rPr>
            </w:pPr>
            <w:r w:rsidRPr="000C72E2">
              <w:rPr>
                <w:szCs w:val="24"/>
                <w:lang w:val="en-GB"/>
              </w:rPr>
              <w:t>High</w:t>
            </w:r>
          </w:p>
        </w:tc>
        <w:tc>
          <w:tcPr>
            <w:tcW w:w="0" w:type="auto"/>
            <w:shd w:val="clear" w:color="auto" w:fill="EE0000"/>
            <w:hideMark/>
          </w:tcPr>
          <w:p w14:paraId="2BD03C56" w14:textId="77777777" w:rsidR="00565403" w:rsidRPr="000C72E2" w:rsidRDefault="00565403" w:rsidP="0053284C">
            <w:pPr>
              <w:pStyle w:val="NoSpacing"/>
              <w:spacing w:line="360" w:lineRule="auto"/>
              <w:rPr>
                <w:szCs w:val="24"/>
                <w:lang w:val="en-GB"/>
              </w:rPr>
            </w:pPr>
            <w:r w:rsidRPr="000C72E2">
              <w:rPr>
                <w:szCs w:val="24"/>
                <w:lang w:val="en-GB"/>
              </w:rPr>
              <w:t>High</w:t>
            </w:r>
          </w:p>
        </w:tc>
        <w:tc>
          <w:tcPr>
            <w:tcW w:w="0" w:type="auto"/>
            <w:hideMark/>
          </w:tcPr>
          <w:p w14:paraId="567E955D" w14:textId="77777777" w:rsidR="000569FE" w:rsidRDefault="00565403" w:rsidP="006100E4">
            <w:pPr>
              <w:rPr>
                <w:sz w:val="24"/>
                <w:szCs w:val="24"/>
                <w:lang w:val="en-GB"/>
              </w:rPr>
            </w:pPr>
            <w:r w:rsidRPr="000C72E2">
              <w:rPr>
                <w:sz w:val="24"/>
                <w:szCs w:val="24"/>
                <w:lang w:val="en-GB"/>
              </w:rPr>
              <w:t xml:space="preserve">Apply natural </w:t>
            </w:r>
            <w:r w:rsidRPr="000C72E2">
              <w:rPr>
                <w:sz w:val="24"/>
                <w:szCs w:val="24"/>
                <w:lang w:val="en-GB"/>
              </w:rPr>
              <w:lastRenderedPageBreak/>
              <w:t>hedging through rupiah-denominated assets and liabilities</w:t>
            </w:r>
            <w:r w:rsidR="000569FE">
              <w:rPr>
                <w:sz w:val="24"/>
                <w:szCs w:val="24"/>
                <w:lang w:val="en-GB"/>
              </w:rPr>
              <w:t>.</w:t>
            </w:r>
          </w:p>
          <w:p w14:paraId="7942E6E7" w14:textId="77777777" w:rsidR="00CE59C9" w:rsidRDefault="000569FE" w:rsidP="006100E4">
            <w:pPr>
              <w:rPr>
                <w:sz w:val="24"/>
                <w:szCs w:val="24"/>
                <w:lang w:val="en-GB"/>
              </w:rPr>
            </w:pPr>
            <w:r>
              <w:rPr>
                <w:sz w:val="24"/>
                <w:szCs w:val="24"/>
                <w:lang w:val="en-GB"/>
              </w:rPr>
              <w:t>I</w:t>
            </w:r>
            <w:r w:rsidR="00565403" w:rsidRPr="000C72E2">
              <w:rPr>
                <w:sz w:val="24"/>
                <w:szCs w:val="24"/>
                <w:lang w:val="en-GB"/>
              </w:rPr>
              <w:t>nclude FX protection clauses in partnership agreements</w:t>
            </w:r>
            <w:r w:rsidR="00CE59C9">
              <w:rPr>
                <w:sz w:val="24"/>
                <w:szCs w:val="24"/>
                <w:lang w:val="en-GB"/>
              </w:rPr>
              <w:t>.</w:t>
            </w:r>
          </w:p>
          <w:p w14:paraId="6EA7803D" w14:textId="3F857A40" w:rsidR="00565403" w:rsidRPr="000C72E2" w:rsidRDefault="00CE59C9" w:rsidP="006100E4">
            <w:pPr>
              <w:rPr>
                <w:sz w:val="24"/>
                <w:szCs w:val="24"/>
              </w:rPr>
            </w:pPr>
            <w:r>
              <w:rPr>
                <w:sz w:val="24"/>
                <w:szCs w:val="24"/>
                <w:lang w:val="en-GB"/>
              </w:rPr>
              <w:t>M</w:t>
            </w:r>
            <w:r w:rsidR="00565403" w:rsidRPr="000C72E2">
              <w:rPr>
                <w:sz w:val="24"/>
                <w:szCs w:val="24"/>
                <w:lang w:val="en-GB"/>
              </w:rPr>
              <w:t>aintain capital buffers above regulatory minimums</w:t>
            </w:r>
            <w:r w:rsidR="0064752B" w:rsidRPr="000C72E2">
              <w:rPr>
                <w:sz w:val="24"/>
                <w:szCs w:val="24"/>
                <w:lang w:val="en-GB"/>
              </w:rPr>
              <w:t xml:space="preserve"> (Candra, 2025)</w:t>
            </w:r>
          </w:p>
        </w:tc>
      </w:tr>
      <w:tr w:rsidR="00CE59C9" w:rsidRPr="005E6D84" w14:paraId="598FA65B" w14:textId="77777777" w:rsidTr="0053284C">
        <w:tc>
          <w:tcPr>
            <w:tcW w:w="0" w:type="auto"/>
            <w:hideMark/>
          </w:tcPr>
          <w:p w14:paraId="42C9E044" w14:textId="77777777" w:rsidR="00565403" w:rsidRPr="000C72E2" w:rsidRDefault="00565403" w:rsidP="0053284C">
            <w:pPr>
              <w:pStyle w:val="NoSpacing"/>
              <w:spacing w:line="360" w:lineRule="auto"/>
              <w:rPr>
                <w:szCs w:val="24"/>
                <w:lang w:val="en-GB"/>
              </w:rPr>
            </w:pPr>
            <w:r w:rsidRPr="000C72E2">
              <w:rPr>
                <w:szCs w:val="24"/>
                <w:lang w:val="en-GB"/>
              </w:rPr>
              <w:lastRenderedPageBreak/>
              <w:t>Credit &amp; MSME Risk</w:t>
            </w:r>
          </w:p>
        </w:tc>
        <w:tc>
          <w:tcPr>
            <w:tcW w:w="0" w:type="auto"/>
            <w:hideMark/>
          </w:tcPr>
          <w:p w14:paraId="55AD5915" w14:textId="77777777" w:rsidR="00565403" w:rsidRPr="000C72E2" w:rsidRDefault="00565403" w:rsidP="0053284C">
            <w:pPr>
              <w:pStyle w:val="NoSpacing"/>
              <w:spacing w:line="360" w:lineRule="auto"/>
              <w:rPr>
                <w:szCs w:val="24"/>
                <w:lang w:val="en-GB"/>
              </w:rPr>
            </w:pPr>
            <w:r w:rsidRPr="000C72E2">
              <w:rPr>
                <w:szCs w:val="24"/>
                <w:lang w:val="en-GB"/>
              </w:rPr>
              <w:t>Higher non-performing loan (NPL) ratios within MSME lending segments due to economic vulnerability</w:t>
            </w:r>
          </w:p>
        </w:tc>
        <w:tc>
          <w:tcPr>
            <w:tcW w:w="0" w:type="auto"/>
            <w:shd w:val="clear" w:color="auto" w:fill="FFFF00"/>
            <w:hideMark/>
          </w:tcPr>
          <w:p w14:paraId="763F664C" w14:textId="77777777" w:rsidR="00565403" w:rsidRPr="000C72E2" w:rsidRDefault="00565403" w:rsidP="0053284C">
            <w:pPr>
              <w:pStyle w:val="NoSpacing"/>
              <w:spacing w:line="360" w:lineRule="auto"/>
              <w:rPr>
                <w:szCs w:val="24"/>
                <w:lang w:val="en-GB"/>
              </w:rPr>
            </w:pPr>
            <w:r w:rsidRPr="000C72E2">
              <w:rPr>
                <w:szCs w:val="24"/>
                <w:lang w:val="en-GB"/>
              </w:rPr>
              <w:t>Medium</w:t>
            </w:r>
          </w:p>
        </w:tc>
        <w:tc>
          <w:tcPr>
            <w:tcW w:w="0" w:type="auto"/>
            <w:shd w:val="clear" w:color="auto" w:fill="EE0000"/>
            <w:hideMark/>
          </w:tcPr>
          <w:p w14:paraId="7944727C" w14:textId="77777777" w:rsidR="00565403" w:rsidRPr="000C72E2" w:rsidRDefault="00565403" w:rsidP="0053284C">
            <w:pPr>
              <w:pStyle w:val="NoSpacing"/>
              <w:spacing w:line="360" w:lineRule="auto"/>
              <w:rPr>
                <w:szCs w:val="24"/>
                <w:lang w:val="en-GB"/>
              </w:rPr>
            </w:pPr>
            <w:r w:rsidRPr="000C72E2">
              <w:rPr>
                <w:szCs w:val="24"/>
                <w:lang w:val="en-GB"/>
              </w:rPr>
              <w:t>High</w:t>
            </w:r>
          </w:p>
        </w:tc>
        <w:tc>
          <w:tcPr>
            <w:tcW w:w="0" w:type="auto"/>
            <w:shd w:val="clear" w:color="auto" w:fill="EE0000"/>
            <w:hideMark/>
          </w:tcPr>
          <w:p w14:paraId="51E8E912" w14:textId="77777777" w:rsidR="00565403" w:rsidRPr="000C72E2" w:rsidRDefault="00565403" w:rsidP="0053284C">
            <w:pPr>
              <w:pStyle w:val="NoSpacing"/>
              <w:spacing w:line="360" w:lineRule="auto"/>
              <w:rPr>
                <w:szCs w:val="24"/>
                <w:lang w:val="en-GB"/>
              </w:rPr>
            </w:pPr>
            <w:r w:rsidRPr="000C72E2">
              <w:rPr>
                <w:szCs w:val="24"/>
                <w:lang w:val="en-GB"/>
              </w:rPr>
              <w:t>High</w:t>
            </w:r>
          </w:p>
        </w:tc>
        <w:tc>
          <w:tcPr>
            <w:tcW w:w="0" w:type="auto"/>
            <w:hideMark/>
          </w:tcPr>
          <w:p w14:paraId="695F38BE" w14:textId="77777777" w:rsidR="001725F0" w:rsidRDefault="00565403" w:rsidP="0053284C">
            <w:pPr>
              <w:pStyle w:val="NoSpacing"/>
              <w:spacing w:line="360" w:lineRule="auto"/>
              <w:rPr>
                <w:szCs w:val="24"/>
                <w:lang w:val="en-GB"/>
              </w:rPr>
            </w:pPr>
            <w:r w:rsidRPr="000C72E2">
              <w:rPr>
                <w:szCs w:val="24"/>
                <w:lang w:val="en-GB"/>
              </w:rPr>
              <w:t>Deploy advanced AI-driven credit scoring models using supply-chain and e-commerce data</w:t>
            </w:r>
            <w:r w:rsidR="00C928EF">
              <w:rPr>
                <w:szCs w:val="24"/>
                <w:lang w:val="en-GB"/>
              </w:rPr>
              <w:t>.</w:t>
            </w:r>
            <w:r w:rsidRPr="000C72E2">
              <w:rPr>
                <w:szCs w:val="24"/>
                <w:lang w:val="en-GB"/>
              </w:rPr>
              <w:t xml:space="preserve"> hold higher-than-required capital reserves</w:t>
            </w:r>
            <w:r w:rsidR="001725F0">
              <w:rPr>
                <w:szCs w:val="24"/>
                <w:lang w:val="en-GB"/>
              </w:rPr>
              <w:t>.</w:t>
            </w:r>
          </w:p>
          <w:p w14:paraId="6F423246" w14:textId="0510CDB5" w:rsidR="00565403" w:rsidRPr="000C72E2" w:rsidRDefault="001725F0" w:rsidP="0053284C">
            <w:pPr>
              <w:pStyle w:val="NoSpacing"/>
              <w:spacing w:line="360" w:lineRule="auto"/>
              <w:rPr>
                <w:szCs w:val="24"/>
                <w:lang w:val="en-GB"/>
              </w:rPr>
            </w:pPr>
            <w:r>
              <w:rPr>
                <w:szCs w:val="24"/>
                <w:lang w:val="en-GB"/>
              </w:rPr>
              <w:t>P</w:t>
            </w:r>
            <w:r w:rsidR="00565403" w:rsidRPr="000C72E2">
              <w:rPr>
                <w:szCs w:val="24"/>
                <w:lang w:val="en-GB"/>
              </w:rPr>
              <w:t>artner with trade credit insurance providers</w:t>
            </w:r>
          </w:p>
        </w:tc>
      </w:tr>
      <w:tr w:rsidR="00CE59C9" w:rsidRPr="005E6D84" w14:paraId="51D49F0C" w14:textId="77777777" w:rsidTr="0053284C">
        <w:tc>
          <w:tcPr>
            <w:tcW w:w="0" w:type="auto"/>
            <w:hideMark/>
          </w:tcPr>
          <w:p w14:paraId="76EDE5DE" w14:textId="77777777" w:rsidR="00565403" w:rsidRPr="000C72E2" w:rsidRDefault="00565403" w:rsidP="0053284C">
            <w:pPr>
              <w:pStyle w:val="NoSpacing"/>
              <w:spacing w:line="360" w:lineRule="auto"/>
              <w:rPr>
                <w:szCs w:val="24"/>
                <w:lang w:val="en-GB"/>
              </w:rPr>
            </w:pPr>
            <w:r w:rsidRPr="000C72E2">
              <w:rPr>
                <w:szCs w:val="24"/>
                <w:lang w:val="en-GB"/>
              </w:rPr>
              <w:t>Geopolitical &amp; Macroeconomic Risk</w:t>
            </w:r>
          </w:p>
        </w:tc>
        <w:tc>
          <w:tcPr>
            <w:tcW w:w="0" w:type="auto"/>
            <w:hideMark/>
          </w:tcPr>
          <w:p w14:paraId="1F987CAC" w14:textId="083AFF53" w:rsidR="00565403" w:rsidRPr="000C72E2" w:rsidRDefault="00565403" w:rsidP="000C72E2">
            <w:pPr>
              <w:rPr>
                <w:sz w:val="24"/>
                <w:szCs w:val="24"/>
              </w:rPr>
            </w:pPr>
            <w:r w:rsidRPr="000C72E2">
              <w:rPr>
                <w:sz w:val="24"/>
                <w:szCs w:val="24"/>
                <w:lang w:val="en-GB"/>
              </w:rPr>
              <w:t xml:space="preserve">Global trade instability, political transitions, and policy </w:t>
            </w:r>
            <w:r w:rsidRPr="000C72E2">
              <w:rPr>
                <w:sz w:val="24"/>
                <w:szCs w:val="24"/>
                <w:lang w:val="en-GB"/>
              </w:rPr>
              <w:lastRenderedPageBreak/>
              <w:t>uncertainty affecting market conditions</w:t>
            </w:r>
            <w:r w:rsidR="008A2086" w:rsidRPr="000C72E2">
              <w:rPr>
                <w:sz w:val="24"/>
                <w:szCs w:val="24"/>
                <w:lang w:val="en-GB"/>
              </w:rPr>
              <w:t xml:space="preserve"> (</w:t>
            </w:r>
            <w:r w:rsidR="000C72E2" w:rsidRPr="000C72E2">
              <w:rPr>
                <w:sz w:val="24"/>
                <w:szCs w:val="24"/>
                <w:lang w:val="en-GB"/>
              </w:rPr>
              <w:t>Zulkarnain, 2024</w:t>
            </w:r>
            <w:r w:rsidR="008A2086" w:rsidRPr="000C72E2">
              <w:rPr>
                <w:sz w:val="24"/>
                <w:szCs w:val="24"/>
                <w:lang w:val="en-GB"/>
              </w:rPr>
              <w:t>)</w:t>
            </w:r>
          </w:p>
        </w:tc>
        <w:tc>
          <w:tcPr>
            <w:tcW w:w="0" w:type="auto"/>
            <w:shd w:val="clear" w:color="auto" w:fill="FFFF00"/>
            <w:hideMark/>
          </w:tcPr>
          <w:p w14:paraId="37F39240" w14:textId="77777777" w:rsidR="00565403" w:rsidRPr="000C72E2" w:rsidRDefault="00565403" w:rsidP="0053284C">
            <w:pPr>
              <w:pStyle w:val="NoSpacing"/>
              <w:spacing w:line="360" w:lineRule="auto"/>
              <w:rPr>
                <w:szCs w:val="24"/>
                <w:lang w:val="en-GB"/>
              </w:rPr>
            </w:pPr>
            <w:r w:rsidRPr="000C72E2">
              <w:rPr>
                <w:szCs w:val="24"/>
                <w:lang w:val="en-GB"/>
              </w:rPr>
              <w:lastRenderedPageBreak/>
              <w:t>Medium</w:t>
            </w:r>
          </w:p>
        </w:tc>
        <w:tc>
          <w:tcPr>
            <w:tcW w:w="0" w:type="auto"/>
            <w:shd w:val="clear" w:color="auto" w:fill="FFFF00"/>
            <w:hideMark/>
          </w:tcPr>
          <w:p w14:paraId="163E6AD5" w14:textId="77777777" w:rsidR="00565403" w:rsidRPr="000C72E2" w:rsidRDefault="00565403" w:rsidP="0053284C">
            <w:pPr>
              <w:pStyle w:val="NoSpacing"/>
              <w:spacing w:line="360" w:lineRule="auto"/>
              <w:rPr>
                <w:szCs w:val="24"/>
                <w:lang w:val="en-GB"/>
              </w:rPr>
            </w:pPr>
            <w:r w:rsidRPr="000C72E2">
              <w:rPr>
                <w:szCs w:val="24"/>
                <w:lang w:val="en-GB"/>
              </w:rPr>
              <w:t>Medium</w:t>
            </w:r>
          </w:p>
        </w:tc>
        <w:tc>
          <w:tcPr>
            <w:tcW w:w="0" w:type="auto"/>
            <w:shd w:val="clear" w:color="auto" w:fill="FFFF00"/>
            <w:hideMark/>
          </w:tcPr>
          <w:p w14:paraId="73952F17" w14:textId="77777777" w:rsidR="00565403" w:rsidRPr="000C72E2" w:rsidRDefault="00565403" w:rsidP="0053284C">
            <w:pPr>
              <w:pStyle w:val="NoSpacing"/>
              <w:spacing w:line="360" w:lineRule="auto"/>
              <w:rPr>
                <w:szCs w:val="24"/>
                <w:lang w:val="en-GB"/>
              </w:rPr>
            </w:pPr>
            <w:r w:rsidRPr="000C72E2">
              <w:rPr>
                <w:szCs w:val="24"/>
                <w:lang w:val="en-GB"/>
              </w:rPr>
              <w:t>Medium</w:t>
            </w:r>
          </w:p>
        </w:tc>
        <w:tc>
          <w:tcPr>
            <w:tcW w:w="0" w:type="auto"/>
            <w:hideMark/>
          </w:tcPr>
          <w:p w14:paraId="27EF9BAB" w14:textId="77777777" w:rsidR="00123389" w:rsidRDefault="00565403" w:rsidP="0053284C">
            <w:pPr>
              <w:pStyle w:val="NoSpacing"/>
              <w:spacing w:line="360" w:lineRule="auto"/>
              <w:rPr>
                <w:szCs w:val="24"/>
                <w:lang w:val="en-GB"/>
              </w:rPr>
            </w:pPr>
            <w:r w:rsidRPr="000C72E2">
              <w:rPr>
                <w:szCs w:val="24"/>
                <w:lang w:val="en-GB"/>
              </w:rPr>
              <w:t>Maintain flexible capital allocation strategies</w:t>
            </w:r>
            <w:r w:rsidR="00134213">
              <w:rPr>
                <w:szCs w:val="24"/>
                <w:lang w:val="en-GB"/>
              </w:rPr>
              <w:t>.</w:t>
            </w:r>
            <w:r w:rsidRPr="000C72E2">
              <w:rPr>
                <w:szCs w:val="24"/>
                <w:lang w:val="en-GB"/>
              </w:rPr>
              <w:t xml:space="preserve"> </w:t>
            </w:r>
            <w:r w:rsidR="00134213">
              <w:rPr>
                <w:szCs w:val="24"/>
                <w:lang w:val="en-GB"/>
              </w:rPr>
              <w:lastRenderedPageBreak/>
              <w:t>D</w:t>
            </w:r>
            <w:r w:rsidRPr="000C72E2">
              <w:rPr>
                <w:szCs w:val="24"/>
                <w:lang w:val="en-GB"/>
              </w:rPr>
              <w:t>iversify into recession-resilient revenue streams</w:t>
            </w:r>
            <w:r w:rsidR="00123389">
              <w:rPr>
                <w:szCs w:val="24"/>
                <w:lang w:val="en-GB"/>
              </w:rPr>
              <w:t>.</w:t>
            </w:r>
          </w:p>
          <w:p w14:paraId="3D3C6AA9" w14:textId="2E33C5D1" w:rsidR="00565403" w:rsidRPr="000C72E2" w:rsidRDefault="00123389" w:rsidP="0053284C">
            <w:pPr>
              <w:pStyle w:val="NoSpacing"/>
              <w:spacing w:line="360" w:lineRule="auto"/>
              <w:rPr>
                <w:szCs w:val="24"/>
                <w:lang w:val="en-GB"/>
              </w:rPr>
            </w:pPr>
            <w:r>
              <w:rPr>
                <w:szCs w:val="24"/>
                <w:lang w:val="en-GB"/>
              </w:rPr>
              <w:t>U</w:t>
            </w:r>
            <w:r w:rsidR="00565403" w:rsidRPr="000C72E2">
              <w:rPr>
                <w:szCs w:val="24"/>
                <w:lang w:val="en-GB"/>
              </w:rPr>
              <w:t>tilise dedicated market intelligence and geopolitical monitoring functions</w:t>
            </w:r>
          </w:p>
        </w:tc>
      </w:tr>
    </w:tbl>
    <w:p w14:paraId="64E67E67" w14:textId="77777777" w:rsidR="00565403" w:rsidRPr="005E6D84" w:rsidRDefault="00565403" w:rsidP="00565403">
      <w:pPr>
        <w:pStyle w:val="Heading1"/>
        <w:rPr>
          <w:lang w:val="en-GB"/>
        </w:rPr>
      </w:pPr>
      <w:bookmarkStart w:id="11" w:name="_Toc216708584"/>
      <w:r w:rsidRPr="005E6D84">
        <w:rPr>
          <w:lang w:val="en-GB"/>
        </w:rPr>
        <w:lastRenderedPageBreak/>
        <w:t>Performance evaluation framework</w:t>
      </w:r>
      <w:bookmarkEnd w:id="11"/>
      <w:r w:rsidRPr="005E6D84">
        <w:rPr>
          <w:lang w:val="en-GB"/>
        </w:rPr>
        <w:t xml:space="preserve"> </w:t>
      </w:r>
    </w:p>
    <w:p w14:paraId="798C1699" w14:textId="77777777" w:rsidR="00565403" w:rsidRPr="005E6D84" w:rsidRDefault="00565403" w:rsidP="00565403">
      <w:pPr>
        <w:pStyle w:val="Heading2"/>
        <w:rPr>
          <w:lang w:val="en-GB"/>
        </w:rPr>
      </w:pPr>
      <w:bookmarkStart w:id="12" w:name="_Toc216708585"/>
      <w:r w:rsidRPr="005E6D84">
        <w:rPr>
          <w:lang w:val="en-GB"/>
        </w:rPr>
        <w:t>Balanced Scorecard Design</w:t>
      </w:r>
      <w:bookmarkEnd w:id="12"/>
    </w:p>
    <w:p w14:paraId="0E4BDBFA" w14:textId="04C67222" w:rsidR="00565403" w:rsidRPr="005E6D84" w:rsidRDefault="00565403" w:rsidP="00565403">
      <w:pPr>
        <w:rPr>
          <w:lang w:val="en-GB"/>
        </w:rPr>
      </w:pPr>
      <w:r w:rsidRPr="005E6D84">
        <w:rPr>
          <w:lang w:val="en-GB"/>
        </w:rPr>
        <w:t xml:space="preserve">Balanced Scorecard framework offers a thorough performance measurement in four strategic perspectives </w:t>
      </w:r>
      <w:r w:rsidR="007C5B13">
        <w:rPr>
          <w:lang w:val="en-GB"/>
        </w:rPr>
        <w:t>that are defined below:</w:t>
      </w:r>
    </w:p>
    <w:p w14:paraId="0F42CAFC" w14:textId="77777777" w:rsidR="00565403" w:rsidRPr="005E6D84" w:rsidRDefault="00565403" w:rsidP="00565403">
      <w:pPr>
        <w:keepNext/>
        <w:jc w:val="center"/>
        <w:rPr>
          <w:color w:val="000000" w:themeColor="text1"/>
          <w:szCs w:val="24"/>
          <w:lang w:val="en-GB"/>
        </w:rPr>
      </w:pPr>
      <w:r w:rsidRPr="005E6D84">
        <w:rPr>
          <w:noProof/>
          <w:color w:val="000000" w:themeColor="text1"/>
          <w:szCs w:val="24"/>
          <w:lang w:val="en-GB"/>
        </w:rPr>
        <w:drawing>
          <wp:inline distT="0" distB="0" distL="0" distR="0" wp14:anchorId="55B8A1A2" wp14:editId="271DAAF4">
            <wp:extent cx="5448580" cy="3403775"/>
            <wp:effectExtent l="0" t="0" r="0" b="6350"/>
            <wp:docPr id="589781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781721" name=""/>
                    <pic:cNvPicPr/>
                  </pic:nvPicPr>
                  <pic:blipFill>
                    <a:blip r:embed="rId13"/>
                    <a:stretch>
                      <a:fillRect/>
                    </a:stretch>
                  </pic:blipFill>
                  <pic:spPr>
                    <a:xfrm>
                      <a:off x="0" y="0"/>
                      <a:ext cx="5448580" cy="3403775"/>
                    </a:xfrm>
                    <a:prstGeom prst="rect">
                      <a:avLst/>
                    </a:prstGeom>
                  </pic:spPr>
                </pic:pic>
              </a:graphicData>
            </a:graphic>
          </wp:inline>
        </w:drawing>
      </w:r>
    </w:p>
    <w:p w14:paraId="1071CBC3" w14:textId="19C8A809" w:rsidR="00565403" w:rsidRPr="005E6D84" w:rsidRDefault="00565403" w:rsidP="00565403">
      <w:pPr>
        <w:pStyle w:val="Caption"/>
        <w:jc w:val="center"/>
        <w:rPr>
          <w:color w:val="000000" w:themeColor="text1"/>
          <w:sz w:val="24"/>
          <w:szCs w:val="24"/>
          <w:lang w:val="en-GB"/>
        </w:rPr>
      </w:pPr>
      <w:r w:rsidRPr="005E6D84">
        <w:rPr>
          <w:color w:val="000000" w:themeColor="text1"/>
          <w:sz w:val="24"/>
          <w:szCs w:val="24"/>
          <w:lang w:val="en-GB"/>
        </w:rPr>
        <w:t xml:space="preserve">Figure </w:t>
      </w:r>
      <w:r w:rsidRPr="005E6D84">
        <w:rPr>
          <w:color w:val="000000" w:themeColor="text1"/>
          <w:sz w:val="24"/>
          <w:szCs w:val="24"/>
          <w:lang w:val="en-GB"/>
        </w:rPr>
        <w:fldChar w:fldCharType="begin"/>
      </w:r>
      <w:r w:rsidRPr="005E6D84">
        <w:rPr>
          <w:color w:val="000000" w:themeColor="text1"/>
          <w:sz w:val="24"/>
          <w:szCs w:val="24"/>
          <w:lang w:val="en-GB"/>
        </w:rPr>
        <w:instrText xml:space="preserve"> SEQ Figure \* ARABIC </w:instrText>
      </w:r>
      <w:r w:rsidRPr="005E6D84">
        <w:rPr>
          <w:color w:val="000000" w:themeColor="text1"/>
          <w:sz w:val="24"/>
          <w:szCs w:val="24"/>
          <w:lang w:val="en-GB"/>
        </w:rPr>
        <w:fldChar w:fldCharType="separate"/>
      </w:r>
      <w:r w:rsidR="00740FD6" w:rsidRPr="005E6D84">
        <w:rPr>
          <w:noProof/>
          <w:color w:val="000000" w:themeColor="text1"/>
          <w:sz w:val="24"/>
          <w:szCs w:val="24"/>
          <w:lang w:val="en-GB"/>
        </w:rPr>
        <w:t>6</w:t>
      </w:r>
      <w:r w:rsidRPr="005E6D84">
        <w:rPr>
          <w:color w:val="000000" w:themeColor="text1"/>
          <w:sz w:val="24"/>
          <w:szCs w:val="24"/>
          <w:lang w:val="en-GB"/>
        </w:rPr>
        <w:fldChar w:fldCharType="end"/>
      </w:r>
      <w:r w:rsidRPr="005E6D84">
        <w:rPr>
          <w:color w:val="000000" w:themeColor="text1"/>
          <w:sz w:val="24"/>
          <w:szCs w:val="24"/>
          <w:lang w:val="en-GB"/>
        </w:rPr>
        <w:t>: Balance Score card</w:t>
      </w:r>
    </w:p>
    <w:p w14:paraId="78A2C3BD" w14:textId="77777777" w:rsidR="00565403" w:rsidRPr="005E6D84" w:rsidRDefault="00565403" w:rsidP="00565403">
      <w:pPr>
        <w:jc w:val="center"/>
        <w:rPr>
          <w:lang w:val="en-GB"/>
        </w:rPr>
      </w:pPr>
      <w:r w:rsidRPr="005E6D84">
        <w:rPr>
          <w:lang w:val="en-GB"/>
        </w:rPr>
        <w:t xml:space="preserve">(Source: </w:t>
      </w:r>
      <w:r w:rsidRPr="005E6D84">
        <w:rPr>
          <w:rFonts w:cs="Times New Roman"/>
          <w:szCs w:val="24"/>
          <w:lang w:val="en-GB"/>
        </w:rPr>
        <w:t>The Strategy Institute, 2024</w:t>
      </w:r>
      <w:r w:rsidRPr="005E6D84">
        <w:rPr>
          <w:lang w:val="en-GB"/>
        </w:rPr>
        <w:t>)</w:t>
      </w:r>
    </w:p>
    <w:p w14:paraId="173C29F1" w14:textId="77777777" w:rsidR="00565403" w:rsidRPr="005E6D84" w:rsidRDefault="00565403" w:rsidP="00565403">
      <w:pPr>
        <w:rPr>
          <w:b/>
          <w:bCs/>
          <w:lang w:val="en-GB"/>
        </w:rPr>
      </w:pPr>
      <w:r w:rsidRPr="005E6D84">
        <w:rPr>
          <w:b/>
          <w:bCs/>
          <w:lang w:val="en-GB"/>
        </w:rPr>
        <w:t>Financial Perspective:</w:t>
      </w:r>
    </w:p>
    <w:p w14:paraId="7A21B4D3" w14:textId="019E57B6" w:rsidR="00565403" w:rsidRPr="005E6D84" w:rsidRDefault="00565403" w:rsidP="00565403">
      <w:pPr>
        <w:rPr>
          <w:lang w:val="en-GB"/>
        </w:rPr>
      </w:pPr>
      <w:r w:rsidRPr="005E6D84">
        <w:rPr>
          <w:lang w:val="en-GB"/>
        </w:rPr>
        <w:lastRenderedPageBreak/>
        <w:t xml:space="preserve">The financial view </w:t>
      </w:r>
      <w:r w:rsidR="00BB1652">
        <w:rPr>
          <w:lang w:val="en-GB"/>
        </w:rPr>
        <w:t>will be</w:t>
      </w:r>
      <w:r w:rsidRPr="005E6D84">
        <w:rPr>
          <w:lang w:val="en-GB"/>
        </w:rPr>
        <w:t xml:space="preserve"> concerned with the ability to provide sustainability to the financial profitability of the expansion of the Lloyds Banking Group to Indonesia without affecting the high capital efficiency and shareholder value (Hidayat et al., 2025). The ultimate goal is to achieve incremental revenues based on digital-based banking services and manage the expenses in an extremely competitive emerging market. Financial success is measured using key performance indicators like revenue growth, cost -income ratio, and Return on Tangible Equity (RoTE). These are in line with the Group 2026 strategic commitments of Lloyds which focus on disciplined capital allocation and a RoTE of more than 15%. The stage-based development plan will enable Lloyds to widen its operations over time, lowering the risk on the financial front once it enters the market. Also, robust financial management and performance tracking helps to create long-term value through making sure that digital investments in cloud infrastructure, artificial intelligence, and analytics can be converted into real financial returns. All in all, financial perspective helps to ensure that the strategic expansion goals are affordable and connected to the expectations of shareholders.</w:t>
      </w:r>
    </w:p>
    <w:p w14:paraId="7A22FE48" w14:textId="77777777" w:rsidR="00565403" w:rsidRPr="005E6D84" w:rsidRDefault="00565403" w:rsidP="00565403">
      <w:pPr>
        <w:rPr>
          <w:b/>
          <w:bCs/>
          <w:lang w:val="en-GB"/>
        </w:rPr>
      </w:pPr>
      <w:r w:rsidRPr="005E6D84">
        <w:rPr>
          <w:b/>
          <w:bCs/>
          <w:lang w:val="en-GB"/>
        </w:rPr>
        <w:t>Customer Perspective:</w:t>
      </w:r>
    </w:p>
    <w:p w14:paraId="2B820545" w14:textId="03B69158" w:rsidR="00565403" w:rsidRPr="005E6D84" w:rsidRDefault="00565403" w:rsidP="00565403">
      <w:pPr>
        <w:rPr>
          <w:lang w:val="en-GB"/>
        </w:rPr>
      </w:pPr>
      <w:r w:rsidRPr="005E6D84">
        <w:rPr>
          <w:lang w:val="en-GB"/>
        </w:rPr>
        <w:t>Customer perspective</w:t>
      </w:r>
      <w:r w:rsidR="007F2B9D">
        <w:rPr>
          <w:lang w:val="en-GB"/>
        </w:rPr>
        <w:t xml:space="preserve"> will be</w:t>
      </w:r>
      <w:r w:rsidRPr="005E6D84">
        <w:rPr>
          <w:lang w:val="en-GB"/>
        </w:rPr>
        <w:t xml:space="preserve"> measur</w:t>
      </w:r>
      <w:r w:rsidR="00AD5634">
        <w:rPr>
          <w:lang w:val="en-GB"/>
        </w:rPr>
        <w:t>ing</w:t>
      </w:r>
      <w:r w:rsidRPr="005E6D84">
        <w:rPr>
          <w:lang w:val="en-GB"/>
        </w:rPr>
        <w:t xml:space="preserve"> the capability of Lloyds to attract, satisfy, and keep customers in Indonesia that is a fast-growing digital banking sector. Since the mobile penetration rate is high, and more people are shifting to digital financial services, customer-centric measures like digital banking usage, mobile application use, Net Promoter Score (NPS), and customer retention rates are key measures of success (Baquero, 2022). Customer growth and engagement targets indicate the high digital adoption trend in Indonesia and the successful experience of provision of </w:t>
      </w:r>
      <w:r w:rsidR="00BB022C" w:rsidRPr="005E6D84">
        <w:rPr>
          <w:lang w:val="en-GB"/>
        </w:rPr>
        <w:t>high-quality</w:t>
      </w:r>
      <w:r w:rsidRPr="005E6D84">
        <w:rPr>
          <w:lang w:val="en-GB"/>
        </w:rPr>
        <w:t xml:space="preserve"> digital banking demonstrated by Lloyds. Automation and AI-enhanced credit checking help to reduce the time of loan approval, making customers more convenient and trustful, which are important aspects of differentiators in the competitive banking sphere. Lloyds expects to achieve a powerful and trusted brand image in the Indonesian market because it concentrates on customer satisfaction and long-term relationship building in the market. Such an outlook will make sure that the creation of customer value will be directly related to the revenue growth and penetration targets. </w:t>
      </w:r>
    </w:p>
    <w:p w14:paraId="3610FE4F" w14:textId="77777777" w:rsidR="00565403" w:rsidRPr="005E6D84" w:rsidRDefault="00565403" w:rsidP="00565403">
      <w:pPr>
        <w:rPr>
          <w:b/>
          <w:bCs/>
          <w:lang w:val="en-GB"/>
        </w:rPr>
      </w:pPr>
      <w:r w:rsidRPr="005E6D84">
        <w:rPr>
          <w:b/>
          <w:bCs/>
          <w:lang w:val="en-GB"/>
        </w:rPr>
        <w:t>Internal Process Perspective:</w:t>
      </w:r>
    </w:p>
    <w:p w14:paraId="44F8F929" w14:textId="77204F69" w:rsidR="00565403" w:rsidRPr="005E6D84" w:rsidRDefault="00565403" w:rsidP="00565403">
      <w:pPr>
        <w:rPr>
          <w:lang w:val="en-GB"/>
        </w:rPr>
      </w:pPr>
      <w:r w:rsidRPr="005E6D84">
        <w:rPr>
          <w:lang w:val="en-GB"/>
        </w:rPr>
        <w:t xml:space="preserve">Internal process approach </w:t>
      </w:r>
      <w:r w:rsidR="00C31B94">
        <w:rPr>
          <w:lang w:val="en-GB"/>
        </w:rPr>
        <w:t>will be</w:t>
      </w:r>
      <w:r w:rsidRPr="005E6D84">
        <w:rPr>
          <w:lang w:val="en-GB"/>
        </w:rPr>
        <w:t xml:space="preserve"> concerned with operations efficiency, technological perfection and regulatory compliance that is essential to the successful banking operations in Indonesia. </w:t>
      </w:r>
      <w:r w:rsidRPr="005E6D84">
        <w:rPr>
          <w:lang w:val="en-GB"/>
        </w:rPr>
        <w:lastRenderedPageBreak/>
        <w:t xml:space="preserve">Lloyds tries to use its competitive advantages in the field of artificial intelligence, cloud computing, and sophisticated data analytics to optimize its business operations and improve the delivery of its services. The useful measures, including the number of artificial </w:t>
      </w:r>
      <w:r w:rsidR="00BB022C" w:rsidRPr="005E6D84">
        <w:rPr>
          <w:lang w:val="en-GB"/>
        </w:rPr>
        <w:t>intelligences</w:t>
      </w:r>
      <w:r w:rsidRPr="005E6D84">
        <w:rPr>
          <w:lang w:val="en-GB"/>
        </w:rPr>
        <w:t xml:space="preserve"> uses cases implemented, adoption of cloud infrastructure, and accuracy of credit risk models, are important indicators of how committed the organisation is towards innovation and risk management (El-Mansouri, 2023). It is especially crucial to ensure high regulatory compliance scores in the context of strict financial regulations in Indonesia and reputational risks of not complying with them. The increase in operational efficiency will help show that Lloyds has the capacity to provide scalable and low-cost digital banking services without sacrificing the level of good governance. This outlook will help the internal processes to be effective in supporting customer expectations and financial performance, and this will allow Lloyds to gain competitive advantage through operational excellence.</w:t>
      </w:r>
    </w:p>
    <w:p w14:paraId="1E7B7948" w14:textId="77777777" w:rsidR="00565403" w:rsidRPr="005E6D84" w:rsidRDefault="00565403" w:rsidP="00565403">
      <w:pPr>
        <w:rPr>
          <w:b/>
          <w:bCs/>
          <w:lang w:val="en-GB"/>
        </w:rPr>
      </w:pPr>
      <w:r w:rsidRPr="005E6D84">
        <w:rPr>
          <w:b/>
          <w:bCs/>
          <w:lang w:val="en-GB"/>
        </w:rPr>
        <w:t>Learning and Growth Perspective:</w:t>
      </w:r>
    </w:p>
    <w:p w14:paraId="01E87B67" w14:textId="46BBE6E6" w:rsidR="00565403" w:rsidRPr="005E6D84" w:rsidRDefault="00565403" w:rsidP="00F765E4">
      <w:pPr>
        <w:rPr>
          <w:bCs/>
          <w:lang w:val="en-GB"/>
        </w:rPr>
      </w:pPr>
      <w:r w:rsidRPr="005E6D84">
        <w:rPr>
          <w:lang w:val="en-GB"/>
        </w:rPr>
        <w:t xml:space="preserve">Learning and growth perspective </w:t>
      </w:r>
      <w:r w:rsidR="00E36174">
        <w:rPr>
          <w:lang w:val="en-GB"/>
        </w:rPr>
        <w:t xml:space="preserve">will be </w:t>
      </w:r>
      <w:r w:rsidRPr="005E6D84">
        <w:rPr>
          <w:lang w:val="en-GB"/>
        </w:rPr>
        <w:t>focus</w:t>
      </w:r>
      <w:r w:rsidR="00E36174">
        <w:rPr>
          <w:lang w:val="en-GB"/>
        </w:rPr>
        <w:t>ing</w:t>
      </w:r>
      <w:r w:rsidRPr="005E6D84">
        <w:rPr>
          <w:lang w:val="en-GB"/>
        </w:rPr>
        <w:t xml:space="preserve"> on the building of organisational capabilities needed to ensure a </w:t>
      </w:r>
      <w:r w:rsidR="00A0332A" w:rsidRPr="005E6D84">
        <w:rPr>
          <w:lang w:val="en-GB"/>
        </w:rPr>
        <w:t>long-term</w:t>
      </w:r>
      <w:r w:rsidRPr="005E6D84">
        <w:rPr>
          <w:lang w:val="en-GB"/>
        </w:rPr>
        <w:t xml:space="preserve"> success in the Indonesian banking market. It entails the investment in the local talent acquisition, the ongoing employee training, the development of leadership, and the diversity programs (Ibrahim, 2024). Development of local human resource improves culture and regulatory awareness that will be crucial when running the business in Indonesia. The number of training hours per worker and management succession preparation markers is a guarantee that employees have the technical and managerial skills required to facilitate digital transformation. Besides, building collaborations with fintech companies and technology vendors further develops the innovativeness at Lloyds and enhances the creation of new digital solutions. The emphasis on innovation pipeline projects shows the dedication of the organisation to the constant improvement and flexibility. </w:t>
      </w:r>
    </w:p>
    <w:p w14:paraId="4ED2D364" w14:textId="77777777" w:rsidR="00565403" w:rsidRPr="005E6D84" w:rsidRDefault="00565403" w:rsidP="00565403">
      <w:pPr>
        <w:pStyle w:val="Heading2"/>
        <w:rPr>
          <w:lang w:val="en-GB"/>
        </w:rPr>
      </w:pPr>
      <w:bookmarkStart w:id="13" w:name="_Toc216708586"/>
      <w:r w:rsidRPr="005E6D84">
        <w:rPr>
          <w:lang w:val="en-GB"/>
        </w:rPr>
        <w:t>Triple Bottom Line Performance Framework</w:t>
      </w:r>
      <w:bookmarkEnd w:id="13"/>
    </w:p>
    <w:p w14:paraId="09048D48" w14:textId="77777777" w:rsidR="00565403" w:rsidRPr="005E6D84" w:rsidRDefault="00565403" w:rsidP="00565403">
      <w:pPr>
        <w:jc w:val="left"/>
        <w:rPr>
          <w:lang w:val="en-GB"/>
        </w:rPr>
      </w:pPr>
      <w:r w:rsidRPr="005E6D84">
        <w:rPr>
          <w:lang w:val="en-GB"/>
        </w:rPr>
        <w:t>Here is the same section rewritten explicitly around People, Planet and Profit.</w:t>
      </w:r>
    </w:p>
    <w:p w14:paraId="0EACC77F" w14:textId="77777777" w:rsidR="00565403" w:rsidRPr="005E6D84" w:rsidRDefault="00565403" w:rsidP="00565403">
      <w:pPr>
        <w:keepNext/>
        <w:jc w:val="center"/>
        <w:rPr>
          <w:lang w:val="en-GB"/>
        </w:rPr>
      </w:pPr>
      <w:r w:rsidRPr="005E6D84">
        <w:rPr>
          <w:noProof/>
          <w:lang w:val="en-GB"/>
        </w:rPr>
        <w:lastRenderedPageBreak/>
        <w:drawing>
          <wp:inline distT="0" distB="0" distL="0" distR="0" wp14:anchorId="38342A15" wp14:editId="443F407E">
            <wp:extent cx="3581400" cy="2260600"/>
            <wp:effectExtent l="0" t="0" r="0" b="0"/>
            <wp:docPr id="150392390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56DF96E" w14:textId="2FA15CF4" w:rsidR="00565403" w:rsidRPr="005E6D84" w:rsidRDefault="00565403" w:rsidP="00565403">
      <w:pPr>
        <w:pStyle w:val="Caption"/>
        <w:jc w:val="center"/>
        <w:rPr>
          <w:color w:val="000000" w:themeColor="text1"/>
          <w:sz w:val="24"/>
          <w:szCs w:val="24"/>
          <w:lang w:val="en-GB"/>
        </w:rPr>
      </w:pPr>
      <w:r w:rsidRPr="005E6D84">
        <w:rPr>
          <w:color w:val="000000" w:themeColor="text1"/>
          <w:sz w:val="24"/>
          <w:szCs w:val="24"/>
          <w:lang w:val="en-GB"/>
        </w:rPr>
        <w:t xml:space="preserve">Figure </w:t>
      </w:r>
      <w:r w:rsidRPr="005E6D84">
        <w:rPr>
          <w:color w:val="000000" w:themeColor="text1"/>
          <w:sz w:val="24"/>
          <w:szCs w:val="24"/>
          <w:lang w:val="en-GB"/>
        </w:rPr>
        <w:fldChar w:fldCharType="begin"/>
      </w:r>
      <w:r w:rsidRPr="005E6D84">
        <w:rPr>
          <w:color w:val="000000" w:themeColor="text1"/>
          <w:sz w:val="24"/>
          <w:szCs w:val="24"/>
          <w:lang w:val="en-GB"/>
        </w:rPr>
        <w:instrText xml:space="preserve"> SEQ Figure \* ARABIC </w:instrText>
      </w:r>
      <w:r w:rsidRPr="005E6D84">
        <w:rPr>
          <w:color w:val="000000" w:themeColor="text1"/>
          <w:sz w:val="24"/>
          <w:szCs w:val="24"/>
          <w:lang w:val="en-GB"/>
        </w:rPr>
        <w:fldChar w:fldCharType="separate"/>
      </w:r>
      <w:r w:rsidR="00740FD6" w:rsidRPr="005E6D84">
        <w:rPr>
          <w:noProof/>
          <w:color w:val="000000" w:themeColor="text1"/>
          <w:sz w:val="24"/>
          <w:szCs w:val="24"/>
          <w:lang w:val="en-GB"/>
        </w:rPr>
        <w:t>7</w:t>
      </w:r>
      <w:r w:rsidRPr="005E6D84">
        <w:rPr>
          <w:color w:val="000000" w:themeColor="text1"/>
          <w:sz w:val="24"/>
          <w:szCs w:val="24"/>
          <w:lang w:val="en-GB"/>
        </w:rPr>
        <w:fldChar w:fldCharType="end"/>
      </w:r>
      <w:r w:rsidRPr="005E6D84">
        <w:rPr>
          <w:color w:val="000000" w:themeColor="text1"/>
          <w:sz w:val="24"/>
          <w:szCs w:val="24"/>
          <w:lang w:val="en-GB"/>
        </w:rPr>
        <w:t>: Triple Bottom Line</w:t>
      </w:r>
    </w:p>
    <w:p w14:paraId="37069D78" w14:textId="77777777" w:rsidR="00565403" w:rsidRPr="005E6D84" w:rsidRDefault="00565403" w:rsidP="00565403">
      <w:pPr>
        <w:jc w:val="center"/>
        <w:rPr>
          <w:color w:val="000000" w:themeColor="text1"/>
          <w:szCs w:val="24"/>
          <w:lang w:val="en-GB"/>
        </w:rPr>
      </w:pPr>
      <w:r w:rsidRPr="005E6D84">
        <w:rPr>
          <w:color w:val="000000" w:themeColor="text1"/>
          <w:szCs w:val="24"/>
          <w:lang w:val="en-GB"/>
        </w:rPr>
        <w:t>(Source: author)</w:t>
      </w:r>
    </w:p>
    <w:p w14:paraId="13D3DA64" w14:textId="77777777" w:rsidR="00565403" w:rsidRPr="005E6D84" w:rsidRDefault="00565403" w:rsidP="00565403">
      <w:pPr>
        <w:rPr>
          <w:b/>
          <w:bCs/>
          <w:lang w:val="en-GB"/>
        </w:rPr>
      </w:pPr>
      <w:r w:rsidRPr="005E6D84">
        <w:rPr>
          <w:b/>
          <w:bCs/>
          <w:lang w:val="en-GB"/>
        </w:rPr>
        <w:t>People (Social Value)</w:t>
      </w:r>
    </w:p>
    <w:p w14:paraId="416DE0FB" w14:textId="778160DD" w:rsidR="00565403" w:rsidRPr="005E6D84" w:rsidRDefault="00565403" w:rsidP="00565403">
      <w:pPr>
        <w:rPr>
          <w:lang w:val="en-GB"/>
        </w:rPr>
      </w:pPr>
      <w:r w:rsidRPr="005E6D84">
        <w:rPr>
          <w:lang w:val="en-GB"/>
        </w:rPr>
        <w:t xml:space="preserve">The essence of the people-oriented goal </w:t>
      </w:r>
      <w:r w:rsidR="00A24FC5">
        <w:rPr>
          <w:lang w:val="en-GB"/>
        </w:rPr>
        <w:t>will be to</w:t>
      </w:r>
      <w:r w:rsidRPr="005E6D84">
        <w:rPr>
          <w:lang w:val="en-GB"/>
        </w:rPr>
        <w:t xml:space="preserve"> financial inclusivity, and a goal of having 500,000 new bank account holders by Year 3, focusing on underserved and unbanked communities. Social value is also improved by the IDR 1.5 trillion cumulative MSME lending by Year 5, which would empower the entrepreneurs and local employment. The target of community development programs is to educate 1,000 people on the topic of financial literacy annually, employment targets to be 450 direct local employees and over 1,200 indirect employees by the Year 5 (Lloyds Banking Group2025). Indonesia will have inclusiveness and sustainable development agenda by at least 25% of its lending portfolio in support of socially and environmentally friendly projects.</w:t>
      </w:r>
      <w:r w:rsidRPr="005E6D84">
        <w:rPr>
          <w:lang w:val="en-GB"/>
        </w:rPr>
        <w:tab/>
      </w:r>
    </w:p>
    <w:p w14:paraId="2F5CCEEF" w14:textId="77777777" w:rsidR="00565403" w:rsidRPr="005E6D84" w:rsidRDefault="00565403" w:rsidP="00565403">
      <w:pPr>
        <w:rPr>
          <w:b/>
          <w:bCs/>
          <w:lang w:val="en-GB"/>
        </w:rPr>
      </w:pPr>
      <w:r w:rsidRPr="005E6D84">
        <w:rPr>
          <w:b/>
          <w:bCs/>
          <w:lang w:val="en-GB"/>
        </w:rPr>
        <w:t>Planet (Environmental Value)</w:t>
      </w:r>
    </w:p>
    <w:p w14:paraId="167B60D2" w14:textId="77777777" w:rsidR="00565403" w:rsidRPr="005E6D84" w:rsidRDefault="00565403" w:rsidP="00565403">
      <w:pPr>
        <w:rPr>
          <w:lang w:val="en-GB"/>
        </w:rPr>
      </w:pPr>
      <w:r w:rsidRPr="005E6D84">
        <w:rPr>
          <w:lang w:val="en-GB"/>
        </w:rPr>
        <w:t>Environmental performance focuses on minimizing the environmental impact of the operations and financing processes. The aim of the operational emissions is to reduce it by 40% by 2030 based on the broader group of 36.2% since 2018. The green finance targets are IDR 800 billion in sustainable lending which is a direct support to the climate and energy-transition commitments made by Indonesia (Lloyds Banking Group, 2025). A digital first operating model aims at 95% cloud-based infrastructure to cut down on physical data centre emissions and a responsible procurement policy also includes screening all fintech and ecosystem partners against sound environmental, social and governance standards.</w:t>
      </w:r>
    </w:p>
    <w:p w14:paraId="163E2265" w14:textId="77777777" w:rsidR="00565403" w:rsidRPr="005E6D84" w:rsidRDefault="00565403" w:rsidP="00565403">
      <w:pPr>
        <w:rPr>
          <w:b/>
          <w:bCs/>
          <w:lang w:val="en-GB"/>
        </w:rPr>
      </w:pPr>
      <w:r w:rsidRPr="005E6D84">
        <w:rPr>
          <w:b/>
          <w:bCs/>
          <w:lang w:val="en-GB"/>
        </w:rPr>
        <w:t>Profit (Economic and Governance Value)</w:t>
      </w:r>
    </w:p>
    <w:p w14:paraId="634AE962" w14:textId="5F161F3B" w:rsidR="008D65A9" w:rsidRPr="005E6D84" w:rsidRDefault="00565403" w:rsidP="00565403">
      <w:pPr>
        <w:rPr>
          <w:lang w:val="en-GB"/>
        </w:rPr>
      </w:pPr>
      <w:r w:rsidRPr="005E6D84">
        <w:rPr>
          <w:lang w:val="en-GB"/>
        </w:rPr>
        <w:lastRenderedPageBreak/>
        <w:t xml:space="preserve">An integrated performance and review system manages profitability and good governance. Key indicators are monitored monthly as the management reviews the real time indicators in order to detect deviations in time so that tactical actions can be made to ensure the protection of revenue growth and cost containment. The Balanced Scorecard is used in quarterly strategic reviews to align the expansion strategy with market and competitive changes so that the Indonesia business is on target to achieve financial targets. </w:t>
      </w:r>
    </w:p>
    <w:p w14:paraId="4BE84691" w14:textId="77777777" w:rsidR="008F3539" w:rsidRPr="005E6D84" w:rsidRDefault="00A750C5" w:rsidP="008F3539">
      <w:pPr>
        <w:pStyle w:val="Heading1"/>
        <w:rPr>
          <w:lang w:val="en-GB"/>
        </w:rPr>
      </w:pPr>
      <w:bookmarkStart w:id="14" w:name="_Toc216708587"/>
      <w:r w:rsidRPr="005E6D84">
        <w:rPr>
          <w:lang w:val="en-GB"/>
        </w:rPr>
        <w:t>Co</w:t>
      </w:r>
      <w:r w:rsidR="00541C10" w:rsidRPr="005E6D84">
        <w:rPr>
          <w:lang w:val="en-GB"/>
        </w:rPr>
        <w:t>nclusion</w:t>
      </w:r>
      <w:bookmarkEnd w:id="14"/>
    </w:p>
    <w:p w14:paraId="28E80D15" w14:textId="77777777" w:rsidR="0016243D" w:rsidRPr="005E6D84" w:rsidRDefault="00A750C5" w:rsidP="00956EBA">
      <w:pPr>
        <w:rPr>
          <w:lang w:val="en-GB"/>
        </w:rPr>
      </w:pPr>
      <w:r w:rsidRPr="005E6D84">
        <w:rPr>
          <w:lang w:val="en-GB"/>
        </w:rPr>
        <w:t xml:space="preserve">It is concluded that Indonesia will prove to be the most significant market for the expansion of Lloyd Bank in any international market. The key evidence for this can be associated with the evaluation of the internal and external business environment. In terms of external factors, economic growth and social factors majorly affect the brand's decision to enter the market. </w:t>
      </w:r>
      <w:r w:rsidR="00200714" w:rsidRPr="005E6D84">
        <w:rPr>
          <w:lang w:val="en-GB"/>
        </w:rPr>
        <w:t xml:space="preserve">It is also concluded that the digital banking services and infrastructure in the country can also help the brand to expand into new markets, as it is favourable in the context of Lloyd Bank to expand its operations in the selected market. </w:t>
      </w:r>
      <w:r w:rsidR="00834D06" w:rsidRPr="005E6D84">
        <w:rPr>
          <w:lang w:val="en-GB"/>
        </w:rPr>
        <w:t xml:space="preserve">In addition to this, it is also concluded that political stability and complicated legal requirements are some of the major factors that might affect the brand's expansion plan in the market of Indonesia. The technological infrastructure in the country has been growing, which can make the expansion strategy of Lloyd Bank in the Indonesian market more feasible. </w:t>
      </w:r>
      <w:r w:rsidR="006A78F5" w:rsidRPr="005E6D84">
        <w:rPr>
          <w:lang w:val="en-GB"/>
        </w:rPr>
        <w:t xml:space="preserve">The use of different strategic management tools was done to evaluate the current strategic position and performance of Lloyd Bank. </w:t>
      </w:r>
    </w:p>
    <w:p w14:paraId="694AA163" w14:textId="77777777" w:rsidR="00961AED" w:rsidRPr="005E6D84" w:rsidRDefault="00961AED">
      <w:pPr>
        <w:spacing w:after="200" w:line="276" w:lineRule="auto"/>
        <w:jc w:val="left"/>
        <w:rPr>
          <w:lang w:val="en-GB"/>
        </w:rPr>
      </w:pPr>
      <w:r w:rsidRPr="005E6D84">
        <w:rPr>
          <w:lang w:val="en-GB"/>
        </w:rPr>
        <w:br w:type="page"/>
      </w:r>
    </w:p>
    <w:p w14:paraId="6F1E4D18" w14:textId="77777777" w:rsidR="00D07B22" w:rsidRPr="005E6D84" w:rsidRDefault="00961AED" w:rsidP="00D07B22">
      <w:pPr>
        <w:pStyle w:val="Heading1"/>
        <w:rPr>
          <w:lang w:val="en-GB"/>
        </w:rPr>
      </w:pPr>
      <w:bookmarkStart w:id="15" w:name="_Toc216708588"/>
      <w:r w:rsidRPr="005E6D84">
        <w:rPr>
          <w:lang w:val="en-GB"/>
        </w:rPr>
        <w:lastRenderedPageBreak/>
        <w:t>References</w:t>
      </w:r>
      <w:bookmarkEnd w:id="15"/>
      <w:r w:rsidRPr="005E6D84">
        <w:rPr>
          <w:lang w:val="en-GB"/>
        </w:rPr>
        <w:t xml:space="preserve"> </w:t>
      </w:r>
    </w:p>
    <w:p w14:paraId="4AE22796" w14:textId="77777777" w:rsidR="008B3BD7" w:rsidRPr="005E6D84" w:rsidRDefault="008B3BD7" w:rsidP="00660F26">
      <w:pPr>
        <w:rPr>
          <w:rFonts w:cs="Times New Roman"/>
          <w:szCs w:val="24"/>
          <w:lang w:val="en-GB"/>
        </w:rPr>
      </w:pPr>
      <w:r w:rsidRPr="005E6D84">
        <w:rPr>
          <w:rFonts w:cs="Times New Roman"/>
          <w:szCs w:val="24"/>
          <w:lang w:val="en-GB"/>
        </w:rPr>
        <w:t xml:space="preserve">Abdul Hakim, S. N. N. A. H. (2025). Industrial training report: Bank Rakyat/Siti Nurfatin Nabihah Abdul Hakim. </w:t>
      </w:r>
      <w:hyperlink r:id="rId19" w:history="1">
        <w:r w:rsidRPr="005E6D84">
          <w:rPr>
            <w:rStyle w:val="Hyperlink"/>
            <w:rFonts w:cs="Times New Roman"/>
            <w:szCs w:val="24"/>
            <w:lang w:val="en-GB"/>
          </w:rPr>
          <w:t>https://ir.uitm.edu.my/id/eprint/113166/1/113166.pdf</w:t>
        </w:r>
      </w:hyperlink>
      <w:r w:rsidRPr="005E6D84">
        <w:rPr>
          <w:rFonts w:cs="Times New Roman"/>
          <w:szCs w:val="24"/>
          <w:lang w:val="en-GB"/>
        </w:rPr>
        <w:t xml:space="preserve"> </w:t>
      </w:r>
    </w:p>
    <w:p w14:paraId="6115731E" w14:textId="77777777" w:rsidR="008B3BD7" w:rsidRPr="005E6D84" w:rsidRDefault="008B3BD7" w:rsidP="00961AED">
      <w:pPr>
        <w:rPr>
          <w:lang w:val="en-GB"/>
        </w:rPr>
      </w:pPr>
      <w:r w:rsidRPr="005E6D84">
        <w:rPr>
          <w:lang w:val="en-GB"/>
        </w:rPr>
        <w:t>Andrian, B., Simanungkalit, T., Budi, I. and Wicaksono, A.F., (2022). Sentiment analysis on customer satisfaction of digital banking in Indonesia. </w:t>
      </w:r>
      <w:r w:rsidRPr="005E6D84">
        <w:rPr>
          <w:i/>
          <w:iCs/>
          <w:lang w:val="en-GB"/>
        </w:rPr>
        <w:t>International Journal of Advanced Computer Science and Applications</w:t>
      </w:r>
      <w:r w:rsidRPr="005E6D84">
        <w:rPr>
          <w:lang w:val="en-GB"/>
        </w:rPr>
        <w:t>, </w:t>
      </w:r>
      <w:r w:rsidRPr="005E6D84">
        <w:rPr>
          <w:i/>
          <w:iCs/>
          <w:lang w:val="en-GB"/>
        </w:rPr>
        <w:t>13</w:t>
      </w:r>
      <w:r w:rsidRPr="005E6D84">
        <w:rPr>
          <w:lang w:val="en-GB"/>
        </w:rPr>
        <w:t xml:space="preserve">(3). </w:t>
      </w:r>
      <w:hyperlink r:id="rId20" w:history="1">
        <w:r w:rsidRPr="005E6D84">
          <w:rPr>
            <w:rStyle w:val="Hyperlink"/>
            <w:lang w:val="en-GB"/>
          </w:rPr>
          <w:t>https://www.researchgate.net/profile/Bramanthyo-Andrian/publication/359684655_Sentiment_Analysis_on_Customer_Satisfaction_of_Digital_Banking_in_Indonesia/links/6247cad68068956f3c61a229/Sentiment-Analysis-on-Customer-Satisfaction-of-Digital-Banking-in-Indonesia.pdf</w:t>
        </w:r>
      </w:hyperlink>
      <w:r w:rsidRPr="005E6D84">
        <w:rPr>
          <w:lang w:val="en-GB"/>
        </w:rPr>
        <w:t xml:space="preserve"> </w:t>
      </w:r>
    </w:p>
    <w:p w14:paraId="0EEE26A2" w14:textId="77777777" w:rsidR="008B3BD7" w:rsidRPr="005E6D84" w:rsidRDefault="008B3BD7" w:rsidP="00660F26">
      <w:pPr>
        <w:rPr>
          <w:rFonts w:cs="Times New Roman"/>
          <w:szCs w:val="24"/>
          <w:lang w:val="en-GB"/>
        </w:rPr>
      </w:pPr>
      <w:bookmarkStart w:id="16" w:name="_Hlk216695718"/>
      <w:r w:rsidRPr="005E6D84">
        <w:rPr>
          <w:rFonts w:cs="Times New Roman"/>
          <w:szCs w:val="24"/>
          <w:lang w:val="en-GB"/>
        </w:rPr>
        <w:t xml:space="preserve">Baquero, A. (2022). </w:t>
      </w:r>
      <w:bookmarkEnd w:id="16"/>
      <w:r w:rsidRPr="005E6D84">
        <w:rPr>
          <w:rFonts w:cs="Times New Roman"/>
          <w:szCs w:val="24"/>
          <w:lang w:val="en-GB"/>
        </w:rPr>
        <w:t>Net promoter score (NPS) and customer satisfaction: relationship and efficient management. </w:t>
      </w:r>
      <w:r w:rsidRPr="005E6D84">
        <w:rPr>
          <w:rFonts w:cs="Times New Roman"/>
          <w:i/>
          <w:iCs/>
          <w:szCs w:val="24"/>
          <w:lang w:val="en-GB"/>
        </w:rPr>
        <w:t>Sustainability</w:t>
      </w:r>
      <w:r w:rsidRPr="005E6D84">
        <w:rPr>
          <w:rFonts w:cs="Times New Roman"/>
          <w:szCs w:val="24"/>
          <w:lang w:val="en-GB"/>
        </w:rPr>
        <w:t>, </w:t>
      </w:r>
      <w:r w:rsidRPr="005E6D84">
        <w:rPr>
          <w:rFonts w:cs="Times New Roman"/>
          <w:i/>
          <w:iCs/>
          <w:szCs w:val="24"/>
          <w:lang w:val="en-GB"/>
        </w:rPr>
        <w:t>14</w:t>
      </w:r>
      <w:r w:rsidRPr="005E6D84">
        <w:rPr>
          <w:rFonts w:cs="Times New Roman"/>
          <w:szCs w:val="24"/>
          <w:lang w:val="en-GB"/>
        </w:rPr>
        <w:t xml:space="preserve">(4), 2011.  </w:t>
      </w:r>
      <w:hyperlink r:id="rId21" w:history="1">
        <w:r w:rsidRPr="005E6D84">
          <w:rPr>
            <w:rStyle w:val="Hyperlink"/>
            <w:rFonts w:cs="Times New Roman"/>
            <w:szCs w:val="24"/>
            <w:lang w:val="en-GB"/>
          </w:rPr>
          <w:t>https://www.mdpi.com/2071-1050/14/4/2011</w:t>
        </w:r>
      </w:hyperlink>
      <w:r w:rsidRPr="005E6D84">
        <w:rPr>
          <w:rFonts w:cs="Times New Roman"/>
          <w:szCs w:val="24"/>
          <w:lang w:val="en-GB"/>
        </w:rPr>
        <w:t xml:space="preserve"> </w:t>
      </w:r>
    </w:p>
    <w:p w14:paraId="614CDB6F" w14:textId="77777777" w:rsidR="008B3BD7" w:rsidRPr="005E6D84" w:rsidRDefault="008B3BD7" w:rsidP="00660F26">
      <w:pPr>
        <w:rPr>
          <w:rFonts w:cs="Times New Roman"/>
          <w:szCs w:val="24"/>
          <w:lang w:val="en-GB"/>
        </w:rPr>
      </w:pPr>
      <w:r w:rsidRPr="005E6D84">
        <w:rPr>
          <w:rFonts w:cs="Times New Roman"/>
          <w:szCs w:val="24"/>
          <w:lang w:val="en-GB"/>
        </w:rPr>
        <w:t>Candra, K. (2025). The Impact of Exchange Rate Fluctuations on Indonesia's Export-Import Performance. </w:t>
      </w:r>
      <w:r w:rsidRPr="005E6D84">
        <w:rPr>
          <w:rFonts w:cs="Times New Roman"/>
          <w:i/>
          <w:iCs/>
          <w:szCs w:val="24"/>
          <w:lang w:val="en-GB"/>
        </w:rPr>
        <w:t>Available at SSRN 5258411</w:t>
      </w:r>
      <w:r w:rsidRPr="005E6D84">
        <w:rPr>
          <w:rFonts w:cs="Times New Roman"/>
          <w:szCs w:val="24"/>
          <w:lang w:val="en-GB"/>
        </w:rPr>
        <w:t xml:space="preserve">. </w:t>
      </w:r>
      <w:hyperlink r:id="rId22" w:history="1">
        <w:r w:rsidRPr="005E6D84">
          <w:rPr>
            <w:rStyle w:val="Hyperlink"/>
            <w:rFonts w:cs="Times New Roman"/>
            <w:szCs w:val="24"/>
            <w:lang w:val="en-GB"/>
          </w:rPr>
          <w:t>https://papers.ssrn.com/sol3/Delivery.cfm?abstractid=5258411</w:t>
        </w:r>
      </w:hyperlink>
      <w:r w:rsidRPr="005E6D84">
        <w:rPr>
          <w:rFonts w:cs="Times New Roman"/>
          <w:szCs w:val="24"/>
          <w:lang w:val="en-GB"/>
        </w:rPr>
        <w:t xml:space="preserve"> </w:t>
      </w:r>
    </w:p>
    <w:p w14:paraId="5C8B0F35" w14:textId="77777777" w:rsidR="008B3BD7" w:rsidRPr="005E6D84" w:rsidRDefault="008B3BD7" w:rsidP="00660F26">
      <w:pPr>
        <w:rPr>
          <w:rFonts w:cs="Times New Roman"/>
          <w:szCs w:val="24"/>
          <w:lang w:val="en-GB"/>
        </w:rPr>
      </w:pPr>
      <w:r w:rsidRPr="005E6D84">
        <w:rPr>
          <w:rFonts w:cs="Times New Roman"/>
          <w:szCs w:val="24"/>
          <w:lang w:val="en-GB"/>
        </w:rPr>
        <w:t>de Leede, J. and Fisher, S. (2022) Hybrid working and well-being: Results of the well-being study among UT employees, Wave 1 (of 2) 2022. University of Twente, June 2022. [PDF]. Available at: </w:t>
      </w:r>
      <w:hyperlink r:id="rId23" w:tgtFrame="_blank" w:history="1">
        <w:r w:rsidRPr="005E6D84">
          <w:rPr>
            <w:rStyle w:val="Hyperlink"/>
            <w:rFonts w:cs="Times New Roman"/>
            <w:szCs w:val="24"/>
            <w:lang w:val="en-GB"/>
          </w:rPr>
          <w:t>https://ris.utwente.nl/ws/portalfiles/portal/289304258/report_wellbeing_2022_wave_1_final_07_07_2022.pdf</w:t>
        </w:r>
      </w:hyperlink>
      <w:r w:rsidRPr="005E6D84">
        <w:rPr>
          <w:rFonts w:cs="Times New Roman"/>
          <w:szCs w:val="24"/>
          <w:lang w:val="en-GB"/>
        </w:rPr>
        <w:t> [Accessed on: 15/12/2025].</w:t>
      </w:r>
    </w:p>
    <w:p w14:paraId="5DD354F2" w14:textId="77777777" w:rsidR="008B3BD7" w:rsidRPr="005E6D84" w:rsidRDefault="008B3BD7" w:rsidP="00660F26">
      <w:pPr>
        <w:rPr>
          <w:rFonts w:cs="Times New Roman"/>
          <w:szCs w:val="24"/>
          <w:lang w:val="en-GB"/>
        </w:rPr>
      </w:pPr>
      <w:r w:rsidRPr="005E6D84">
        <w:rPr>
          <w:rFonts w:cs="Times New Roman"/>
          <w:szCs w:val="24"/>
          <w:lang w:val="en-GB"/>
        </w:rPr>
        <w:t>El-Mansouri, F. (2023). AI-Driven Financial Risk Analytics in Multi-Cloud Environments: A Distributed Computing Perspective. </w:t>
      </w:r>
      <w:r w:rsidRPr="005E6D84">
        <w:rPr>
          <w:rFonts w:cs="Times New Roman"/>
          <w:i/>
          <w:iCs/>
          <w:szCs w:val="24"/>
          <w:lang w:val="en-GB"/>
        </w:rPr>
        <w:t xml:space="preserve">International Journal of AI, </w:t>
      </w:r>
      <w:proofErr w:type="spellStart"/>
      <w:r w:rsidRPr="005E6D84">
        <w:rPr>
          <w:rFonts w:cs="Times New Roman"/>
          <w:i/>
          <w:iCs/>
          <w:szCs w:val="24"/>
          <w:lang w:val="en-GB"/>
        </w:rPr>
        <w:t>BigData</w:t>
      </w:r>
      <w:proofErr w:type="spellEnd"/>
      <w:r w:rsidRPr="005E6D84">
        <w:rPr>
          <w:rFonts w:cs="Times New Roman"/>
          <w:i/>
          <w:iCs/>
          <w:szCs w:val="24"/>
          <w:lang w:val="en-GB"/>
        </w:rPr>
        <w:t>, Computational and Management Studies</w:t>
      </w:r>
      <w:r w:rsidRPr="005E6D84">
        <w:rPr>
          <w:rFonts w:cs="Times New Roman"/>
          <w:szCs w:val="24"/>
          <w:lang w:val="en-GB"/>
        </w:rPr>
        <w:t>, </w:t>
      </w:r>
      <w:r w:rsidRPr="005E6D84">
        <w:rPr>
          <w:rFonts w:cs="Times New Roman"/>
          <w:i/>
          <w:iCs/>
          <w:szCs w:val="24"/>
          <w:lang w:val="en-GB"/>
        </w:rPr>
        <w:t>4</w:t>
      </w:r>
      <w:r w:rsidRPr="005E6D84">
        <w:rPr>
          <w:rFonts w:cs="Times New Roman"/>
          <w:szCs w:val="24"/>
          <w:lang w:val="en-GB"/>
        </w:rPr>
        <w:t xml:space="preserve">(4), 9-19. </w:t>
      </w:r>
      <w:hyperlink r:id="rId24" w:history="1">
        <w:r w:rsidRPr="005E6D84">
          <w:rPr>
            <w:rStyle w:val="Hyperlink"/>
            <w:rFonts w:cs="Times New Roman"/>
            <w:szCs w:val="24"/>
            <w:lang w:val="en-GB"/>
          </w:rPr>
          <w:t>https://ijaibdcms.org/index.php/ijaibdcms/article/download/54/49</w:t>
        </w:r>
      </w:hyperlink>
      <w:r w:rsidRPr="005E6D84">
        <w:rPr>
          <w:rFonts w:cs="Times New Roman"/>
          <w:szCs w:val="24"/>
          <w:lang w:val="en-GB"/>
        </w:rPr>
        <w:t xml:space="preserve"> </w:t>
      </w:r>
    </w:p>
    <w:p w14:paraId="0F6EA8F3" w14:textId="77777777" w:rsidR="008B3BD7" w:rsidRPr="005E6D84" w:rsidRDefault="008B3BD7" w:rsidP="00660F26">
      <w:pPr>
        <w:rPr>
          <w:rFonts w:cs="Times New Roman"/>
          <w:szCs w:val="24"/>
          <w:lang w:val="en-GB"/>
        </w:rPr>
      </w:pPr>
      <w:r w:rsidRPr="005E6D84">
        <w:rPr>
          <w:rFonts w:cs="Times New Roman"/>
          <w:szCs w:val="24"/>
          <w:lang w:val="en-GB"/>
        </w:rPr>
        <w:t>Expert Market Research. (2025) Indonesia Private Banking Market Size, Share, Trends, Analysis, Report and Forecast 2025–2034. [Online]. Available at: </w:t>
      </w:r>
      <w:hyperlink r:id="rId25" w:tgtFrame="_blank" w:history="1">
        <w:r w:rsidRPr="005E6D84">
          <w:rPr>
            <w:rStyle w:val="Hyperlink"/>
            <w:rFonts w:cs="Times New Roman"/>
            <w:szCs w:val="24"/>
            <w:lang w:val="en-GB"/>
          </w:rPr>
          <w:t>https://www.researchandmarkets.com/reports/6176278/indonesia-private-banking-market-size-share</w:t>
        </w:r>
      </w:hyperlink>
      <w:r w:rsidRPr="005E6D84">
        <w:rPr>
          <w:rFonts w:cs="Times New Roman"/>
          <w:szCs w:val="24"/>
          <w:lang w:val="en-GB"/>
        </w:rPr>
        <w:t> [Accessed on: 15/12/2025]</w:t>
      </w:r>
    </w:p>
    <w:p w14:paraId="23542E5F" w14:textId="77777777" w:rsidR="008B3BD7" w:rsidRPr="005E6D84" w:rsidRDefault="008B3BD7" w:rsidP="00660F26">
      <w:pPr>
        <w:rPr>
          <w:rFonts w:cs="Times New Roman"/>
          <w:szCs w:val="24"/>
          <w:lang w:val="en-GB"/>
        </w:rPr>
      </w:pPr>
      <w:r w:rsidRPr="005E6D84">
        <w:rPr>
          <w:rFonts w:cs="Times New Roman"/>
          <w:szCs w:val="24"/>
          <w:lang w:val="en-GB"/>
        </w:rPr>
        <w:t>EY. (2022) Riding the wave of Indonesia’s financial services growth. [Online]. Available at: </w:t>
      </w:r>
      <w:hyperlink r:id="rId26" w:tgtFrame="_blank" w:history="1">
        <w:r w:rsidRPr="005E6D84">
          <w:rPr>
            <w:rStyle w:val="Hyperlink"/>
            <w:rFonts w:cs="Times New Roman"/>
            <w:szCs w:val="24"/>
            <w:lang w:val="en-GB"/>
          </w:rPr>
          <w:t>https://www.ey.com/en_id/insights/banking-capital-markets/riding-the-wave-of-indonesias-financial-services-growth</w:t>
        </w:r>
      </w:hyperlink>
      <w:r w:rsidRPr="005E6D84">
        <w:rPr>
          <w:rFonts w:cs="Times New Roman"/>
          <w:szCs w:val="24"/>
          <w:lang w:val="en-GB"/>
        </w:rPr>
        <w:t> [Accessed on: 15/12/2025].</w:t>
      </w:r>
    </w:p>
    <w:p w14:paraId="6F83BFE9" w14:textId="77777777" w:rsidR="008B3BD7" w:rsidRPr="005E6D84" w:rsidRDefault="008B3BD7" w:rsidP="00961AED">
      <w:pPr>
        <w:rPr>
          <w:lang w:val="en-GB"/>
        </w:rPr>
      </w:pPr>
      <w:r w:rsidRPr="005E6D84">
        <w:rPr>
          <w:lang w:val="en-GB"/>
        </w:rPr>
        <w:lastRenderedPageBreak/>
        <w:t>Grant, R.M., (2021). </w:t>
      </w:r>
      <w:r w:rsidRPr="005E6D84">
        <w:rPr>
          <w:i/>
          <w:iCs/>
          <w:lang w:val="en-GB"/>
        </w:rPr>
        <w:t>Contemporary strategy analysis</w:t>
      </w:r>
      <w:r w:rsidRPr="005E6D84">
        <w:rPr>
          <w:lang w:val="en-GB"/>
        </w:rPr>
        <w:t xml:space="preserve">. John Wiley &amp; Sons. </w:t>
      </w:r>
      <w:hyperlink r:id="rId27" w:history="1">
        <w:r w:rsidRPr="005E6D84">
          <w:rPr>
            <w:rStyle w:val="Hyperlink"/>
            <w:lang w:val="en-GB"/>
          </w:rPr>
          <w:t>http://111.68.96.114:8088/get/pdf/Contemporary%20Strategy%20Analysis_%20Text%20and%20Cases%209th.ed%20-%20Robert%20M.%20Grant_5844.pdf</w:t>
        </w:r>
      </w:hyperlink>
      <w:r w:rsidRPr="005E6D84">
        <w:rPr>
          <w:lang w:val="en-GB"/>
        </w:rPr>
        <w:t xml:space="preserve"> </w:t>
      </w:r>
    </w:p>
    <w:p w14:paraId="2C663FD6" w14:textId="77777777" w:rsidR="008B3BD7" w:rsidRPr="005E6D84" w:rsidRDefault="008B3BD7" w:rsidP="00660F26">
      <w:pPr>
        <w:rPr>
          <w:rFonts w:cs="Times New Roman"/>
          <w:szCs w:val="24"/>
          <w:lang w:val="en-GB"/>
        </w:rPr>
      </w:pPr>
      <w:r w:rsidRPr="005E6D84">
        <w:rPr>
          <w:rFonts w:cs="Times New Roman"/>
          <w:szCs w:val="24"/>
          <w:lang w:val="en-GB"/>
        </w:rPr>
        <w:t>Hidayat, G., Affandi, A., and Anwar, M. (2025). The Influence of Corporate Governance, Capital Structure, and Profitability on Firm Value in Banking Sector in Indonesia. </w:t>
      </w:r>
      <w:r w:rsidRPr="005E6D84">
        <w:rPr>
          <w:rFonts w:cs="Times New Roman"/>
          <w:i/>
          <w:iCs/>
          <w:szCs w:val="24"/>
          <w:lang w:val="en-GB"/>
        </w:rPr>
        <w:t>International Journal of Business, Law, and Education</w:t>
      </w:r>
      <w:r w:rsidRPr="005E6D84">
        <w:rPr>
          <w:rFonts w:cs="Times New Roman"/>
          <w:szCs w:val="24"/>
          <w:lang w:val="en-GB"/>
        </w:rPr>
        <w:t>, </w:t>
      </w:r>
      <w:r w:rsidRPr="005E6D84">
        <w:rPr>
          <w:rFonts w:cs="Times New Roman"/>
          <w:i/>
          <w:iCs/>
          <w:szCs w:val="24"/>
          <w:lang w:val="en-GB"/>
        </w:rPr>
        <w:t>6</w:t>
      </w:r>
      <w:r w:rsidRPr="005E6D84">
        <w:rPr>
          <w:rFonts w:cs="Times New Roman"/>
          <w:szCs w:val="24"/>
          <w:lang w:val="en-GB"/>
        </w:rPr>
        <w:t xml:space="preserve">(1), 160-169. </w:t>
      </w:r>
      <w:hyperlink r:id="rId28" w:history="1">
        <w:r w:rsidRPr="005E6D84">
          <w:rPr>
            <w:rStyle w:val="Hyperlink"/>
            <w:rFonts w:cs="Times New Roman"/>
            <w:szCs w:val="24"/>
            <w:lang w:val="en-GB"/>
          </w:rPr>
          <w:t>http://www.ijble.com/index.php/journal/article/download/991/883</w:t>
        </w:r>
      </w:hyperlink>
      <w:r w:rsidRPr="005E6D84">
        <w:rPr>
          <w:rFonts w:cs="Times New Roman"/>
          <w:szCs w:val="24"/>
          <w:lang w:val="en-GB"/>
        </w:rPr>
        <w:t xml:space="preserve"> </w:t>
      </w:r>
    </w:p>
    <w:p w14:paraId="69ABC7B0" w14:textId="77777777" w:rsidR="008B3BD7" w:rsidRPr="005E6D84" w:rsidRDefault="008B3BD7" w:rsidP="00660F26">
      <w:pPr>
        <w:rPr>
          <w:rFonts w:cs="Times New Roman"/>
          <w:szCs w:val="24"/>
          <w:lang w:val="en-GB"/>
        </w:rPr>
      </w:pPr>
      <w:bookmarkStart w:id="17" w:name="_Hlk216695281"/>
      <w:r w:rsidRPr="005E6D84">
        <w:rPr>
          <w:rFonts w:cs="Times New Roman"/>
          <w:szCs w:val="24"/>
          <w:lang w:val="en-GB"/>
        </w:rPr>
        <w:t xml:space="preserve">Hossain, N. (2023). A comparative analysis of conventional and modern methods of credit </w:t>
      </w:r>
      <w:bookmarkEnd w:id="17"/>
      <w:r w:rsidRPr="005E6D84">
        <w:rPr>
          <w:rFonts w:cs="Times New Roman"/>
          <w:szCs w:val="24"/>
          <w:lang w:val="en-GB"/>
        </w:rPr>
        <w:t xml:space="preserve">risk assessment in financial institutions: implications for micro, small and medium enterprises (MSMEs). </w:t>
      </w:r>
      <w:hyperlink r:id="rId29" w:history="1">
        <w:r w:rsidRPr="005E6D84">
          <w:rPr>
            <w:rStyle w:val="Hyperlink"/>
            <w:rFonts w:cs="Times New Roman"/>
            <w:szCs w:val="24"/>
            <w:lang w:val="en-GB"/>
          </w:rPr>
          <w:t>https://dspace.bracu.ac.bd:8443/xmlui/bitstream/handle/10361/22883/20104023_BBA.pdf?sequence=1&amp;isAllowed=n</w:t>
        </w:r>
      </w:hyperlink>
      <w:r w:rsidRPr="005E6D84">
        <w:rPr>
          <w:rFonts w:cs="Times New Roman"/>
          <w:szCs w:val="24"/>
          <w:lang w:val="en-GB"/>
        </w:rPr>
        <w:t xml:space="preserve"> </w:t>
      </w:r>
    </w:p>
    <w:p w14:paraId="7E1887B2" w14:textId="77777777" w:rsidR="008B3BD7" w:rsidRPr="005E6D84" w:rsidRDefault="008B3BD7" w:rsidP="00660F26">
      <w:pPr>
        <w:rPr>
          <w:rFonts w:cs="Times New Roman"/>
          <w:szCs w:val="24"/>
          <w:lang w:val="en-GB"/>
        </w:rPr>
      </w:pPr>
      <w:r w:rsidRPr="005E6D84">
        <w:rPr>
          <w:rFonts w:cs="Times New Roman"/>
          <w:szCs w:val="24"/>
          <w:lang w:val="en-GB"/>
        </w:rPr>
        <w:t>Ibrahim, Y. (2024). Best practices and strategies for talent acquisition, retention and development in Egypt. </w:t>
      </w:r>
      <w:r w:rsidRPr="005E6D84">
        <w:rPr>
          <w:rFonts w:cs="Times New Roman"/>
          <w:i/>
          <w:iCs/>
          <w:szCs w:val="24"/>
          <w:lang w:val="en-GB"/>
        </w:rPr>
        <w:t>Leadership</w:t>
      </w:r>
      <w:r w:rsidRPr="005E6D84">
        <w:rPr>
          <w:rFonts w:cs="Times New Roman"/>
          <w:szCs w:val="24"/>
          <w:lang w:val="en-GB"/>
        </w:rPr>
        <w:t>, </w:t>
      </w:r>
      <w:r w:rsidRPr="005E6D84">
        <w:rPr>
          <w:rFonts w:cs="Times New Roman"/>
          <w:i/>
          <w:iCs/>
          <w:szCs w:val="24"/>
          <w:lang w:val="en-GB"/>
        </w:rPr>
        <w:t>9</w:t>
      </w:r>
      <w:r w:rsidRPr="005E6D84">
        <w:rPr>
          <w:rFonts w:cs="Times New Roman"/>
          <w:szCs w:val="24"/>
          <w:lang w:val="en-GB"/>
        </w:rPr>
        <w:t xml:space="preserve">(1), 35-49. </w:t>
      </w:r>
      <w:hyperlink r:id="rId30" w:history="1">
        <w:r w:rsidRPr="005E6D84">
          <w:rPr>
            <w:rStyle w:val="Hyperlink"/>
            <w:rFonts w:cs="Times New Roman"/>
            <w:szCs w:val="24"/>
            <w:lang w:val="en-GB"/>
          </w:rPr>
          <w:t>https://pdfs.semanticscholar.org/62db/585e5bf811fadcc14448dae9408679644819.pdf</w:t>
        </w:r>
      </w:hyperlink>
      <w:r w:rsidRPr="005E6D84">
        <w:rPr>
          <w:rFonts w:cs="Times New Roman"/>
          <w:szCs w:val="24"/>
          <w:lang w:val="en-GB"/>
        </w:rPr>
        <w:t xml:space="preserve"> </w:t>
      </w:r>
    </w:p>
    <w:p w14:paraId="0E1AB2ED" w14:textId="77777777" w:rsidR="008B3BD7" w:rsidRPr="005E6D84" w:rsidRDefault="008B3BD7" w:rsidP="00660F26">
      <w:pPr>
        <w:rPr>
          <w:rFonts w:cs="Times New Roman"/>
          <w:szCs w:val="24"/>
          <w:lang w:val="en-GB"/>
        </w:rPr>
      </w:pPr>
      <w:r w:rsidRPr="005E6D84">
        <w:rPr>
          <w:rFonts w:cs="Times New Roman"/>
          <w:szCs w:val="24"/>
          <w:lang w:val="en-GB"/>
        </w:rPr>
        <w:t>ICLG. (2025) Fintech Laws and Regulations Report 2025: Indonesia. [Online]. Available at: </w:t>
      </w:r>
      <w:hyperlink r:id="rId31" w:tgtFrame="_blank" w:history="1">
        <w:r w:rsidRPr="005E6D84">
          <w:rPr>
            <w:rStyle w:val="Hyperlink"/>
            <w:rFonts w:cs="Times New Roman"/>
            <w:szCs w:val="24"/>
            <w:lang w:val="en-GB"/>
          </w:rPr>
          <w:t>https://iclg.com/practice-areas/fintech-laws-and-regulations/indonesia</w:t>
        </w:r>
      </w:hyperlink>
      <w:r w:rsidRPr="005E6D84">
        <w:rPr>
          <w:rFonts w:cs="Times New Roman"/>
          <w:szCs w:val="24"/>
          <w:lang w:val="en-GB"/>
        </w:rPr>
        <w:t> [Accessed on: 15/12/2025].</w:t>
      </w:r>
    </w:p>
    <w:p w14:paraId="314ED9EF" w14:textId="77777777" w:rsidR="008B3BD7" w:rsidRPr="005E6D84" w:rsidRDefault="008B3BD7" w:rsidP="00660F26">
      <w:pPr>
        <w:rPr>
          <w:rFonts w:cs="Times New Roman"/>
          <w:szCs w:val="24"/>
          <w:lang w:val="en-GB"/>
        </w:rPr>
      </w:pPr>
      <w:r w:rsidRPr="005E6D84">
        <w:rPr>
          <w:rFonts w:cs="Times New Roman"/>
          <w:szCs w:val="24"/>
          <w:lang w:val="en-GB"/>
        </w:rPr>
        <w:t>Jameaba, M. S. (2020). Digitization revolution, FinTech disruption, and financial stability: Using the case of Indonesian banking ecosystem to highlight wide-ranging digitization opportunities and major challenges. </w:t>
      </w:r>
      <w:r w:rsidRPr="005E6D84">
        <w:rPr>
          <w:rFonts w:cs="Times New Roman"/>
          <w:i/>
          <w:iCs/>
          <w:szCs w:val="24"/>
          <w:lang w:val="en-GB"/>
        </w:rPr>
        <w:t xml:space="preserve">FinTech Disruption, and </w:t>
      </w:r>
      <w:proofErr w:type="gramStart"/>
      <w:r w:rsidRPr="005E6D84">
        <w:rPr>
          <w:rFonts w:cs="Times New Roman"/>
          <w:i/>
          <w:iCs/>
          <w:szCs w:val="24"/>
          <w:lang w:val="en-GB"/>
        </w:rPr>
        <w:t>Financial</w:t>
      </w:r>
      <w:proofErr w:type="gramEnd"/>
      <w:r w:rsidRPr="005E6D84">
        <w:rPr>
          <w:rFonts w:cs="Times New Roman"/>
          <w:i/>
          <w:iCs/>
          <w:szCs w:val="24"/>
          <w:lang w:val="en-GB"/>
        </w:rPr>
        <w:t xml:space="preserve"> stability: Using the Case of Indonesian Banking Ecosystem to highlight wide-ranging digitization opportunities and major challenges (July 16 2, 2020)</w:t>
      </w:r>
      <w:r w:rsidRPr="005E6D84">
        <w:rPr>
          <w:rFonts w:cs="Times New Roman"/>
          <w:szCs w:val="24"/>
          <w:lang w:val="en-GB"/>
        </w:rPr>
        <w:t xml:space="preserve">. </w:t>
      </w:r>
      <w:hyperlink r:id="rId32" w:history="1">
        <w:r w:rsidRPr="005E6D84">
          <w:rPr>
            <w:rStyle w:val="Hyperlink"/>
            <w:rFonts w:cs="Times New Roman"/>
            <w:szCs w:val="24"/>
            <w:lang w:val="en-GB"/>
          </w:rPr>
          <w:t>https://papers.ssrn.com/sol3/Delivery.cfm?abstractid=3529924</w:t>
        </w:r>
      </w:hyperlink>
      <w:r w:rsidRPr="005E6D84">
        <w:rPr>
          <w:rFonts w:cs="Times New Roman"/>
          <w:szCs w:val="24"/>
          <w:lang w:val="en-GB"/>
        </w:rPr>
        <w:t xml:space="preserve"> </w:t>
      </w:r>
    </w:p>
    <w:p w14:paraId="390B6344" w14:textId="77777777" w:rsidR="008B3BD7" w:rsidRPr="005E6D84" w:rsidRDefault="008B3BD7" w:rsidP="00660F26">
      <w:pPr>
        <w:rPr>
          <w:rFonts w:cs="Times New Roman"/>
          <w:szCs w:val="24"/>
          <w:lang w:val="en-GB"/>
        </w:rPr>
      </w:pPr>
      <w:r w:rsidRPr="005E6D84">
        <w:rPr>
          <w:rFonts w:cs="Times New Roman"/>
          <w:szCs w:val="24"/>
          <w:lang w:val="en-GB"/>
        </w:rPr>
        <w:t>Ken Research. (2025) Indonesia Neobanking &amp; Digital Lending Market: Future Outlook, Key Drivers, and Financial Inclusion Opportunities. [Online]. Available at: </w:t>
      </w:r>
      <w:hyperlink r:id="rId33" w:tgtFrame="_blank" w:history="1">
        <w:r w:rsidRPr="005E6D84">
          <w:rPr>
            <w:rStyle w:val="Hyperlink"/>
            <w:rFonts w:cs="Times New Roman"/>
            <w:szCs w:val="24"/>
            <w:lang w:val="en-GB"/>
          </w:rPr>
          <w:t>https://www.kenresearch.com/indonesia-neobanking-digital-lending-market</w:t>
        </w:r>
      </w:hyperlink>
      <w:r w:rsidRPr="005E6D84">
        <w:rPr>
          <w:rFonts w:cs="Times New Roman"/>
          <w:szCs w:val="24"/>
          <w:lang w:val="en-GB"/>
        </w:rPr>
        <w:t> [Accessed on: 15/12/2025].</w:t>
      </w:r>
    </w:p>
    <w:p w14:paraId="04EBFF73" w14:textId="77777777" w:rsidR="008B3BD7" w:rsidRPr="005E6D84" w:rsidRDefault="008B3BD7" w:rsidP="00660F26">
      <w:pPr>
        <w:rPr>
          <w:rFonts w:cs="Times New Roman"/>
          <w:szCs w:val="24"/>
          <w:lang w:val="en-GB"/>
        </w:rPr>
      </w:pPr>
      <w:r w:rsidRPr="005E6D84">
        <w:rPr>
          <w:rFonts w:cs="Times New Roman"/>
          <w:szCs w:val="24"/>
          <w:lang w:val="en-GB"/>
        </w:rPr>
        <w:t>Kusnawirawan, I., Syarkani, Y., Hernayati, H., and Waluyo, I. (2025). Safeguarding Investor Rights: OJK’s Regulatory Framework Including Management and Challenges in Indonesia’s Capital Market. </w:t>
      </w:r>
      <w:r w:rsidRPr="005E6D84">
        <w:rPr>
          <w:rFonts w:cs="Times New Roman"/>
          <w:i/>
          <w:iCs/>
          <w:szCs w:val="24"/>
          <w:lang w:val="en-GB"/>
        </w:rPr>
        <w:t>Jurnal Multidisiplin Indonesia</w:t>
      </w:r>
      <w:r w:rsidRPr="005E6D84">
        <w:rPr>
          <w:rFonts w:cs="Times New Roman"/>
          <w:szCs w:val="24"/>
          <w:lang w:val="en-GB"/>
        </w:rPr>
        <w:t>, </w:t>
      </w:r>
      <w:r w:rsidRPr="005E6D84">
        <w:rPr>
          <w:rFonts w:cs="Times New Roman"/>
          <w:i/>
          <w:iCs/>
          <w:szCs w:val="24"/>
          <w:lang w:val="en-GB"/>
        </w:rPr>
        <w:t>4</w:t>
      </w:r>
      <w:r w:rsidRPr="005E6D84">
        <w:rPr>
          <w:rFonts w:cs="Times New Roman"/>
          <w:szCs w:val="24"/>
          <w:lang w:val="en-GB"/>
        </w:rPr>
        <w:t xml:space="preserve">(3), 193-201.  </w:t>
      </w:r>
      <w:hyperlink r:id="rId34" w:history="1">
        <w:r w:rsidRPr="005E6D84">
          <w:rPr>
            <w:rStyle w:val="Hyperlink"/>
            <w:rFonts w:cs="Times New Roman"/>
            <w:szCs w:val="24"/>
            <w:lang w:val="en-GB"/>
          </w:rPr>
          <w:t>https://jmi.rivierapublishing.id/index.php/rp/article/download/2243/965</w:t>
        </w:r>
      </w:hyperlink>
      <w:r w:rsidRPr="005E6D84">
        <w:rPr>
          <w:rFonts w:cs="Times New Roman"/>
          <w:szCs w:val="24"/>
          <w:lang w:val="en-GB"/>
        </w:rPr>
        <w:t xml:space="preserve"> </w:t>
      </w:r>
    </w:p>
    <w:p w14:paraId="6CB386C9" w14:textId="77777777" w:rsidR="008B3BD7" w:rsidRPr="005E6D84" w:rsidRDefault="008B3BD7" w:rsidP="00660F26">
      <w:pPr>
        <w:rPr>
          <w:rFonts w:cs="Times New Roman"/>
          <w:szCs w:val="24"/>
          <w:lang w:val="en-GB"/>
        </w:rPr>
      </w:pPr>
      <w:r w:rsidRPr="005E6D84">
        <w:rPr>
          <w:rFonts w:cs="Times New Roman"/>
          <w:szCs w:val="24"/>
          <w:lang w:val="en-GB"/>
        </w:rPr>
        <w:lastRenderedPageBreak/>
        <w:t>Li, H. (2022). </w:t>
      </w:r>
      <w:r w:rsidRPr="005E6D84">
        <w:rPr>
          <w:rFonts w:cs="Times New Roman"/>
          <w:i/>
          <w:iCs/>
          <w:szCs w:val="24"/>
          <w:lang w:val="en-GB"/>
        </w:rPr>
        <w:t>Absorptive, adopted and agile: A study of the digital transformation of Africa carriers</w:t>
      </w:r>
      <w:r w:rsidRPr="005E6D84">
        <w:rPr>
          <w:rFonts w:cs="Times New Roman"/>
          <w:szCs w:val="24"/>
          <w:lang w:val="en-GB"/>
        </w:rPr>
        <w:t xml:space="preserve"> (Doctoral dissertation, Middlesex University). </w:t>
      </w:r>
      <w:hyperlink r:id="rId35" w:history="1">
        <w:r w:rsidRPr="005E6D84">
          <w:rPr>
            <w:rStyle w:val="Hyperlink"/>
            <w:rFonts w:cs="Times New Roman"/>
            <w:szCs w:val="24"/>
            <w:lang w:val="en-GB"/>
          </w:rPr>
          <w:t>https://repository.mdx.ac.uk/download/7cd677ee500b0fda6029cc7cfdf13a9b9c592e65ae564d9ca2ea493169a2bdf8/2651768/HLi%20thesis.pdf</w:t>
        </w:r>
      </w:hyperlink>
      <w:r w:rsidRPr="005E6D84">
        <w:rPr>
          <w:rFonts w:cs="Times New Roman"/>
          <w:szCs w:val="24"/>
          <w:lang w:val="en-GB"/>
        </w:rPr>
        <w:t xml:space="preserve"> </w:t>
      </w:r>
    </w:p>
    <w:p w14:paraId="3E46CD13" w14:textId="77777777" w:rsidR="008B3BD7" w:rsidRPr="005E6D84" w:rsidRDefault="008B3BD7" w:rsidP="00660F26">
      <w:pPr>
        <w:rPr>
          <w:rFonts w:cs="Times New Roman"/>
          <w:szCs w:val="24"/>
          <w:lang w:val="en-GB"/>
        </w:rPr>
      </w:pPr>
      <w:r w:rsidRPr="005E6D84">
        <w:rPr>
          <w:rFonts w:cs="Times New Roman"/>
          <w:szCs w:val="24"/>
          <w:lang w:val="en-GB"/>
        </w:rPr>
        <w:t>Lloyds Banking Group. (2025) Artificial Intelligence at Lloyds Banking Group: Our AI Journey. [Online]. Available at: </w:t>
      </w:r>
      <w:hyperlink r:id="rId36" w:tgtFrame="_blank" w:history="1">
        <w:r w:rsidRPr="005E6D84">
          <w:rPr>
            <w:rStyle w:val="Hyperlink"/>
            <w:rFonts w:cs="Times New Roman"/>
            <w:szCs w:val="24"/>
            <w:lang w:val="en-GB"/>
          </w:rPr>
          <w:t>https://www.lloydsbankinggroup.com/who-we-are/group-overview/artificial-intelligence.html</w:t>
        </w:r>
      </w:hyperlink>
      <w:r w:rsidRPr="005E6D84">
        <w:rPr>
          <w:rFonts w:cs="Times New Roman"/>
          <w:szCs w:val="24"/>
          <w:lang w:val="en-GB"/>
        </w:rPr>
        <w:t> [Accessed on: 15/12/2025].</w:t>
      </w:r>
    </w:p>
    <w:p w14:paraId="3D3615B7" w14:textId="77777777" w:rsidR="008B3BD7" w:rsidRPr="005E6D84" w:rsidRDefault="008B3BD7" w:rsidP="00660F26">
      <w:pPr>
        <w:rPr>
          <w:rFonts w:cs="Times New Roman"/>
          <w:szCs w:val="24"/>
          <w:lang w:val="en-GB"/>
        </w:rPr>
      </w:pPr>
      <w:r w:rsidRPr="005E6D84">
        <w:rPr>
          <w:rFonts w:cs="Times New Roman"/>
          <w:szCs w:val="24"/>
          <w:lang w:val="en-GB"/>
        </w:rPr>
        <w:t>Lloyds Banking Group. (2025) Our operational emissions: Operational climate pledges and progress towards net zero. [Online]. Available at: </w:t>
      </w:r>
      <w:hyperlink r:id="rId37" w:tgtFrame="_blank" w:history="1">
        <w:r w:rsidRPr="005E6D84">
          <w:rPr>
            <w:rStyle w:val="Hyperlink"/>
            <w:rFonts w:cs="Times New Roman"/>
            <w:szCs w:val="24"/>
            <w:lang w:val="en-GB"/>
          </w:rPr>
          <w:t>https://www.lloydsbankinggroup.com/sustainability/climate-and-nature/our-operational-climate-pledges.html</w:t>
        </w:r>
      </w:hyperlink>
      <w:r w:rsidRPr="005E6D84">
        <w:rPr>
          <w:rFonts w:cs="Times New Roman"/>
          <w:szCs w:val="24"/>
          <w:lang w:val="en-GB"/>
        </w:rPr>
        <w:t> [Accessed on: 15/12/2025]</w:t>
      </w:r>
    </w:p>
    <w:p w14:paraId="5EEBCFB7" w14:textId="77777777" w:rsidR="008B3BD7" w:rsidRPr="005E6D84" w:rsidRDefault="008B3BD7" w:rsidP="00660F26">
      <w:pPr>
        <w:rPr>
          <w:rFonts w:cs="Times New Roman"/>
          <w:szCs w:val="24"/>
          <w:lang w:val="en-GB"/>
        </w:rPr>
      </w:pPr>
      <w:bookmarkStart w:id="18" w:name="_Hlk216696119"/>
      <w:r w:rsidRPr="005E6D84">
        <w:rPr>
          <w:rFonts w:cs="Times New Roman"/>
          <w:szCs w:val="24"/>
          <w:lang w:val="en-GB"/>
        </w:rPr>
        <w:t xml:space="preserve"> Lloyds Banking Group. (2025) </w:t>
      </w:r>
      <w:bookmarkEnd w:id="18"/>
      <w:r w:rsidRPr="005E6D84">
        <w:rPr>
          <w:rFonts w:cs="Times New Roman"/>
          <w:szCs w:val="24"/>
          <w:lang w:val="en-GB"/>
        </w:rPr>
        <w:t>Supporting customers with their financial wellbeing. [Online]. Available at: </w:t>
      </w:r>
      <w:hyperlink r:id="rId38" w:tgtFrame="_blank" w:history="1">
        <w:r w:rsidRPr="005E6D84">
          <w:rPr>
            <w:rStyle w:val="Hyperlink"/>
            <w:rFonts w:cs="Times New Roman"/>
            <w:szCs w:val="24"/>
            <w:lang w:val="en-GB"/>
          </w:rPr>
          <w:t>https://www.lloydsbankinggroup.com/who-we-are/our-strategy/financial-wellbeing.html</w:t>
        </w:r>
      </w:hyperlink>
      <w:r w:rsidRPr="005E6D84">
        <w:rPr>
          <w:rFonts w:cs="Times New Roman"/>
          <w:szCs w:val="24"/>
          <w:lang w:val="en-GB"/>
        </w:rPr>
        <w:t> [Accessed on: 15/12/2025]</w:t>
      </w:r>
    </w:p>
    <w:p w14:paraId="178C8F34" w14:textId="77777777" w:rsidR="008B3BD7" w:rsidRPr="005E6D84" w:rsidRDefault="008B3BD7" w:rsidP="00660F26">
      <w:pPr>
        <w:rPr>
          <w:rFonts w:cs="Times New Roman"/>
          <w:szCs w:val="24"/>
          <w:lang w:val="en-GB"/>
        </w:rPr>
      </w:pPr>
      <w:r w:rsidRPr="005E6D84">
        <w:rPr>
          <w:rFonts w:cs="Times New Roman"/>
          <w:szCs w:val="24"/>
          <w:lang w:val="en-GB"/>
        </w:rPr>
        <w:t xml:space="preserve"> Lloyds Banking Group. (2025), Lloyds trumpets GenAI knowledge hub’s impact. [Online]. Available at: </w:t>
      </w:r>
      <w:hyperlink r:id="rId39" w:tgtFrame="_blank" w:history="1">
        <w:r w:rsidRPr="005E6D84">
          <w:rPr>
            <w:rStyle w:val="Hyperlink"/>
            <w:rFonts w:cs="Times New Roman"/>
            <w:szCs w:val="24"/>
            <w:lang w:val="en-GB"/>
          </w:rPr>
          <w:t>https://www.finextra.com/newsarticle/46301/lloyds-trumpets-genai-knowledge-hubs-impact</w:t>
        </w:r>
      </w:hyperlink>
      <w:r w:rsidRPr="005E6D84">
        <w:rPr>
          <w:rFonts w:cs="Times New Roman"/>
          <w:szCs w:val="24"/>
          <w:lang w:val="en-GB"/>
        </w:rPr>
        <w:t> [Accessed on: 15/12/2025].</w:t>
      </w:r>
    </w:p>
    <w:p w14:paraId="065E6AB4" w14:textId="2D23577F" w:rsidR="008B3BD7" w:rsidRPr="005E6D84" w:rsidRDefault="008B3BD7" w:rsidP="00D07B22">
      <w:pPr>
        <w:rPr>
          <w:lang w:val="en-GB"/>
        </w:rPr>
      </w:pPr>
      <w:r w:rsidRPr="005E6D84">
        <w:rPr>
          <w:lang w:val="en-GB"/>
        </w:rPr>
        <w:t xml:space="preserve"> </w:t>
      </w:r>
      <w:proofErr w:type="gramStart"/>
      <w:r w:rsidR="00920A88" w:rsidRPr="005E6D84">
        <w:rPr>
          <w:lang w:val="en-GB"/>
        </w:rPr>
        <w:t>Lloyds</w:t>
      </w:r>
      <w:proofErr w:type="gramEnd"/>
      <w:r w:rsidR="00920A88" w:rsidRPr="005E6D84">
        <w:rPr>
          <w:lang w:val="en-GB"/>
        </w:rPr>
        <w:t xml:space="preserve"> bank</w:t>
      </w:r>
      <w:r w:rsidRPr="005E6D84">
        <w:rPr>
          <w:lang w:val="en-GB"/>
        </w:rPr>
        <w:t xml:space="preserve">, (2025). </w:t>
      </w:r>
      <w:r w:rsidRPr="005E6D84">
        <w:rPr>
          <w:i/>
          <w:lang w:val="en-GB"/>
        </w:rPr>
        <w:t>About us</w:t>
      </w:r>
      <w:r w:rsidRPr="005E6D84">
        <w:rPr>
          <w:lang w:val="en-GB"/>
        </w:rPr>
        <w:t xml:space="preserve">. [Online]. Available through: &lt; </w:t>
      </w:r>
      <w:hyperlink r:id="rId40" w:history="1">
        <w:r w:rsidRPr="005E6D84">
          <w:rPr>
            <w:rStyle w:val="Hyperlink"/>
            <w:lang w:val="en-GB"/>
          </w:rPr>
          <w:t>https://www.lloydsbank.com/about-us.html</w:t>
        </w:r>
      </w:hyperlink>
      <w:r w:rsidRPr="005E6D84">
        <w:rPr>
          <w:lang w:val="en-GB"/>
        </w:rPr>
        <w:t xml:space="preserve"> &gt; [Accessed on: 12</w:t>
      </w:r>
      <w:r w:rsidRPr="005E6D84">
        <w:rPr>
          <w:vertAlign w:val="superscript"/>
          <w:lang w:val="en-GB"/>
        </w:rPr>
        <w:t>th</w:t>
      </w:r>
      <w:r w:rsidRPr="005E6D84">
        <w:rPr>
          <w:lang w:val="en-GB"/>
        </w:rPr>
        <w:t xml:space="preserve"> December, 2025]. </w:t>
      </w:r>
    </w:p>
    <w:p w14:paraId="6F302054" w14:textId="3B34C3EE" w:rsidR="008B3BD7" w:rsidRPr="005E6D84" w:rsidRDefault="00920A88" w:rsidP="00961AED">
      <w:pPr>
        <w:rPr>
          <w:lang w:val="en-GB"/>
        </w:rPr>
      </w:pPr>
      <w:proofErr w:type="gramStart"/>
      <w:r w:rsidRPr="005E6D84">
        <w:rPr>
          <w:lang w:val="en-GB"/>
        </w:rPr>
        <w:t>Lloyds</w:t>
      </w:r>
      <w:proofErr w:type="gramEnd"/>
      <w:r w:rsidRPr="005E6D84">
        <w:rPr>
          <w:lang w:val="en-GB"/>
        </w:rPr>
        <w:t xml:space="preserve"> bank</w:t>
      </w:r>
      <w:r w:rsidR="008B3BD7" w:rsidRPr="005E6D84">
        <w:rPr>
          <w:lang w:val="en-GB"/>
        </w:rPr>
        <w:t xml:space="preserve">, (2025). </w:t>
      </w:r>
      <w:r w:rsidR="008B3BD7" w:rsidRPr="005E6D84">
        <w:rPr>
          <w:i/>
          <w:lang w:val="en-GB"/>
        </w:rPr>
        <w:t>CMA results</w:t>
      </w:r>
      <w:r w:rsidR="008B3BD7" w:rsidRPr="005E6D84">
        <w:rPr>
          <w:lang w:val="en-GB"/>
        </w:rPr>
        <w:t>. [Online]. Available through: &lt;</w:t>
      </w:r>
      <w:hyperlink r:id="rId41" w:history="1">
        <w:r w:rsidR="008B3BD7" w:rsidRPr="005E6D84">
          <w:rPr>
            <w:rStyle w:val="Hyperlink"/>
            <w:lang w:val="en-GB"/>
          </w:rPr>
          <w:t>https://www.lloydsbank.com/current-accounts/cma-results.html</w:t>
        </w:r>
      </w:hyperlink>
      <w:r w:rsidR="008B3BD7" w:rsidRPr="005E6D84">
        <w:rPr>
          <w:lang w:val="en-GB"/>
        </w:rPr>
        <w:t>&gt; [Accessed on: 12</w:t>
      </w:r>
      <w:r w:rsidR="008B3BD7" w:rsidRPr="005E6D84">
        <w:rPr>
          <w:vertAlign w:val="superscript"/>
          <w:lang w:val="en-GB"/>
        </w:rPr>
        <w:t>th</w:t>
      </w:r>
      <w:r w:rsidR="008B3BD7" w:rsidRPr="005E6D84">
        <w:rPr>
          <w:lang w:val="en-GB"/>
        </w:rPr>
        <w:t xml:space="preserve"> December, 2025]. </w:t>
      </w:r>
    </w:p>
    <w:p w14:paraId="24552569" w14:textId="77777777" w:rsidR="008B3BD7" w:rsidRPr="005E6D84" w:rsidRDefault="008B3BD7" w:rsidP="00660F26">
      <w:pPr>
        <w:rPr>
          <w:rFonts w:cs="Times New Roman"/>
          <w:szCs w:val="24"/>
          <w:lang w:val="en-GB"/>
        </w:rPr>
      </w:pPr>
      <w:r w:rsidRPr="005E6D84">
        <w:rPr>
          <w:rFonts w:cs="Times New Roman"/>
          <w:szCs w:val="24"/>
          <w:lang w:val="en-GB"/>
        </w:rPr>
        <w:t>Löyttyniemi, T. (2025). Financial Instability and Public Backstops during 2022-2023. </w:t>
      </w:r>
      <w:r w:rsidRPr="005E6D84">
        <w:rPr>
          <w:rFonts w:cs="Times New Roman"/>
          <w:i/>
          <w:iCs/>
          <w:szCs w:val="24"/>
          <w:lang w:val="en-GB"/>
        </w:rPr>
        <w:t>Available at SSRN 5057446</w:t>
      </w:r>
      <w:r w:rsidRPr="005E6D84">
        <w:rPr>
          <w:rFonts w:cs="Times New Roman"/>
          <w:szCs w:val="24"/>
          <w:lang w:val="en-GB"/>
        </w:rPr>
        <w:t xml:space="preserve">. </w:t>
      </w:r>
      <w:hyperlink r:id="rId42" w:history="1">
        <w:r w:rsidRPr="005E6D84">
          <w:rPr>
            <w:rStyle w:val="Hyperlink"/>
            <w:rFonts w:cs="Times New Roman"/>
            <w:szCs w:val="24"/>
            <w:lang w:val="en-GB"/>
          </w:rPr>
          <w:t>https://papers.ssrn.com/sol3/Delivery.cfm?abstractid=5057446</w:t>
        </w:r>
      </w:hyperlink>
      <w:r w:rsidRPr="005E6D84">
        <w:rPr>
          <w:rFonts w:cs="Times New Roman"/>
          <w:szCs w:val="24"/>
          <w:lang w:val="en-GB"/>
        </w:rPr>
        <w:t xml:space="preserve"> </w:t>
      </w:r>
    </w:p>
    <w:p w14:paraId="71890063" w14:textId="77777777" w:rsidR="008B3BD7" w:rsidRPr="005E6D84" w:rsidRDefault="008B3BD7" w:rsidP="00961AED">
      <w:pPr>
        <w:rPr>
          <w:lang w:val="en-GB"/>
        </w:rPr>
      </w:pPr>
      <w:r w:rsidRPr="005E6D84">
        <w:rPr>
          <w:lang w:val="en-GB"/>
        </w:rPr>
        <w:t>Lynch, R., (2021). </w:t>
      </w:r>
      <w:r w:rsidRPr="005E6D84">
        <w:rPr>
          <w:i/>
          <w:iCs/>
          <w:lang w:val="en-GB"/>
        </w:rPr>
        <w:t>Strategic management</w:t>
      </w:r>
      <w:r w:rsidRPr="005E6D84">
        <w:rPr>
          <w:lang w:val="en-GB"/>
        </w:rPr>
        <w:t xml:space="preserve">. Sage. </w:t>
      </w:r>
      <w:hyperlink r:id="rId43" w:history="1">
        <w:r w:rsidRPr="005E6D84">
          <w:rPr>
            <w:rStyle w:val="Hyperlink"/>
            <w:lang w:val="en-GB"/>
          </w:rPr>
          <w:t>https://books.google.com/books?hl=en&amp;lr=&amp;id=MyAMEAAAQBAJ&amp;oi=fnd&amp;pg=PP1&amp;dq=Lynch,+R.,+(2021).+Strategic+management.+Sage.&amp;ots=lzgytVLlp_&amp;sig=PfRmkWq9HZGWRIEkOaXK3RFIe8g</w:t>
        </w:r>
      </w:hyperlink>
      <w:r w:rsidRPr="005E6D84">
        <w:rPr>
          <w:lang w:val="en-GB"/>
        </w:rPr>
        <w:t xml:space="preserve"> </w:t>
      </w:r>
    </w:p>
    <w:p w14:paraId="2FE0CE9A" w14:textId="77777777" w:rsidR="008B3BD7" w:rsidRPr="005E6D84" w:rsidRDefault="008B3BD7" w:rsidP="00660F26">
      <w:pPr>
        <w:rPr>
          <w:rFonts w:cs="Times New Roman"/>
          <w:szCs w:val="24"/>
          <w:lang w:val="en-GB"/>
        </w:rPr>
      </w:pPr>
      <w:r w:rsidRPr="005E6D84">
        <w:rPr>
          <w:rFonts w:cs="Times New Roman"/>
          <w:szCs w:val="24"/>
          <w:lang w:val="en-GB"/>
        </w:rPr>
        <w:t>Market Research Indonesia. (2025) Indonesia Digital Banking Expansion Accelerates Fast. [Online]. Available at: </w:t>
      </w:r>
      <w:hyperlink r:id="rId44" w:tgtFrame="_blank" w:history="1">
        <w:r w:rsidRPr="005E6D84">
          <w:rPr>
            <w:rStyle w:val="Hyperlink"/>
            <w:rFonts w:cs="Times New Roman"/>
            <w:szCs w:val="24"/>
            <w:lang w:val="en-GB"/>
          </w:rPr>
          <w:t>https://marketresearchindonesia.com/insights/articles/indonesia-digital-banking-expansion-growth</w:t>
        </w:r>
      </w:hyperlink>
      <w:r w:rsidRPr="005E6D84">
        <w:rPr>
          <w:rFonts w:cs="Times New Roman"/>
          <w:szCs w:val="24"/>
          <w:lang w:val="en-GB"/>
        </w:rPr>
        <w:t> [Accessed on: 15/12/2025].</w:t>
      </w:r>
    </w:p>
    <w:p w14:paraId="5E62AE81" w14:textId="77777777" w:rsidR="008B3BD7" w:rsidRPr="005E6D84" w:rsidRDefault="008B3BD7" w:rsidP="00660F26">
      <w:pPr>
        <w:rPr>
          <w:rFonts w:cs="Times New Roman"/>
          <w:szCs w:val="24"/>
          <w:lang w:val="en-GB"/>
        </w:rPr>
      </w:pPr>
      <w:r w:rsidRPr="005E6D84">
        <w:rPr>
          <w:rFonts w:cs="Times New Roman"/>
          <w:szCs w:val="24"/>
          <w:lang w:val="en-GB"/>
        </w:rPr>
        <w:lastRenderedPageBreak/>
        <w:t>Mashetty, S., Challa, S. R., ADUSUPALLI, B., Singireddy, J., and Paleti, S. (2024). Intelligent Technologies for Modern Financial Ecosystems: Transforming Housing Finance, Risk Management, and Advisory Services Through Advanced Analytics and Secure Cloud Solutions. </w:t>
      </w:r>
      <w:r w:rsidRPr="005E6D84">
        <w:rPr>
          <w:rFonts w:cs="Times New Roman"/>
          <w:i/>
          <w:iCs/>
          <w:szCs w:val="24"/>
          <w:lang w:val="en-GB"/>
        </w:rPr>
        <w:t>Risk Management, and Advisory Services Through Advanced Analytics and Secure Cloud Solutions (December 12, 2024)</w:t>
      </w:r>
      <w:r w:rsidRPr="005E6D84">
        <w:rPr>
          <w:rFonts w:cs="Times New Roman"/>
          <w:szCs w:val="24"/>
          <w:lang w:val="en-GB"/>
        </w:rPr>
        <w:t xml:space="preserve">. </w:t>
      </w:r>
      <w:hyperlink r:id="rId45" w:history="1">
        <w:r w:rsidRPr="005E6D84">
          <w:rPr>
            <w:rStyle w:val="Hyperlink"/>
            <w:rFonts w:cs="Times New Roman"/>
            <w:szCs w:val="24"/>
            <w:lang w:val="en-GB"/>
          </w:rPr>
          <w:t>https://papers.ssrn.com/sol3/Delivery.cfm?abstractid=5210755</w:t>
        </w:r>
      </w:hyperlink>
      <w:r w:rsidRPr="005E6D84">
        <w:rPr>
          <w:rFonts w:cs="Times New Roman"/>
          <w:szCs w:val="24"/>
          <w:lang w:val="en-GB"/>
        </w:rPr>
        <w:t xml:space="preserve"> </w:t>
      </w:r>
    </w:p>
    <w:p w14:paraId="0ACD6C6C" w14:textId="77777777" w:rsidR="008B3BD7" w:rsidRPr="005E6D84" w:rsidRDefault="008B3BD7" w:rsidP="00660F26">
      <w:pPr>
        <w:rPr>
          <w:rFonts w:cs="Times New Roman"/>
          <w:szCs w:val="24"/>
          <w:lang w:val="en-GB"/>
        </w:rPr>
      </w:pPr>
      <w:bookmarkStart w:id="19" w:name="_Hlk216693239"/>
      <w:r w:rsidRPr="005E6D84">
        <w:rPr>
          <w:rFonts w:cs="Times New Roman"/>
          <w:szCs w:val="24"/>
          <w:lang w:val="en-GB"/>
        </w:rPr>
        <w:t>McKinsey &amp; Company. (2025</w:t>
      </w:r>
      <w:bookmarkEnd w:id="19"/>
      <w:r w:rsidRPr="005E6D84">
        <w:rPr>
          <w:rFonts w:cs="Times New Roman"/>
          <w:szCs w:val="24"/>
          <w:lang w:val="en-GB"/>
        </w:rPr>
        <w:t>) Southeast Asia quarterly economic review: Q2 2025. [Online]. Available at: </w:t>
      </w:r>
      <w:hyperlink r:id="rId46" w:tgtFrame="_blank" w:history="1">
        <w:r w:rsidRPr="005E6D84">
          <w:rPr>
            <w:rStyle w:val="Hyperlink"/>
            <w:rFonts w:cs="Times New Roman"/>
            <w:szCs w:val="24"/>
            <w:lang w:val="en-GB"/>
          </w:rPr>
          <w:t>https://www.mckinsey.com.br/our-insights/southeast-asia-quarterly-economic-review</w:t>
        </w:r>
      </w:hyperlink>
      <w:r w:rsidRPr="005E6D84">
        <w:rPr>
          <w:rFonts w:cs="Times New Roman"/>
          <w:szCs w:val="24"/>
          <w:lang w:val="en-GB"/>
        </w:rPr>
        <w:t> [Accessed on: 15/12/2025]</w:t>
      </w:r>
    </w:p>
    <w:p w14:paraId="05C531BF" w14:textId="77777777" w:rsidR="008B3BD7" w:rsidRPr="005E6D84" w:rsidRDefault="008B3BD7" w:rsidP="00660F26">
      <w:pPr>
        <w:rPr>
          <w:rFonts w:cs="Times New Roman"/>
          <w:szCs w:val="24"/>
          <w:lang w:val="en-GB"/>
        </w:rPr>
      </w:pPr>
      <w:r w:rsidRPr="005E6D84">
        <w:rPr>
          <w:rFonts w:cs="Times New Roman"/>
          <w:szCs w:val="24"/>
          <w:lang w:val="en-GB"/>
        </w:rPr>
        <w:t>Mordor Intelligence. (2024) Indonesia Financial Technology Services Market Size &amp; Share: Trends &amp; Growth Forecast (2024–2030). [Online]. Available at: </w:t>
      </w:r>
      <w:hyperlink r:id="rId47" w:tgtFrame="_blank" w:history="1">
        <w:r w:rsidRPr="005E6D84">
          <w:rPr>
            <w:rStyle w:val="Hyperlink"/>
            <w:rFonts w:cs="Times New Roman"/>
            <w:szCs w:val="24"/>
            <w:lang w:val="en-GB"/>
          </w:rPr>
          <w:t>https://www.mordorintelligence.com/industry-reports/indonesia-financial-technology-services-market</w:t>
        </w:r>
      </w:hyperlink>
      <w:r w:rsidRPr="005E6D84">
        <w:rPr>
          <w:rFonts w:cs="Times New Roman"/>
          <w:szCs w:val="24"/>
          <w:lang w:val="en-GB"/>
        </w:rPr>
        <w:t xml:space="preserve"> [Accessed on: 15/12/2025]. </w:t>
      </w:r>
    </w:p>
    <w:p w14:paraId="79121CF0" w14:textId="77777777" w:rsidR="008B3BD7" w:rsidRPr="005E6D84" w:rsidRDefault="008B3BD7" w:rsidP="00660F26">
      <w:pPr>
        <w:rPr>
          <w:rFonts w:cs="Times New Roman"/>
          <w:szCs w:val="24"/>
          <w:lang w:val="en-GB"/>
        </w:rPr>
      </w:pPr>
      <w:r w:rsidRPr="005E6D84">
        <w:rPr>
          <w:rFonts w:cs="Times New Roman"/>
          <w:szCs w:val="24"/>
          <w:lang w:val="en-GB"/>
        </w:rPr>
        <w:t xml:space="preserve">PLATFORM, O., and AN, T. (2022). ECONOMY IN INDONESIA. </w:t>
      </w:r>
      <w:hyperlink r:id="rId48" w:history="1">
        <w:r w:rsidRPr="005E6D84">
          <w:rPr>
            <w:rStyle w:val="Hyperlink"/>
            <w:rFonts w:cs="Times New Roman"/>
            <w:szCs w:val="24"/>
            <w:lang w:val="en-GB"/>
          </w:rPr>
          <w:t>https://caribou.global/wp-content/uploads/2025/04/Indonesia-report-Final-Master-for-Web-1.pdf</w:t>
        </w:r>
      </w:hyperlink>
      <w:r w:rsidRPr="005E6D84">
        <w:rPr>
          <w:rFonts w:cs="Times New Roman"/>
          <w:szCs w:val="24"/>
          <w:lang w:val="en-GB"/>
        </w:rPr>
        <w:t xml:space="preserve"> </w:t>
      </w:r>
    </w:p>
    <w:p w14:paraId="46ED1800" w14:textId="77777777" w:rsidR="008B3BD7" w:rsidRPr="005E6D84" w:rsidRDefault="008B3BD7" w:rsidP="00961AED">
      <w:pPr>
        <w:rPr>
          <w:lang w:val="en-GB"/>
        </w:rPr>
      </w:pPr>
      <w:r w:rsidRPr="005E6D84">
        <w:rPr>
          <w:lang w:val="en-GB"/>
        </w:rPr>
        <w:t>Puspitasari, E., Sudiyatno, B., Aini, N. and Anindiansyah, G., (2021). The relationship between net interest margin and return on asset: Empirical study of conventional banking in Indonesia. </w:t>
      </w:r>
      <w:r w:rsidRPr="005E6D84">
        <w:rPr>
          <w:i/>
          <w:iCs/>
          <w:lang w:val="en-GB"/>
        </w:rPr>
        <w:t>Academic Journal of Interdisciplinary Studies</w:t>
      </w:r>
      <w:r w:rsidRPr="005E6D84">
        <w:rPr>
          <w:lang w:val="en-GB"/>
        </w:rPr>
        <w:t>, </w:t>
      </w:r>
      <w:r w:rsidRPr="005E6D84">
        <w:rPr>
          <w:i/>
          <w:iCs/>
          <w:lang w:val="en-GB"/>
        </w:rPr>
        <w:t>10</w:t>
      </w:r>
      <w:r w:rsidRPr="005E6D84">
        <w:rPr>
          <w:lang w:val="en-GB"/>
        </w:rPr>
        <w:t>(3), pp.362-374.</w:t>
      </w:r>
    </w:p>
    <w:p w14:paraId="10BE98BC" w14:textId="77777777" w:rsidR="008B3BD7" w:rsidRPr="005E6D84" w:rsidRDefault="008B3BD7" w:rsidP="00660F26">
      <w:pPr>
        <w:rPr>
          <w:rFonts w:cs="Times New Roman"/>
          <w:szCs w:val="24"/>
          <w:lang w:val="en-GB"/>
        </w:rPr>
      </w:pPr>
      <w:r w:rsidRPr="005E6D84">
        <w:rPr>
          <w:rFonts w:cs="Times New Roman"/>
          <w:szCs w:val="24"/>
          <w:lang w:val="en-GB"/>
        </w:rPr>
        <w:t>Rachmad, Y. E. (2024). Danantara and National Economic Resilience: Strengthening Indonesia’s Financial Stability. </w:t>
      </w:r>
      <w:r w:rsidRPr="005E6D84">
        <w:rPr>
          <w:rFonts w:cs="Times New Roman"/>
          <w:i/>
          <w:iCs/>
          <w:szCs w:val="24"/>
          <w:lang w:val="en-GB"/>
        </w:rPr>
        <w:t>The United Nations Global Compact</w:t>
      </w:r>
      <w:r w:rsidRPr="005E6D84">
        <w:rPr>
          <w:rFonts w:cs="Times New Roman"/>
          <w:szCs w:val="24"/>
          <w:lang w:val="en-GB"/>
        </w:rPr>
        <w:t xml:space="preserve">.  </w:t>
      </w:r>
      <w:hyperlink r:id="rId49" w:history="1">
        <w:r w:rsidRPr="005E6D84">
          <w:rPr>
            <w:rStyle w:val="Hyperlink"/>
            <w:rFonts w:cs="Times New Roman"/>
            <w:szCs w:val="24"/>
            <w:lang w:val="en-GB"/>
          </w:rPr>
          <w:t>https://www.researchgate.net/profile/Yoesoep-Rachmad/publication/397430322_Danantara_and_National_Economic_Resilience_Strengthening_Indonesia's_Financial_Stability/links/6917e946de81430982716289/Danantara-and-National-Economic-Resilience-Strengthening-Indonesias-Financial-Stability.pdf</w:t>
        </w:r>
      </w:hyperlink>
      <w:r w:rsidRPr="005E6D84">
        <w:rPr>
          <w:rFonts w:cs="Times New Roman"/>
          <w:szCs w:val="24"/>
          <w:lang w:val="en-GB"/>
        </w:rPr>
        <w:t xml:space="preserve"> </w:t>
      </w:r>
    </w:p>
    <w:p w14:paraId="7AF62AE0" w14:textId="77777777" w:rsidR="008B3BD7" w:rsidRPr="005E6D84" w:rsidRDefault="008B3BD7" w:rsidP="00660F26">
      <w:pPr>
        <w:rPr>
          <w:rFonts w:cs="Times New Roman"/>
          <w:szCs w:val="24"/>
          <w:lang w:val="en-GB"/>
        </w:rPr>
      </w:pPr>
      <w:r w:rsidRPr="005E6D84">
        <w:rPr>
          <w:rFonts w:cs="Times New Roman"/>
          <w:szCs w:val="24"/>
          <w:lang w:val="en-GB"/>
        </w:rPr>
        <w:t>Sakti, M., and Utami, K. (2024). THE URGENCY OF STANDARDIZING THE OPEN APPLICATION PROGRAMMING INTERFACE IN IMPLEMENTATION OF OPEN BANKING FOR CUSTOMER PROTECTION. </w:t>
      </w:r>
      <w:r w:rsidRPr="005E6D84">
        <w:rPr>
          <w:rFonts w:cs="Times New Roman"/>
          <w:i/>
          <w:iCs/>
          <w:szCs w:val="24"/>
          <w:lang w:val="en-GB"/>
        </w:rPr>
        <w:t>Jurnal Hukum Samudra Keadilan</w:t>
      </w:r>
      <w:r w:rsidRPr="005E6D84">
        <w:rPr>
          <w:rFonts w:cs="Times New Roman"/>
          <w:szCs w:val="24"/>
          <w:lang w:val="en-GB"/>
        </w:rPr>
        <w:t>, </w:t>
      </w:r>
      <w:r w:rsidRPr="005E6D84">
        <w:rPr>
          <w:rFonts w:cs="Times New Roman"/>
          <w:i/>
          <w:iCs/>
          <w:szCs w:val="24"/>
          <w:lang w:val="en-GB"/>
        </w:rPr>
        <w:t>19</w:t>
      </w:r>
      <w:r w:rsidRPr="005E6D84">
        <w:rPr>
          <w:rFonts w:cs="Times New Roman"/>
          <w:szCs w:val="24"/>
          <w:lang w:val="en-GB"/>
        </w:rPr>
        <w:t xml:space="preserve">(1), 29-44. </w:t>
      </w:r>
      <w:hyperlink r:id="rId50" w:history="1">
        <w:r w:rsidRPr="005E6D84">
          <w:rPr>
            <w:rStyle w:val="Hyperlink"/>
            <w:rFonts w:cs="Times New Roman"/>
            <w:szCs w:val="24"/>
            <w:lang w:val="en-GB"/>
          </w:rPr>
          <w:t>https://ejurnalunsam.id/index.php/jhsk/article/download/7471/4625</w:t>
        </w:r>
      </w:hyperlink>
      <w:r w:rsidRPr="005E6D84">
        <w:rPr>
          <w:rFonts w:cs="Times New Roman"/>
          <w:szCs w:val="24"/>
          <w:lang w:val="en-GB"/>
        </w:rPr>
        <w:t xml:space="preserve"> </w:t>
      </w:r>
    </w:p>
    <w:p w14:paraId="50D7D79F" w14:textId="77777777" w:rsidR="008B3BD7" w:rsidRPr="005E6D84" w:rsidRDefault="008B3BD7" w:rsidP="00660F26">
      <w:pPr>
        <w:rPr>
          <w:rFonts w:cs="Times New Roman"/>
          <w:szCs w:val="24"/>
          <w:lang w:val="en-GB"/>
        </w:rPr>
      </w:pPr>
      <w:r w:rsidRPr="005E6D84">
        <w:rPr>
          <w:rFonts w:cs="Times New Roman"/>
          <w:szCs w:val="24"/>
          <w:lang w:val="en-GB"/>
        </w:rPr>
        <w:t>Statista. (2024) Digital banks – Indonesia. Statista Market Forecast. [Online]. Available at: </w:t>
      </w:r>
      <w:hyperlink r:id="rId51" w:tgtFrame="_blank" w:history="1">
        <w:r w:rsidRPr="005E6D84">
          <w:rPr>
            <w:rStyle w:val="Hyperlink"/>
            <w:rFonts w:cs="Times New Roman"/>
            <w:szCs w:val="24"/>
            <w:lang w:val="en-GB"/>
          </w:rPr>
          <w:t>https://www.statista.com/outlook/fmo/banking/digital-banks/indonesia</w:t>
        </w:r>
      </w:hyperlink>
      <w:r w:rsidRPr="005E6D84">
        <w:rPr>
          <w:rFonts w:cs="Times New Roman"/>
          <w:szCs w:val="24"/>
          <w:lang w:val="en-GB"/>
        </w:rPr>
        <w:t> [Accessed on: 15/12/2025].</w:t>
      </w:r>
    </w:p>
    <w:p w14:paraId="0377DF88" w14:textId="77777777" w:rsidR="008B3BD7" w:rsidRPr="005E6D84" w:rsidRDefault="008B3BD7" w:rsidP="00660F26">
      <w:pPr>
        <w:rPr>
          <w:rFonts w:cs="Times New Roman"/>
          <w:szCs w:val="24"/>
          <w:lang w:val="en-GB"/>
        </w:rPr>
      </w:pPr>
      <w:r w:rsidRPr="005E6D84">
        <w:rPr>
          <w:rFonts w:cs="Times New Roman"/>
          <w:szCs w:val="24"/>
          <w:lang w:val="en-GB"/>
        </w:rPr>
        <w:lastRenderedPageBreak/>
        <w:t xml:space="preserve">Sultana, R., and Faisal, N. A. (2024). The Role </w:t>
      </w:r>
      <w:proofErr w:type="gramStart"/>
      <w:r w:rsidRPr="005E6D84">
        <w:rPr>
          <w:rFonts w:cs="Times New Roman"/>
          <w:szCs w:val="24"/>
          <w:lang w:val="en-GB"/>
        </w:rPr>
        <w:t>Of</w:t>
      </w:r>
      <w:proofErr w:type="gramEnd"/>
      <w:r w:rsidRPr="005E6D84">
        <w:rPr>
          <w:rFonts w:cs="Times New Roman"/>
          <w:szCs w:val="24"/>
          <w:lang w:val="en-GB"/>
        </w:rPr>
        <w:t xml:space="preserve"> Digital Banking Features </w:t>
      </w:r>
      <w:proofErr w:type="gramStart"/>
      <w:r w:rsidRPr="005E6D84">
        <w:rPr>
          <w:rFonts w:cs="Times New Roman"/>
          <w:szCs w:val="24"/>
          <w:lang w:val="en-GB"/>
        </w:rPr>
        <w:t>In</w:t>
      </w:r>
      <w:proofErr w:type="gramEnd"/>
      <w:r w:rsidRPr="005E6D84">
        <w:rPr>
          <w:rFonts w:cs="Times New Roman"/>
          <w:szCs w:val="24"/>
          <w:lang w:val="en-GB"/>
        </w:rPr>
        <w:t xml:space="preserve"> Bank Selection </w:t>
      </w:r>
      <w:proofErr w:type="gramStart"/>
      <w:r w:rsidRPr="005E6D84">
        <w:rPr>
          <w:rFonts w:cs="Times New Roman"/>
          <w:szCs w:val="24"/>
          <w:lang w:val="en-GB"/>
        </w:rPr>
        <w:t>An</w:t>
      </w:r>
      <w:proofErr w:type="gramEnd"/>
      <w:r w:rsidRPr="005E6D84">
        <w:rPr>
          <w:rFonts w:cs="Times New Roman"/>
          <w:szCs w:val="24"/>
          <w:lang w:val="en-GB"/>
        </w:rPr>
        <w:t xml:space="preserve"> Analysis </w:t>
      </w:r>
      <w:proofErr w:type="gramStart"/>
      <w:r w:rsidRPr="005E6D84">
        <w:rPr>
          <w:rFonts w:cs="Times New Roman"/>
          <w:szCs w:val="24"/>
          <w:lang w:val="en-GB"/>
        </w:rPr>
        <w:t>Of</w:t>
      </w:r>
      <w:proofErr w:type="gramEnd"/>
      <w:r w:rsidRPr="005E6D84">
        <w:rPr>
          <w:rFonts w:cs="Times New Roman"/>
          <w:szCs w:val="24"/>
          <w:lang w:val="en-GB"/>
        </w:rPr>
        <w:t xml:space="preserve"> Customer Preferences </w:t>
      </w:r>
      <w:proofErr w:type="gramStart"/>
      <w:r w:rsidRPr="005E6D84">
        <w:rPr>
          <w:rFonts w:cs="Times New Roman"/>
          <w:szCs w:val="24"/>
          <w:lang w:val="en-GB"/>
        </w:rPr>
        <w:t>For</w:t>
      </w:r>
      <w:proofErr w:type="gramEnd"/>
      <w:r w:rsidRPr="005E6D84">
        <w:rPr>
          <w:rFonts w:cs="Times New Roman"/>
          <w:szCs w:val="24"/>
          <w:lang w:val="en-GB"/>
        </w:rPr>
        <w:t xml:space="preserve"> Online </w:t>
      </w:r>
      <w:proofErr w:type="gramStart"/>
      <w:r w:rsidRPr="005E6D84">
        <w:rPr>
          <w:rFonts w:cs="Times New Roman"/>
          <w:szCs w:val="24"/>
          <w:lang w:val="en-GB"/>
        </w:rPr>
        <w:t>And</w:t>
      </w:r>
      <w:proofErr w:type="gramEnd"/>
      <w:r w:rsidRPr="005E6D84">
        <w:rPr>
          <w:rFonts w:cs="Times New Roman"/>
          <w:szCs w:val="24"/>
          <w:lang w:val="en-GB"/>
        </w:rPr>
        <w:t xml:space="preserve"> Mobile Banking. </w:t>
      </w:r>
      <w:r w:rsidRPr="005E6D84">
        <w:rPr>
          <w:rFonts w:cs="Times New Roman"/>
          <w:i/>
          <w:iCs/>
          <w:szCs w:val="24"/>
          <w:lang w:val="en-GB"/>
        </w:rPr>
        <w:t>Available at SSRN 5049165</w:t>
      </w:r>
      <w:r w:rsidRPr="005E6D84">
        <w:rPr>
          <w:rFonts w:cs="Times New Roman"/>
          <w:szCs w:val="24"/>
          <w:lang w:val="en-GB"/>
        </w:rPr>
        <w:t xml:space="preserve">.  </w:t>
      </w:r>
      <w:hyperlink r:id="rId52" w:history="1">
        <w:r w:rsidRPr="005E6D84">
          <w:rPr>
            <w:rStyle w:val="Hyperlink"/>
            <w:rFonts w:cs="Times New Roman"/>
            <w:szCs w:val="24"/>
            <w:lang w:val="en-GB"/>
          </w:rPr>
          <w:t>https://papers.ssrn.com/sol3/Delivery.cfm?abstractid=5049165</w:t>
        </w:r>
      </w:hyperlink>
    </w:p>
    <w:p w14:paraId="28C7260C" w14:textId="77777777" w:rsidR="008B3BD7" w:rsidRPr="005E6D84" w:rsidRDefault="008B3BD7" w:rsidP="00660F26">
      <w:pPr>
        <w:rPr>
          <w:rFonts w:cs="Times New Roman"/>
          <w:szCs w:val="24"/>
          <w:lang w:val="en-GB"/>
        </w:rPr>
      </w:pPr>
      <w:r w:rsidRPr="005E6D84">
        <w:rPr>
          <w:rFonts w:cs="Times New Roman"/>
          <w:szCs w:val="24"/>
          <w:lang w:val="en-GB"/>
        </w:rPr>
        <w:t>Suryani, I. P., Suri, A. G., and Shafira, Z. (2023). How fintech peer to peer lending affected MSMEs financial access: Case study Amartha. </w:t>
      </w:r>
      <w:r w:rsidRPr="005E6D84">
        <w:rPr>
          <w:rFonts w:cs="Times New Roman"/>
          <w:i/>
          <w:iCs/>
          <w:szCs w:val="24"/>
          <w:lang w:val="en-GB"/>
        </w:rPr>
        <w:t>InFestasi</w:t>
      </w:r>
      <w:r w:rsidRPr="005E6D84">
        <w:rPr>
          <w:rFonts w:cs="Times New Roman"/>
          <w:szCs w:val="24"/>
          <w:lang w:val="en-GB"/>
        </w:rPr>
        <w:t>, </w:t>
      </w:r>
      <w:r w:rsidRPr="005E6D84">
        <w:rPr>
          <w:rFonts w:cs="Times New Roman"/>
          <w:i/>
          <w:iCs/>
          <w:szCs w:val="24"/>
          <w:lang w:val="en-GB"/>
        </w:rPr>
        <w:t>19</w:t>
      </w:r>
      <w:r w:rsidRPr="005E6D84">
        <w:rPr>
          <w:rFonts w:cs="Times New Roman"/>
          <w:szCs w:val="24"/>
          <w:lang w:val="en-GB"/>
        </w:rPr>
        <w:t xml:space="preserve">(2), 166-181. </w:t>
      </w:r>
      <w:hyperlink r:id="rId53" w:history="1">
        <w:r w:rsidRPr="005E6D84">
          <w:rPr>
            <w:rStyle w:val="Hyperlink"/>
            <w:rFonts w:cs="Times New Roman"/>
            <w:szCs w:val="24"/>
            <w:lang w:val="en-GB"/>
          </w:rPr>
          <w:t>https://journal.trunojoyo.ac.id/infestasi/article/download/22921/8985</w:t>
        </w:r>
      </w:hyperlink>
      <w:r w:rsidRPr="005E6D84">
        <w:rPr>
          <w:rFonts w:cs="Times New Roman"/>
          <w:szCs w:val="24"/>
          <w:lang w:val="en-GB"/>
        </w:rPr>
        <w:t xml:space="preserve">  </w:t>
      </w:r>
    </w:p>
    <w:p w14:paraId="7B0B5254" w14:textId="77777777" w:rsidR="008B3BD7" w:rsidRPr="005E6D84" w:rsidRDefault="008B3BD7" w:rsidP="00660F26">
      <w:pPr>
        <w:rPr>
          <w:rFonts w:cs="Times New Roman"/>
          <w:szCs w:val="24"/>
          <w:lang w:val="en-GB"/>
        </w:rPr>
      </w:pPr>
      <w:r w:rsidRPr="005E6D84">
        <w:rPr>
          <w:rFonts w:cs="Times New Roman"/>
          <w:szCs w:val="24"/>
          <w:lang w:val="en-GB"/>
        </w:rPr>
        <w:t>The Strategy Institute. (2024) A comprehensive guide to implementing the Balanced Scorecard framework. [Online]. Available at: </w:t>
      </w:r>
      <w:hyperlink r:id="rId54" w:history="1">
        <w:r w:rsidRPr="005E6D84">
          <w:rPr>
            <w:rStyle w:val="Hyperlink"/>
            <w:rFonts w:cs="Times New Roman"/>
            <w:szCs w:val="24"/>
            <w:lang w:val="en-GB"/>
          </w:rPr>
          <w:t>https://www.thestrategyinstitute.org/insights/a-comprehensive-guide-to-implementing-the-basslanced-scorecard-framework</w:t>
        </w:r>
      </w:hyperlink>
      <w:r w:rsidRPr="005E6D84">
        <w:rPr>
          <w:rFonts w:cs="Times New Roman"/>
          <w:szCs w:val="24"/>
          <w:lang w:val="en-GB"/>
        </w:rPr>
        <w:t xml:space="preserve"> [Accessed on: 15/12/2025].</w:t>
      </w:r>
    </w:p>
    <w:p w14:paraId="7C6254A7" w14:textId="77777777" w:rsidR="008B3BD7" w:rsidRPr="005E6D84" w:rsidRDefault="008B3BD7" w:rsidP="00660F26">
      <w:pPr>
        <w:rPr>
          <w:rFonts w:cs="Times New Roman"/>
          <w:szCs w:val="24"/>
          <w:lang w:val="en-GB"/>
        </w:rPr>
      </w:pPr>
      <w:r w:rsidRPr="005E6D84">
        <w:rPr>
          <w:rFonts w:cs="Times New Roman"/>
          <w:szCs w:val="24"/>
          <w:lang w:val="en-GB"/>
        </w:rPr>
        <w:t>Widjojo, R. (2020). The development of digital payment systems in Indonesia: a review of go-pay and ovo e-wallets. </w:t>
      </w:r>
      <w:r w:rsidRPr="005E6D84">
        <w:rPr>
          <w:rFonts w:cs="Times New Roman"/>
          <w:i/>
          <w:iCs/>
          <w:szCs w:val="24"/>
          <w:lang w:val="en-GB"/>
        </w:rPr>
        <w:t>Economic Alternatives</w:t>
      </w:r>
      <w:r w:rsidRPr="005E6D84">
        <w:rPr>
          <w:rFonts w:cs="Times New Roman"/>
          <w:szCs w:val="24"/>
          <w:lang w:val="en-GB"/>
        </w:rPr>
        <w:t>, </w:t>
      </w:r>
      <w:r w:rsidRPr="005E6D84">
        <w:rPr>
          <w:rFonts w:cs="Times New Roman"/>
          <w:i/>
          <w:iCs/>
          <w:szCs w:val="24"/>
          <w:lang w:val="en-GB"/>
        </w:rPr>
        <w:t>3</w:t>
      </w:r>
      <w:r w:rsidRPr="005E6D84">
        <w:rPr>
          <w:rFonts w:cs="Times New Roman"/>
          <w:szCs w:val="24"/>
          <w:lang w:val="en-GB"/>
        </w:rPr>
        <w:t xml:space="preserve">, 384-395. </w:t>
      </w:r>
      <w:hyperlink r:id="rId55" w:history="1">
        <w:r w:rsidRPr="005E6D84">
          <w:rPr>
            <w:rStyle w:val="Hyperlink"/>
            <w:rFonts w:cs="Times New Roman"/>
            <w:szCs w:val="24"/>
            <w:lang w:val="en-GB"/>
          </w:rPr>
          <w:t>https://www.unwe.bg/doi/eajournal/2020.3/EA.2020.3.03.pdf</w:t>
        </w:r>
      </w:hyperlink>
      <w:r w:rsidRPr="005E6D84">
        <w:rPr>
          <w:rFonts w:cs="Times New Roman"/>
          <w:szCs w:val="24"/>
          <w:lang w:val="en-GB"/>
        </w:rPr>
        <w:t xml:space="preserve"> </w:t>
      </w:r>
    </w:p>
    <w:p w14:paraId="6356797C" w14:textId="77777777" w:rsidR="008B3BD7" w:rsidRPr="005E6D84" w:rsidRDefault="008B3BD7" w:rsidP="00660F26">
      <w:pPr>
        <w:rPr>
          <w:lang w:val="en-GB"/>
        </w:rPr>
      </w:pPr>
      <w:r w:rsidRPr="005E6D84">
        <w:rPr>
          <w:rFonts w:cs="Times New Roman"/>
          <w:szCs w:val="24"/>
          <w:lang w:val="en-GB"/>
        </w:rPr>
        <w:t>Zulkarnain, M. A., Hayat, A., and Juniar, A. (2024). The Influence of Demographic and Economic Factors on Non-Performing Loans of MSMEs in Regional Development Banks. </w:t>
      </w:r>
      <w:r w:rsidRPr="005E6D84">
        <w:rPr>
          <w:rFonts w:cs="Times New Roman"/>
          <w:i/>
          <w:iCs/>
          <w:szCs w:val="24"/>
          <w:lang w:val="en-GB"/>
        </w:rPr>
        <w:t>Asian Journal of Management, Entrepreneurship and Social Science</w:t>
      </w:r>
      <w:r w:rsidRPr="005E6D84">
        <w:rPr>
          <w:rFonts w:cs="Times New Roman"/>
          <w:szCs w:val="24"/>
          <w:lang w:val="en-GB"/>
        </w:rPr>
        <w:t>, </w:t>
      </w:r>
      <w:r w:rsidRPr="005E6D84">
        <w:rPr>
          <w:rFonts w:cs="Times New Roman"/>
          <w:i/>
          <w:iCs/>
          <w:szCs w:val="24"/>
          <w:lang w:val="en-GB"/>
        </w:rPr>
        <w:t>4</w:t>
      </w:r>
      <w:r w:rsidRPr="005E6D84">
        <w:rPr>
          <w:rFonts w:cs="Times New Roman"/>
          <w:szCs w:val="24"/>
          <w:lang w:val="en-GB"/>
        </w:rPr>
        <w:t xml:space="preserve">(04), 410-422.  </w:t>
      </w:r>
      <w:hyperlink r:id="rId56" w:history="1">
        <w:r w:rsidRPr="005E6D84">
          <w:rPr>
            <w:rStyle w:val="Hyperlink"/>
            <w:rFonts w:cs="Times New Roman"/>
            <w:szCs w:val="24"/>
            <w:lang w:val="en-GB"/>
          </w:rPr>
          <w:t>http://www.ajmesc.com/index.php/ajmesc/article/download/986/701</w:t>
        </w:r>
      </w:hyperlink>
    </w:p>
    <w:sectPr w:rsidR="008B3BD7" w:rsidRPr="005E6D84" w:rsidSect="00833B7B">
      <w:footerReference w:type="default" r:id="rId5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2E058" w14:textId="77777777" w:rsidR="000B1D86" w:rsidRDefault="000B1D86">
      <w:pPr>
        <w:spacing w:line="240" w:lineRule="auto"/>
      </w:pPr>
      <w:r>
        <w:separator/>
      </w:r>
    </w:p>
  </w:endnote>
  <w:endnote w:type="continuationSeparator" w:id="0">
    <w:p w14:paraId="65EA7728" w14:textId="77777777" w:rsidR="000B1D86" w:rsidRDefault="000B1D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default"/>
  </w:font>
  <w:font w:name="Arial-BoldMT">
    <w:altName w:val="Times New Roman"/>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CCCDB" w14:textId="77777777" w:rsidR="00634329" w:rsidRDefault="00A750C5" w:rsidP="003A3087">
    <w:pPr>
      <w:pStyle w:val="Footer"/>
    </w:pPr>
    <w:r>
      <w:fldChar w:fldCharType="begin"/>
    </w:r>
    <w:r w:rsidR="006349E4">
      <w:instrText xml:space="preserve"> PAGE   \* MERGEFORMAT </w:instrText>
    </w:r>
    <w:r>
      <w:fldChar w:fldCharType="separate"/>
    </w:r>
    <w:r w:rsidR="0041186B">
      <w:rPr>
        <w:noProof/>
      </w:rPr>
      <w:t>2</w:t>
    </w:r>
    <w:r>
      <w:rPr>
        <w:noProof/>
      </w:rPr>
      <w:fldChar w:fldCharType="end"/>
    </w:r>
  </w:p>
  <w:p w14:paraId="731BDA6D" w14:textId="77777777" w:rsidR="00634329" w:rsidRDefault="00634329"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0EA75" w14:textId="77777777" w:rsidR="000B1D86" w:rsidRDefault="000B1D86">
      <w:pPr>
        <w:spacing w:line="240" w:lineRule="auto"/>
      </w:pPr>
      <w:r>
        <w:separator/>
      </w:r>
    </w:p>
  </w:footnote>
  <w:footnote w:type="continuationSeparator" w:id="0">
    <w:p w14:paraId="27F121DB" w14:textId="77777777" w:rsidR="000B1D86" w:rsidRDefault="000B1D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FA3C7D"/>
    <w:multiLevelType w:val="hybridMultilevel"/>
    <w:tmpl w:val="39FC0688"/>
    <w:lvl w:ilvl="0" w:tplc="4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7A05726"/>
    <w:multiLevelType w:val="multilevel"/>
    <w:tmpl w:val="350EC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2A1491"/>
    <w:multiLevelType w:val="hybridMultilevel"/>
    <w:tmpl w:val="8E749B3A"/>
    <w:lvl w:ilvl="0" w:tplc="40090001">
      <w:start w:val="1"/>
      <w:numFmt w:val="bullet"/>
      <w:lvlText w:val=""/>
      <w:lvlJc w:val="left"/>
      <w:pPr>
        <w:ind w:left="720" w:hanging="360"/>
      </w:pPr>
      <w:rPr>
        <w:rFonts w:ascii="Symbol" w:hAnsi="Symbol" w:hint="default"/>
      </w:rPr>
    </w:lvl>
    <w:lvl w:ilvl="1" w:tplc="93943480">
      <w:numFmt w:val="bullet"/>
      <w:lvlText w:val="•"/>
      <w:lvlJc w:val="left"/>
      <w:pPr>
        <w:ind w:left="1440" w:hanging="360"/>
      </w:pPr>
      <w:rPr>
        <w:rFonts w:ascii="Times New Roman" w:eastAsiaTheme="minorHAnsi"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50D17B0"/>
    <w:multiLevelType w:val="multilevel"/>
    <w:tmpl w:val="F924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9538D6"/>
    <w:multiLevelType w:val="multilevel"/>
    <w:tmpl w:val="39F86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E364D4"/>
    <w:multiLevelType w:val="multilevel"/>
    <w:tmpl w:val="B7EC5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904A4C"/>
    <w:multiLevelType w:val="multilevel"/>
    <w:tmpl w:val="F8D2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E61C7F"/>
    <w:multiLevelType w:val="hybridMultilevel"/>
    <w:tmpl w:val="E31C5ACC"/>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8" w15:restartNumberingAfterBreak="0">
    <w:nsid w:val="6A6020F8"/>
    <w:multiLevelType w:val="multilevel"/>
    <w:tmpl w:val="0B4E1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5369044">
    <w:abstractNumId w:val="6"/>
  </w:num>
  <w:num w:numId="2" w16cid:durableId="1841385192">
    <w:abstractNumId w:val="1"/>
  </w:num>
  <w:num w:numId="3" w16cid:durableId="64694626">
    <w:abstractNumId w:val="3"/>
  </w:num>
  <w:num w:numId="4" w16cid:durableId="261573226">
    <w:abstractNumId w:val="5"/>
  </w:num>
  <w:num w:numId="5" w16cid:durableId="1884126655">
    <w:abstractNumId w:val="4"/>
  </w:num>
  <w:num w:numId="6" w16cid:durableId="2015112024">
    <w:abstractNumId w:val="8"/>
  </w:num>
  <w:num w:numId="7" w16cid:durableId="1426730739">
    <w:abstractNumId w:val="7"/>
  </w:num>
  <w:num w:numId="8" w16cid:durableId="993333682">
    <w:abstractNumId w:val="0"/>
  </w:num>
  <w:num w:numId="9" w16cid:durableId="190390596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3317"/>
    <w:rsid w:val="000002AE"/>
    <w:rsid w:val="000003E0"/>
    <w:rsid w:val="000005A8"/>
    <w:rsid w:val="00000918"/>
    <w:rsid w:val="00000C36"/>
    <w:rsid w:val="00000DE7"/>
    <w:rsid w:val="0000103C"/>
    <w:rsid w:val="00001484"/>
    <w:rsid w:val="00001618"/>
    <w:rsid w:val="0000179B"/>
    <w:rsid w:val="000017A9"/>
    <w:rsid w:val="000019BD"/>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58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D68"/>
    <w:rsid w:val="00007013"/>
    <w:rsid w:val="000073BD"/>
    <w:rsid w:val="00007940"/>
    <w:rsid w:val="00007F8A"/>
    <w:rsid w:val="00010344"/>
    <w:rsid w:val="00010448"/>
    <w:rsid w:val="00010460"/>
    <w:rsid w:val="00010878"/>
    <w:rsid w:val="000110EF"/>
    <w:rsid w:val="00011226"/>
    <w:rsid w:val="00011857"/>
    <w:rsid w:val="00011997"/>
    <w:rsid w:val="00011C9A"/>
    <w:rsid w:val="00011CB5"/>
    <w:rsid w:val="00011D84"/>
    <w:rsid w:val="00011EC7"/>
    <w:rsid w:val="00011F54"/>
    <w:rsid w:val="00012034"/>
    <w:rsid w:val="00012070"/>
    <w:rsid w:val="00012189"/>
    <w:rsid w:val="000122A8"/>
    <w:rsid w:val="00012EFD"/>
    <w:rsid w:val="00013238"/>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117"/>
    <w:rsid w:val="00021FBD"/>
    <w:rsid w:val="000220A6"/>
    <w:rsid w:val="000224B7"/>
    <w:rsid w:val="000225AC"/>
    <w:rsid w:val="0002284B"/>
    <w:rsid w:val="00022B61"/>
    <w:rsid w:val="00022BCC"/>
    <w:rsid w:val="00023098"/>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2B1"/>
    <w:rsid w:val="00031E63"/>
    <w:rsid w:val="00031F12"/>
    <w:rsid w:val="00032150"/>
    <w:rsid w:val="000321D5"/>
    <w:rsid w:val="000322D8"/>
    <w:rsid w:val="000322FD"/>
    <w:rsid w:val="00032998"/>
    <w:rsid w:val="00032A42"/>
    <w:rsid w:val="00033430"/>
    <w:rsid w:val="0003360D"/>
    <w:rsid w:val="0003363A"/>
    <w:rsid w:val="00033B2B"/>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A8E"/>
    <w:rsid w:val="00037ADC"/>
    <w:rsid w:val="00037E66"/>
    <w:rsid w:val="00037E8B"/>
    <w:rsid w:val="0004013B"/>
    <w:rsid w:val="000401AC"/>
    <w:rsid w:val="000404F0"/>
    <w:rsid w:val="00040BF2"/>
    <w:rsid w:val="00040EA1"/>
    <w:rsid w:val="00040EC2"/>
    <w:rsid w:val="00040F82"/>
    <w:rsid w:val="000415CF"/>
    <w:rsid w:val="0004183F"/>
    <w:rsid w:val="00041C84"/>
    <w:rsid w:val="0004228D"/>
    <w:rsid w:val="000422D6"/>
    <w:rsid w:val="0004247A"/>
    <w:rsid w:val="00042AA4"/>
    <w:rsid w:val="00042ACA"/>
    <w:rsid w:val="00042CAC"/>
    <w:rsid w:val="00042F52"/>
    <w:rsid w:val="00043532"/>
    <w:rsid w:val="00043794"/>
    <w:rsid w:val="0004385A"/>
    <w:rsid w:val="00043E73"/>
    <w:rsid w:val="0004401B"/>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B6D"/>
    <w:rsid w:val="00047CB5"/>
    <w:rsid w:val="00047CE6"/>
    <w:rsid w:val="00047E33"/>
    <w:rsid w:val="00047EC1"/>
    <w:rsid w:val="0005001E"/>
    <w:rsid w:val="00050084"/>
    <w:rsid w:val="000502B7"/>
    <w:rsid w:val="000502FF"/>
    <w:rsid w:val="00050705"/>
    <w:rsid w:val="0005117E"/>
    <w:rsid w:val="00051215"/>
    <w:rsid w:val="0005149B"/>
    <w:rsid w:val="000517DA"/>
    <w:rsid w:val="00051856"/>
    <w:rsid w:val="00051B11"/>
    <w:rsid w:val="00051CC5"/>
    <w:rsid w:val="000521C8"/>
    <w:rsid w:val="000522E6"/>
    <w:rsid w:val="0005276A"/>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9FE"/>
    <w:rsid w:val="00056B86"/>
    <w:rsid w:val="00056C38"/>
    <w:rsid w:val="00057108"/>
    <w:rsid w:val="00057124"/>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B1"/>
    <w:rsid w:val="0006138A"/>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D5F"/>
    <w:rsid w:val="00066F93"/>
    <w:rsid w:val="000671CB"/>
    <w:rsid w:val="000673D2"/>
    <w:rsid w:val="000673DC"/>
    <w:rsid w:val="000675B2"/>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DDA"/>
    <w:rsid w:val="00073E5A"/>
    <w:rsid w:val="0007401A"/>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695"/>
    <w:rsid w:val="00086812"/>
    <w:rsid w:val="00086993"/>
    <w:rsid w:val="00086A33"/>
    <w:rsid w:val="0008714F"/>
    <w:rsid w:val="000871CC"/>
    <w:rsid w:val="00087553"/>
    <w:rsid w:val="00087791"/>
    <w:rsid w:val="00087923"/>
    <w:rsid w:val="000879E9"/>
    <w:rsid w:val="00087C0F"/>
    <w:rsid w:val="00087F90"/>
    <w:rsid w:val="0009006E"/>
    <w:rsid w:val="000904D4"/>
    <w:rsid w:val="00090898"/>
    <w:rsid w:val="00090A78"/>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91E"/>
    <w:rsid w:val="0009397B"/>
    <w:rsid w:val="00093C0B"/>
    <w:rsid w:val="00093F26"/>
    <w:rsid w:val="00094021"/>
    <w:rsid w:val="000940E7"/>
    <w:rsid w:val="000944B2"/>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284"/>
    <w:rsid w:val="000A237D"/>
    <w:rsid w:val="000A28A4"/>
    <w:rsid w:val="000A2B50"/>
    <w:rsid w:val="000A2CA7"/>
    <w:rsid w:val="000A2E4F"/>
    <w:rsid w:val="000A30D0"/>
    <w:rsid w:val="000A317E"/>
    <w:rsid w:val="000A325A"/>
    <w:rsid w:val="000A32CD"/>
    <w:rsid w:val="000A35EB"/>
    <w:rsid w:val="000A3C8F"/>
    <w:rsid w:val="000A3F87"/>
    <w:rsid w:val="000A4013"/>
    <w:rsid w:val="000A424B"/>
    <w:rsid w:val="000A42AD"/>
    <w:rsid w:val="000A4484"/>
    <w:rsid w:val="000A462F"/>
    <w:rsid w:val="000A481E"/>
    <w:rsid w:val="000A488A"/>
    <w:rsid w:val="000A49CC"/>
    <w:rsid w:val="000A4B45"/>
    <w:rsid w:val="000A4CCA"/>
    <w:rsid w:val="000A4CDF"/>
    <w:rsid w:val="000A4CEB"/>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21B"/>
    <w:rsid w:val="000B0335"/>
    <w:rsid w:val="000B0591"/>
    <w:rsid w:val="000B060A"/>
    <w:rsid w:val="000B09FA"/>
    <w:rsid w:val="000B0E33"/>
    <w:rsid w:val="000B1A2E"/>
    <w:rsid w:val="000B1B5D"/>
    <w:rsid w:val="000B1D6D"/>
    <w:rsid w:val="000B1D86"/>
    <w:rsid w:val="000B2362"/>
    <w:rsid w:val="000B257D"/>
    <w:rsid w:val="000B2769"/>
    <w:rsid w:val="000B2876"/>
    <w:rsid w:val="000B2C0B"/>
    <w:rsid w:val="000B2EBF"/>
    <w:rsid w:val="000B3167"/>
    <w:rsid w:val="000B36BA"/>
    <w:rsid w:val="000B39F3"/>
    <w:rsid w:val="000B3DED"/>
    <w:rsid w:val="000B426D"/>
    <w:rsid w:val="000B4753"/>
    <w:rsid w:val="000B4CD2"/>
    <w:rsid w:val="000B4E8A"/>
    <w:rsid w:val="000B52C5"/>
    <w:rsid w:val="000B530C"/>
    <w:rsid w:val="000B5336"/>
    <w:rsid w:val="000B585E"/>
    <w:rsid w:val="000B594A"/>
    <w:rsid w:val="000B5BA7"/>
    <w:rsid w:val="000B5CA4"/>
    <w:rsid w:val="000B5D7A"/>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2E2"/>
    <w:rsid w:val="000C753F"/>
    <w:rsid w:val="000C76D3"/>
    <w:rsid w:val="000C7822"/>
    <w:rsid w:val="000C782E"/>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84F"/>
    <w:rsid w:val="000D2C30"/>
    <w:rsid w:val="000D35D9"/>
    <w:rsid w:val="000D397B"/>
    <w:rsid w:val="000D3A59"/>
    <w:rsid w:val="000D3B1E"/>
    <w:rsid w:val="000D409C"/>
    <w:rsid w:val="000D473D"/>
    <w:rsid w:val="000D47E9"/>
    <w:rsid w:val="000D4A6B"/>
    <w:rsid w:val="000D4AA6"/>
    <w:rsid w:val="000D4C2A"/>
    <w:rsid w:val="000D52CA"/>
    <w:rsid w:val="000D5304"/>
    <w:rsid w:val="000D5D8C"/>
    <w:rsid w:val="000D62DE"/>
    <w:rsid w:val="000D659A"/>
    <w:rsid w:val="000D6B1D"/>
    <w:rsid w:val="000D6B2A"/>
    <w:rsid w:val="000D6CA0"/>
    <w:rsid w:val="000D6F4E"/>
    <w:rsid w:val="000D6F9F"/>
    <w:rsid w:val="000D701A"/>
    <w:rsid w:val="000D7147"/>
    <w:rsid w:val="000D76D4"/>
    <w:rsid w:val="000D7762"/>
    <w:rsid w:val="000D7877"/>
    <w:rsid w:val="000D7D30"/>
    <w:rsid w:val="000D7F3D"/>
    <w:rsid w:val="000E02A6"/>
    <w:rsid w:val="000E07C6"/>
    <w:rsid w:val="000E08A3"/>
    <w:rsid w:val="000E0A1E"/>
    <w:rsid w:val="000E0BF3"/>
    <w:rsid w:val="000E0C2E"/>
    <w:rsid w:val="000E0EC3"/>
    <w:rsid w:val="000E1413"/>
    <w:rsid w:val="000E14C3"/>
    <w:rsid w:val="000E1578"/>
    <w:rsid w:val="000E1825"/>
    <w:rsid w:val="000E1D1E"/>
    <w:rsid w:val="000E239C"/>
    <w:rsid w:val="000E2711"/>
    <w:rsid w:val="000E2972"/>
    <w:rsid w:val="000E30A3"/>
    <w:rsid w:val="000E30ED"/>
    <w:rsid w:val="000E30F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59C"/>
    <w:rsid w:val="000E671F"/>
    <w:rsid w:val="000E6B8C"/>
    <w:rsid w:val="000E6D2D"/>
    <w:rsid w:val="000E6D89"/>
    <w:rsid w:val="000E70D8"/>
    <w:rsid w:val="000E730B"/>
    <w:rsid w:val="000E7359"/>
    <w:rsid w:val="000E7368"/>
    <w:rsid w:val="000E737A"/>
    <w:rsid w:val="000E7495"/>
    <w:rsid w:val="000E77BA"/>
    <w:rsid w:val="000E7917"/>
    <w:rsid w:val="000F004F"/>
    <w:rsid w:val="000F01B2"/>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F74"/>
    <w:rsid w:val="000F64D5"/>
    <w:rsid w:val="000F6766"/>
    <w:rsid w:val="000F6895"/>
    <w:rsid w:val="000F6A26"/>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182F"/>
    <w:rsid w:val="0010197C"/>
    <w:rsid w:val="0010205D"/>
    <w:rsid w:val="001021C2"/>
    <w:rsid w:val="00102220"/>
    <w:rsid w:val="001023D9"/>
    <w:rsid w:val="001024F3"/>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489D"/>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45E"/>
    <w:rsid w:val="0012251D"/>
    <w:rsid w:val="001226C2"/>
    <w:rsid w:val="001226E6"/>
    <w:rsid w:val="00122924"/>
    <w:rsid w:val="00122CD3"/>
    <w:rsid w:val="00122DC2"/>
    <w:rsid w:val="00122E72"/>
    <w:rsid w:val="00123389"/>
    <w:rsid w:val="00123624"/>
    <w:rsid w:val="00123654"/>
    <w:rsid w:val="00123AC8"/>
    <w:rsid w:val="00123B5B"/>
    <w:rsid w:val="00123BF7"/>
    <w:rsid w:val="00123ED0"/>
    <w:rsid w:val="0012498D"/>
    <w:rsid w:val="00124C36"/>
    <w:rsid w:val="00124DB4"/>
    <w:rsid w:val="001251F0"/>
    <w:rsid w:val="00125294"/>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2FF6"/>
    <w:rsid w:val="00133358"/>
    <w:rsid w:val="001339A2"/>
    <w:rsid w:val="001339BA"/>
    <w:rsid w:val="00133AB5"/>
    <w:rsid w:val="00133C86"/>
    <w:rsid w:val="00133D08"/>
    <w:rsid w:val="00134213"/>
    <w:rsid w:val="00134524"/>
    <w:rsid w:val="00135167"/>
    <w:rsid w:val="0013589D"/>
    <w:rsid w:val="00135E1C"/>
    <w:rsid w:val="00135E36"/>
    <w:rsid w:val="0013628B"/>
    <w:rsid w:val="001362A4"/>
    <w:rsid w:val="001363A1"/>
    <w:rsid w:val="001363A8"/>
    <w:rsid w:val="00136667"/>
    <w:rsid w:val="00136E6C"/>
    <w:rsid w:val="00137840"/>
    <w:rsid w:val="00137A0A"/>
    <w:rsid w:val="00137B7A"/>
    <w:rsid w:val="00137B9E"/>
    <w:rsid w:val="0014021E"/>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569"/>
    <w:rsid w:val="001466BB"/>
    <w:rsid w:val="00146BCF"/>
    <w:rsid w:val="00146E18"/>
    <w:rsid w:val="00146E9F"/>
    <w:rsid w:val="0014708D"/>
    <w:rsid w:val="0014728D"/>
    <w:rsid w:val="00147713"/>
    <w:rsid w:val="00147BDF"/>
    <w:rsid w:val="00150513"/>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843"/>
    <w:rsid w:val="00155A0A"/>
    <w:rsid w:val="00155E5A"/>
    <w:rsid w:val="00155F48"/>
    <w:rsid w:val="0015625D"/>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43D"/>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378"/>
    <w:rsid w:val="00170477"/>
    <w:rsid w:val="0017069D"/>
    <w:rsid w:val="001706AE"/>
    <w:rsid w:val="00170EA4"/>
    <w:rsid w:val="00170F69"/>
    <w:rsid w:val="00171011"/>
    <w:rsid w:val="0017141C"/>
    <w:rsid w:val="0017143D"/>
    <w:rsid w:val="00171611"/>
    <w:rsid w:val="001718CF"/>
    <w:rsid w:val="00171C1C"/>
    <w:rsid w:val="00172097"/>
    <w:rsid w:val="00172218"/>
    <w:rsid w:val="00172299"/>
    <w:rsid w:val="001725B2"/>
    <w:rsid w:val="001725F0"/>
    <w:rsid w:val="001727D0"/>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56B"/>
    <w:rsid w:val="001766EE"/>
    <w:rsid w:val="0017694D"/>
    <w:rsid w:val="00176D46"/>
    <w:rsid w:val="00176F8C"/>
    <w:rsid w:val="001778BC"/>
    <w:rsid w:val="00177B40"/>
    <w:rsid w:val="00177DDA"/>
    <w:rsid w:val="0018002E"/>
    <w:rsid w:val="00180AA6"/>
    <w:rsid w:val="0018103E"/>
    <w:rsid w:val="001810BF"/>
    <w:rsid w:val="00181227"/>
    <w:rsid w:val="0018132A"/>
    <w:rsid w:val="00181488"/>
    <w:rsid w:val="00181F37"/>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4DB4"/>
    <w:rsid w:val="00185110"/>
    <w:rsid w:val="00185209"/>
    <w:rsid w:val="001852B0"/>
    <w:rsid w:val="0018572A"/>
    <w:rsid w:val="001857B5"/>
    <w:rsid w:val="001857DB"/>
    <w:rsid w:val="00185FC9"/>
    <w:rsid w:val="001860A7"/>
    <w:rsid w:val="001862A1"/>
    <w:rsid w:val="00186B29"/>
    <w:rsid w:val="001870C7"/>
    <w:rsid w:val="00187349"/>
    <w:rsid w:val="001876CC"/>
    <w:rsid w:val="0018778D"/>
    <w:rsid w:val="0019035C"/>
    <w:rsid w:val="001905B8"/>
    <w:rsid w:val="0019085A"/>
    <w:rsid w:val="00190A40"/>
    <w:rsid w:val="00190C35"/>
    <w:rsid w:val="00190D4C"/>
    <w:rsid w:val="00190EE5"/>
    <w:rsid w:val="00191080"/>
    <w:rsid w:val="00191197"/>
    <w:rsid w:val="00191302"/>
    <w:rsid w:val="001914AB"/>
    <w:rsid w:val="001914E2"/>
    <w:rsid w:val="0019168B"/>
    <w:rsid w:val="001916AE"/>
    <w:rsid w:val="00191B4C"/>
    <w:rsid w:val="00191BFD"/>
    <w:rsid w:val="001926D9"/>
    <w:rsid w:val="00192773"/>
    <w:rsid w:val="00192CEC"/>
    <w:rsid w:val="00192FA2"/>
    <w:rsid w:val="00192FF3"/>
    <w:rsid w:val="00193042"/>
    <w:rsid w:val="001931C5"/>
    <w:rsid w:val="001933CC"/>
    <w:rsid w:val="00193549"/>
    <w:rsid w:val="00193645"/>
    <w:rsid w:val="00193690"/>
    <w:rsid w:val="00193C5C"/>
    <w:rsid w:val="00193F26"/>
    <w:rsid w:val="00193FFA"/>
    <w:rsid w:val="00194279"/>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154"/>
    <w:rsid w:val="001955E3"/>
    <w:rsid w:val="00195881"/>
    <w:rsid w:val="001958DC"/>
    <w:rsid w:val="0019597C"/>
    <w:rsid w:val="00195E9F"/>
    <w:rsid w:val="001960D2"/>
    <w:rsid w:val="00196298"/>
    <w:rsid w:val="0019652C"/>
    <w:rsid w:val="001969A3"/>
    <w:rsid w:val="00196B22"/>
    <w:rsid w:val="00196B74"/>
    <w:rsid w:val="00196D4C"/>
    <w:rsid w:val="00196DCA"/>
    <w:rsid w:val="00196E29"/>
    <w:rsid w:val="001971DD"/>
    <w:rsid w:val="00197526"/>
    <w:rsid w:val="00197E80"/>
    <w:rsid w:val="001A04EE"/>
    <w:rsid w:val="001A056F"/>
    <w:rsid w:val="001A05CB"/>
    <w:rsid w:val="001A075C"/>
    <w:rsid w:val="001A1658"/>
    <w:rsid w:val="001A16B5"/>
    <w:rsid w:val="001A1747"/>
    <w:rsid w:val="001A191B"/>
    <w:rsid w:val="001A23B5"/>
    <w:rsid w:val="001A24D2"/>
    <w:rsid w:val="001A24F2"/>
    <w:rsid w:val="001A2580"/>
    <w:rsid w:val="001A2B67"/>
    <w:rsid w:val="001A2CB4"/>
    <w:rsid w:val="001A2D45"/>
    <w:rsid w:val="001A31FF"/>
    <w:rsid w:val="001A323A"/>
    <w:rsid w:val="001A3273"/>
    <w:rsid w:val="001A32B8"/>
    <w:rsid w:val="001A3319"/>
    <w:rsid w:val="001A3405"/>
    <w:rsid w:val="001A3B06"/>
    <w:rsid w:val="001A3B98"/>
    <w:rsid w:val="001A3DF3"/>
    <w:rsid w:val="001A3E4D"/>
    <w:rsid w:val="001A3FFA"/>
    <w:rsid w:val="001A4003"/>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51E"/>
    <w:rsid w:val="001B173D"/>
    <w:rsid w:val="001B19CB"/>
    <w:rsid w:val="001B19E5"/>
    <w:rsid w:val="001B1C5E"/>
    <w:rsid w:val="001B1E87"/>
    <w:rsid w:val="001B2113"/>
    <w:rsid w:val="001B240B"/>
    <w:rsid w:val="001B2AFD"/>
    <w:rsid w:val="001B380D"/>
    <w:rsid w:val="001B39B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8F"/>
    <w:rsid w:val="001B64F1"/>
    <w:rsid w:val="001B65C4"/>
    <w:rsid w:val="001B65E6"/>
    <w:rsid w:val="001B717E"/>
    <w:rsid w:val="001B7582"/>
    <w:rsid w:val="001B7750"/>
    <w:rsid w:val="001B77EF"/>
    <w:rsid w:val="001B7C82"/>
    <w:rsid w:val="001C09E2"/>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FA1"/>
    <w:rsid w:val="001D619A"/>
    <w:rsid w:val="001D6260"/>
    <w:rsid w:val="001D63D5"/>
    <w:rsid w:val="001D6481"/>
    <w:rsid w:val="001D64F5"/>
    <w:rsid w:val="001D664E"/>
    <w:rsid w:val="001D6AEA"/>
    <w:rsid w:val="001D6CF1"/>
    <w:rsid w:val="001D6F65"/>
    <w:rsid w:val="001D6F89"/>
    <w:rsid w:val="001D70B1"/>
    <w:rsid w:val="001D77C6"/>
    <w:rsid w:val="001E0154"/>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3E7F"/>
    <w:rsid w:val="001E424F"/>
    <w:rsid w:val="001E43B3"/>
    <w:rsid w:val="001E44AC"/>
    <w:rsid w:val="001E4FFF"/>
    <w:rsid w:val="001E52A4"/>
    <w:rsid w:val="001E5702"/>
    <w:rsid w:val="001E58EF"/>
    <w:rsid w:val="001E59ED"/>
    <w:rsid w:val="001E5A56"/>
    <w:rsid w:val="001E5EF7"/>
    <w:rsid w:val="001E6339"/>
    <w:rsid w:val="001E6362"/>
    <w:rsid w:val="001E6934"/>
    <w:rsid w:val="001E6B55"/>
    <w:rsid w:val="001E6BEE"/>
    <w:rsid w:val="001E6D4B"/>
    <w:rsid w:val="001E6F9E"/>
    <w:rsid w:val="001E71CC"/>
    <w:rsid w:val="001E79B1"/>
    <w:rsid w:val="001F01A6"/>
    <w:rsid w:val="001F0449"/>
    <w:rsid w:val="001F0456"/>
    <w:rsid w:val="001F068C"/>
    <w:rsid w:val="001F074B"/>
    <w:rsid w:val="001F08A8"/>
    <w:rsid w:val="001F08C0"/>
    <w:rsid w:val="001F0A86"/>
    <w:rsid w:val="001F0DD1"/>
    <w:rsid w:val="001F0F66"/>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46A"/>
    <w:rsid w:val="001F54D5"/>
    <w:rsid w:val="001F54FC"/>
    <w:rsid w:val="001F555A"/>
    <w:rsid w:val="001F56D8"/>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1F7D90"/>
    <w:rsid w:val="00200133"/>
    <w:rsid w:val="002001EF"/>
    <w:rsid w:val="00200274"/>
    <w:rsid w:val="0020027A"/>
    <w:rsid w:val="00200714"/>
    <w:rsid w:val="00200F6E"/>
    <w:rsid w:val="00200F70"/>
    <w:rsid w:val="00201142"/>
    <w:rsid w:val="00201199"/>
    <w:rsid w:val="00201229"/>
    <w:rsid w:val="00201359"/>
    <w:rsid w:val="00201733"/>
    <w:rsid w:val="0020175E"/>
    <w:rsid w:val="00201780"/>
    <w:rsid w:val="00201A4C"/>
    <w:rsid w:val="00201ED4"/>
    <w:rsid w:val="00201F5B"/>
    <w:rsid w:val="00202204"/>
    <w:rsid w:val="00202495"/>
    <w:rsid w:val="00202513"/>
    <w:rsid w:val="00202773"/>
    <w:rsid w:val="00202A20"/>
    <w:rsid w:val="00202AB7"/>
    <w:rsid w:val="00202DC6"/>
    <w:rsid w:val="00202F90"/>
    <w:rsid w:val="002031DB"/>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527"/>
    <w:rsid w:val="002066FB"/>
    <w:rsid w:val="00206950"/>
    <w:rsid w:val="0020709F"/>
    <w:rsid w:val="002070A2"/>
    <w:rsid w:val="0020744E"/>
    <w:rsid w:val="002074D0"/>
    <w:rsid w:val="00207586"/>
    <w:rsid w:val="00207662"/>
    <w:rsid w:val="002076E7"/>
    <w:rsid w:val="00207AEA"/>
    <w:rsid w:val="00207BEB"/>
    <w:rsid w:val="00207D0A"/>
    <w:rsid w:val="00207DF3"/>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22E"/>
    <w:rsid w:val="002123D4"/>
    <w:rsid w:val="00212977"/>
    <w:rsid w:val="00212C3D"/>
    <w:rsid w:val="002133F0"/>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39B"/>
    <w:rsid w:val="00215515"/>
    <w:rsid w:val="00215ED7"/>
    <w:rsid w:val="00216228"/>
    <w:rsid w:val="00216282"/>
    <w:rsid w:val="002164E8"/>
    <w:rsid w:val="002165F4"/>
    <w:rsid w:val="00216728"/>
    <w:rsid w:val="00216F30"/>
    <w:rsid w:val="002174C0"/>
    <w:rsid w:val="002174D5"/>
    <w:rsid w:val="0021767C"/>
    <w:rsid w:val="00217783"/>
    <w:rsid w:val="00217974"/>
    <w:rsid w:val="00217A34"/>
    <w:rsid w:val="00220019"/>
    <w:rsid w:val="0022002E"/>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05A"/>
    <w:rsid w:val="00222347"/>
    <w:rsid w:val="00222371"/>
    <w:rsid w:val="002223C1"/>
    <w:rsid w:val="00222844"/>
    <w:rsid w:val="00222AFC"/>
    <w:rsid w:val="00222BAA"/>
    <w:rsid w:val="00222BEC"/>
    <w:rsid w:val="00222C17"/>
    <w:rsid w:val="00222EC1"/>
    <w:rsid w:val="00222EDE"/>
    <w:rsid w:val="00222F2A"/>
    <w:rsid w:val="00222F76"/>
    <w:rsid w:val="00223334"/>
    <w:rsid w:val="002233F3"/>
    <w:rsid w:val="0022354C"/>
    <w:rsid w:val="002236F3"/>
    <w:rsid w:val="0022377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5E31"/>
    <w:rsid w:val="00226386"/>
    <w:rsid w:val="0022693D"/>
    <w:rsid w:val="002269B7"/>
    <w:rsid w:val="00226BFD"/>
    <w:rsid w:val="00226D5E"/>
    <w:rsid w:val="002270E5"/>
    <w:rsid w:val="002276FC"/>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7F0"/>
    <w:rsid w:val="00240828"/>
    <w:rsid w:val="0024083C"/>
    <w:rsid w:val="00240AAA"/>
    <w:rsid w:val="00240AC6"/>
    <w:rsid w:val="00240C64"/>
    <w:rsid w:val="00240D94"/>
    <w:rsid w:val="00240DDC"/>
    <w:rsid w:val="00241121"/>
    <w:rsid w:val="002416D1"/>
    <w:rsid w:val="002418C5"/>
    <w:rsid w:val="002418FF"/>
    <w:rsid w:val="00242012"/>
    <w:rsid w:val="002421B9"/>
    <w:rsid w:val="00242337"/>
    <w:rsid w:val="00242373"/>
    <w:rsid w:val="002423C5"/>
    <w:rsid w:val="00242635"/>
    <w:rsid w:val="00242645"/>
    <w:rsid w:val="0024280E"/>
    <w:rsid w:val="00242810"/>
    <w:rsid w:val="0024283C"/>
    <w:rsid w:val="00242AA6"/>
    <w:rsid w:val="00242C00"/>
    <w:rsid w:val="00242C06"/>
    <w:rsid w:val="00242C48"/>
    <w:rsid w:val="00242EDB"/>
    <w:rsid w:val="00243068"/>
    <w:rsid w:val="0024310A"/>
    <w:rsid w:val="00243609"/>
    <w:rsid w:val="0024370E"/>
    <w:rsid w:val="002437AC"/>
    <w:rsid w:val="00243CDD"/>
    <w:rsid w:val="0024402E"/>
    <w:rsid w:val="0024426E"/>
    <w:rsid w:val="002442E8"/>
    <w:rsid w:val="00244961"/>
    <w:rsid w:val="00244964"/>
    <w:rsid w:val="002449E9"/>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28E"/>
    <w:rsid w:val="002478F9"/>
    <w:rsid w:val="00247A47"/>
    <w:rsid w:val="00247B64"/>
    <w:rsid w:val="00247BAA"/>
    <w:rsid w:val="00247F3B"/>
    <w:rsid w:val="00247FAA"/>
    <w:rsid w:val="002506BC"/>
    <w:rsid w:val="0025091A"/>
    <w:rsid w:val="00250D5D"/>
    <w:rsid w:val="00250F5A"/>
    <w:rsid w:val="0025147A"/>
    <w:rsid w:val="002515E8"/>
    <w:rsid w:val="0025175E"/>
    <w:rsid w:val="0025191E"/>
    <w:rsid w:val="00251978"/>
    <w:rsid w:val="002519A0"/>
    <w:rsid w:val="00251A3B"/>
    <w:rsid w:val="0025241B"/>
    <w:rsid w:val="00252453"/>
    <w:rsid w:val="00252933"/>
    <w:rsid w:val="0025302D"/>
    <w:rsid w:val="00253235"/>
    <w:rsid w:val="0025328C"/>
    <w:rsid w:val="002533F8"/>
    <w:rsid w:val="0025397A"/>
    <w:rsid w:val="00253C1D"/>
    <w:rsid w:val="00253EB2"/>
    <w:rsid w:val="002541FE"/>
    <w:rsid w:val="0025472E"/>
    <w:rsid w:val="002553C0"/>
    <w:rsid w:val="002553DA"/>
    <w:rsid w:val="0025545E"/>
    <w:rsid w:val="0025577B"/>
    <w:rsid w:val="002557F1"/>
    <w:rsid w:val="00255850"/>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1DC"/>
    <w:rsid w:val="0026243E"/>
    <w:rsid w:val="002625BA"/>
    <w:rsid w:val="002627C0"/>
    <w:rsid w:val="00262972"/>
    <w:rsid w:val="00262CC9"/>
    <w:rsid w:val="00262FC9"/>
    <w:rsid w:val="0026315E"/>
    <w:rsid w:val="002631B9"/>
    <w:rsid w:val="002631D1"/>
    <w:rsid w:val="002631DC"/>
    <w:rsid w:val="00263207"/>
    <w:rsid w:val="002632E5"/>
    <w:rsid w:val="00263D69"/>
    <w:rsid w:val="002640D5"/>
    <w:rsid w:val="002643BF"/>
    <w:rsid w:val="00264523"/>
    <w:rsid w:val="00264BB4"/>
    <w:rsid w:val="00264CA4"/>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EE"/>
    <w:rsid w:val="00270467"/>
    <w:rsid w:val="002706C4"/>
    <w:rsid w:val="00270AB1"/>
    <w:rsid w:val="00270D03"/>
    <w:rsid w:val="00270D63"/>
    <w:rsid w:val="00271064"/>
    <w:rsid w:val="0027123B"/>
    <w:rsid w:val="00271330"/>
    <w:rsid w:val="002714E3"/>
    <w:rsid w:val="0027187A"/>
    <w:rsid w:val="00271D26"/>
    <w:rsid w:val="00272268"/>
    <w:rsid w:val="002722CE"/>
    <w:rsid w:val="0027279B"/>
    <w:rsid w:val="00272AA0"/>
    <w:rsid w:val="00272D89"/>
    <w:rsid w:val="00273207"/>
    <w:rsid w:val="0027322D"/>
    <w:rsid w:val="00273380"/>
    <w:rsid w:val="00273425"/>
    <w:rsid w:val="0027348C"/>
    <w:rsid w:val="002739A1"/>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B7B"/>
    <w:rsid w:val="00281F94"/>
    <w:rsid w:val="00281F99"/>
    <w:rsid w:val="00282126"/>
    <w:rsid w:val="00282436"/>
    <w:rsid w:val="0028264B"/>
    <w:rsid w:val="00282743"/>
    <w:rsid w:val="00282750"/>
    <w:rsid w:val="002827B5"/>
    <w:rsid w:val="00282B65"/>
    <w:rsid w:val="00282EEE"/>
    <w:rsid w:val="00282F3D"/>
    <w:rsid w:val="00283037"/>
    <w:rsid w:val="002834D7"/>
    <w:rsid w:val="00283BEF"/>
    <w:rsid w:val="00283D45"/>
    <w:rsid w:val="00283F88"/>
    <w:rsid w:val="00284162"/>
    <w:rsid w:val="0028442B"/>
    <w:rsid w:val="002846E8"/>
    <w:rsid w:val="00285168"/>
    <w:rsid w:val="00285348"/>
    <w:rsid w:val="0028542B"/>
    <w:rsid w:val="00285C6D"/>
    <w:rsid w:val="00285D5F"/>
    <w:rsid w:val="00285F59"/>
    <w:rsid w:val="002863E1"/>
    <w:rsid w:val="0028644C"/>
    <w:rsid w:val="00286885"/>
    <w:rsid w:val="00286C81"/>
    <w:rsid w:val="00287256"/>
    <w:rsid w:val="00287450"/>
    <w:rsid w:val="002875F0"/>
    <w:rsid w:val="002877B2"/>
    <w:rsid w:val="00287A26"/>
    <w:rsid w:val="00287A33"/>
    <w:rsid w:val="00287A7B"/>
    <w:rsid w:val="00287DDD"/>
    <w:rsid w:val="00290124"/>
    <w:rsid w:val="002903D8"/>
    <w:rsid w:val="0029081B"/>
    <w:rsid w:val="002908B8"/>
    <w:rsid w:val="00290AB8"/>
    <w:rsid w:val="00290DB2"/>
    <w:rsid w:val="002911F2"/>
    <w:rsid w:val="00291730"/>
    <w:rsid w:val="002920C5"/>
    <w:rsid w:val="0029210D"/>
    <w:rsid w:val="002921F8"/>
    <w:rsid w:val="0029229B"/>
    <w:rsid w:val="0029283D"/>
    <w:rsid w:val="00292872"/>
    <w:rsid w:val="002928C3"/>
    <w:rsid w:val="00292E25"/>
    <w:rsid w:val="00293023"/>
    <w:rsid w:val="00293374"/>
    <w:rsid w:val="002933AA"/>
    <w:rsid w:val="00293554"/>
    <w:rsid w:val="0029355F"/>
    <w:rsid w:val="00293903"/>
    <w:rsid w:val="00293FBE"/>
    <w:rsid w:val="0029433B"/>
    <w:rsid w:val="00294434"/>
    <w:rsid w:val="00294600"/>
    <w:rsid w:val="0029484A"/>
    <w:rsid w:val="00294C7E"/>
    <w:rsid w:val="00294D5C"/>
    <w:rsid w:val="00294F18"/>
    <w:rsid w:val="00295250"/>
    <w:rsid w:val="002953D8"/>
    <w:rsid w:val="0029558B"/>
    <w:rsid w:val="002955E5"/>
    <w:rsid w:val="002965A2"/>
    <w:rsid w:val="00296AB2"/>
    <w:rsid w:val="00296C79"/>
    <w:rsid w:val="00296F85"/>
    <w:rsid w:val="00297578"/>
    <w:rsid w:val="00297602"/>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B70"/>
    <w:rsid w:val="002A0C49"/>
    <w:rsid w:val="002A0D53"/>
    <w:rsid w:val="002A0E55"/>
    <w:rsid w:val="002A0F5F"/>
    <w:rsid w:val="002A1176"/>
    <w:rsid w:val="002A1419"/>
    <w:rsid w:val="002A1A6B"/>
    <w:rsid w:val="002A1CF0"/>
    <w:rsid w:val="002A1DCE"/>
    <w:rsid w:val="002A1F24"/>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BF0"/>
    <w:rsid w:val="002A7D7A"/>
    <w:rsid w:val="002A7F2A"/>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205"/>
    <w:rsid w:val="002B538D"/>
    <w:rsid w:val="002B55DD"/>
    <w:rsid w:val="002B5997"/>
    <w:rsid w:val="002B5CCA"/>
    <w:rsid w:val="002B5D5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F4F"/>
    <w:rsid w:val="002C27F7"/>
    <w:rsid w:val="002C2899"/>
    <w:rsid w:val="002C2CB0"/>
    <w:rsid w:val="002C2E0B"/>
    <w:rsid w:val="002C2ED9"/>
    <w:rsid w:val="002C323F"/>
    <w:rsid w:val="002C3621"/>
    <w:rsid w:val="002C3722"/>
    <w:rsid w:val="002C3BC3"/>
    <w:rsid w:val="002C3C93"/>
    <w:rsid w:val="002C3E5E"/>
    <w:rsid w:val="002C4494"/>
    <w:rsid w:val="002C44A1"/>
    <w:rsid w:val="002C44B7"/>
    <w:rsid w:val="002C4952"/>
    <w:rsid w:val="002C4AC6"/>
    <w:rsid w:val="002C4FAC"/>
    <w:rsid w:val="002C53DE"/>
    <w:rsid w:val="002C5449"/>
    <w:rsid w:val="002C568F"/>
    <w:rsid w:val="002C5758"/>
    <w:rsid w:val="002C58EC"/>
    <w:rsid w:val="002C5B16"/>
    <w:rsid w:val="002C6179"/>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0C8"/>
    <w:rsid w:val="002D111F"/>
    <w:rsid w:val="002D15B1"/>
    <w:rsid w:val="002D1611"/>
    <w:rsid w:val="002D1692"/>
    <w:rsid w:val="002D16D7"/>
    <w:rsid w:val="002D1F1C"/>
    <w:rsid w:val="002D2241"/>
    <w:rsid w:val="002D22A6"/>
    <w:rsid w:val="002D26BA"/>
    <w:rsid w:val="002D276B"/>
    <w:rsid w:val="002D27BE"/>
    <w:rsid w:val="002D297C"/>
    <w:rsid w:val="002D2A9C"/>
    <w:rsid w:val="002D2B4E"/>
    <w:rsid w:val="002D2BFF"/>
    <w:rsid w:val="002D2D69"/>
    <w:rsid w:val="002D2F4D"/>
    <w:rsid w:val="002D2F9C"/>
    <w:rsid w:val="002D2FD3"/>
    <w:rsid w:val="002D2FF6"/>
    <w:rsid w:val="002D31B7"/>
    <w:rsid w:val="002D325B"/>
    <w:rsid w:val="002D3531"/>
    <w:rsid w:val="002D3AAD"/>
    <w:rsid w:val="002D40AB"/>
    <w:rsid w:val="002D429D"/>
    <w:rsid w:val="002D4699"/>
    <w:rsid w:val="002D490E"/>
    <w:rsid w:val="002D4D9D"/>
    <w:rsid w:val="002D4E3D"/>
    <w:rsid w:val="002D58B9"/>
    <w:rsid w:val="002D5A15"/>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B68"/>
    <w:rsid w:val="002E0CAD"/>
    <w:rsid w:val="002E1274"/>
    <w:rsid w:val="002E195B"/>
    <w:rsid w:val="002E1A48"/>
    <w:rsid w:val="002E1B4D"/>
    <w:rsid w:val="002E1CD3"/>
    <w:rsid w:val="002E1F8E"/>
    <w:rsid w:val="002E2099"/>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D9E"/>
    <w:rsid w:val="002E5125"/>
    <w:rsid w:val="002E5153"/>
    <w:rsid w:val="002E51D1"/>
    <w:rsid w:val="002E5389"/>
    <w:rsid w:val="002E5461"/>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16A"/>
    <w:rsid w:val="002F24BB"/>
    <w:rsid w:val="002F2632"/>
    <w:rsid w:val="002F2D9C"/>
    <w:rsid w:val="002F2F69"/>
    <w:rsid w:val="002F2F6C"/>
    <w:rsid w:val="002F3066"/>
    <w:rsid w:val="002F325E"/>
    <w:rsid w:val="002F32BC"/>
    <w:rsid w:val="002F35F6"/>
    <w:rsid w:val="002F3659"/>
    <w:rsid w:val="002F39C8"/>
    <w:rsid w:val="002F41F7"/>
    <w:rsid w:val="002F4484"/>
    <w:rsid w:val="002F4A44"/>
    <w:rsid w:val="002F4A45"/>
    <w:rsid w:val="002F4B8E"/>
    <w:rsid w:val="002F4C3D"/>
    <w:rsid w:val="002F4DBA"/>
    <w:rsid w:val="002F51BD"/>
    <w:rsid w:val="002F522A"/>
    <w:rsid w:val="002F5288"/>
    <w:rsid w:val="002F5470"/>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1C"/>
    <w:rsid w:val="002F706B"/>
    <w:rsid w:val="002F71D5"/>
    <w:rsid w:val="002F747D"/>
    <w:rsid w:val="002F76F5"/>
    <w:rsid w:val="002F77E6"/>
    <w:rsid w:val="002F7842"/>
    <w:rsid w:val="002F7F4D"/>
    <w:rsid w:val="003000D9"/>
    <w:rsid w:val="00300550"/>
    <w:rsid w:val="00300AEE"/>
    <w:rsid w:val="00300C5F"/>
    <w:rsid w:val="00300D31"/>
    <w:rsid w:val="00300EC1"/>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11E"/>
    <w:rsid w:val="00307129"/>
    <w:rsid w:val="00307A55"/>
    <w:rsid w:val="00307FEB"/>
    <w:rsid w:val="0031041F"/>
    <w:rsid w:val="0031067F"/>
    <w:rsid w:val="00310AA6"/>
    <w:rsid w:val="00310AB7"/>
    <w:rsid w:val="00310FBD"/>
    <w:rsid w:val="00310FC2"/>
    <w:rsid w:val="003111AD"/>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8"/>
    <w:rsid w:val="00314A86"/>
    <w:rsid w:val="0031504F"/>
    <w:rsid w:val="0031506D"/>
    <w:rsid w:val="00315609"/>
    <w:rsid w:val="003157C7"/>
    <w:rsid w:val="00315A95"/>
    <w:rsid w:val="00315AA2"/>
    <w:rsid w:val="00315C6D"/>
    <w:rsid w:val="00315D40"/>
    <w:rsid w:val="00315E00"/>
    <w:rsid w:val="00316082"/>
    <w:rsid w:val="003162B8"/>
    <w:rsid w:val="00316666"/>
    <w:rsid w:val="00316797"/>
    <w:rsid w:val="003168FD"/>
    <w:rsid w:val="0031691E"/>
    <w:rsid w:val="00316FAA"/>
    <w:rsid w:val="003170CC"/>
    <w:rsid w:val="003174F2"/>
    <w:rsid w:val="00317DBB"/>
    <w:rsid w:val="00317E71"/>
    <w:rsid w:val="00320128"/>
    <w:rsid w:val="003203FA"/>
    <w:rsid w:val="003206D8"/>
    <w:rsid w:val="00320C4D"/>
    <w:rsid w:val="00320EF7"/>
    <w:rsid w:val="003213B1"/>
    <w:rsid w:val="00321630"/>
    <w:rsid w:val="00321B91"/>
    <w:rsid w:val="00321E75"/>
    <w:rsid w:val="00321FF4"/>
    <w:rsid w:val="0032229B"/>
    <w:rsid w:val="003229C0"/>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2050"/>
    <w:rsid w:val="00332084"/>
    <w:rsid w:val="00332210"/>
    <w:rsid w:val="0033250F"/>
    <w:rsid w:val="003327EF"/>
    <w:rsid w:val="00332BBA"/>
    <w:rsid w:val="00332D9F"/>
    <w:rsid w:val="00332EB6"/>
    <w:rsid w:val="00332F30"/>
    <w:rsid w:val="00333029"/>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F"/>
    <w:rsid w:val="00334AB8"/>
    <w:rsid w:val="00334E6D"/>
    <w:rsid w:val="003350B4"/>
    <w:rsid w:val="0033514A"/>
    <w:rsid w:val="0033549A"/>
    <w:rsid w:val="0033557D"/>
    <w:rsid w:val="003358C0"/>
    <w:rsid w:val="003359FB"/>
    <w:rsid w:val="00335BD5"/>
    <w:rsid w:val="00335C2B"/>
    <w:rsid w:val="0033615B"/>
    <w:rsid w:val="0033641B"/>
    <w:rsid w:val="00336690"/>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29"/>
    <w:rsid w:val="00342DDD"/>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5E0"/>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340"/>
    <w:rsid w:val="00356450"/>
    <w:rsid w:val="003564FC"/>
    <w:rsid w:val="00356872"/>
    <w:rsid w:val="00356BF5"/>
    <w:rsid w:val="00356F18"/>
    <w:rsid w:val="003570B4"/>
    <w:rsid w:val="00357167"/>
    <w:rsid w:val="00357675"/>
    <w:rsid w:val="00357745"/>
    <w:rsid w:val="00357E3C"/>
    <w:rsid w:val="00360178"/>
    <w:rsid w:val="003604DD"/>
    <w:rsid w:val="0036054B"/>
    <w:rsid w:val="00360D58"/>
    <w:rsid w:val="00361065"/>
    <w:rsid w:val="003614D9"/>
    <w:rsid w:val="00361530"/>
    <w:rsid w:val="00361810"/>
    <w:rsid w:val="003619C0"/>
    <w:rsid w:val="00361DFE"/>
    <w:rsid w:val="00361F17"/>
    <w:rsid w:val="003622DD"/>
    <w:rsid w:val="00362635"/>
    <w:rsid w:val="003626EF"/>
    <w:rsid w:val="003626FA"/>
    <w:rsid w:val="0036298A"/>
    <w:rsid w:val="00362A32"/>
    <w:rsid w:val="003635D8"/>
    <w:rsid w:val="003636E5"/>
    <w:rsid w:val="0036371E"/>
    <w:rsid w:val="00363906"/>
    <w:rsid w:val="00363B9D"/>
    <w:rsid w:val="00363C65"/>
    <w:rsid w:val="00363C71"/>
    <w:rsid w:val="00363E5A"/>
    <w:rsid w:val="00363EA9"/>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7A6"/>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DFB"/>
    <w:rsid w:val="00374E86"/>
    <w:rsid w:val="003753C0"/>
    <w:rsid w:val="00375470"/>
    <w:rsid w:val="003755B3"/>
    <w:rsid w:val="00375A0E"/>
    <w:rsid w:val="00376097"/>
    <w:rsid w:val="0037626D"/>
    <w:rsid w:val="0037672D"/>
    <w:rsid w:val="00376C11"/>
    <w:rsid w:val="00376DE9"/>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A23"/>
    <w:rsid w:val="00383B10"/>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0E06"/>
    <w:rsid w:val="00391018"/>
    <w:rsid w:val="003911A1"/>
    <w:rsid w:val="003915CF"/>
    <w:rsid w:val="0039179A"/>
    <w:rsid w:val="00391800"/>
    <w:rsid w:val="0039193A"/>
    <w:rsid w:val="00391A04"/>
    <w:rsid w:val="00391B36"/>
    <w:rsid w:val="003921DC"/>
    <w:rsid w:val="00392ABB"/>
    <w:rsid w:val="00392AFA"/>
    <w:rsid w:val="00392EC4"/>
    <w:rsid w:val="00393186"/>
    <w:rsid w:val="00393255"/>
    <w:rsid w:val="00393ABA"/>
    <w:rsid w:val="00393E15"/>
    <w:rsid w:val="0039444D"/>
    <w:rsid w:val="0039445F"/>
    <w:rsid w:val="003949AF"/>
    <w:rsid w:val="00394E4A"/>
    <w:rsid w:val="00395487"/>
    <w:rsid w:val="003954DF"/>
    <w:rsid w:val="003955D8"/>
    <w:rsid w:val="0039586C"/>
    <w:rsid w:val="003959F9"/>
    <w:rsid w:val="00395CC7"/>
    <w:rsid w:val="00395E8A"/>
    <w:rsid w:val="00395E94"/>
    <w:rsid w:val="003961F9"/>
    <w:rsid w:val="00396AEA"/>
    <w:rsid w:val="00396F93"/>
    <w:rsid w:val="00396F9D"/>
    <w:rsid w:val="00396FF1"/>
    <w:rsid w:val="00397040"/>
    <w:rsid w:val="003972F4"/>
    <w:rsid w:val="0039747F"/>
    <w:rsid w:val="0039753C"/>
    <w:rsid w:val="00397600"/>
    <w:rsid w:val="003976AE"/>
    <w:rsid w:val="00397901"/>
    <w:rsid w:val="00397D1D"/>
    <w:rsid w:val="003A005E"/>
    <w:rsid w:val="003A01E0"/>
    <w:rsid w:val="003A052F"/>
    <w:rsid w:val="003A06CB"/>
    <w:rsid w:val="003A0EDF"/>
    <w:rsid w:val="003A0FA5"/>
    <w:rsid w:val="003A10E3"/>
    <w:rsid w:val="003A11A5"/>
    <w:rsid w:val="003A11C7"/>
    <w:rsid w:val="003A15DA"/>
    <w:rsid w:val="003A1740"/>
    <w:rsid w:val="003A1E51"/>
    <w:rsid w:val="003A20E9"/>
    <w:rsid w:val="003A2432"/>
    <w:rsid w:val="003A3087"/>
    <w:rsid w:val="003A32DF"/>
    <w:rsid w:val="003A3673"/>
    <w:rsid w:val="003A370A"/>
    <w:rsid w:val="003A3984"/>
    <w:rsid w:val="003A3AF1"/>
    <w:rsid w:val="003A3B9F"/>
    <w:rsid w:val="003A3EA3"/>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F3"/>
    <w:rsid w:val="003B1AD9"/>
    <w:rsid w:val="003B1B06"/>
    <w:rsid w:val="003B1F23"/>
    <w:rsid w:val="003B22A5"/>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8DF"/>
    <w:rsid w:val="003B3936"/>
    <w:rsid w:val="003B3BFB"/>
    <w:rsid w:val="003B3D1C"/>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5EB"/>
    <w:rsid w:val="003C6957"/>
    <w:rsid w:val="003C6B03"/>
    <w:rsid w:val="003C6B3E"/>
    <w:rsid w:val="003C6C51"/>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3D18"/>
    <w:rsid w:val="003D42BD"/>
    <w:rsid w:val="003D4326"/>
    <w:rsid w:val="003D4443"/>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DD3"/>
    <w:rsid w:val="003D7288"/>
    <w:rsid w:val="003D7355"/>
    <w:rsid w:val="003D752B"/>
    <w:rsid w:val="003D7638"/>
    <w:rsid w:val="003D76AF"/>
    <w:rsid w:val="003D7982"/>
    <w:rsid w:val="003D7C0F"/>
    <w:rsid w:val="003D7EBD"/>
    <w:rsid w:val="003E02B4"/>
    <w:rsid w:val="003E09F0"/>
    <w:rsid w:val="003E0B09"/>
    <w:rsid w:val="003E0BE7"/>
    <w:rsid w:val="003E1175"/>
    <w:rsid w:val="003E1D90"/>
    <w:rsid w:val="003E1F1F"/>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71B"/>
    <w:rsid w:val="003E6B8D"/>
    <w:rsid w:val="003E6F04"/>
    <w:rsid w:val="003E723A"/>
    <w:rsid w:val="003E73AE"/>
    <w:rsid w:val="003E73DD"/>
    <w:rsid w:val="003E7405"/>
    <w:rsid w:val="003E758F"/>
    <w:rsid w:val="003E76D3"/>
    <w:rsid w:val="003E7D0D"/>
    <w:rsid w:val="003F00A0"/>
    <w:rsid w:val="003F0343"/>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DD"/>
    <w:rsid w:val="003F25FA"/>
    <w:rsid w:val="003F29D0"/>
    <w:rsid w:val="003F2C31"/>
    <w:rsid w:val="003F2FA5"/>
    <w:rsid w:val="003F3280"/>
    <w:rsid w:val="003F338C"/>
    <w:rsid w:val="003F3950"/>
    <w:rsid w:val="003F3FCD"/>
    <w:rsid w:val="003F4000"/>
    <w:rsid w:val="003F40C3"/>
    <w:rsid w:val="003F4359"/>
    <w:rsid w:val="003F435D"/>
    <w:rsid w:val="003F45E1"/>
    <w:rsid w:val="003F4A32"/>
    <w:rsid w:val="003F4FA6"/>
    <w:rsid w:val="003F525E"/>
    <w:rsid w:val="003F5610"/>
    <w:rsid w:val="003F57B1"/>
    <w:rsid w:val="003F5926"/>
    <w:rsid w:val="003F5CF4"/>
    <w:rsid w:val="003F63D3"/>
    <w:rsid w:val="003F6570"/>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F4"/>
    <w:rsid w:val="004005CF"/>
    <w:rsid w:val="004009E0"/>
    <w:rsid w:val="00400BDA"/>
    <w:rsid w:val="00400DB4"/>
    <w:rsid w:val="00400E31"/>
    <w:rsid w:val="004014FC"/>
    <w:rsid w:val="004015DC"/>
    <w:rsid w:val="0040184D"/>
    <w:rsid w:val="00401E68"/>
    <w:rsid w:val="0040221D"/>
    <w:rsid w:val="004024C7"/>
    <w:rsid w:val="0040250D"/>
    <w:rsid w:val="0040255B"/>
    <w:rsid w:val="00402B8E"/>
    <w:rsid w:val="00402DE5"/>
    <w:rsid w:val="00402E23"/>
    <w:rsid w:val="0040406B"/>
    <w:rsid w:val="004040A6"/>
    <w:rsid w:val="004045AF"/>
    <w:rsid w:val="00404A44"/>
    <w:rsid w:val="00405239"/>
    <w:rsid w:val="00405A86"/>
    <w:rsid w:val="00405B20"/>
    <w:rsid w:val="00405B82"/>
    <w:rsid w:val="004065AF"/>
    <w:rsid w:val="004065CC"/>
    <w:rsid w:val="004066B2"/>
    <w:rsid w:val="00406886"/>
    <w:rsid w:val="00406BA4"/>
    <w:rsid w:val="00406DF9"/>
    <w:rsid w:val="0040734C"/>
    <w:rsid w:val="00407437"/>
    <w:rsid w:val="00407972"/>
    <w:rsid w:val="00407E4C"/>
    <w:rsid w:val="004107CA"/>
    <w:rsid w:val="004109F9"/>
    <w:rsid w:val="00410A60"/>
    <w:rsid w:val="0041160C"/>
    <w:rsid w:val="004117B6"/>
    <w:rsid w:val="0041186B"/>
    <w:rsid w:val="00411F0E"/>
    <w:rsid w:val="00411F14"/>
    <w:rsid w:val="0041215D"/>
    <w:rsid w:val="004121D9"/>
    <w:rsid w:val="0041237E"/>
    <w:rsid w:val="00412401"/>
    <w:rsid w:val="0041291B"/>
    <w:rsid w:val="00412E4E"/>
    <w:rsid w:val="00413140"/>
    <w:rsid w:val="0041327F"/>
    <w:rsid w:val="00413387"/>
    <w:rsid w:val="004136D9"/>
    <w:rsid w:val="00413BF2"/>
    <w:rsid w:val="00413C18"/>
    <w:rsid w:val="004145BE"/>
    <w:rsid w:val="00414793"/>
    <w:rsid w:val="00414F20"/>
    <w:rsid w:val="00414F3E"/>
    <w:rsid w:val="004152D7"/>
    <w:rsid w:val="004158DA"/>
    <w:rsid w:val="00415B58"/>
    <w:rsid w:val="00415D5F"/>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694"/>
    <w:rsid w:val="004218B2"/>
    <w:rsid w:val="00421CDA"/>
    <w:rsid w:val="00421F23"/>
    <w:rsid w:val="004222F8"/>
    <w:rsid w:val="0042231A"/>
    <w:rsid w:val="00422781"/>
    <w:rsid w:val="004227D1"/>
    <w:rsid w:val="00423080"/>
    <w:rsid w:val="00423410"/>
    <w:rsid w:val="00423702"/>
    <w:rsid w:val="00423807"/>
    <w:rsid w:val="00423850"/>
    <w:rsid w:val="00423BE8"/>
    <w:rsid w:val="00423CD9"/>
    <w:rsid w:val="00423F6F"/>
    <w:rsid w:val="00424638"/>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3A5"/>
    <w:rsid w:val="004314DD"/>
    <w:rsid w:val="00431B3E"/>
    <w:rsid w:val="00431B7B"/>
    <w:rsid w:val="00431EBB"/>
    <w:rsid w:val="00431F86"/>
    <w:rsid w:val="0043226E"/>
    <w:rsid w:val="004324CB"/>
    <w:rsid w:val="0043275B"/>
    <w:rsid w:val="00432846"/>
    <w:rsid w:val="004328A2"/>
    <w:rsid w:val="004328EB"/>
    <w:rsid w:val="00432A74"/>
    <w:rsid w:val="00432E17"/>
    <w:rsid w:val="00432F01"/>
    <w:rsid w:val="00433000"/>
    <w:rsid w:val="00433865"/>
    <w:rsid w:val="00434119"/>
    <w:rsid w:val="00434269"/>
    <w:rsid w:val="00434952"/>
    <w:rsid w:val="00434A2B"/>
    <w:rsid w:val="00434B3D"/>
    <w:rsid w:val="00434B75"/>
    <w:rsid w:val="00434D59"/>
    <w:rsid w:val="0043534E"/>
    <w:rsid w:val="004353C6"/>
    <w:rsid w:val="00435B5A"/>
    <w:rsid w:val="00435D05"/>
    <w:rsid w:val="00435E53"/>
    <w:rsid w:val="00436215"/>
    <w:rsid w:val="00436252"/>
    <w:rsid w:val="004363ED"/>
    <w:rsid w:val="004364C0"/>
    <w:rsid w:val="00436618"/>
    <w:rsid w:val="0043683A"/>
    <w:rsid w:val="00436860"/>
    <w:rsid w:val="004368DE"/>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7502"/>
    <w:rsid w:val="004478E6"/>
    <w:rsid w:val="00447910"/>
    <w:rsid w:val="00447B44"/>
    <w:rsid w:val="0045002A"/>
    <w:rsid w:val="0045006F"/>
    <w:rsid w:val="0045052B"/>
    <w:rsid w:val="00450649"/>
    <w:rsid w:val="004508DC"/>
    <w:rsid w:val="00450B23"/>
    <w:rsid w:val="00450FB1"/>
    <w:rsid w:val="00451036"/>
    <w:rsid w:val="004511CF"/>
    <w:rsid w:val="00451615"/>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82D"/>
    <w:rsid w:val="00454FF9"/>
    <w:rsid w:val="004555D6"/>
    <w:rsid w:val="0045572E"/>
    <w:rsid w:val="00455768"/>
    <w:rsid w:val="0045589C"/>
    <w:rsid w:val="00455A28"/>
    <w:rsid w:val="00455B0C"/>
    <w:rsid w:val="00455DDD"/>
    <w:rsid w:val="0045609B"/>
    <w:rsid w:val="0045616C"/>
    <w:rsid w:val="004562BA"/>
    <w:rsid w:val="00456583"/>
    <w:rsid w:val="004565CE"/>
    <w:rsid w:val="0045675E"/>
    <w:rsid w:val="0045692B"/>
    <w:rsid w:val="00456E97"/>
    <w:rsid w:val="0045712A"/>
    <w:rsid w:val="0045730B"/>
    <w:rsid w:val="004573F4"/>
    <w:rsid w:val="0045777C"/>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377B"/>
    <w:rsid w:val="0046397C"/>
    <w:rsid w:val="004645C0"/>
    <w:rsid w:val="00464694"/>
    <w:rsid w:val="00464BBA"/>
    <w:rsid w:val="00464D9C"/>
    <w:rsid w:val="00464F96"/>
    <w:rsid w:val="004650A7"/>
    <w:rsid w:val="0046525D"/>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B5F"/>
    <w:rsid w:val="00471DE1"/>
    <w:rsid w:val="0047200B"/>
    <w:rsid w:val="004722FF"/>
    <w:rsid w:val="00472937"/>
    <w:rsid w:val="00472A41"/>
    <w:rsid w:val="00472C3D"/>
    <w:rsid w:val="00472C77"/>
    <w:rsid w:val="00472D66"/>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A9E"/>
    <w:rsid w:val="00475BA6"/>
    <w:rsid w:val="00475E4F"/>
    <w:rsid w:val="004762F8"/>
    <w:rsid w:val="0047632F"/>
    <w:rsid w:val="00476807"/>
    <w:rsid w:val="00476AF8"/>
    <w:rsid w:val="00476B61"/>
    <w:rsid w:val="00476EAE"/>
    <w:rsid w:val="00477184"/>
    <w:rsid w:val="00477191"/>
    <w:rsid w:val="004771FA"/>
    <w:rsid w:val="004772DE"/>
    <w:rsid w:val="00477337"/>
    <w:rsid w:val="004773F6"/>
    <w:rsid w:val="00477517"/>
    <w:rsid w:val="0048011A"/>
    <w:rsid w:val="00480268"/>
    <w:rsid w:val="004803A2"/>
    <w:rsid w:val="00480703"/>
    <w:rsid w:val="0048073D"/>
    <w:rsid w:val="00480A10"/>
    <w:rsid w:val="00480B2F"/>
    <w:rsid w:val="004811B6"/>
    <w:rsid w:val="00481237"/>
    <w:rsid w:val="004815E0"/>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1CA"/>
    <w:rsid w:val="0048525E"/>
    <w:rsid w:val="004853FF"/>
    <w:rsid w:val="004855A0"/>
    <w:rsid w:val="00485B11"/>
    <w:rsid w:val="00485EEB"/>
    <w:rsid w:val="004860B7"/>
    <w:rsid w:val="004861D3"/>
    <w:rsid w:val="0048628A"/>
    <w:rsid w:val="0048654D"/>
    <w:rsid w:val="00486613"/>
    <w:rsid w:val="00486687"/>
    <w:rsid w:val="004866A9"/>
    <w:rsid w:val="00486866"/>
    <w:rsid w:val="00486C91"/>
    <w:rsid w:val="00486E49"/>
    <w:rsid w:val="00486F4D"/>
    <w:rsid w:val="00487109"/>
    <w:rsid w:val="00487276"/>
    <w:rsid w:val="004873EA"/>
    <w:rsid w:val="004873EF"/>
    <w:rsid w:val="0048780C"/>
    <w:rsid w:val="0048794E"/>
    <w:rsid w:val="00487DF6"/>
    <w:rsid w:val="004900C4"/>
    <w:rsid w:val="00490191"/>
    <w:rsid w:val="0049092D"/>
    <w:rsid w:val="00490A43"/>
    <w:rsid w:val="00490EA6"/>
    <w:rsid w:val="00490EE7"/>
    <w:rsid w:val="004910B3"/>
    <w:rsid w:val="00491403"/>
    <w:rsid w:val="004917E7"/>
    <w:rsid w:val="00491815"/>
    <w:rsid w:val="0049184E"/>
    <w:rsid w:val="00491939"/>
    <w:rsid w:val="004919C3"/>
    <w:rsid w:val="00491F6B"/>
    <w:rsid w:val="00492786"/>
    <w:rsid w:val="00493033"/>
    <w:rsid w:val="0049308B"/>
    <w:rsid w:val="004930CE"/>
    <w:rsid w:val="00493889"/>
    <w:rsid w:val="00493FAB"/>
    <w:rsid w:val="004941CA"/>
    <w:rsid w:val="00494244"/>
    <w:rsid w:val="0049427B"/>
    <w:rsid w:val="00494380"/>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5FD5"/>
    <w:rsid w:val="00496298"/>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BC9"/>
    <w:rsid w:val="004A0E4F"/>
    <w:rsid w:val="004A13C4"/>
    <w:rsid w:val="004A211A"/>
    <w:rsid w:val="004A27C9"/>
    <w:rsid w:val="004A2AA6"/>
    <w:rsid w:val="004A2B03"/>
    <w:rsid w:val="004A2D78"/>
    <w:rsid w:val="004A30D7"/>
    <w:rsid w:val="004A3A8E"/>
    <w:rsid w:val="004A4287"/>
    <w:rsid w:val="004A4404"/>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345"/>
    <w:rsid w:val="004B09B3"/>
    <w:rsid w:val="004B0E38"/>
    <w:rsid w:val="004B1306"/>
    <w:rsid w:val="004B148F"/>
    <w:rsid w:val="004B16BA"/>
    <w:rsid w:val="004B18E9"/>
    <w:rsid w:val="004B231B"/>
    <w:rsid w:val="004B240C"/>
    <w:rsid w:val="004B259B"/>
    <w:rsid w:val="004B263F"/>
    <w:rsid w:val="004B2988"/>
    <w:rsid w:val="004B2E91"/>
    <w:rsid w:val="004B3B5C"/>
    <w:rsid w:val="004B3BCE"/>
    <w:rsid w:val="004B3C6F"/>
    <w:rsid w:val="004B3D42"/>
    <w:rsid w:val="004B416F"/>
    <w:rsid w:val="004B45D4"/>
    <w:rsid w:val="004B4A6F"/>
    <w:rsid w:val="004B4A84"/>
    <w:rsid w:val="004B4D8D"/>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317E"/>
    <w:rsid w:val="004C360D"/>
    <w:rsid w:val="004C3943"/>
    <w:rsid w:val="004C3996"/>
    <w:rsid w:val="004C406B"/>
    <w:rsid w:val="004C4977"/>
    <w:rsid w:val="004C4F8D"/>
    <w:rsid w:val="004C5182"/>
    <w:rsid w:val="004C5367"/>
    <w:rsid w:val="004C543E"/>
    <w:rsid w:val="004C560D"/>
    <w:rsid w:val="004C5961"/>
    <w:rsid w:val="004C5962"/>
    <w:rsid w:val="004C6045"/>
    <w:rsid w:val="004C6130"/>
    <w:rsid w:val="004C6323"/>
    <w:rsid w:val="004C642E"/>
    <w:rsid w:val="004C665C"/>
    <w:rsid w:val="004C671A"/>
    <w:rsid w:val="004C673E"/>
    <w:rsid w:val="004C681B"/>
    <w:rsid w:val="004C7779"/>
    <w:rsid w:val="004C7A22"/>
    <w:rsid w:val="004C7B13"/>
    <w:rsid w:val="004C7B55"/>
    <w:rsid w:val="004C7C33"/>
    <w:rsid w:val="004C7F50"/>
    <w:rsid w:val="004D0060"/>
    <w:rsid w:val="004D00C1"/>
    <w:rsid w:val="004D00ED"/>
    <w:rsid w:val="004D01BD"/>
    <w:rsid w:val="004D0207"/>
    <w:rsid w:val="004D0286"/>
    <w:rsid w:val="004D03BB"/>
    <w:rsid w:val="004D0602"/>
    <w:rsid w:val="004D0AD4"/>
    <w:rsid w:val="004D0C04"/>
    <w:rsid w:val="004D0C51"/>
    <w:rsid w:val="004D0F6F"/>
    <w:rsid w:val="004D1151"/>
    <w:rsid w:val="004D1379"/>
    <w:rsid w:val="004D147A"/>
    <w:rsid w:val="004D1575"/>
    <w:rsid w:val="004D1B7B"/>
    <w:rsid w:val="004D1FD3"/>
    <w:rsid w:val="004D2368"/>
    <w:rsid w:val="004D2496"/>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6161"/>
    <w:rsid w:val="004D6687"/>
    <w:rsid w:val="004D6C9C"/>
    <w:rsid w:val="004D706D"/>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DDF"/>
    <w:rsid w:val="004E4F61"/>
    <w:rsid w:val="004E5429"/>
    <w:rsid w:val="004E5481"/>
    <w:rsid w:val="004E5AFB"/>
    <w:rsid w:val="004E5B71"/>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DEB"/>
    <w:rsid w:val="004F3E61"/>
    <w:rsid w:val="004F3F22"/>
    <w:rsid w:val="004F4047"/>
    <w:rsid w:val="004F4084"/>
    <w:rsid w:val="004F4262"/>
    <w:rsid w:val="004F43B8"/>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7058"/>
    <w:rsid w:val="004F73AA"/>
    <w:rsid w:val="004F76B9"/>
    <w:rsid w:val="004F79D8"/>
    <w:rsid w:val="004F7CB5"/>
    <w:rsid w:val="005005DE"/>
    <w:rsid w:val="005006AE"/>
    <w:rsid w:val="00500911"/>
    <w:rsid w:val="005009A7"/>
    <w:rsid w:val="00500BC7"/>
    <w:rsid w:val="00500DA1"/>
    <w:rsid w:val="00500E46"/>
    <w:rsid w:val="0050138B"/>
    <w:rsid w:val="005016FE"/>
    <w:rsid w:val="00501825"/>
    <w:rsid w:val="005018FD"/>
    <w:rsid w:val="00501902"/>
    <w:rsid w:val="00501D98"/>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764"/>
    <w:rsid w:val="0051079C"/>
    <w:rsid w:val="00510A92"/>
    <w:rsid w:val="00510DFB"/>
    <w:rsid w:val="00511132"/>
    <w:rsid w:val="0051163B"/>
    <w:rsid w:val="00511C03"/>
    <w:rsid w:val="00511C86"/>
    <w:rsid w:val="00511E03"/>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C2B"/>
    <w:rsid w:val="00515C5D"/>
    <w:rsid w:val="00515E18"/>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9"/>
    <w:rsid w:val="00521780"/>
    <w:rsid w:val="005219AC"/>
    <w:rsid w:val="00521D44"/>
    <w:rsid w:val="0052228F"/>
    <w:rsid w:val="005223ED"/>
    <w:rsid w:val="00522A21"/>
    <w:rsid w:val="00522D15"/>
    <w:rsid w:val="00522E72"/>
    <w:rsid w:val="00522F18"/>
    <w:rsid w:val="00523043"/>
    <w:rsid w:val="005231E2"/>
    <w:rsid w:val="00523324"/>
    <w:rsid w:val="005239C0"/>
    <w:rsid w:val="00523A2B"/>
    <w:rsid w:val="00524312"/>
    <w:rsid w:val="0052464A"/>
    <w:rsid w:val="00524748"/>
    <w:rsid w:val="00524B3E"/>
    <w:rsid w:val="00524C7E"/>
    <w:rsid w:val="0052549D"/>
    <w:rsid w:val="00525514"/>
    <w:rsid w:val="00525659"/>
    <w:rsid w:val="0052565B"/>
    <w:rsid w:val="00525840"/>
    <w:rsid w:val="00525A0B"/>
    <w:rsid w:val="00525EFF"/>
    <w:rsid w:val="00525F71"/>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366"/>
    <w:rsid w:val="00532DAE"/>
    <w:rsid w:val="00533134"/>
    <w:rsid w:val="00533206"/>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C10"/>
    <w:rsid w:val="00541D6C"/>
    <w:rsid w:val="00541DA9"/>
    <w:rsid w:val="00541E21"/>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508"/>
    <w:rsid w:val="00544804"/>
    <w:rsid w:val="00544839"/>
    <w:rsid w:val="005449D9"/>
    <w:rsid w:val="00544A1B"/>
    <w:rsid w:val="00544E42"/>
    <w:rsid w:val="005452F3"/>
    <w:rsid w:val="0054538E"/>
    <w:rsid w:val="00545508"/>
    <w:rsid w:val="005457CD"/>
    <w:rsid w:val="00545863"/>
    <w:rsid w:val="00545C8C"/>
    <w:rsid w:val="00545E0D"/>
    <w:rsid w:val="005461F1"/>
    <w:rsid w:val="00546370"/>
    <w:rsid w:val="005463DC"/>
    <w:rsid w:val="005463EB"/>
    <w:rsid w:val="00546576"/>
    <w:rsid w:val="00546608"/>
    <w:rsid w:val="005467A5"/>
    <w:rsid w:val="0054688C"/>
    <w:rsid w:val="0054695F"/>
    <w:rsid w:val="00546B4F"/>
    <w:rsid w:val="00546CBF"/>
    <w:rsid w:val="00546D48"/>
    <w:rsid w:val="00546E01"/>
    <w:rsid w:val="00546F13"/>
    <w:rsid w:val="00546FA2"/>
    <w:rsid w:val="0054738C"/>
    <w:rsid w:val="005473EA"/>
    <w:rsid w:val="00547684"/>
    <w:rsid w:val="00547792"/>
    <w:rsid w:val="0054788D"/>
    <w:rsid w:val="00547FE9"/>
    <w:rsid w:val="00550123"/>
    <w:rsid w:val="005501C9"/>
    <w:rsid w:val="00550370"/>
    <w:rsid w:val="005503E8"/>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F4E"/>
    <w:rsid w:val="00552F84"/>
    <w:rsid w:val="00553193"/>
    <w:rsid w:val="00553491"/>
    <w:rsid w:val="005537F6"/>
    <w:rsid w:val="00553D93"/>
    <w:rsid w:val="00553EEC"/>
    <w:rsid w:val="0055420C"/>
    <w:rsid w:val="0055459F"/>
    <w:rsid w:val="0055464B"/>
    <w:rsid w:val="00554A39"/>
    <w:rsid w:val="00554C3F"/>
    <w:rsid w:val="00554FC7"/>
    <w:rsid w:val="00555146"/>
    <w:rsid w:val="005553D7"/>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60045"/>
    <w:rsid w:val="00560C40"/>
    <w:rsid w:val="00561323"/>
    <w:rsid w:val="0056150D"/>
    <w:rsid w:val="00561994"/>
    <w:rsid w:val="00561B55"/>
    <w:rsid w:val="00561CF3"/>
    <w:rsid w:val="0056204A"/>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403"/>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1A19"/>
    <w:rsid w:val="00572202"/>
    <w:rsid w:val="005722A4"/>
    <w:rsid w:val="005723EE"/>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869"/>
    <w:rsid w:val="00574AFB"/>
    <w:rsid w:val="0057529B"/>
    <w:rsid w:val="005752C9"/>
    <w:rsid w:val="0057551D"/>
    <w:rsid w:val="0057557F"/>
    <w:rsid w:val="005757EF"/>
    <w:rsid w:val="005758B1"/>
    <w:rsid w:val="00575AB3"/>
    <w:rsid w:val="00575C8E"/>
    <w:rsid w:val="00575D52"/>
    <w:rsid w:val="00576256"/>
    <w:rsid w:val="005765DE"/>
    <w:rsid w:val="0057672B"/>
    <w:rsid w:val="0057678A"/>
    <w:rsid w:val="00576794"/>
    <w:rsid w:val="00576F3B"/>
    <w:rsid w:val="00576F73"/>
    <w:rsid w:val="005772D5"/>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84C"/>
    <w:rsid w:val="0058199E"/>
    <w:rsid w:val="00581D05"/>
    <w:rsid w:val="00581E86"/>
    <w:rsid w:val="00581FAB"/>
    <w:rsid w:val="00581FED"/>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3B2"/>
    <w:rsid w:val="00591467"/>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C"/>
    <w:rsid w:val="00594689"/>
    <w:rsid w:val="0059485E"/>
    <w:rsid w:val="00594891"/>
    <w:rsid w:val="00594CD5"/>
    <w:rsid w:val="00594FD6"/>
    <w:rsid w:val="00595246"/>
    <w:rsid w:val="005954FD"/>
    <w:rsid w:val="00595838"/>
    <w:rsid w:val="00595CEF"/>
    <w:rsid w:val="005964B2"/>
    <w:rsid w:val="0059685E"/>
    <w:rsid w:val="005968DD"/>
    <w:rsid w:val="00596C58"/>
    <w:rsid w:val="00596DFC"/>
    <w:rsid w:val="00596E71"/>
    <w:rsid w:val="00597A2A"/>
    <w:rsid w:val="00597B7A"/>
    <w:rsid w:val="00597E49"/>
    <w:rsid w:val="005A040E"/>
    <w:rsid w:val="005A0627"/>
    <w:rsid w:val="005A0B9A"/>
    <w:rsid w:val="005A0BCD"/>
    <w:rsid w:val="005A0BFA"/>
    <w:rsid w:val="005A0CFF"/>
    <w:rsid w:val="005A1278"/>
    <w:rsid w:val="005A17A1"/>
    <w:rsid w:val="005A17ED"/>
    <w:rsid w:val="005A1903"/>
    <w:rsid w:val="005A1D0A"/>
    <w:rsid w:val="005A1D78"/>
    <w:rsid w:val="005A2019"/>
    <w:rsid w:val="005A2186"/>
    <w:rsid w:val="005A22CC"/>
    <w:rsid w:val="005A2412"/>
    <w:rsid w:val="005A2B09"/>
    <w:rsid w:val="005A2CC3"/>
    <w:rsid w:val="005A2E3B"/>
    <w:rsid w:val="005A34D8"/>
    <w:rsid w:val="005A3E9D"/>
    <w:rsid w:val="005A40AC"/>
    <w:rsid w:val="005A44ED"/>
    <w:rsid w:val="005A49C0"/>
    <w:rsid w:val="005A5302"/>
    <w:rsid w:val="005A551A"/>
    <w:rsid w:val="005A5672"/>
    <w:rsid w:val="005A56B3"/>
    <w:rsid w:val="005A5756"/>
    <w:rsid w:val="005A57ED"/>
    <w:rsid w:val="005A5987"/>
    <w:rsid w:val="005A5ACB"/>
    <w:rsid w:val="005A5E2C"/>
    <w:rsid w:val="005A6509"/>
    <w:rsid w:val="005A6571"/>
    <w:rsid w:val="005A65E7"/>
    <w:rsid w:val="005A65F1"/>
    <w:rsid w:val="005A66FC"/>
    <w:rsid w:val="005A69A1"/>
    <w:rsid w:val="005A69ED"/>
    <w:rsid w:val="005A6AF5"/>
    <w:rsid w:val="005A6CF0"/>
    <w:rsid w:val="005A6F02"/>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1648"/>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E14"/>
    <w:rsid w:val="005B5FC7"/>
    <w:rsid w:val="005B61ED"/>
    <w:rsid w:val="005B6278"/>
    <w:rsid w:val="005B62ED"/>
    <w:rsid w:val="005B6538"/>
    <w:rsid w:val="005B6996"/>
    <w:rsid w:val="005B6B2F"/>
    <w:rsid w:val="005B6D51"/>
    <w:rsid w:val="005B6E13"/>
    <w:rsid w:val="005B77D5"/>
    <w:rsid w:val="005B78EA"/>
    <w:rsid w:val="005B7A69"/>
    <w:rsid w:val="005B7B7E"/>
    <w:rsid w:val="005C029F"/>
    <w:rsid w:val="005C06C0"/>
    <w:rsid w:val="005C0AF0"/>
    <w:rsid w:val="005C10AC"/>
    <w:rsid w:val="005C1195"/>
    <w:rsid w:val="005C12A1"/>
    <w:rsid w:val="005C1351"/>
    <w:rsid w:val="005C1771"/>
    <w:rsid w:val="005C1BF9"/>
    <w:rsid w:val="005C1CF1"/>
    <w:rsid w:val="005C1E2C"/>
    <w:rsid w:val="005C1E79"/>
    <w:rsid w:val="005C1E7A"/>
    <w:rsid w:val="005C1FD1"/>
    <w:rsid w:val="005C2050"/>
    <w:rsid w:val="005C2575"/>
    <w:rsid w:val="005C296B"/>
    <w:rsid w:val="005C2C4C"/>
    <w:rsid w:val="005C2DE8"/>
    <w:rsid w:val="005C3115"/>
    <w:rsid w:val="005C34A1"/>
    <w:rsid w:val="005C3911"/>
    <w:rsid w:val="005C39DF"/>
    <w:rsid w:val="005C3B71"/>
    <w:rsid w:val="005C3C15"/>
    <w:rsid w:val="005C41F0"/>
    <w:rsid w:val="005C4201"/>
    <w:rsid w:val="005C4254"/>
    <w:rsid w:val="005C4429"/>
    <w:rsid w:val="005C466F"/>
    <w:rsid w:val="005C4782"/>
    <w:rsid w:val="005C4A71"/>
    <w:rsid w:val="005C51A7"/>
    <w:rsid w:val="005C5391"/>
    <w:rsid w:val="005C546F"/>
    <w:rsid w:val="005C54A1"/>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815"/>
    <w:rsid w:val="005D3C6B"/>
    <w:rsid w:val="005D3D4A"/>
    <w:rsid w:val="005D4262"/>
    <w:rsid w:val="005D42DC"/>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C13"/>
    <w:rsid w:val="005D5CF8"/>
    <w:rsid w:val="005D6C11"/>
    <w:rsid w:val="005D6C68"/>
    <w:rsid w:val="005D6E1D"/>
    <w:rsid w:val="005D7112"/>
    <w:rsid w:val="005D712E"/>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504"/>
    <w:rsid w:val="005E49B2"/>
    <w:rsid w:val="005E50B0"/>
    <w:rsid w:val="005E51B7"/>
    <w:rsid w:val="005E5228"/>
    <w:rsid w:val="005E5394"/>
    <w:rsid w:val="005E5BD0"/>
    <w:rsid w:val="005E5EB1"/>
    <w:rsid w:val="005E62BA"/>
    <w:rsid w:val="005E6748"/>
    <w:rsid w:val="005E6D84"/>
    <w:rsid w:val="005E75F7"/>
    <w:rsid w:val="005E7A7F"/>
    <w:rsid w:val="005E7E10"/>
    <w:rsid w:val="005E7EC9"/>
    <w:rsid w:val="005E7EE3"/>
    <w:rsid w:val="005F030B"/>
    <w:rsid w:val="005F05EC"/>
    <w:rsid w:val="005F0A3D"/>
    <w:rsid w:val="005F0A84"/>
    <w:rsid w:val="005F0B56"/>
    <w:rsid w:val="005F0C12"/>
    <w:rsid w:val="005F0DCF"/>
    <w:rsid w:val="005F1197"/>
    <w:rsid w:val="005F182D"/>
    <w:rsid w:val="005F1D38"/>
    <w:rsid w:val="005F1D3D"/>
    <w:rsid w:val="005F1D93"/>
    <w:rsid w:val="005F1D99"/>
    <w:rsid w:val="005F20DF"/>
    <w:rsid w:val="005F2228"/>
    <w:rsid w:val="005F25FF"/>
    <w:rsid w:val="005F26B2"/>
    <w:rsid w:val="005F29EF"/>
    <w:rsid w:val="005F2C0B"/>
    <w:rsid w:val="005F2C88"/>
    <w:rsid w:val="005F39AE"/>
    <w:rsid w:val="005F3A0D"/>
    <w:rsid w:val="005F3D9F"/>
    <w:rsid w:val="005F3E51"/>
    <w:rsid w:val="005F490D"/>
    <w:rsid w:val="005F4999"/>
    <w:rsid w:val="005F4ED9"/>
    <w:rsid w:val="005F50D3"/>
    <w:rsid w:val="005F5458"/>
    <w:rsid w:val="005F57C6"/>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11"/>
    <w:rsid w:val="006033FF"/>
    <w:rsid w:val="006036DF"/>
    <w:rsid w:val="006039D0"/>
    <w:rsid w:val="00603B02"/>
    <w:rsid w:val="00603C41"/>
    <w:rsid w:val="00603CD8"/>
    <w:rsid w:val="00603E88"/>
    <w:rsid w:val="006041C8"/>
    <w:rsid w:val="006049F7"/>
    <w:rsid w:val="00604C26"/>
    <w:rsid w:val="00605AC8"/>
    <w:rsid w:val="00605FC0"/>
    <w:rsid w:val="00606093"/>
    <w:rsid w:val="00606138"/>
    <w:rsid w:val="00606163"/>
    <w:rsid w:val="006062D3"/>
    <w:rsid w:val="00606350"/>
    <w:rsid w:val="006069F5"/>
    <w:rsid w:val="00606A3A"/>
    <w:rsid w:val="00606A3B"/>
    <w:rsid w:val="0060739A"/>
    <w:rsid w:val="0060766F"/>
    <w:rsid w:val="006076CE"/>
    <w:rsid w:val="00607DED"/>
    <w:rsid w:val="0061007D"/>
    <w:rsid w:val="00610091"/>
    <w:rsid w:val="006100E4"/>
    <w:rsid w:val="00610632"/>
    <w:rsid w:val="006109D2"/>
    <w:rsid w:val="00610C93"/>
    <w:rsid w:val="00610D19"/>
    <w:rsid w:val="006111FA"/>
    <w:rsid w:val="0061135F"/>
    <w:rsid w:val="00611753"/>
    <w:rsid w:val="00611C48"/>
    <w:rsid w:val="00611C84"/>
    <w:rsid w:val="00611CB2"/>
    <w:rsid w:val="0061217A"/>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F0"/>
    <w:rsid w:val="0061406E"/>
    <w:rsid w:val="00614126"/>
    <w:rsid w:val="00614207"/>
    <w:rsid w:val="0061435F"/>
    <w:rsid w:val="00614456"/>
    <w:rsid w:val="00614A0F"/>
    <w:rsid w:val="00614B0C"/>
    <w:rsid w:val="00614C6E"/>
    <w:rsid w:val="00614DB7"/>
    <w:rsid w:val="006151A1"/>
    <w:rsid w:val="006153E3"/>
    <w:rsid w:val="00615673"/>
    <w:rsid w:val="006157AD"/>
    <w:rsid w:val="00615EF3"/>
    <w:rsid w:val="00615FEF"/>
    <w:rsid w:val="0061642A"/>
    <w:rsid w:val="00616447"/>
    <w:rsid w:val="0061690B"/>
    <w:rsid w:val="00616D4C"/>
    <w:rsid w:val="00616E24"/>
    <w:rsid w:val="00617020"/>
    <w:rsid w:val="006173EE"/>
    <w:rsid w:val="006176B9"/>
    <w:rsid w:val="0061771A"/>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4C4"/>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A02"/>
    <w:rsid w:val="00623F0E"/>
    <w:rsid w:val="00624423"/>
    <w:rsid w:val="00624569"/>
    <w:rsid w:val="006248B5"/>
    <w:rsid w:val="00624AA3"/>
    <w:rsid w:val="00624D74"/>
    <w:rsid w:val="00624E01"/>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329"/>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B07"/>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64E"/>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4752B"/>
    <w:rsid w:val="00650289"/>
    <w:rsid w:val="00650372"/>
    <w:rsid w:val="00650976"/>
    <w:rsid w:val="00650BD1"/>
    <w:rsid w:val="00650EFC"/>
    <w:rsid w:val="00650FCC"/>
    <w:rsid w:val="0065141A"/>
    <w:rsid w:val="00651D94"/>
    <w:rsid w:val="00652001"/>
    <w:rsid w:val="0065233E"/>
    <w:rsid w:val="0065248C"/>
    <w:rsid w:val="00652846"/>
    <w:rsid w:val="006529B3"/>
    <w:rsid w:val="00652D83"/>
    <w:rsid w:val="00652FAB"/>
    <w:rsid w:val="00653149"/>
    <w:rsid w:val="0065335A"/>
    <w:rsid w:val="0065337D"/>
    <w:rsid w:val="006533AC"/>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235"/>
    <w:rsid w:val="006603F1"/>
    <w:rsid w:val="00660553"/>
    <w:rsid w:val="00660751"/>
    <w:rsid w:val="006608BA"/>
    <w:rsid w:val="0066096A"/>
    <w:rsid w:val="00660D16"/>
    <w:rsid w:val="00660F26"/>
    <w:rsid w:val="00661093"/>
    <w:rsid w:val="006610EC"/>
    <w:rsid w:val="00661453"/>
    <w:rsid w:val="006614F5"/>
    <w:rsid w:val="00661851"/>
    <w:rsid w:val="0066198B"/>
    <w:rsid w:val="006622B3"/>
    <w:rsid w:val="006622B9"/>
    <w:rsid w:val="006622F0"/>
    <w:rsid w:val="0066240C"/>
    <w:rsid w:val="00662707"/>
    <w:rsid w:val="00662CD5"/>
    <w:rsid w:val="00662E80"/>
    <w:rsid w:val="00663120"/>
    <w:rsid w:val="00663301"/>
    <w:rsid w:val="006635B8"/>
    <w:rsid w:val="00663B49"/>
    <w:rsid w:val="00663E39"/>
    <w:rsid w:val="00664225"/>
    <w:rsid w:val="0066423A"/>
    <w:rsid w:val="00664657"/>
    <w:rsid w:val="006646D6"/>
    <w:rsid w:val="00664B88"/>
    <w:rsid w:val="00664F0D"/>
    <w:rsid w:val="00665030"/>
    <w:rsid w:val="00665656"/>
    <w:rsid w:val="0066565E"/>
    <w:rsid w:val="006662A6"/>
    <w:rsid w:val="0066632C"/>
    <w:rsid w:val="006668E7"/>
    <w:rsid w:val="0066697A"/>
    <w:rsid w:val="00666BF3"/>
    <w:rsid w:val="00666CBE"/>
    <w:rsid w:val="00666D33"/>
    <w:rsid w:val="00666F22"/>
    <w:rsid w:val="006674D6"/>
    <w:rsid w:val="006679C4"/>
    <w:rsid w:val="00667BCE"/>
    <w:rsid w:val="00667E92"/>
    <w:rsid w:val="006700E7"/>
    <w:rsid w:val="00670171"/>
    <w:rsid w:val="00670442"/>
    <w:rsid w:val="006704A0"/>
    <w:rsid w:val="00670562"/>
    <w:rsid w:val="00670932"/>
    <w:rsid w:val="0067152F"/>
    <w:rsid w:val="00671B00"/>
    <w:rsid w:val="0067237A"/>
    <w:rsid w:val="006726B7"/>
    <w:rsid w:val="00672899"/>
    <w:rsid w:val="00672A65"/>
    <w:rsid w:val="00672AE0"/>
    <w:rsid w:val="00672D9C"/>
    <w:rsid w:val="006734F5"/>
    <w:rsid w:val="006736C7"/>
    <w:rsid w:val="00673B5F"/>
    <w:rsid w:val="00673C94"/>
    <w:rsid w:val="00673DF8"/>
    <w:rsid w:val="00673E15"/>
    <w:rsid w:val="00674318"/>
    <w:rsid w:val="00674339"/>
    <w:rsid w:val="00674517"/>
    <w:rsid w:val="0067530F"/>
    <w:rsid w:val="00675750"/>
    <w:rsid w:val="00675A3E"/>
    <w:rsid w:val="00675AA3"/>
    <w:rsid w:val="00675E2D"/>
    <w:rsid w:val="00675F48"/>
    <w:rsid w:val="0067687B"/>
    <w:rsid w:val="00676913"/>
    <w:rsid w:val="00676BC8"/>
    <w:rsid w:val="00676F62"/>
    <w:rsid w:val="006771B7"/>
    <w:rsid w:val="006772E1"/>
    <w:rsid w:val="00677515"/>
    <w:rsid w:val="00677B70"/>
    <w:rsid w:val="00677E08"/>
    <w:rsid w:val="00680067"/>
    <w:rsid w:val="006800FD"/>
    <w:rsid w:val="0068028E"/>
    <w:rsid w:val="00680346"/>
    <w:rsid w:val="00680767"/>
    <w:rsid w:val="006808EB"/>
    <w:rsid w:val="00680946"/>
    <w:rsid w:val="00680961"/>
    <w:rsid w:val="00680965"/>
    <w:rsid w:val="00681825"/>
    <w:rsid w:val="00681A60"/>
    <w:rsid w:val="00681C43"/>
    <w:rsid w:val="006821E1"/>
    <w:rsid w:val="00682B16"/>
    <w:rsid w:val="00682CB2"/>
    <w:rsid w:val="00683064"/>
    <w:rsid w:val="006832AD"/>
    <w:rsid w:val="0068380A"/>
    <w:rsid w:val="00683837"/>
    <w:rsid w:val="00683873"/>
    <w:rsid w:val="006839FE"/>
    <w:rsid w:val="00683AED"/>
    <w:rsid w:val="00683BCE"/>
    <w:rsid w:val="0068400E"/>
    <w:rsid w:val="00684627"/>
    <w:rsid w:val="00684E0E"/>
    <w:rsid w:val="006853BB"/>
    <w:rsid w:val="006858F2"/>
    <w:rsid w:val="00685CF7"/>
    <w:rsid w:val="00685EF6"/>
    <w:rsid w:val="00685F43"/>
    <w:rsid w:val="006863E6"/>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C8A"/>
    <w:rsid w:val="00690F17"/>
    <w:rsid w:val="006917A0"/>
    <w:rsid w:val="00691A03"/>
    <w:rsid w:val="00691C12"/>
    <w:rsid w:val="00692169"/>
    <w:rsid w:val="00692C61"/>
    <w:rsid w:val="00692D11"/>
    <w:rsid w:val="00693665"/>
    <w:rsid w:val="006937F7"/>
    <w:rsid w:val="006938EB"/>
    <w:rsid w:val="00693949"/>
    <w:rsid w:val="0069401E"/>
    <w:rsid w:val="0069412B"/>
    <w:rsid w:val="006944E6"/>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5F"/>
    <w:rsid w:val="006974CB"/>
    <w:rsid w:val="006974F8"/>
    <w:rsid w:val="00697B70"/>
    <w:rsid w:val="00697DF2"/>
    <w:rsid w:val="00697E84"/>
    <w:rsid w:val="006A00A3"/>
    <w:rsid w:val="006A0FD6"/>
    <w:rsid w:val="006A115F"/>
    <w:rsid w:val="006A1436"/>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501D"/>
    <w:rsid w:val="006A580D"/>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8F5"/>
    <w:rsid w:val="006A79E0"/>
    <w:rsid w:val="006A7A17"/>
    <w:rsid w:val="006A7A4E"/>
    <w:rsid w:val="006A7EA0"/>
    <w:rsid w:val="006B0014"/>
    <w:rsid w:val="006B01C2"/>
    <w:rsid w:val="006B025C"/>
    <w:rsid w:val="006B0386"/>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1A8"/>
    <w:rsid w:val="006B22C5"/>
    <w:rsid w:val="006B2709"/>
    <w:rsid w:val="006B2B84"/>
    <w:rsid w:val="006B2DD0"/>
    <w:rsid w:val="006B2E5D"/>
    <w:rsid w:val="006B32C6"/>
    <w:rsid w:val="006B3554"/>
    <w:rsid w:val="006B39C3"/>
    <w:rsid w:val="006B3DCB"/>
    <w:rsid w:val="006B3FDE"/>
    <w:rsid w:val="006B40D6"/>
    <w:rsid w:val="006B41AE"/>
    <w:rsid w:val="006B4953"/>
    <w:rsid w:val="006B4B8F"/>
    <w:rsid w:val="006B4E6A"/>
    <w:rsid w:val="006B55DD"/>
    <w:rsid w:val="006B570F"/>
    <w:rsid w:val="006B59FC"/>
    <w:rsid w:val="006B5B3B"/>
    <w:rsid w:val="006B5E37"/>
    <w:rsid w:val="006B5E4E"/>
    <w:rsid w:val="006B620C"/>
    <w:rsid w:val="006B63AC"/>
    <w:rsid w:val="006B63F5"/>
    <w:rsid w:val="006B6428"/>
    <w:rsid w:val="006B6482"/>
    <w:rsid w:val="006B648D"/>
    <w:rsid w:val="006B648E"/>
    <w:rsid w:val="006B6B39"/>
    <w:rsid w:val="006B6D20"/>
    <w:rsid w:val="006B6FAE"/>
    <w:rsid w:val="006B7004"/>
    <w:rsid w:val="006B7026"/>
    <w:rsid w:val="006B716A"/>
    <w:rsid w:val="006B71E6"/>
    <w:rsid w:val="006B73ED"/>
    <w:rsid w:val="006B7900"/>
    <w:rsid w:val="006B79B5"/>
    <w:rsid w:val="006B7B0C"/>
    <w:rsid w:val="006B7F22"/>
    <w:rsid w:val="006C018F"/>
    <w:rsid w:val="006C0307"/>
    <w:rsid w:val="006C0759"/>
    <w:rsid w:val="006C0899"/>
    <w:rsid w:val="006C09BD"/>
    <w:rsid w:val="006C09FA"/>
    <w:rsid w:val="006C0AE8"/>
    <w:rsid w:val="006C0DF4"/>
    <w:rsid w:val="006C1104"/>
    <w:rsid w:val="006C1206"/>
    <w:rsid w:val="006C1312"/>
    <w:rsid w:val="006C1358"/>
    <w:rsid w:val="006C170C"/>
    <w:rsid w:val="006C1AEA"/>
    <w:rsid w:val="006C1D08"/>
    <w:rsid w:val="006C20A0"/>
    <w:rsid w:val="006C23CF"/>
    <w:rsid w:val="006C27CB"/>
    <w:rsid w:val="006C2862"/>
    <w:rsid w:val="006C2D48"/>
    <w:rsid w:val="006C2D9A"/>
    <w:rsid w:val="006C2E94"/>
    <w:rsid w:val="006C3127"/>
    <w:rsid w:val="006C315B"/>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DE1"/>
    <w:rsid w:val="006C6036"/>
    <w:rsid w:val="006C6077"/>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1FDB"/>
    <w:rsid w:val="006D2033"/>
    <w:rsid w:val="006D2097"/>
    <w:rsid w:val="006D23B2"/>
    <w:rsid w:val="006D244E"/>
    <w:rsid w:val="006D2938"/>
    <w:rsid w:val="006D3583"/>
    <w:rsid w:val="006D365A"/>
    <w:rsid w:val="006D365D"/>
    <w:rsid w:val="006D388D"/>
    <w:rsid w:val="006D3B3C"/>
    <w:rsid w:val="006D3CA2"/>
    <w:rsid w:val="006D3EAF"/>
    <w:rsid w:val="006D433C"/>
    <w:rsid w:val="006D4771"/>
    <w:rsid w:val="006D4A1F"/>
    <w:rsid w:val="006D4DA3"/>
    <w:rsid w:val="006D50D9"/>
    <w:rsid w:val="006D5105"/>
    <w:rsid w:val="006D5123"/>
    <w:rsid w:val="006D537F"/>
    <w:rsid w:val="006D55BE"/>
    <w:rsid w:val="006D58FA"/>
    <w:rsid w:val="006D6083"/>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0FAD"/>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47F"/>
    <w:rsid w:val="006F0A32"/>
    <w:rsid w:val="006F0CAE"/>
    <w:rsid w:val="006F10B7"/>
    <w:rsid w:val="006F110C"/>
    <w:rsid w:val="006F227F"/>
    <w:rsid w:val="006F245C"/>
    <w:rsid w:val="006F2DF1"/>
    <w:rsid w:val="006F2F6F"/>
    <w:rsid w:val="006F3488"/>
    <w:rsid w:val="006F37AE"/>
    <w:rsid w:val="006F37E5"/>
    <w:rsid w:val="006F39C4"/>
    <w:rsid w:val="006F39E9"/>
    <w:rsid w:val="006F3A46"/>
    <w:rsid w:val="006F3BED"/>
    <w:rsid w:val="006F3BFF"/>
    <w:rsid w:val="006F3C80"/>
    <w:rsid w:val="006F3D40"/>
    <w:rsid w:val="006F3E9F"/>
    <w:rsid w:val="006F3EF2"/>
    <w:rsid w:val="006F3FDF"/>
    <w:rsid w:val="006F40AE"/>
    <w:rsid w:val="006F40C1"/>
    <w:rsid w:val="006F430F"/>
    <w:rsid w:val="006F4D0D"/>
    <w:rsid w:val="006F4FB9"/>
    <w:rsid w:val="006F550C"/>
    <w:rsid w:val="006F5841"/>
    <w:rsid w:val="006F5A49"/>
    <w:rsid w:val="006F5ABF"/>
    <w:rsid w:val="006F5AD2"/>
    <w:rsid w:val="006F5D12"/>
    <w:rsid w:val="006F5D23"/>
    <w:rsid w:val="006F5DB2"/>
    <w:rsid w:val="006F5E1D"/>
    <w:rsid w:val="006F607D"/>
    <w:rsid w:val="006F60F5"/>
    <w:rsid w:val="006F6272"/>
    <w:rsid w:val="006F65DE"/>
    <w:rsid w:val="006F6837"/>
    <w:rsid w:val="006F6D78"/>
    <w:rsid w:val="006F6D9E"/>
    <w:rsid w:val="006F72E8"/>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CD3"/>
    <w:rsid w:val="00703ED9"/>
    <w:rsid w:val="00703F36"/>
    <w:rsid w:val="00703FE8"/>
    <w:rsid w:val="007040B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73"/>
    <w:rsid w:val="007123B2"/>
    <w:rsid w:val="0071256C"/>
    <w:rsid w:val="00712584"/>
    <w:rsid w:val="007128FD"/>
    <w:rsid w:val="00712D33"/>
    <w:rsid w:val="00712D3D"/>
    <w:rsid w:val="00712F8F"/>
    <w:rsid w:val="007133B6"/>
    <w:rsid w:val="00713696"/>
    <w:rsid w:val="0071370A"/>
    <w:rsid w:val="0071377A"/>
    <w:rsid w:val="007139D8"/>
    <w:rsid w:val="00713C1C"/>
    <w:rsid w:val="00713D23"/>
    <w:rsid w:val="00714979"/>
    <w:rsid w:val="00715288"/>
    <w:rsid w:val="0071532D"/>
    <w:rsid w:val="00715E77"/>
    <w:rsid w:val="007161B0"/>
    <w:rsid w:val="007161F3"/>
    <w:rsid w:val="00716682"/>
    <w:rsid w:val="007166B8"/>
    <w:rsid w:val="0071674C"/>
    <w:rsid w:val="00716A71"/>
    <w:rsid w:val="007171A3"/>
    <w:rsid w:val="0071721B"/>
    <w:rsid w:val="0071755A"/>
    <w:rsid w:val="007178EA"/>
    <w:rsid w:val="00720332"/>
    <w:rsid w:val="00720358"/>
    <w:rsid w:val="00720623"/>
    <w:rsid w:val="00720E7B"/>
    <w:rsid w:val="00720F22"/>
    <w:rsid w:val="00721170"/>
    <w:rsid w:val="007215CB"/>
    <w:rsid w:val="00721613"/>
    <w:rsid w:val="00721628"/>
    <w:rsid w:val="0072162A"/>
    <w:rsid w:val="007216CE"/>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45"/>
    <w:rsid w:val="007240E4"/>
    <w:rsid w:val="0072423B"/>
    <w:rsid w:val="0072439B"/>
    <w:rsid w:val="007244CE"/>
    <w:rsid w:val="00724896"/>
    <w:rsid w:val="007248C9"/>
    <w:rsid w:val="00724F55"/>
    <w:rsid w:val="007250FA"/>
    <w:rsid w:val="00725631"/>
    <w:rsid w:val="007256F4"/>
    <w:rsid w:val="007258D2"/>
    <w:rsid w:val="00726434"/>
    <w:rsid w:val="00726648"/>
    <w:rsid w:val="007267CA"/>
    <w:rsid w:val="00726AA7"/>
    <w:rsid w:val="00726B9B"/>
    <w:rsid w:val="00726F5F"/>
    <w:rsid w:val="00727431"/>
    <w:rsid w:val="007277AD"/>
    <w:rsid w:val="00727D26"/>
    <w:rsid w:val="00727DE6"/>
    <w:rsid w:val="007301C8"/>
    <w:rsid w:val="00730378"/>
    <w:rsid w:val="007304EC"/>
    <w:rsid w:val="00730920"/>
    <w:rsid w:val="00731671"/>
    <w:rsid w:val="00731712"/>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708"/>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5C9B"/>
    <w:rsid w:val="00736144"/>
    <w:rsid w:val="007361F5"/>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0FD6"/>
    <w:rsid w:val="00741004"/>
    <w:rsid w:val="00741063"/>
    <w:rsid w:val="0074121E"/>
    <w:rsid w:val="0074132A"/>
    <w:rsid w:val="00741353"/>
    <w:rsid w:val="007416B8"/>
    <w:rsid w:val="0074199E"/>
    <w:rsid w:val="00741AE7"/>
    <w:rsid w:val="00741E57"/>
    <w:rsid w:val="00741F30"/>
    <w:rsid w:val="00742133"/>
    <w:rsid w:val="007426AC"/>
    <w:rsid w:val="00742C17"/>
    <w:rsid w:val="00743116"/>
    <w:rsid w:val="00743606"/>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D87"/>
    <w:rsid w:val="00747E53"/>
    <w:rsid w:val="00747EEC"/>
    <w:rsid w:val="00747FAC"/>
    <w:rsid w:val="0075002B"/>
    <w:rsid w:val="00750242"/>
    <w:rsid w:val="0075068D"/>
    <w:rsid w:val="007508DA"/>
    <w:rsid w:val="00750DDA"/>
    <w:rsid w:val="00750ECA"/>
    <w:rsid w:val="00750F9B"/>
    <w:rsid w:val="00751158"/>
    <w:rsid w:val="007518EC"/>
    <w:rsid w:val="00751968"/>
    <w:rsid w:val="00751D49"/>
    <w:rsid w:val="00751E03"/>
    <w:rsid w:val="00751E31"/>
    <w:rsid w:val="00751F90"/>
    <w:rsid w:val="0075204F"/>
    <w:rsid w:val="00752097"/>
    <w:rsid w:val="007520A1"/>
    <w:rsid w:val="007520FC"/>
    <w:rsid w:val="00752364"/>
    <w:rsid w:val="0075262C"/>
    <w:rsid w:val="00752642"/>
    <w:rsid w:val="00752674"/>
    <w:rsid w:val="00752943"/>
    <w:rsid w:val="00752D25"/>
    <w:rsid w:val="00752D84"/>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C68"/>
    <w:rsid w:val="00754DA1"/>
    <w:rsid w:val="00754E39"/>
    <w:rsid w:val="0075559E"/>
    <w:rsid w:val="007557EB"/>
    <w:rsid w:val="00755823"/>
    <w:rsid w:val="00755BF3"/>
    <w:rsid w:val="0075634F"/>
    <w:rsid w:val="007563D2"/>
    <w:rsid w:val="0075663A"/>
    <w:rsid w:val="007567D8"/>
    <w:rsid w:val="007568D2"/>
    <w:rsid w:val="00756C80"/>
    <w:rsid w:val="007572E2"/>
    <w:rsid w:val="007575E0"/>
    <w:rsid w:val="007577DB"/>
    <w:rsid w:val="007600FA"/>
    <w:rsid w:val="00760152"/>
    <w:rsid w:val="00760164"/>
    <w:rsid w:val="007601E1"/>
    <w:rsid w:val="0076051D"/>
    <w:rsid w:val="0076060D"/>
    <w:rsid w:val="00760635"/>
    <w:rsid w:val="00760CAB"/>
    <w:rsid w:val="00761499"/>
    <w:rsid w:val="00761542"/>
    <w:rsid w:val="00761B36"/>
    <w:rsid w:val="00761F45"/>
    <w:rsid w:val="007620F7"/>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A4"/>
    <w:rsid w:val="00765FEA"/>
    <w:rsid w:val="00766015"/>
    <w:rsid w:val="00766019"/>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C54"/>
    <w:rsid w:val="00770102"/>
    <w:rsid w:val="00770346"/>
    <w:rsid w:val="007703B2"/>
    <w:rsid w:val="00770592"/>
    <w:rsid w:val="007706E2"/>
    <w:rsid w:val="00770BB5"/>
    <w:rsid w:val="00770C32"/>
    <w:rsid w:val="00771305"/>
    <w:rsid w:val="00771776"/>
    <w:rsid w:val="0077185C"/>
    <w:rsid w:val="00771BD2"/>
    <w:rsid w:val="00771E57"/>
    <w:rsid w:val="00772033"/>
    <w:rsid w:val="007720E7"/>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5147"/>
    <w:rsid w:val="007751FF"/>
    <w:rsid w:val="00775586"/>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2044"/>
    <w:rsid w:val="007821E3"/>
    <w:rsid w:val="0078278B"/>
    <w:rsid w:val="0078280B"/>
    <w:rsid w:val="00782859"/>
    <w:rsid w:val="007829D5"/>
    <w:rsid w:val="00782C10"/>
    <w:rsid w:val="00782F94"/>
    <w:rsid w:val="007833B3"/>
    <w:rsid w:val="007834D2"/>
    <w:rsid w:val="007835A1"/>
    <w:rsid w:val="007838B2"/>
    <w:rsid w:val="00783D3F"/>
    <w:rsid w:val="00783EDC"/>
    <w:rsid w:val="00784019"/>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D4"/>
    <w:rsid w:val="007935FB"/>
    <w:rsid w:val="00793A98"/>
    <w:rsid w:val="00793C4B"/>
    <w:rsid w:val="007941D2"/>
    <w:rsid w:val="007941D6"/>
    <w:rsid w:val="0079470B"/>
    <w:rsid w:val="00794AF5"/>
    <w:rsid w:val="00794B3C"/>
    <w:rsid w:val="00794BB7"/>
    <w:rsid w:val="00794BF0"/>
    <w:rsid w:val="00794CAA"/>
    <w:rsid w:val="00794DBB"/>
    <w:rsid w:val="00794EC3"/>
    <w:rsid w:val="00795262"/>
    <w:rsid w:val="007954E9"/>
    <w:rsid w:val="00795791"/>
    <w:rsid w:val="00795AB1"/>
    <w:rsid w:val="00795E5F"/>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A9"/>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BE9"/>
    <w:rsid w:val="007A3C00"/>
    <w:rsid w:val="007A3C7E"/>
    <w:rsid w:val="007A3C8C"/>
    <w:rsid w:val="007A3F12"/>
    <w:rsid w:val="007A4099"/>
    <w:rsid w:val="007A431A"/>
    <w:rsid w:val="007A4454"/>
    <w:rsid w:val="007A4628"/>
    <w:rsid w:val="007A4727"/>
    <w:rsid w:val="007A4857"/>
    <w:rsid w:val="007A4D81"/>
    <w:rsid w:val="007A51C8"/>
    <w:rsid w:val="007A52B8"/>
    <w:rsid w:val="007A56B0"/>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A55"/>
    <w:rsid w:val="007B1D82"/>
    <w:rsid w:val="007B2232"/>
    <w:rsid w:val="007B2D20"/>
    <w:rsid w:val="007B2F1D"/>
    <w:rsid w:val="007B3064"/>
    <w:rsid w:val="007B316C"/>
    <w:rsid w:val="007B352D"/>
    <w:rsid w:val="007B3662"/>
    <w:rsid w:val="007B3A87"/>
    <w:rsid w:val="007B3B75"/>
    <w:rsid w:val="007B3BE0"/>
    <w:rsid w:val="007B3F28"/>
    <w:rsid w:val="007B403A"/>
    <w:rsid w:val="007B4045"/>
    <w:rsid w:val="007B40AC"/>
    <w:rsid w:val="007B41DE"/>
    <w:rsid w:val="007B42D7"/>
    <w:rsid w:val="007B4770"/>
    <w:rsid w:val="007B4882"/>
    <w:rsid w:val="007B4AA0"/>
    <w:rsid w:val="007B4DD1"/>
    <w:rsid w:val="007B4FDC"/>
    <w:rsid w:val="007B5137"/>
    <w:rsid w:val="007B571B"/>
    <w:rsid w:val="007B5C05"/>
    <w:rsid w:val="007B6B73"/>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706"/>
    <w:rsid w:val="007C27E3"/>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77"/>
    <w:rsid w:val="007C4AE8"/>
    <w:rsid w:val="007C4B33"/>
    <w:rsid w:val="007C4B70"/>
    <w:rsid w:val="007C4BBE"/>
    <w:rsid w:val="007C4BDA"/>
    <w:rsid w:val="007C4E47"/>
    <w:rsid w:val="007C4FE2"/>
    <w:rsid w:val="007C51ED"/>
    <w:rsid w:val="007C573B"/>
    <w:rsid w:val="007C57D2"/>
    <w:rsid w:val="007C5A17"/>
    <w:rsid w:val="007C5B13"/>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D8C"/>
    <w:rsid w:val="007D0F03"/>
    <w:rsid w:val="007D145F"/>
    <w:rsid w:val="007D1D75"/>
    <w:rsid w:val="007D2557"/>
    <w:rsid w:val="007D26E9"/>
    <w:rsid w:val="007D307E"/>
    <w:rsid w:val="007D343B"/>
    <w:rsid w:val="007D37BA"/>
    <w:rsid w:val="007D37EB"/>
    <w:rsid w:val="007D3A48"/>
    <w:rsid w:val="007D3D93"/>
    <w:rsid w:val="007D3DC6"/>
    <w:rsid w:val="007D4066"/>
    <w:rsid w:val="007D4085"/>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B80"/>
    <w:rsid w:val="007D7B91"/>
    <w:rsid w:val="007D7BAE"/>
    <w:rsid w:val="007D7F63"/>
    <w:rsid w:val="007E0018"/>
    <w:rsid w:val="007E00D6"/>
    <w:rsid w:val="007E00D7"/>
    <w:rsid w:val="007E05C2"/>
    <w:rsid w:val="007E0623"/>
    <w:rsid w:val="007E0649"/>
    <w:rsid w:val="007E0AE8"/>
    <w:rsid w:val="007E0B7D"/>
    <w:rsid w:val="007E0BB1"/>
    <w:rsid w:val="007E0D8E"/>
    <w:rsid w:val="007E0FB2"/>
    <w:rsid w:val="007E106E"/>
    <w:rsid w:val="007E10C5"/>
    <w:rsid w:val="007E110C"/>
    <w:rsid w:val="007E140F"/>
    <w:rsid w:val="007E1533"/>
    <w:rsid w:val="007E15D2"/>
    <w:rsid w:val="007E1769"/>
    <w:rsid w:val="007E1E40"/>
    <w:rsid w:val="007E231A"/>
    <w:rsid w:val="007E2523"/>
    <w:rsid w:val="007E2972"/>
    <w:rsid w:val="007E2A26"/>
    <w:rsid w:val="007E2D66"/>
    <w:rsid w:val="007E328C"/>
    <w:rsid w:val="007E3476"/>
    <w:rsid w:val="007E389F"/>
    <w:rsid w:val="007E3D8C"/>
    <w:rsid w:val="007E3DCD"/>
    <w:rsid w:val="007E3F71"/>
    <w:rsid w:val="007E3F9A"/>
    <w:rsid w:val="007E3FF9"/>
    <w:rsid w:val="007E420F"/>
    <w:rsid w:val="007E4439"/>
    <w:rsid w:val="007E4ABD"/>
    <w:rsid w:val="007E4C85"/>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608"/>
    <w:rsid w:val="007E7C25"/>
    <w:rsid w:val="007E7D58"/>
    <w:rsid w:val="007F0021"/>
    <w:rsid w:val="007F00D0"/>
    <w:rsid w:val="007F013D"/>
    <w:rsid w:val="007F018F"/>
    <w:rsid w:val="007F03A1"/>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2B9D"/>
    <w:rsid w:val="007F30D6"/>
    <w:rsid w:val="007F3574"/>
    <w:rsid w:val="007F35CB"/>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A22"/>
    <w:rsid w:val="008040C4"/>
    <w:rsid w:val="00804101"/>
    <w:rsid w:val="00804180"/>
    <w:rsid w:val="008045A9"/>
    <w:rsid w:val="008048B9"/>
    <w:rsid w:val="00804EB3"/>
    <w:rsid w:val="00805125"/>
    <w:rsid w:val="008056E6"/>
    <w:rsid w:val="00805778"/>
    <w:rsid w:val="008057CB"/>
    <w:rsid w:val="0080620F"/>
    <w:rsid w:val="0080621A"/>
    <w:rsid w:val="00806290"/>
    <w:rsid w:val="00806297"/>
    <w:rsid w:val="008064DE"/>
    <w:rsid w:val="008065E5"/>
    <w:rsid w:val="00806897"/>
    <w:rsid w:val="008070E1"/>
    <w:rsid w:val="00807515"/>
    <w:rsid w:val="00807784"/>
    <w:rsid w:val="008077CA"/>
    <w:rsid w:val="008078C1"/>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B37"/>
    <w:rsid w:val="00814BBA"/>
    <w:rsid w:val="00814C76"/>
    <w:rsid w:val="00814CC7"/>
    <w:rsid w:val="00814E0C"/>
    <w:rsid w:val="00815249"/>
    <w:rsid w:val="008152C8"/>
    <w:rsid w:val="00815507"/>
    <w:rsid w:val="0081565A"/>
    <w:rsid w:val="0081586B"/>
    <w:rsid w:val="00815957"/>
    <w:rsid w:val="00815A7E"/>
    <w:rsid w:val="00815F48"/>
    <w:rsid w:val="00815FA5"/>
    <w:rsid w:val="00816215"/>
    <w:rsid w:val="00816482"/>
    <w:rsid w:val="008165F2"/>
    <w:rsid w:val="00816606"/>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1F6F"/>
    <w:rsid w:val="00822343"/>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84"/>
    <w:rsid w:val="008344A2"/>
    <w:rsid w:val="008344E5"/>
    <w:rsid w:val="008344EE"/>
    <w:rsid w:val="00834A03"/>
    <w:rsid w:val="00834C75"/>
    <w:rsid w:val="00834D06"/>
    <w:rsid w:val="00834E65"/>
    <w:rsid w:val="00835127"/>
    <w:rsid w:val="00835338"/>
    <w:rsid w:val="008355E0"/>
    <w:rsid w:val="00835A9E"/>
    <w:rsid w:val="00835B8B"/>
    <w:rsid w:val="00835BFA"/>
    <w:rsid w:val="00835C04"/>
    <w:rsid w:val="008360D1"/>
    <w:rsid w:val="0083616D"/>
    <w:rsid w:val="00836840"/>
    <w:rsid w:val="008368BE"/>
    <w:rsid w:val="00836A5A"/>
    <w:rsid w:val="00836C33"/>
    <w:rsid w:val="00836D01"/>
    <w:rsid w:val="00836F7A"/>
    <w:rsid w:val="00837066"/>
    <w:rsid w:val="008370AB"/>
    <w:rsid w:val="0083737A"/>
    <w:rsid w:val="008373DC"/>
    <w:rsid w:val="00837CFF"/>
    <w:rsid w:val="00837D22"/>
    <w:rsid w:val="00837D28"/>
    <w:rsid w:val="00837D2B"/>
    <w:rsid w:val="00840038"/>
    <w:rsid w:val="008400C7"/>
    <w:rsid w:val="00840142"/>
    <w:rsid w:val="0084022E"/>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D"/>
    <w:rsid w:val="008431B0"/>
    <w:rsid w:val="00843290"/>
    <w:rsid w:val="00843438"/>
    <w:rsid w:val="00843795"/>
    <w:rsid w:val="00843901"/>
    <w:rsid w:val="00843CB0"/>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8E9"/>
    <w:rsid w:val="00847A3E"/>
    <w:rsid w:val="00847BE4"/>
    <w:rsid w:val="00847CF8"/>
    <w:rsid w:val="00847E1B"/>
    <w:rsid w:val="0085016E"/>
    <w:rsid w:val="008502D3"/>
    <w:rsid w:val="00850484"/>
    <w:rsid w:val="008504EF"/>
    <w:rsid w:val="008509D4"/>
    <w:rsid w:val="00850A43"/>
    <w:rsid w:val="00850BC6"/>
    <w:rsid w:val="00851049"/>
    <w:rsid w:val="0085147D"/>
    <w:rsid w:val="0085177C"/>
    <w:rsid w:val="00851798"/>
    <w:rsid w:val="00851D0C"/>
    <w:rsid w:val="00851DA3"/>
    <w:rsid w:val="008520E2"/>
    <w:rsid w:val="00852370"/>
    <w:rsid w:val="0085271E"/>
    <w:rsid w:val="0085295E"/>
    <w:rsid w:val="00852D17"/>
    <w:rsid w:val="00852F52"/>
    <w:rsid w:val="00852FD8"/>
    <w:rsid w:val="00853253"/>
    <w:rsid w:val="008536BC"/>
    <w:rsid w:val="008538B7"/>
    <w:rsid w:val="00853A38"/>
    <w:rsid w:val="00853DEB"/>
    <w:rsid w:val="00853E62"/>
    <w:rsid w:val="00853E81"/>
    <w:rsid w:val="00853E9C"/>
    <w:rsid w:val="0085416F"/>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F8D"/>
    <w:rsid w:val="00864341"/>
    <w:rsid w:val="00864542"/>
    <w:rsid w:val="0086475D"/>
    <w:rsid w:val="00864B23"/>
    <w:rsid w:val="00864EFB"/>
    <w:rsid w:val="008652E6"/>
    <w:rsid w:val="00865C2F"/>
    <w:rsid w:val="00865CC6"/>
    <w:rsid w:val="00865CFA"/>
    <w:rsid w:val="00865DC8"/>
    <w:rsid w:val="00866326"/>
    <w:rsid w:val="00866465"/>
    <w:rsid w:val="0086657A"/>
    <w:rsid w:val="00866A3E"/>
    <w:rsid w:val="00866C88"/>
    <w:rsid w:val="00866F3E"/>
    <w:rsid w:val="008670DD"/>
    <w:rsid w:val="00867113"/>
    <w:rsid w:val="0086779E"/>
    <w:rsid w:val="00867957"/>
    <w:rsid w:val="00867AAB"/>
    <w:rsid w:val="00867F01"/>
    <w:rsid w:val="00870057"/>
    <w:rsid w:val="0087007A"/>
    <w:rsid w:val="008700B7"/>
    <w:rsid w:val="00870202"/>
    <w:rsid w:val="008702D8"/>
    <w:rsid w:val="008704A1"/>
    <w:rsid w:val="008704DC"/>
    <w:rsid w:val="0087067E"/>
    <w:rsid w:val="00870964"/>
    <w:rsid w:val="00870E3F"/>
    <w:rsid w:val="0087108F"/>
    <w:rsid w:val="008710A2"/>
    <w:rsid w:val="0087116C"/>
    <w:rsid w:val="00871280"/>
    <w:rsid w:val="00871375"/>
    <w:rsid w:val="008718C2"/>
    <w:rsid w:val="00871A2D"/>
    <w:rsid w:val="00871AD6"/>
    <w:rsid w:val="00871D9D"/>
    <w:rsid w:val="00871E2B"/>
    <w:rsid w:val="00871E46"/>
    <w:rsid w:val="00872013"/>
    <w:rsid w:val="008720FE"/>
    <w:rsid w:val="0087249C"/>
    <w:rsid w:val="008724B2"/>
    <w:rsid w:val="008728DD"/>
    <w:rsid w:val="00872C41"/>
    <w:rsid w:val="008732E5"/>
    <w:rsid w:val="0087331E"/>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9D3"/>
    <w:rsid w:val="00880C0F"/>
    <w:rsid w:val="00880CF3"/>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256"/>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3225"/>
    <w:rsid w:val="008935CD"/>
    <w:rsid w:val="00893792"/>
    <w:rsid w:val="008938F6"/>
    <w:rsid w:val="00893B71"/>
    <w:rsid w:val="00893D59"/>
    <w:rsid w:val="008940F5"/>
    <w:rsid w:val="00894118"/>
    <w:rsid w:val="008946FB"/>
    <w:rsid w:val="00894AEE"/>
    <w:rsid w:val="00894C81"/>
    <w:rsid w:val="00895376"/>
    <w:rsid w:val="0089541E"/>
    <w:rsid w:val="00895473"/>
    <w:rsid w:val="008954B5"/>
    <w:rsid w:val="0089553F"/>
    <w:rsid w:val="00895976"/>
    <w:rsid w:val="008959DD"/>
    <w:rsid w:val="00895C5C"/>
    <w:rsid w:val="00895F32"/>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9B7"/>
    <w:rsid w:val="008A1A01"/>
    <w:rsid w:val="008A1FA8"/>
    <w:rsid w:val="008A2014"/>
    <w:rsid w:val="008A2086"/>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A20"/>
    <w:rsid w:val="008A3BEC"/>
    <w:rsid w:val="008A4427"/>
    <w:rsid w:val="008A47C0"/>
    <w:rsid w:val="008A4A3B"/>
    <w:rsid w:val="008A4C51"/>
    <w:rsid w:val="008A4D48"/>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AE8"/>
    <w:rsid w:val="008B15A8"/>
    <w:rsid w:val="008B15B0"/>
    <w:rsid w:val="008B16B3"/>
    <w:rsid w:val="008B16E2"/>
    <w:rsid w:val="008B1756"/>
    <w:rsid w:val="008B196E"/>
    <w:rsid w:val="008B1D18"/>
    <w:rsid w:val="008B2645"/>
    <w:rsid w:val="008B28C0"/>
    <w:rsid w:val="008B2AED"/>
    <w:rsid w:val="008B2D69"/>
    <w:rsid w:val="008B32E7"/>
    <w:rsid w:val="008B331D"/>
    <w:rsid w:val="008B3999"/>
    <w:rsid w:val="008B3AFC"/>
    <w:rsid w:val="008B3BD7"/>
    <w:rsid w:val="008B3DE1"/>
    <w:rsid w:val="008B44DE"/>
    <w:rsid w:val="008B461A"/>
    <w:rsid w:val="008B46D8"/>
    <w:rsid w:val="008B4764"/>
    <w:rsid w:val="008B4A48"/>
    <w:rsid w:val="008B4ABE"/>
    <w:rsid w:val="008B4AC6"/>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523"/>
    <w:rsid w:val="008B679E"/>
    <w:rsid w:val="008B6853"/>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102"/>
    <w:rsid w:val="008C51A8"/>
    <w:rsid w:val="008C536A"/>
    <w:rsid w:val="008C5CF9"/>
    <w:rsid w:val="008C6618"/>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B0F"/>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34AF"/>
    <w:rsid w:val="008D373E"/>
    <w:rsid w:val="008D3A97"/>
    <w:rsid w:val="008D4015"/>
    <w:rsid w:val="008D4258"/>
    <w:rsid w:val="008D46FD"/>
    <w:rsid w:val="008D4D1C"/>
    <w:rsid w:val="008D500C"/>
    <w:rsid w:val="008D5054"/>
    <w:rsid w:val="008D5484"/>
    <w:rsid w:val="008D54FE"/>
    <w:rsid w:val="008D591C"/>
    <w:rsid w:val="008D5A2D"/>
    <w:rsid w:val="008D5A6C"/>
    <w:rsid w:val="008D5C82"/>
    <w:rsid w:val="008D5E5C"/>
    <w:rsid w:val="008D5EF7"/>
    <w:rsid w:val="008D629E"/>
    <w:rsid w:val="008D6562"/>
    <w:rsid w:val="008D65A9"/>
    <w:rsid w:val="008D65F9"/>
    <w:rsid w:val="008D6B0A"/>
    <w:rsid w:val="008D6BFA"/>
    <w:rsid w:val="008D6D30"/>
    <w:rsid w:val="008D6F94"/>
    <w:rsid w:val="008D7148"/>
    <w:rsid w:val="008D7370"/>
    <w:rsid w:val="008D7450"/>
    <w:rsid w:val="008D773A"/>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375"/>
    <w:rsid w:val="008E1419"/>
    <w:rsid w:val="008E189F"/>
    <w:rsid w:val="008E1D8D"/>
    <w:rsid w:val="008E1F41"/>
    <w:rsid w:val="008E2113"/>
    <w:rsid w:val="008E28AE"/>
    <w:rsid w:val="008E2BBD"/>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4F43"/>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7341"/>
    <w:rsid w:val="008E7FEB"/>
    <w:rsid w:val="008F05E4"/>
    <w:rsid w:val="008F10CF"/>
    <w:rsid w:val="008F11C8"/>
    <w:rsid w:val="008F13A7"/>
    <w:rsid w:val="008F1936"/>
    <w:rsid w:val="008F19E9"/>
    <w:rsid w:val="008F1CD0"/>
    <w:rsid w:val="008F1D28"/>
    <w:rsid w:val="008F253E"/>
    <w:rsid w:val="008F2A1C"/>
    <w:rsid w:val="008F2C4A"/>
    <w:rsid w:val="008F2D87"/>
    <w:rsid w:val="008F2E43"/>
    <w:rsid w:val="008F2F16"/>
    <w:rsid w:val="008F30EA"/>
    <w:rsid w:val="008F34F3"/>
    <w:rsid w:val="008F3539"/>
    <w:rsid w:val="008F3830"/>
    <w:rsid w:val="008F39E0"/>
    <w:rsid w:val="008F3A99"/>
    <w:rsid w:val="008F3B6F"/>
    <w:rsid w:val="008F4369"/>
    <w:rsid w:val="008F486A"/>
    <w:rsid w:val="008F4933"/>
    <w:rsid w:val="008F4B73"/>
    <w:rsid w:val="008F501D"/>
    <w:rsid w:val="008F5256"/>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6BF"/>
    <w:rsid w:val="008F7710"/>
    <w:rsid w:val="008F7A4A"/>
    <w:rsid w:val="009003FF"/>
    <w:rsid w:val="009005AD"/>
    <w:rsid w:val="00900A12"/>
    <w:rsid w:val="00900B22"/>
    <w:rsid w:val="00900C0C"/>
    <w:rsid w:val="00900E58"/>
    <w:rsid w:val="00901144"/>
    <w:rsid w:val="00901145"/>
    <w:rsid w:val="00901248"/>
    <w:rsid w:val="00901FA8"/>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6AD"/>
    <w:rsid w:val="00904724"/>
    <w:rsid w:val="0090484F"/>
    <w:rsid w:val="009048A4"/>
    <w:rsid w:val="009048C7"/>
    <w:rsid w:val="00904AC0"/>
    <w:rsid w:val="00904BB9"/>
    <w:rsid w:val="00904D45"/>
    <w:rsid w:val="00904E38"/>
    <w:rsid w:val="00904E56"/>
    <w:rsid w:val="009051FD"/>
    <w:rsid w:val="00905487"/>
    <w:rsid w:val="009055A6"/>
    <w:rsid w:val="009059B5"/>
    <w:rsid w:val="00905DDA"/>
    <w:rsid w:val="00905F03"/>
    <w:rsid w:val="0090611C"/>
    <w:rsid w:val="00906393"/>
    <w:rsid w:val="00906453"/>
    <w:rsid w:val="0090650F"/>
    <w:rsid w:val="009065F1"/>
    <w:rsid w:val="00907196"/>
    <w:rsid w:val="00907764"/>
    <w:rsid w:val="0090786E"/>
    <w:rsid w:val="009078CE"/>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F"/>
    <w:rsid w:val="00912EC5"/>
    <w:rsid w:val="00912EFD"/>
    <w:rsid w:val="00912F9A"/>
    <w:rsid w:val="00912FAA"/>
    <w:rsid w:val="00913AE8"/>
    <w:rsid w:val="00913CAB"/>
    <w:rsid w:val="00913D22"/>
    <w:rsid w:val="00913D8B"/>
    <w:rsid w:val="00914761"/>
    <w:rsid w:val="00914849"/>
    <w:rsid w:val="00914D0F"/>
    <w:rsid w:val="00914E51"/>
    <w:rsid w:val="00915286"/>
    <w:rsid w:val="00915357"/>
    <w:rsid w:val="00915934"/>
    <w:rsid w:val="009159A0"/>
    <w:rsid w:val="00915B66"/>
    <w:rsid w:val="00915F8A"/>
    <w:rsid w:val="009160A5"/>
    <w:rsid w:val="0091619C"/>
    <w:rsid w:val="00916415"/>
    <w:rsid w:val="00916D03"/>
    <w:rsid w:val="0091702A"/>
    <w:rsid w:val="00917041"/>
    <w:rsid w:val="00917A6B"/>
    <w:rsid w:val="00917B3F"/>
    <w:rsid w:val="00917C49"/>
    <w:rsid w:val="00917EA3"/>
    <w:rsid w:val="009200D1"/>
    <w:rsid w:val="009203BC"/>
    <w:rsid w:val="009203C8"/>
    <w:rsid w:val="00920A8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5129"/>
    <w:rsid w:val="0092516D"/>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A71"/>
    <w:rsid w:val="00927B59"/>
    <w:rsid w:val="00927C35"/>
    <w:rsid w:val="00927E14"/>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37"/>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773"/>
    <w:rsid w:val="009368EC"/>
    <w:rsid w:val="00937362"/>
    <w:rsid w:val="0093739C"/>
    <w:rsid w:val="00937683"/>
    <w:rsid w:val="009378AD"/>
    <w:rsid w:val="00937AD5"/>
    <w:rsid w:val="00937B72"/>
    <w:rsid w:val="00937CC8"/>
    <w:rsid w:val="00940295"/>
    <w:rsid w:val="00940500"/>
    <w:rsid w:val="009406BF"/>
    <w:rsid w:val="00940B3C"/>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346"/>
    <w:rsid w:val="009423F5"/>
    <w:rsid w:val="0094283B"/>
    <w:rsid w:val="0094286E"/>
    <w:rsid w:val="00942E30"/>
    <w:rsid w:val="00943106"/>
    <w:rsid w:val="00943279"/>
    <w:rsid w:val="00943378"/>
    <w:rsid w:val="009438F3"/>
    <w:rsid w:val="00943ACB"/>
    <w:rsid w:val="00943F25"/>
    <w:rsid w:val="00944631"/>
    <w:rsid w:val="009449B0"/>
    <w:rsid w:val="00944BF4"/>
    <w:rsid w:val="00944CA6"/>
    <w:rsid w:val="00944D3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71A"/>
    <w:rsid w:val="00950853"/>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C9F"/>
    <w:rsid w:val="00953D71"/>
    <w:rsid w:val="00953F81"/>
    <w:rsid w:val="00954765"/>
    <w:rsid w:val="00954FA3"/>
    <w:rsid w:val="009556A6"/>
    <w:rsid w:val="00955A95"/>
    <w:rsid w:val="00955F2A"/>
    <w:rsid w:val="00956372"/>
    <w:rsid w:val="00956682"/>
    <w:rsid w:val="0095696B"/>
    <w:rsid w:val="00956EBA"/>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AED"/>
    <w:rsid w:val="00961CCB"/>
    <w:rsid w:val="00962029"/>
    <w:rsid w:val="0096204B"/>
    <w:rsid w:val="00962600"/>
    <w:rsid w:val="0096273D"/>
    <w:rsid w:val="00962DC6"/>
    <w:rsid w:val="00963106"/>
    <w:rsid w:val="00963678"/>
    <w:rsid w:val="009637A4"/>
    <w:rsid w:val="009637E7"/>
    <w:rsid w:val="009639B4"/>
    <w:rsid w:val="009639E3"/>
    <w:rsid w:val="00963A41"/>
    <w:rsid w:val="00963E4B"/>
    <w:rsid w:val="00963EB3"/>
    <w:rsid w:val="00964509"/>
    <w:rsid w:val="009645D4"/>
    <w:rsid w:val="0096462F"/>
    <w:rsid w:val="00964C87"/>
    <w:rsid w:val="00964DC2"/>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85A"/>
    <w:rsid w:val="00967A73"/>
    <w:rsid w:val="00967AC8"/>
    <w:rsid w:val="00967DB2"/>
    <w:rsid w:val="00967E0F"/>
    <w:rsid w:val="00967E40"/>
    <w:rsid w:val="0097039B"/>
    <w:rsid w:val="00970798"/>
    <w:rsid w:val="00970B5F"/>
    <w:rsid w:val="00970C69"/>
    <w:rsid w:val="00970D49"/>
    <w:rsid w:val="00970E5D"/>
    <w:rsid w:val="00970FD4"/>
    <w:rsid w:val="0097115E"/>
    <w:rsid w:val="00971733"/>
    <w:rsid w:val="0097185E"/>
    <w:rsid w:val="00971BEE"/>
    <w:rsid w:val="00971C65"/>
    <w:rsid w:val="00971E65"/>
    <w:rsid w:val="00971F85"/>
    <w:rsid w:val="0097257C"/>
    <w:rsid w:val="00972583"/>
    <w:rsid w:val="009733A9"/>
    <w:rsid w:val="009736BB"/>
    <w:rsid w:val="0097373F"/>
    <w:rsid w:val="00973A05"/>
    <w:rsid w:val="00973A10"/>
    <w:rsid w:val="00973E69"/>
    <w:rsid w:val="00973FA8"/>
    <w:rsid w:val="0097412F"/>
    <w:rsid w:val="009744BD"/>
    <w:rsid w:val="009748F3"/>
    <w:rsid w:val="00974B02"/>
    <w:rsid w:val="00974C80"/>
    <w:rsid w:val="00974CBD"/>
    <w:rsid w:val="00974E53"/>
    <w:rsid w:val="00975027"/>
    <w:rsid w:val="009752B4"/>
    <w:rsid w:val="009755FF"/>
    <w:rsid w:val="00975692"/>
    <w:rsid w:val="00975858"/>
    <w:rsid w:val="00975D89"/>
    <w:rsid w:val="00975E3C"/>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1E32"/>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579"/>
    <w:rsid w:val="00984583"/>
    <w:rsid w:val="00984DF0"/>
    <w:rsid w:val="009850C7"/>
    <w:rsid w:val="00985687"/>
    <w:rsid w:val="00985981"/>
    <w:rsid w:val="00985990"/>
    <w:rsid w:val="009860EA"/>
    <w:rsid w:val="009863CE"/>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3E"/>
    <w:rsid w:val="009A06C0"/>
    <w:rsid w:val="009A0CA5"/>
    <w:rsid w:val="009A0D1B"/>
    <w:rsid w:val="009A0D20"/>
    <w:rsid w:val="009A0DD3"/>
    <w:rsid w:val="009A0E1F"/>
    <w:rsid w:val="009A0FA7"/>
    <w:rsid w:val="009A108C"/>
    <w:rsid w:val="009A116E"/>
    <w:rsid w:val="009A124F"/>
    <w:rsid w:val="009A1293"/>
    <w:rsid w:val="009A138F"/>
    <w:rsid w:val="009A140A"/>
    <w:rsid w:val="009A1512"/>
    <w:rsid w:val="009A17C2"/>
    <w:rsid w:val="009A1C48"/>
    <w:rsid w:val="009A1E34"/>
    <w:rsid w:val="009A1F5E"/>
    <w:rsid w:val="009A21DF"/>
    <w:rsid w:val="009A26F2"/>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B24"/>
    <w:rsid w:val="009A5E96"/>
    <w:rsid w:val="009A6444"/>
    <w:rsid w:val="009A658F"/>
    <w:rsid w:val="009A669D"/>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2D37"/>
    <w:rsid w:val="009B3180"/>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E78"/>
    <w:rsid w:val="009B5F21"/>
    <w:rsid w:val="009B5F4F"/>
    <w:rsid w:val="009B63BE"/>
    <w:rsid w:val="009B6774"/>
    <w:rsid w:val="009B6790"/>
    <w:rsid w:val="009B7705"/>
    <w:rsid w:val="009B7E5C"/>
    <w:rsid w:val="009B7EE5"/>
    <w:rsid w:val="009C00EE"/>
    <w:rsid w:val="009C0A18"/>
    <w:rsid w:val="009C1819"/>
    <w:rsid w:val="009C1A4E"/>
    <w:rsid w:val="009C1C5D"/>
    <w:rsid w:val="009C1D5A"/>
    <w:rsid w:val="009C1E8D"/>
    <w:rsid w:val="009C21B9"/>
    <w:rsid w:val="009C2237"/>
    <w:rsid w:val="009C2793"/>
    <w:rsid w:val="009C2B03"/>
    <w:rsid w:val="009C2D3C"/>
    <w:rsid w:val="009C3085"/>
    <w:rsid w:val="009C31E8"/>
    <w:rsid w:val="009C37ED"/>
    <w:rsid w:val="009C3D47"/>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3BB"/>
    <w:rsid w:val="009C751D"/>
    <w:rsid w:val="009C780B"/>
    <w:rsid w:val="009C7C31"/>
    <w:rsid w:val="009D00FD"/>
    <w:rsid w:val="009D0188"/>
    <w:rsid w:val="009D0588"/>
    <w:rsid w:val="009D0636"/>
    <w:rsid w:val="009D0782"/>
    <w:rsid w:val="009D139F"/>
    <w:rsid w:val="009D1461"/>
    <w:rsid w:val="009D147F"/>
    <w:rsid w:val="009D173A"/>
    <w:rsid w:val="009D19D7"/>
    <w:rsid w:val="009D1CD7"/>
    <w:rsid w:val="009D2548"/>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5490"/>
    <w:rsid w:val="009D54A5"/>
    <w:rsid w:val="009D58CA"/>
    <w:rsid w:val="009D5AA2"/>
    <w:rsid w:val="009D5EFE"/>
    <w:rsid w:val="009D61D1"/>
    <w:rsid w:val="009D61F3"/>
    <w:rsid w:val="009D6443"/>
    <w:rsid w:val="009D667B"/>
    <w:rsid w:val="009D6AC8"/>
    <w:rsid w:val="009D73DA"/>
    <w:rsid w:val="009D79DC"/>
    <w:rsid w:val="009D7A2E"/>
    <w:rsid w:val="009D7EEB"/>
    <w:rsid w:val="009E01FB"/>
    <w:rsid w:val="009E02C6"/>
    <w:rsid w:val="009E0419"/>
    <w:rsid w:val="009E0436"/>
    <w:rsid w:val="009E0643"/>
    <w:rsid w:val="009E0C95"/>
    <w:rsid w:val="009E0CE1"/>
    <w:rsid w:val="009E0F06"/>
    <w:rsid w:val="009E14A1"/>
    <w:rsid w:val="009E16DD"/>
    <w:rsid w:val="009E1756"/>
    <w:rsid w:val="009E1877"/>
    <w:rsid w:val="009E1A2B"/>
    <w:rsid w:val="009E1B66"/>
    <w:rsid w:val="009E1C37"/>
    <w:rsid w:val="009E23CE"/>
    <w:rsid w:val="009E2462"/>
    <w:rsid w:val="009E258F"/>
    <w:rsid w:val="009E2C70"/>
    <w:rsid w:val="009E36E7"/>
    <w:rsid w:val="009E371D"/>
    <w:rsid w:val="009E37BC"/>
    <w:rsid w:val="009E3824"/>
    <w:rsid w:val="009E3849"/>
    <w:rsid w:val="009E3FAE"/>
    <w:rsid w:val="009E4033"/>
    <w:rsid w:val="009E43F3"/>
    <w:rsid w:val="009E4409"/>
    <w:rsid w:val="009E443D"/>
    <w:rsid w:val="009E4447"/>
    <w:rsid w:val="009E44F6"/>
    <w:rsid w:val="009E490F"/>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D13"/>
    <w:rsid w:val="009F4F49"/>
    <w:rsid w:val="009F4FA2"/>
    <w:rsid w:val="009F5088"/>
    <w:rsid w:val="009F5562"/>
    <w:rsid w:val="009F5567"/>
    <w:rsid w:val="009F5E0D"/>
    <w:rsid w:val="009F5F54"/>
    <w:rsid w:val="009F62A5"/>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B8B"/>
    <w:rsid w:val="00A00BA7"/>
    <w:rsid w:val="00A00DC3"/>
    <w:rsid w:val="00A01199"/>
    <w:rsid w:val="00A01451"/>
    <w:rsid w:val="00A01489"/>
    <w:rsid w:val="00A01603"/>
    <w:rsid w:val="00A0181B"/>
    <w:rsid w:val="00A01828"/>
    <w:rsid w:val="00A0186E"/>
    <w:rsid w:val="00A018B9"/>
    <w:rsid w:val="00A01949"/>
    <w:rsid w:val="00A01CEA"/>
    <w:rsid w:val="00A01DFB"/>
    <w:rsid w:val="00A01ECA"/>
    <w:rsid w:val="00A0200F"/>
    <w:rsid w:val="00A027EC"/>
    <w:rsid w:val="00A02AB4"/>
    <w:rsid w:val="00A02E70"/>
    <w:rsid w:val="00A03085"/>
    <w:rsid w:val="00A0332A"/>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A4D"/>
    <w:rsid w:val="00A07CD1"/>
    <w:rsid w:val="00A07D13"/>
    <w:rsid w:val="00A07DA8"/>
    <w:rsid w:val="00A100F2"/>
    <w:rsid w:val="00A10307"/>
    <w:rsid w:val="00A104E5"/>
    <w:rsid w:val="00A107E2"/>
    <w:rsid w:val="00A10B0B"/>
    <w:rsid w:val="00A11108"/>
    <w:rsid w:val="00A111BE"/>
    <w:rsid w:val="00A1120E"/>
    <w:rsid w:val="00A11A04"/>
    <w:rsid w:val="00A11B0F"/>
    <w:rsid w:val="00A11DF9"/>
    <w:rsid w:val="00A11F01"/>
    <w:rsid w:val="00A12250"/>
    <w:rsid w:val="00A122F2"/>
    <w:rsid w:val="00A126D6"/>
    <w:rsid w:val="00A129F5"/>
    <w:rsid w:val="00A12ACD"/>
    <w:rsid w:val="00A12C06"/>
    <w:rsid w:val="00A12C3A"/>
    <w:rsid w:val="00A12DE7"/>
    <w:rsid w:val="00A12E3E"/>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8A"/>
    <w:rsid w:val="00A14D90"/>
    <w:rsid w:val="00A14D99"/>
    <w:rsid w:val="00A151D7"/>
    <w:rsid w:val="00A153D4"/>
    <w:rsid w:val="00A156AE"/>
    <w:rsid w:val="00A159DB"/>
    <w:rsid w:val="00A15AA1"/>
    <w:rsid w:val="00A15B08"/>
    <w:rsid w:val="00A15B40"/>
    <w:rsid w:val="00A15D5C"/>
    <w:rsid w:val="00A15DBC"/>
    <w:rsid w:val="00A15E77"/>
    <w:rsid w:val="00A163D9"/>
    <w:rsid w:val="00A164F9"/>
    <w:rsid w:val="00A16915"/>
    <w:rsid w:val="00A16E70"/>
    <w:rsid w:val="00A16E7A"/>
    <w:rsid w:val="00A171BF"/>
    <w:rsid w:val="00A172F6"/>
    <w:rsid w:val="00A1738F"/>
    <w:rsid w:val="00A17428"/>
    <w:rsid w:val="00A1768C"/>
    <w:rsid w:val="00A17B74"/>
    <w:rsid w:val="00A20ECA"/>
    <w:rsid w:val="00A20EF9"/>
    <w:rsid w:val="00A211C3"/>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E34"/>
    <w:rsid w:val="00A240FB"/>
    <w:rsid w:val="00A24447"/>
    <w:rsid w:val="00A24884"/>
    <w:rsid w:val="00A24F84"/>
    <w:rsid w:val="00A24FC5"/>
    <w:rsid w:val="00A25033"/>
    <w:rsid w:val="00A2516C"/>
    <w:rsid w:val="00A252DC"/>
    <w:rsid w:val="00A25442"/>
    <w:rsid w:val="00A2544D"/>
    <w:rsid w:val="00A258FC"/>
    <w:rsid w:val="00A25E27"/>
    <w:rsid w:val="00A26131"/>
    <w:rsid w:val="00A2627F"/>
    <w:rsid w:val="00A266B4"/>
    <w:rsid w:val="00A2733A"/>
    <w:rsid w:val="00A279B9"/>
    <w:rsid w:val="00A279CF"/>
    <w:rsid w:val="00A27A40"/>
    <w:rsid w:val="00A27B74"/>
    <w:rsid w:val="00A27B76"/>
    <w:rsid w:val="00A27CC5"/>
    <w:rsid w:val="00A27CD3"/>
    <w:rsid w:val="00A30046"/>
    <w:rsid w:val="00A30315"/>
    <w:rsid w:val="00A303A0"/>
    <w:rsid w:val="00A30833"/>
    <w:rsid w:val="00A3085B"/>
    <w:rsid w:val="00A30910"/>
    <w:rsid w:val="00A30A60"/>
    <w:rsid w:val="00A30CBA"/>
    <w:rsid w:val="00A30CE1"/>
    <w:rsid w:val="00A3126A"/>
    <w:rsid w:val="00A31286"/>
    <w:rsid w:val="00A31373"/>
    <w:rsid w:val="00A314F4"/>
    <w:rsid w:val="00A317C8"/>
    <w:rsid w:val="00A31A1E"/>
    <w:rsid w:val="00A31E2D"/>
    <w:rsid w:val="00A3202B"/>
    <w:rsid w:val="00A320B5"/>
    <w:rsid w:val="00A32B3B"/>
    <w:rsid w:val="00A32C87"/>
    <w:rsid w:val="00A32C88"/>
    <w:rsid w:val="00A32ECC"/>
    <w:rsid w:val="00A32F48"/>
    <w:rsid w:val="00A3362B"/>
    <w:rsid w:val="00A337A8"/>
    <w:rsid w:val="00A33971"/>
    <w:rsid w:val="00A33F61"/>
    <w:rsid w:val="00A3400A"/>
    <w:rsid w:val="00A340F9"/>
    <w:rsid w:val="00A34265"/>
    <w:rsid w:val="00A34487"/>
    <w:rsid w:val="00A34827"/>
    <w:rsid w:val="00A34B60"/>
    <w:rsid w:val="00A34C50"/>
    <w:rsid w:val="00A34EDA"/>
    <w:rsid w:val="00A3542B"/>
    <w:rsid w:val="00A3579E"/>
    <w:rsid w:val="00A357C6"/>
    <w:rsid w:val="00A361FC"/>
    <w:rsid w:val="00A36385"/>
    <w:rsid w:val="00A36503"/>
    <w:rsid w:val="00A369BE"/>
    <w:rsid w:val="00A36AAB"/>
    <w:rsid w:val="00A36DD3"/>
    <w:rsid w:val="00A3760F"/>
    <w:rsid w:val="00A37885"/>
    <w:rsid w:val="00A37AE4"/>
    <w:rsid w:val="00A37D80"/>
    <w:rsid w:val="00A4094E"/>
    <w:rsid w:val="00A4097D"/>
    <w:rsid w:val="00A409B5"/>
    <w:rsid w:val="00A40BAC"/>
    <w:rsid w:val="00A413C5"/>
    <w:rsid w:val="00A41CE3"/>
    <w:rsid w:val="00A4203C"/>
    <w:rsid w:val="00A428BB"/>
    <w:rsid w:val="00A429DB"/>
    <w:rsid w:val="00A4307F"/>
    <w:rsid w:val="00A437C7"/>
    <w:rsid w:val="00A439B5"/>
    <w:rsid w:val="00A43C38"/>
    <w:rsid w:val="00A43C3E"/>
    <w:rsid w:val="00A43EA6"/>
    <w:rsid w:val="00A44257"/>
    <w:rsid w:val="00A442CB"/>
    <w:rsid w:val="00A44373"/>
    <w:rsid w:val="00A444B2"/>
    <w:rsid w:val="00A445C8"/>
    <w:rsid w:val="00A44BF0"/>
    <w:rsid w:val="00A45130"/>
    <w:rsid w:val="00A454A5"/>
    <w:rsid w:val="00A4552B"/>
    <w:rsid w:val="00A45D0B"/>
    <w:rsid w:val="00A45D68"/>
    <w:rsid w:val="00A462AA"/>
    <w:rsid w:val="00A4633E"/>
    <w:rsid w:val="00A46746"/>
    <w:rsid w:val="00A4686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228"/>
    <w:rsid w:val="00A523AE"/>
    <w:rsid w:val="00A52481"/>
    <w:rsid w:val="00A527E7"/>
    <w:rsid w:val="00A528AE"/>
    <w:rsid w:val="00A528C6"/>
    <w:rsid w:val="00A52972"/>
    <w:rsid w:val="00A5314F"/>
    <w:rsid w:val="00A531CF"/>
    <w:rsid w:val="00A53610"/>
    <w:rsid w:val="00A536BE"/>
    <w:rsid w:val="00A53D07"/>
    <w:rsid w:val="00A53EFD"/>
    <w:rsid w:val="00A543BB"/>
    <w:rsid w:val="00A5455C"/>
    <w:rsid w:val="00A5486E"/>
    <w:rsid w:val="00A54ABA"/>
    <w:rsid w:val="00A5519A"/>
    <w:rsid w:val="00A55240"/>
    <w:rsid w:val="00A5524E"/>
    <w:rsid w:val="00A55A7D"/>
    <w:rsid w:val="00A55C48"/>
    <w:rsid w:val="00A56115"/>
    <w:rsid w:val="00A562F0"/>
    <w:rsid w:val="00A56B1F"/>
    <w:rsid w:val="00A56C0D"/>
    <w:rsid w:val="00A56D3E"/>
    <w:rsid w:val="00A56E60"/>
    <w:rsid w:val="00A56EE0"/>
    <w:rsid w:val="00A56FBE"/>
    <w:rsid w:val="00A570AF"/>
    <w:rsid w:val="00A571EB"/>
    <w:rsid w:val="00A574EB"/>
    <w:rsid w:val="00A575FD"/>
    <w:rsid w:val="00A577B1"/>
    <w:rsid w:val="00A57CC1"/>
    <w:rsid w:val="00A57EE1"/>
    <w:rsid w:val="00A6026A"/>
    <w:rsid w:val="00A60609"/>
    <w:rsid w:val="00A60755"/>
    <w:rsid w:val="00A608E8"/>
    <w:rsid w:val="00A60A15"/>
    <w:rsid w:val="00A60B75"/>
    <w:rsid w:val="00A61455"/>
    <w:rsid w:val="00A6158D"/>
    <w:rsid w:val="00A615CB"/>
    <w:rsid w:val="00A6172C"/>
    <w:rsid w:val="00A61839"/>
    <w:rsid w:val="00A618FD"/>
    <w:rsid w:val="00A61C6F"/>
    <w:rsid w:val="00A61EBD"/>
    <w:rsid w:val="00A61FA3"/>
    <w:rsid w:val="00A6211C"/>
    <w:rsid w:val="00A621D5"/>
    <w:rsid w:val="00A622D1"/>
    <w:rsid w:val="00A62690"/>
    <w:rsid w:val="00A628F5"/>
    <w:rsid w:val="00A62CB0"/>
    <w:rsid w:val="00A632B9"/>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60"/>
    <w:rsid w:val="00A6633C"/>
    <w:rsid w:val="00A663A7"/>
    <w:rsid w:val="00A6681D"/>
    <w:rsid w:val="00A66B7D"/>
    <w:rsid w:val="00A66FAF"/>
    <w:rsid w:val="00A674BC"/>
    <w:rsid w:val="00A674E2"/>
    <w:rsid w:val="00A677DB"/>
    <w:rsid w:val="00A67A17"/>
    <w:rsid w:val="00A7001C"/>
    <w:rsid w:val="00A704D2"/>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E8C"/>
    <w:rsid w:val="00A74C9B"/>
    <w:rsid w:val="00A750C5"/>
    <w:rsid w:val="00A758E7"/>
    <w:rsid w:val="00A75E3A"/>
    <w:rsid w:val="00A7606E"/>
    <w:rsid w:val="00A76360"/>
    <w:rsid w:val="00A76405"/>
    <w:rsid w:val="00A76829"/>
    <w:rsid w:val="00A76AF2"/>
    <w:rsid w:val="00A77210"/>
    <w:rsid w:val="00A7734A"/>
    <w:rsid w:val="00A77486"/>
    <w:rsid w:val="00A77526"/>
    <w:rsid w:val="00A77647"/>
    <w:rsid w:val="00A77B92"/>
    <w:rsid w:val="00A77E14"/>
    <w:rsid w:val="00A8006C"/>
    <w:rsid w:val="00A8073A"/>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7EE"/>
    <w:rsid w:val="00A84819"/>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495"/>
    <w:rsid w:val="00A86812"/>
    <w:rsid w:val="00A86BBB"/>
    <w:rsid w:val="00A86D1F"/>
    <w:rsid w:val="00A86DBB"/>
    <w:rsid w:val="00A86E64"/>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6BB"/>
    <w:rsid w:val="00A92017"/>
    <w:rsid w:val="00A921D3"/>
    <w:rsid w:val="00A92A42"/>
    <w:rsid w:val="00A92D5E"/>
    <w:rsid w:val="00A9315B"/>
    <w:rsid w:val="00A93608"/>
    <w:rsid w:val="00A9385C"/>
    <w:rsid w:val="00A93956"/>
    <w:rsid w:val="00A93996"/>
    <w:rsid w:val="00A93AE1"/>
    <w:rsid w:val="00A93FCF"/>
    <w:rsid w:val="00A94414"/>
    <w:rsid w:val="00A9467F"/>
    <w:rsid w:val="00A9491C"/>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4F0"/>
    <w:rsid w:val="00AA4ACB"/>
    <w:rsid w:val="00AA4E13"/>
    <w:rsid w:val="00AA501E"/>
    <w:rsid w:val="00AA50FB"/>
    <w:rsid w:val="00AA523C"/>
    <w:rsid w:val="00AA524C"/>
    <w:rsid w:val="00AA5C5E"/>
    <w:rsid w:val="00AA5E99"/>
    <w:rsid w:val="00AA5ED8"/>
    <w:rsid w:val="00AA5EE2"/>
    <w:rsid w:val="00AA671E"/>
    <w:rsid w:val="00AA6AB4"/>
    <w:rsid w:val="00AA72AB"/>
    <w:rsid w:val="00AA72CE"/>
    <w:rsid w:val="00AA74AE"/>
    <w:rsid w:val="00AA74CF"/>
    <w:rsid w:val="00AA7F05"/>
    <w:rsid w:val="00AA7F9D"/>
    <w:rsid w:val="00AB0004"/>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457"/>
    <w:rsid w:val="00AB36A4"/>
    <w:rsid w:val="00AB36CF"/>
    <w:rsid w:val="00AB3C61"/>
    <w:rsid w:val="00AB4680"/>
    <w:rsid w:val="00AB4872"/>
    <w:rsid w:val="00AB4BCF"/>
    <w:rsid w:val="00AB4BF9"/>
    <w:rsid w:val="00AB4E84"/>
    <w:rsid w:val="00AB4F36"/>
    <w:rsid w:val="00AB525A"/>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C0102"/>
    <w:rsid w:val="00AC0305"/>
    <w:rsid w:val="00AC0666"/>
    <w:rsid w:val="00AC07F0"/>
    <w:rsid w:val="00AC0BB5"/>
    <w:rsid w:val="00AC0D7A"/>
    <w:rsid w:val="00AC0E6F"/>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8C9"/>
    <w:rsid w:val="00AC3A4F"/>
    <w:rsid w:val="00AC3F4F"/>
    <w:rsid w:val="00AC4188"/>
    <w:rsid w:val="00AC42EA"/>
    <w:rsid w:val="00AC442E"/>
    <w:rsid w:val="00AC44DB"/>
    <w:rsid w:val="00AC47B9"/>
    <w:rsid w:val="00AC4916"/>
    <w:rsid w:val="00AC4A88"/>
    <w:rsid w:val="00AC4BAF"/>
    <w:rsid w:val="00AC50E0"/>
    <w:rsid w:val="00AC5352"/>
    <w:rsid w:val="00AC5759"/>
    <w:rsid w:val="00AC6359"/>
    <w:rsid w:val="00AC67C9"/>
    <w:rsid w:val="00AC6BC4"/>
    <w:rsid w:val="00AC7D13"/>
    <w:rsid w:val="00AC7FD0"/>
    <w:rsid w:val="00AD0288"/>
    <w:rsid w:val="00AD0571"/>
    <w:rsid w:val="00AD067C"/>
    <w:rsid w:val="00AD0B16"/>
    <w:rsid w:val="00AD103C"/>
    <w:rsid w:val="00AD12BC"/>
    <w:rsid w:val="00AD185A"/>
    <w:rsid w:val="00AD211C"/>
    <w:rsid w:val="00AD22FF"/>
    <w:rsid w:val="00AD2608"/>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99D"/>
    <w:rsid w:val="00AD3A33"/>
    <w:rsid w:val="00AD3F8A"/>
    <w:rsid w:val="00AD409C"/>
    <w:rsid w:val="00AD47B5"/>
    <w:rsid w:val="00AD47EC"/>
    <w:rsid w:val="00AD4841"/>
    <w:rsid w:val="00AD4CCA"/>
    <w:rsid w:val="00AD50D0"/>
    <w:rsid w:val="00AD5205"/>
    <w:rsid w:val="00AD5219"/>
    <w:rsid w:val="00AD5607"/>
    <w:rsid w:val="00AD5634"/>
    <w:rsid w:val="00AD569F"/>
    <w:rsid w:val="00AD584A"/>
    <w:rsid w:val="00AD58B4"/>
    <w:rsid w:val="00AD58F7"/>
    <w:rsid w:val="00AD590F"/>
    <w:rsid w:val="00AD5D4D"/>
    <w:rsid w:val="00AD5F0E"/>
    <w:rsid w:val="00AD5F1D"/>
    <w:rsid w:val="00AD6413"/>
    <w:rsid w:val="00AD6473"/>
    <w:rsid w:val="00AD6799"/>
    <w:rsid w:val="00AD6957"/>
    <w:rsid w:val="00AD6C6B"/>
    <w:rsid w:val="00AD726C"/>
    <w:rsid w:val="00AD7385"/>
    <w:rsid w:val="00AD74E5"/>
    <w:rsid w:val="00AD76CE"/>
    <w:rsid w:val="00AD76F2"/>
    <w:rsid w:val="00AD78F1"/>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6F5"/>
    <w:rsid w:val="00AE2BD9"/>
    <w:rsid w:val="00AE32B8"/>
    <w:rsid w:val="00AE32C9"/>
    <w:rsid w:val="00AE331D"/>
    <w:rsid w:val="00AE332B"/>
    <w:rsid w:val="00AE3793"/>
    <w:rsid w:val="00AE394F"/>
    <w:rsid w:val="00AE39DA"/>
    <w:rsid w:val="00AE3A02"/>
    <w:rsid w:val="00AE3E20"/>
    <w:rsid w:val="00AE3EE2"/>
    <w:rsid w:val="00AE44B9"/>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700A"/>
    <w:rsid w:val="00AE7050"/>
    <w:rsid w:val="00AE7133"/>
    <w:rsid w:val="00AE71B9"/>
    <w:rsid w:val="00AE7270"/>
    <w:rsid w:val="00AE7747"/>
    <w:rsid w:val="00AE786D"/>
    <w:rsid w:val="00AE7E19"/>
    <w:rsid w:val="00AE7E78"/>
    <w:rsid w:val="00AE7EC6"/>
    <w:rsid w:val="00AF0047"/>
    <w:rsid w:val="00AF03D3"/>
    <w:rsid w:val="00AF0591"/>
    <w:rsid w:val="00AF06A1"/>
    <w:rsid w:val="00AF0716"/>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02"/>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9A2"/>
    <w:rsid w:val="00AF5AAD"/>
    <w:rsid w:val="00AF5AD1"/>
    <w:rsid w:val="00AF5AF9"/>
    <w:rsid w:val="00AF5BE4"/>
    <w:rsid w:val="00AF5BEF"/>
    <w:rsid w:val="00AF5D04"/>
    <w:rsid w:val="00AF5EEE"/>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83"/>
    <w:rsid w:val="00B01A43"/>
    <w:rsid w:val="00B01B25"/>
    <w:rsid w:val="00B01F52"/>
    <w:rsid w:val="00B022CC"/>
    <w:rsid w:val="00B0262A"/>
    <w:rsid w:val="00B0269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A62"/>
    <w:rsid w:val="00B04BF9"/>
    <w:rsid w:val="00B04CA5"/>
    <w:rsid w:val="00B053D4"/>
    <w:rsid w:val="00B053FA"/>
    <w:rsid w:val="00B05404"/>
    <w:rsid w:val="00B055A9"/>
    <w:rsid w:val="00B05947"/>
    <w:rsid w:val="00B05C36"/>
    <w:rsid w:val="00B05F21"/>
    <w:rsid w:val="00B05F89"/>
    <w:rsid w:val="00B061AE"/>
    <w:rsid w:val="00B063E4"/>
    <w:rsid w:val="00B0649F"/>
    <w:rsid w:val="00B065F7"/>
    <w:rsid w:val="00B06A21"/>
    <w:rsid w:val="00B06B57"/>
    <w:rsid w:val="00B06E80"/>
    <w:rsid w:val="00B07184"/>
    <w:rsid w:val="00B076FA"/>
    <w:rsid w:val="00B07CD8"/>
    <w:rsid w:val="00B07CEC"/>
    <w:rsid w:val="00B10095"/>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741"/>
    <w:rsid w:val="00B12899"/>
    <w:rsid w:val="00B1298F"/>
    <w:rsid w:val="00B129F2"/>
    <w:rsid w:val="00B13147"/>
    <w:rsid w:val="00B131D2"/>
    <w:rsid w:val="00B132F7"/>
    <w:rsid w:val="00B136A0"/>
    <w:rsid w:val="00B13A27"/>
    <w:rsid w:val="00B13BCE"/>
    <w:rsid w:val="00B13BF8"/>
    <w:rsid w:val="00B13F7B"/>
    <w:rsid w:val="00B13FE0"/>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6FF"/>
    <w:rsid w:val="00B217A6"/>
    <w:rsid w:val="00B21B62"/>
    <w:rsid w:val="00B21BC5"/>
    <w:rsid w:val="00B21DA3"/>
    <w:rsid w:val="00B220CB"/>
    <w:rsid w:val="00B2241B"/>
    <w:rsid w:val="00B22459"/>
    <w:rsid w:val="00B2290E"/>
    <w:rsid w:val="00B22A98"/>
    <w:rsid w:val="00B22C53"/>
    <w:rsid w:val="00B22C59"/>
    <w:rsid w:val="00B22C7E"/>
    <w:rsid w:val="00B23293"/>
    <w:rsid w:val="00B2354E"/>
    <w:rsid w:val="00B2356A"/>
    <w:rsid w:val="00B23B0B"/>
    <w:rsid w:val="00B23E15"/>
    <w:rsid w:val="00B24435"/>
    <w:rsid w:val="00B248F2"/>
    <w:rsid w:val="00B24CAB"/>
    <w:rsid w:val="00B24E10"/>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5EC"/>
    <w:rsid w:val="00B2769B"/>
    <w:rsid w:val="00B277C7"/>
    <w:rsid w:val="00B27EC2"/>
    <w:rsid w:val="00B30219"/>
    <w:rsid w:val="00B3030D"/>
    <w:rsid w:val="00B30994"/>
    <w:rsid w:val="00B30A23"/>
    <w:rsid w:val="00B30A32"/>
    <w:rsid w:val="00B30B6F"/>
    <w:rsid w:val="00B30FF2"/>
    <w:rsid w:val="00B312BC"/>
    <w:rsid w:val="00B31374"/>
    <w:rsid w:val="00B31C42"/>
    <w:rsid w:val="00B31E4C"/>
    <w:rsid w:val="00B31E55"/>
    <w:rsid w:val="00B320D4"/>
    <w:rsid w:val="00B321EB"/>
    <w:rsid w:val="00B326F3"/>
    <w:rsid w:val="00B32C26"/>
    <w:rsid w:val="00B32D52"/>
    <w:rsid w:val="00B331CA"/>
    <w:rsid w:val="00B3324E"/>
    <w:rsid w:val="00B337E3"/>
    <w:rsid w:val="00B3387E"/>
    <w:rsid w:val="00B3392E"/>
    <w:rsid w:val="00B33B12"/>
    <w:rsid w:val="00B33BD8"/>
    <w:rsid w:val="00B33C0E"/>
    <w:rsid w:val="00B33C66"/>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2"/>
    <w:rsid w:val="00B37196"/>
    <w:rsid w:val="00B37201"/>
    <w:rsid w:val="00B37256"/>
    <w:rsid w:val="00B374C5"/>
    <w:rsid w:val="00B37B0A"/>
    <w:rsid w:val="00B37C49"/>
    <w:rsid w:val="00B37C92"/>
    <w:rsid w:val="00B37EDE"/>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948"/>
    <w:rsid w:val="00B45B6A"/>
    <w:rsid w:val="00B45D94"/>
    <w:rsid w:val="00B45FF4"/>
    <w:rsid w:val="00B460C3"/>
    <w:rsid w:val="00B46142"/>
    <w:rsid w:val="00B46356"/>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762"/>
    <w:rsid w:val="00B507CD"/>
    <w:rsid w:val="00B50B5B"/>
    <w:rsid w:val="00B50CED"/>
    <w:rsid w:val="00B50E3F"/>
    <w:rsid w:val="00B50FBD"/>
    <w:rsid w:val="00B5100C"/>
    <w:rsid w:val="00B51384"/>
    <w:rsid w:val="00B51736"/>
    <w:rsid w:val="00B517AF"/>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303"/>
    <w:rsid w:val="00B56559"/>
    <w:rsid w:val="00B5681C"/>
    <w:rsid w:val="00B56971"/>
    <w:rsid w:val="00B56A31"/>
    <w:rsid w:val="00B56B58"/>
    <w:rsid w:val="00B56E38"/>
    <w:rsid w:val="00B56F11"/>
    <w:rsid w:val="00B57357"/>
    <w:rsid w:val="00B57908"/>
    <w:rsid w:val="00B57C54"/>
    <w:rsid w:val="00B57D02"/>
    <w:rsid w:val="00B57D09"/>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B5F"/>
    <w:rsid w:val="00B66C27"/>
    <w:rsid w:val="00B66C5D"/>
    <w:rsid w:val="00B66EA9"/>
    <w:rsid w:val="00B66EB3"/>
    <w:rsid w:val="00B66EC1"/>
    <w:rsid w:val="00B66EFF"/>
    <w:rsid w:val="00B66F25"/>
    <w:rsid w:val="00B671BD"/>
    <w:rsid w:val="00B67AB7"/>
    <w:rsid w:val="00B67B2A"/>
    <w:rsid w:val="00B67BA9"/>
    <w:rsid w:val="00B67C33"/>
    <w:rsid w:val="00B67D0A"/>
    <w:rsid w:val="00B67EA5"/>
    <w:rsid w:val="00B67EA9"/>
    <w:rsid w:val="00B70161"/>
    <w:rsid w:val="00B70277"/>
    <w:rsid w:val="00B702FE"/>
    <w:rsid w:val="00B70463"/>
    <w:rsid w:val="00B70517"/>
    <w:rsid w:val="00B7063C"/>
    <w:rsid w:val="00B706B1"/>
    <w:rsid w:val="00B707BC"/>
    <w:rsid w:val="00B70A78"/>
    <w:rsid w:val="00B70C54"/>
    <w:rsid w:val="00B70F41"/>
    <w:rsid w:val="00B710AC"/>
    <w:rsid w:val="00B713A2"/>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4E58"/>
    <w:rsid w:val="00B7513D"/>
    <w:rsid w:val="00B7520C"/>
    <w:rsid w:val="00B752FB"/>
    <w:rsid w:val="00B75424"/>
    <w:rsid w:val="00B7546E"/>
    <w:rsid w:val="00B75F49"/>
    <w:rsid w:val="00B7646F"/>
    <w:rsid w:val="00B767DC"/>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79C"/>
    <w:rsid w:val="00B819C2"/>
    <w:rsid w:val="00B81F0C"/>
    <w:rsid w:val="00B8205A"/>
    <w:rsid w:val="00B824B6"/>
    <w:rsid w:val="00B82729"/>
    <w:rsid w:val="00B82B05"/>
    <w:rsid w:val="00B82CC5"/>
    <w:rsid w:val="00B82D85"/>
    <w:rsid w:val="00B82E55"/>
    <w:rsid w:val="00B83736"/>
    <w:rsid w:val="00B839B4"/>
    <w:rsid w:val="00B83B10"/>
    <w:rsid w:val="00B83C76"/>
    <w:rsid w:val="00B83EF9"/>
    <w:rsid w:val="00B84391"/>
    <w:rsid w:val="00B845BA"/>
    <w:rsid w:val="00B84E62"/>
    <w:rsid w:val="00B84F30"/>
    <w:rsid w:val="00B8543B"/>
    <w:rsid w:val="00B85598"/>
    <w:rsid w:val="00B8579A"/>
    <w:rsid w:val="00B857C5"/>
    <w:rsid w:val="00B8600F"/>
    <w:rsid w:val="00B860DF"/>
    <w:rsid w:val="00B865E4"/>
    <w:rsid w:val="00B868DE"/>
    <w:rsid w:val="00B872D5"/>
    <w:rsid w:val="00B873D0"/>
    <w:rsid w:val="00B87455"/>
    <w:rsid w:val="00B87464"/>
    <w:rsid w:val="00B874FD"/>
    <w:rsid w:val="00B87709"/>
    <w:rsid w:val="00B87A5B"/>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A18"/>
    <w:rsid w:val="00B94A2F"/>
    <w:rsid w:val="00B94DDB"/>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97"/>
    <w:rsid w:val="00BA0A11"/>
    <w:rsid w:val="00BA0AB1"/>
    <w:rsid w:val="00BA0AF4"/>
    <w:rsid w:val="00BA0F8F"/>
    <w:rsid w:val="00BA1064"/>
    <w:rsid w:val="00BA11EF"/>
    <w:rsid w:val="00BA1206"/>
    <w:rsid w:val="00BA1209"/>
    <w:rsid w:val="00BA13A3"/>
    <w:rsid w:val="00BA140E"/>
    <w:rsid w:val="00BA16EE"/>
    <w:rsid w:val="00BA19AB"/>
    <w:rsid w:val="00BA1F05"/>
    <w:rsid w:val="00BA28B9"/>
    <w:rsid w:val="00BA2918"/>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853"/>
    <w:rsid w:val="00BA4863"/>
    <w:rsid w:val="00BA4D37"/>
    <w:rsid w:val="00BA4F75"/>
    <w:rsid w:val="00BA50B3"/>
    <w:rsid w:val="00BA5504"/>
    <w:rsid w:val="00BA5505"/>
    <w:rsid w:val="00BA5537"/>
    <w:rsid w:val="00BA5634"/>
    <w:rsid w:val="00BA592A"/>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22C"/>
    <w:rsid w:val="00BB0305"/>
    <w:rsid w:val="00BB039A"/>
    <w:rsid w:val="00BB08F7"/>
    <w:rsid w:val="00BB0B61"/>
    <w:rsid w:val="00BB0BD7"/>
    <w:rsid w:val="00BB0D10"/>
    <w:rsid w:val="00BB0F0E"/>
    <w:rsid w:val="00BB1138"/>
    <w:rsid w:val="00BB14A0"/>
    <w:rsid w:val="00BB1585"/>
    <w:rsid w:val="00BB158F"/>
    <w:rsid w:val="00BB1652"/>
    <w:rsid w:val="00BB16DC"/>
    <w:rsid w:val="00BB1794"/>
    <w:rsid w:val="00BB1B6A"/>
    <w:rsid w:val="00BB1CE3"/>
    <w:rsid w:val="00BB1E32"/>
    <w:rsid w:val="00BB205E"/>
    <w:rsid w:val="00BB28D0"/>
    <w:rsid w:val="00BB2F2B"/>
    <w:rsid w:val="00BB31D4"/>
    <w:rsid w:val="00BB3216"/>
    <w:rsid w:val="00BB32DB"/>
    <w:rsid w:val="00BB34F4"/>
    <w:rsid w:val="00BB37CB"/>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754"/>
    <w:rsid w:val="00BB6AA5"/>
    <w:rsid w:val="00BB6C7C"/>
    <w:rsid w:val="00BB6D8B"/>
    <w:rsid w:val="00BB718C"/>
    <w:rsid w:val="00BB7194"/>
    <w:rsid w:val="00BB71AB"/>
    <w:rsid w:val="00BB75AF"/>
    <w:rsid w:val="00BB7949"/>
    <w:rsid w:val="00BB7B6E"/>
    <w:rsid w:val="00BB7CB8"/>
    <w:rsid w:val="00BB7DFD"/>
    <w:rsid w:val="00BB7FD6"/>
    <w:rsid w:val="00BC0A0C"/>
    <w:rsid w:val="00BC0B15"/>
    <w:rsid w:val="00BC0E18"/>
    <w:rsid w:val="00BC0E21"/>
    <w:rsid w:val="00BC1157"/>
    <w:rsid w:val="00BC12E9"/>
    <w:rsid w:val="00BC1592"/>
    <w:rsid w:val="00BC15D9"/>
    <w:rsid w:val="00BC1BC7"/>
    <w:rsid w:val="00BC1C77"/>
    <w:rsid w:val="00BC1CD0"/>
    <w:rsid w:val="00BC1D56"/>
    <w:rsid w:val="00BC1D86"/>
    <w:rsid w:val="00BC1F6B"/>
    <w:rsid w:val="00BC25B5"/>
    <w:rsid w:val="00BC2A4A"/>
    <w:rsid w:val="00BC2B56"/>
    <w:rsid w:val="00BC32F4"/>
    <w:rsid w:val="00BC3309"/>
    <w:rsid w:val="00BC3607"/>
    <w:rsid w:val="00BC37E2"/>
    <w:rsid w:val="00BC397A"/>
    <w:rsid w:val="00BC399A"/>
    <w:rsid w:val="00BC3BDD"/>
    <w:rsid w:val="00BC445A"/>
    <w:rsid w:val="00BC4A13"/>
    <w:rsid w:val="00BC4A66"/>
    <w:rsid w:val="00BC4C56"/>
    <w:rsid w:val="00BC4D2B"/>
    <w:rsid w:val="00BC5182"/>
    <w:rsid w:val="00BC54C3"/>
    <w:rsid w:val="00BC57C7"/>
    <w:rsid w:val="00BC5B6B"/>
    <w:rsid w:val="00BC619B"/>
    <w:rsid w:val="00BC62D6"/>
    <w:rsid w:val="00BC62E1"/>
    <w:rsid w:val="00BC6411"/>
    <w:rsid w:val="00BC665C"/>
    <w:rsid w:val="00BC66A4"/>
    <w:rsid w:val="00BC67D5"/>
    <w:rsid w:val="00BC68C0"/>
    <w:rsid w:val="00BC6CC7"/>
    <w:rsid w:val="00BC6E67"/>
    <w:rsid w:val="00BC754B"/>
    <w:rsid w:val="00BC7555"/>
    <w:rsid w:val="00BC76A1"/>
    <w:rsid w:val="00BC7B2C"/>
    <w:rsid w:val="00BD0096"/>
    <w:rsid w:val="00BD04A5"/>
    <w:rsid w:val="00BD08FE"/>
    <w:rsid w:val="00BD0A53"/>
    <w:rsid w:val="00BD0D1B"/>
    <w:rsid w:val="00BD0D63"/>
    <w:rsid w:val="00BD0E15"/>
    <w:rsid w:val="00BD0E56"/>
    <w:rsid w:val="00BD1158"/>
    <w:rsid w:val="00BD116D"/>
    <w:rsid w:val="00BD11F5"/>
    <w:rsid w:val="00BD1283"/>
    <w:rsid w:val="00BD1330"/>
    <w:rsid w:val="00BD1575"/>
    <w:rsid w:val="00BD1609"/>
    <w:rsid w:val="00BD165A"/>
    <w:rsid w:val="00BD2101"/>
    <w:rsid w:val="00BD217A"/>
    <w:rsid w:val="00BD2396"/>
    <w:rsid w:val="00BD27C3"/>
    <w:rsid w:val="00BD27D9"/>
    <w:rsid w:val="00BD28CC"/>
    <w:rsid w:val="00BD29D0"/>
    <w:rsid w:val="00BD316D"/>
    <w:rsid w:val="00BD320A"/>
    <w:rsid w:val="00BD357E"/>
    <w:rsid w:val="00BD3762"/>
    <w:rsid w:val="00BD3AA3"/>
    <w:rsid w:val="00BD3B99"/>
    <w:rsid w:val="00BD4070"/>
    <w:rsid w:val="00BD421A"/>
    <w:rsid w:val="00BD4C75"/>
    <w:rsid w:val="00BD4CFD"/>
    <w:rsid w:val="00BD4FB3"/>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710"/>
    <w:rsid w:val="00BD7979"/>
    <w:rsid w:val="00BD7AE4"/>
    <w:rsid w:val="00BE00A6"/>
    <w:rsid w:val="00BE014E"/>
    <w:rsid w:val="00BE04AD"/>
    <w:rsid w:val="00BE05E4"/>
    <w:rsid w:val="00BE0A41"/>
    <w:rsid w:val="00BE0D12"/>
    <w:rsid w:val="00BE0EE2"/>
    <w:rsid w:val="00BE10B5"/>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482"/>
    <w:rsid w:val="00BE34D3"/>
    <w:rsid w:val="00BE34DA"/>
    <w:rsid w:val="00BE3736"/>
    <w:rsid w:val="00BE385C"/>
    <w:rsid w:val="00BE3B2E"/>
    <w:rsid w:val="00BE3E71"/>
    <w:rsid w:val="00BE3F39"/>
    <w:rsid w:val="00BE44CE"/>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8E0"/>
    <w:rsid w:val="00C05BB2"/>
    <w:rsid w:val="00C05CE3"/>
    <w:rsid w:val="00C05F08"/>
    <w:rsid w:val="00C06045"/>
    <w:rsid w:val="00C060A1"/>
    <w:rsid w:val="00C06200"/>
    <w:rsid w:val="00C064A0"/>
    <w:rsid w:val="00C06570"/>
    <w:rsid w:val="00C066BB"/>
    <w:rsid w:val="00C067CA"/>
    <w:rsid w:val="00C068E9"/>
    <w:rsid w:val="00C06CE8"/>
    <w:rsid w:val="00C06D1C"/>
    <w:rsid w:val="00C06E89"/>
    <w:rsid w:val="00C072F4"/>
    <w:rsid w:val="00C07EED"/>
    <w:rsid w:val="00C1062A"/>
    <w:rsid w:val="00C10761"/>
    <w:rsid w:val="00C107D0"/>
    <w:rsid w:val="00C10835"/>
    <w:rsid w:val="00C1087A"/>
    <w:rsid w:val="00C10896"/>
    <w:rsid w:val="00C10DEF"/>
    <w:rsid w:val="00C10F0F"/>
    <w:rsid w:val="00C10F43"/>
    <w:rsid w:val="00C10F5D"/>
    <w:rsid w:val="00C11195"/>
    <w:rsid w:val="00C11650"/>
    <w:rsid w:val="00C1173F"/>
    <w:rsid w:val="00C11CDC"/>
    <w:rsid w:val="00C11D0C"/>
    <w:rsid w:val="00C11DF0"/>
    <w:rsid w:val="00C11F55"/>
    <w:rsid w:val="00C11FF6"/>
    <w:rsid w:val="00C1255D"/>
    <w:rsid w:val="00C12692"/>
    <w:rsid w:val="00C1297F"/>
    <w:rsid w:val="00C129F4"/>
    <w:rsid w:val="00C1301D"/>
    <w:rsid w:val="00C136FB"/>
    <w:rsid w:val="00C1371A"/>
    <w:rsid w:val="00C13A43"/>
    <w:rsid w:val="00C13B76"/>
    <w:rsid w:val="00C13D2F"/>
    <w:rsid w:val="00C14372"/>
    <w:rsid w:val="00C145A3"/>
    <w:rsid w:val="00C14714"/>
    <w:rsid w:val="00C147EC"/>
    <w:rsid w:val="00C14C18"/>
    <w:rsid w:val="00C150E4"/>
    <w:rsid w:val="00C15212"/>
    <w:rsid w:val="00C15489"/>
    <w:rsid w:val="00C1556D"/>
    <w:rsid w:val="00C156BF"/>
    <w:rsid w:val="00C15A20"/>
    <w:rsid w:val="00C15B0F"/>
    <w:rsid w:val="00C15B5E"/>
    <w:rsid w:val="00C15B65"/>
    <w:rsid w:val="00C15CC2"/>
    <w:rsid w:val="00C15CF9"/>
    <w:rsid w:val="00C1602D"/>
    <w:rsid w:val="00C160D8"/>
    <w:rsid w:val="00C161D3"/>
    <w:rsid w:val="00C162FE"/>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89D"/>
    <w:rsid w:val="00C26CD2"/>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94"/>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997"/>
    <w:rsid w:val="00C34AD9"/>
    <w:rsid w:val="00C35436"/>
    <w:rsid w:val="00C354F3"/>
    <w:rsid w:val="00C358EF"/>
    <w:rsid w:val="00C35F4C"/>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DB"/>
    <w:rsid w:val="00C504D0"/>
    <w:rsid w:val="00C5050C"/>
    <w:rsid w:val="00C507F4"/>
    <w:rsid w:val="00C508EB"/>
    <w:rsid w:val="00C50E46"/>
    <w:rsid w:val="00C511C1"/>
    <w:rsid w:val="00C5128E"/>
    <w:rsid w:val="00C51339"/>
    <w:rsid w:val="00C5136A"/>
    <w:rsid w:val="00C5184F"/>
    <w:rsid w:val="00C5195A"/>
    <w:rsid w:val="00C51B1E"/>
    <w:rsid w:val="00C51B4C"/>
    <w:rsid w:val="00C51D65"/>
    <w:rsid w:val="00C51F4D"/>
    <w:rsid w:val="00C521B8"/>
    <w:rsid w:val="00C52217"/>
    <w:rsid w:val="00C525F2"/>
    <w:rsid w:val="00C52913"/>
    <w:rsid w:val="00C52C29"/>
    <w:rsid w:val="00C52CDA"/>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4F5"/>
    <w:rsid w:val="00C60583"/>
    <w:rsid w:val="00C60834"/>
    <w:rsid w:val="00C609C2"/>
    <w:rsid w:val="00C60B77"/>
    <w:rsid w:val="00C60E00"/>
    <w:rsid w:val="00C6119F"/>
    <w:rsid w:val="00C61276"/>
    <w:rsid w:val="00C613DF"/>
    <w:rsid w:val="00C61515"/>
    <w:rsid w:val="00C616E0"/>
    <w:rsid w:val="00C617C1"/>
    <w:rsid w:val="00C61964"/>
    <w:rsid w:val="00C61C67"/>
    <w:rsid w:val="00C61CFA"/>
    <w:rsid w:val="00C61EF8"/>
    <w:rsid w:val="00C622C3"/>
    <w:rsid w:val="00C627CD"/>
    <w:rsid w:val="00C62B04"/>
    <w:rsid w:val="00C62D96"/>
    <w:rsid w:val="00C62E01"/>
    <w:rsid w:val="00C6322A"/>
    <w:rsid w:val="00C634A9"/>
    <w:rsid w:val="00C634DA"/>
    <w:rsid w:val="00C63531"/>
    <w:rsid w:val="00C63901"/>
    <w:rsid w:val="00C6390E"/>
    <w:rsid w:val="00C63B72"/>
    <w:rsid w:val="00C63D17"/>
    <w:rsid w:val="00C640BF"/>
    <w:rsid w:val="00C64580"/>
    <w:rsid w:val="00C645D6"/>
    <w:rsid w:val="00C6498E"/>
    <w:rsid w:val="00C64F13"/>
    <w:rsid w:val="00C6514F"/>
    <w:rsid w:val="00C65626"/>
    <w:rsid w:val="00C656B8"/>
    <w:rsid w:val="00C6580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7B0"/>
    <w:rsid w:val="00C73811"/>
    <w:rsid w:val="00C73B3A"/>
    <w:rsid w:val="00C73DE4"/>
    <w:rsid w:val="00C73EC5"/>
    <w:rsid w:val="00C745D2"/>
    <w:rsid w:val="00C7473F"/>
    <w:rsid w:val="00C74A66"/>
    <w:rsid w:val="00C74A8A"/>
    <w:rsid w:val="00C74BAF"/>
    <w:rsid w:val="00C74E63"/>
    <w:rsid w:val="00C75103"/>
    <w:rsid w:val="00C75123"/>
    <w:rsid w:val="00C752CB"/>
    <w:rsid w:val="00C7549B"/>
    <w:rsid w:val="00C75900"/>
    <w:rsid w:val="00C75A26"/>
    <w:rsid w:val="00C75B25"/>
    <w:rsid w:val="00C75C7A"/>
    <w:rsid w:val="00C763A0"/>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C84"/>
    <w:rsid w:val="00C80D48"/>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F2C"/>
    <w:rsid w:val="00C8390F"/>
    <w:rsid w:val="00C83D58"/>
    <w:rsid w:val="00C83FB0"/>
    <w:rsid w:val="00C8401F"/>
    <w:rsid w:val="00C840EF"/>
    <w:rsid w:val="00C845E7"/>
    <w:rsid w:val="00C846AF"/>
    <w:rsid w:val="00C846FB"/>
    <w:rsid w:val="00C847BF"/>
    <w:rsid w:val="00C84842"/>
    <w:rsid w:val="00C848DB"/>
    <w:rsid w:val="00C84A6B"/>
    <w:rsid w:val="00C8567D"/>
    <w:rsid w:val="00C85C84"/>
    <w:rsid w:val="00C85FC8"/>
    <w:rsid w:val="00C8623A"/>
    <w:rsid w:val="00C862E0"/>
    <w:rsid w:val="00C86328"/>
    <w:rsid w:val="00C86A40"/>
    <w:rsid w:val="00C86D23"/>
    <w:rsid w:val="00C86EC1"/>
    <w:rsid w:val="00C86F42"/>
    <w:rsid w:val="00C870E4"/>
    <w:rsid w:val="00C8721D"/>
    <w:rsid w:val="00C87274"/>
    <w:rsid w:val="00C8727A"/>
    <w:rsid w:val="00C874A7"/>
    <w:rsid w:val="00C875D2"/>
    <w:rsid w:val="00C87F4E"/>
    <w:rsid w:val="00C906D8"/>
    <w:rsid w:val="00C90858"/>
    <w:rsid w:val="00C90951"/>
    <w:rsid w:val="00C9099C"/>
    <w:rsid w:val="00C90FF1"/>
    <w:rsid w:val="00C91007"/>
    <w:rsid w:val="00C91115"/>
    <w:rsid w:val="00C913BE"/>
    <w:rsid w:val="00C92010"/>
    <w:rsid w:val="00C9235B"/>
    <w:rsid w:val="00C923E3"/>
    <w:rsid w:val="00C92625"/>
    <w:rsid w:val="00C928EF"/>
    <w:rsid w:val="00C92AC1"/>
    <w:rsid w:val="00C9311D"/>
    <w:rsid w:val="00C93339"/>
    <w:rsid w:val="00C933B3"/>
    <w:rsid w:val="00C93464"/>
    <w:rsid w:val="00C9349F"/>
    <w:rsid w:val="00C936F4"/>
    <w:rsid w:val="00C93B23"/>
    <w:rsid w:val="00C93E08"/>
    <w:rsid w:val="00C94042"/>
    <w:rsid w:val="00C94140"/>
    <w:rsid w:val="00C94C5C"/>
    <w:rsid w:val="00C95146"/>
    <w:rsid w:val="00C955FE"/>
    <w:rsid w:val="00C95900"/>
    <w:rsid w:val="00C959BB"/>
    <w:rsid w:val="00C95B30"/>
    <w:rsid w:val="00C95C24"/>
    <w:rsid w:val="00C95D7B"/>
    <w:rsid w:val="00C961BB"/>
    <w:rsid w:val="00C961F3"/>
    <w:rsid w:val="00C968FA"/>
    <w:rsid w:val="00C96A50"/>
    <w:rsid w:val="00C96B68"/>
    <w:rsid w:val="00C97606"/>
    <w:rsid w:val="00C97954"/>
    <w:rsid w:val="00C97A9D"/>
    <w:rsid w:val="00C97DE1"/>
    <w:rsid w:val="00C97F8D"/>
    <w:rsid w:val="00CA027B"/>
    <w:rsid w:val="00CA058D"/>
    <w:rsid w:val="00CA07EB"/>
    <w:rsid w:val="00CA0808"/>
    <w:rsid w:val="00CA0A2C"/>
    <w:rsid w:val="00CA0A60"/>
    <w:rsid w:val="00CA0D30"/>
    <w:rsid w:val="00CA11A7"/>
    <w:rsid w:val="00CA1E9D"/>
    <w:rsid w:val="00CA1F88"/>
    <w:rsid w:val="00CA2272"/>
    <w:rsid w:val="00CA22DD"/>
    <w:rsid w:val="00CA25A2"/>
    <w:rsid w:val="00CA2661"/>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1019"/>
    <w:rsid w:val="00CB118D"/>
    <w:rsid w:val="00CB12C7"/>
    <w:rsid w:val="00CB1599"/>
    <w:rsid w:val="00CB1774"/>
    <w:rsid w:val="00CB1ABB"/>
    <w:rsid w:val="00CB23D3"/>
    <w:rsid w:val="00CB2FAE"/>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980"/>
    <w:rsid w:val="00CB5C5C"/>
    <w:rsid w:val="00CB5CDB"/>
    <w:rsid w:val="00CB6130"/>
    <w:rsid w:val="00CB660C"/>
    <w:rsid w:val="00CB67F7"/>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AC2"/>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63F"/>
    <w:rsid w:val="00CD26A9"/>
    <w:rsid w:val="00CD280D"/>
    <w:rsid w:val="00CD28E0"/>
    <w:rsid w:val="00CD2C98"/>
    <w:rsid w:val="00CD2ECB"/>
    <w:rsid w:val="00CD3274"/>
    <w:rsid w:val="00CD3BE3"/>
    <w:rsid w:val="00CD4116"/>
    <w:rsid w:val="00CD4330"/>
    <w:rsid w:val="00CD4775"/>
    <w:rsid w:val="00CD4A9B"/>
    <w:rsid w:val="00CD4B80"/>
    <w:rsid w:val="00CD4E74"/>
    <w:rsid w:val="00CD4EE7"/>
    <w:rsid w:val="00CD50EF"/>
    <w:rsid w:val="00CD51A6"/>
    <w:rsid w:val="00CD520B"/>
    <w:rsid w:val="00CD5A95"/>
    <w:rsid w:val="00CD5EEB"/>
    <w:rsid w:val="00CD5F8B"/>
    <w:rsid w:val="00CD6D3B"/>
    <w:rsid w:val="00CD6EC5"/>
    <w:rsid w:val="00CD717A"/>
    <w:rsid w:val="00CD7705"/>
    <w:rsid w:val="00CD799B"/>
    <w:rsid w:val="00CD79B6"/>
    <w:rsid w:val="00CD7ABF"/>
    <w:rsid w:val="00CD7C9F"/>
    <w:rsid w:val="00CE0244"/>
    <w:rsid w:val="00CE03E2"/>
    <w:rsid w:val="00CE05D3"/>
    <w:rsid w:val="00CE07D6"/>
    <w:rsid w:val="00CE093F"/>
    <w:rsid w:val="00CE0A48"/>
    <w:rsid w:val="00CE0A73"/>
    <w:rsid w:val="00CE0B00"/>
    <w:rsid w:val="00CE0C0B"/>
    <w:rsid w:val="00CE1244"/>
    <w:rsid w:val="00CE177E"/>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5600"/>
    <w:rsid w:val="00CE59C9"/>
    <w:rsid w:val="00CE5A9B"/>
    <w:rsid w:val="00CE5F42"/>
    <w:rsid w:val="00CE5FAB"/>
    <w:rsid w:val="00CE62C7"/>
    <w:rsid w:val="00CE675A"/>
    <w:rsid w:val="00CE68B9"/>
    <w:rsid w:val="00CE6C0E"/>
    <w:rsid w:val="00CE6D9B"/>
    <w:rsid w:val="00CE7A8A"/>
    <w:rsid w:val="00CE7D2A"/>
    <w:rsid w:val="00CF0590"/>
    <w:rsid w:val="00CF0966"/>
    <w:rsid w:val="00CF0C9F"/>
    <w:rsid w:val="00CF1557"/>
    <w:rsid w:val="00CF1567"/>
    <w:rsid w:val="00CF17B1"/>
    <w:rsid w:val="00CF1A29"/>
    <w:rsid w:val="00CF1BB3"/>
    <w:rsid w:val="00CF1C8F"/>
    <w:rsid w:val="00CF2200"/>
    <w:rsid w:val="00CF25E8"/>
    <w:rsid w:val="00CF28C7"/>
    <w:rsid w:val="00CF28ED"/>
    <w:rsid w:val="00CF2B82"/>
    <w:rsid w:val="00CF2D07"/>
    <w:rsid w:val="00CF2EF0"/>
    <w:rsid w:val="00CF342E"/>
    <w:rsid w:val="00CF3AA7"/>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9E2"/>
    <w:rsid w:val="00CF7DAC"/>
    <w:rsid w:val="00CF7E92"/>
    <w:rsid w:val="00D000D2"/>
    <w:rsid w:val="00D002B6"/>
    <w:rsid w:val="00D006F5"/>
    <w:rsid w:val="00D0088F"/>
    <w:rsid w:val="00D00B28"/>
    <w:rsid w:val="00D00B9A"/>
    <w:rsid w:val="00D01170"/>
    <w:rsid w:val="00D012C6"/>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541"/>
    <w:rsid w:val="00D05669"/>
    <w:rsid w:val="00D05883"/>
    <w:rsid w:val="00D05D0C"/>
    <w:rsid w:val="00D06030"/>
    <w:rsid w:val="00D062BE"/>
    <w:rsid w:val="00D0634A"/>
    <w:rsid w:val="00D064FF"/>
    <w:rsid w:val="00D070FD"/>
    <w:rsid w:val="00D0757E"/>
    <w:rsid w:val="00D075E2"/>
    <w:rsid w:val="00D076AD"/>
    <w:rsid w:val="00D07870"/>
    <w:rsid w:val="00D078CA"/>
    <w:rsid w:val="00D07A8C"/>
    <w:rsid w:val="00D07B22"/>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772"/>
    <w:rsid w:val="00D17B5D"/>
    <w:rsid w:val="00D17FD2"/>
    <w:rsid w:val="00D2042C"/>
    <w:rsid w:val="00D2074E"/>
    <w:rsid w:val="00D21412"/>
    <w:rsid w:val="00D21425"/>
    <w:rsid w:val="00D21AC6"/>
    <w:rsid w:val="00D21F28"/>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5209"/>
    <w:rsid w:val="00D2536C"/>
    <w:rsid w:val="00D258EA"/>
    <w:rsid w:val="00D25D28"/>
    <w:rsid w:val="00D25EF6"/>
    <w:rsid w:val="00D26074"/>
    <w:rsid w:val="00D266AF"/>
    <w:rsid w:val="00D26730"/>
    <w:rsid w:val="00D26949"/>
    <w:rsid w:val="00D26E53"/>
    <w:rsid w:val="00D27703"/>
    <w:rsid w:val="00D27BA4"/>
    <w:rsid w:val="00D27BC8"/>
    <w:rsid w:val="00D27E46"/>
    <w:rsid w:val="00D27F5B"/>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C6B"/>
    <w:rsid w:val="00D33EEC"/>
    <w:rsid w:val="00D33F99"/>
    <w:rsid w:val="00D34109"/>
    <w:rsid w:val="00D346A3"/>
    <w:rsid w:val="00D34814"/>
    <w:rsid w:val="00D34A4F"/>
    <w:rsid w:val="00D34A6B"/>
    <w:rsid w:val="00D34D52"/>
    <w:rsid w:val="00D34E9A"/>
    <w:rsid w:val="00D34EEE"/>
    <w:rsid w:val="00D351A3"/>
    <w:rsid w:val="00D35259"/>
    <w:rsid w:val="00D353AB"/>
    <w:rsid w:val="00D357E7"/>
    <w:rsid w:val="00D35FB9"/>
    <w:rsid w:val="00D36099"/>
    <w:rsid w:val="00D36183"/>
    <w:rsid w:val="00D36285"/>
    <w:rsid w:val="00D362F9"/>
    <w:rsid w:val="00D365CC"/>
    <w:rsid w:val="00D366B9"/>
    <w:rsid w:val="00D367D7"/>
    <w:rsid w:val="00D36C92"/>
    <w:rsid w:val="00D36C9A"/>
    <w:rsid w:val="00D36D5F"/>
    <w:rsid w:val="00D36DB5"/>
    <w:rsid w:val="00D37129"/>
    <w:rsid w:val="00D371B7"/>
    <w:rsid w:val="00D377A9"/>
    <w:rsid w:val="00D377C9"/>
    <w:rsid w:val="00D37985"/>
    <w:rsid w:val="00D37C5E"/>
    <w:rsid w:val="00D4037E"/>
    <w:rsid w:val="00D4056F"/>
    <w:rsid w:val="00D40576"/>
    <w:rsid w:val="00D40D63"/>
    <w:rsid w:val="00D4109C"/>
    <w:rsid w:val="00D41219"/>
    <w:rsid w:val="00D413E1"/>
    <w:rsid w:val="00D41401"/>
    <w:rsid w:val="00D41468"/>
    <w:rsid w:val="00D414F6"/>
    <w:rsid w:val="00D419BE"/>
    <w:rsid w:val="00D41B87"/>
    <w:rsid w:val="00D41DF3"/>
    <w:rsid w:val="00D41E8E"/>
    <w:rsid w:val="00D4220D"/>
    <w:rsid w:val="00D42567"/>
    <w:rsid w:val="00D42822"/>
    <w:rsid w:val="00D42A19"/>
    <w:rsid w:val="00D42B50"/>
    <w:rsid w:val="00D42E1F"/>
    <w:rsid w:val="00D42F2D"/>
    <w:rsid w:val="00D4334E"/>
    <w:rsid w:val="00D438A7"/>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906"/>
    <w:rsid w:val="00D50111"/>
    <w:rsid w:val="00D5087C"/>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510E"/>
    <w:rsid w:val="00D55394"/>
    <w:rsid w:val="00D5541C"/>
    <w:rsid w:val="00D55615"/>
    <w:rsid w:val="00D55632"/>
    <w:rsid w:val="00D556AD"/>
    <w:rsid w:val="00D557D9"/>
    <w:rsid w:val="00D55E74"/>
    <w:rsid w:val="00D55F57"/>
    <w:rsid w:val="00D56090"/>
    <w:rsid w:val="00D561BA"/>
    <w:rsid w:val="00D56684"/>
    <w:rsid w:val="00D56686"/>
    <w:rsid w:val="00D567C3"/>
    <w:rsid w:val="00D56935"/>
    <w:rsid w:val="00D56AA3"/>
    <w:rsid w:val="00D56B67"/>
    <w:rsid w:val="00D56C6A"/>
    <w:rsid w:val="00D57036"/>
    <w:rsid w:val="00D57274"/>
    <w:rsid w:val="00D57B65"/>
    <w:rsid w:val="00D57CA3"/>
    <w:rsid w:val="00D57EC6"/>
    <w:rsid w:val="00D60058"/>
    <w:rsid w:val="00D600A1"/>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1D9"/>
    <w:rsid w:val="00D63256"/>
    <w:rsid w:val="00D632DC"/>
    <w:rsid w:val="00D637D2"/>
    <w:rsid w:val="00D638DF"/>
    <w:rsid w:val="00D64095"/>
    <w:rsid w:val="00D64143"/>
    <w:rsid w:val="00D64A29"/>
    <w:rsid w:val="00D64E5A"/>
    <w:rsid w:val="00D651AA"/>
    <w:rsid w:val="00D65296"/>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B5C"/>
    <w:rsid w:val="00D73BC7"/>
    <w:rsid w:val="00D7445E"/>
    <w:rsid w:val="00D74809"/>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01C"/>
    <w:rsid w:val="00D77236"/>
    <w:rsid w:val="00D772C7"/>
    <w:rsid w:val="00D777B7"/>
    <w:rsid w:val="00D77FD5"/>
    <w:rsid w:val="00D80112"/>
    <w:rsid w:val="00D801B8"/>
    <w:rsid w:val="00D8062A"/>
    <w:rsid w:val="00D80F03"/>
    <w:rsid w:val="00D80F1B"/>
    <w:rsid w:val="00D815A2"/>
    <w:rsid w:val="00D81694"/>
    <w:rsid w:val="00D8170B"/>
    <w:rsid w:val="00D81838"/>
    <w:rsid w:val="00D818E1"/>
    <w:rsid w:val="00D81A2A"/>
    <w:rsid w:val="00D81C9D"/>
    <w:rsid w:val="00D82032"/>
    <w:rsid w:val="00D8208D"/>
    <w:rsid w:val="00D82A85"/>
    <w:rsid w:val="00D82F85"/>
    <w:rsid w:val="00D83642"/>
    <w:rsid w:val="00D8406C"/>
    <w:rsid w:val="00D840E3"/>
    <w:rsid w:val="00D84341"/>
    <w:rsid w:val="00D843A3"/>
    <w:rsid w:val="00D843C0"/>
    <w:rsid w:val="00D84783"/>
    <w:rsid w:val="00D84A43"/>
    <w:rsid w:val="00D84BC8"/>
    <w:rsid w:val="00D8507B"/>
    <w:rsid w:val="00D8520A"/>
    <w:rsid w:val="00D8521E"/>
    <w:rsid w:val="00D852C9"/>
    <w:rsid w:val="00D855AF"/>
    <w:rsid w:val="00D857CA"/>
    <w:rsid w:val="00D858EF"/>
    <w:rsid w:val="00D85B58"/>
    <w:rsid w:val="00D85B9F"/>
    <w:rsid w:val="00D85E76"/>
    <w:rsid w:val="00D862D3"/>
    <w:rsid w:val="00D86539"/>
    <w:rsid w:val="00D8688F"/>
    <w:rsid w:val="00D86FAC"/>
    <w:rsid w:val="00D8701D"/>
    <w:rsid w:val="00D878D2"/>
    <w:rsid w:val="00D87AFE"/>
    <w:rsid w:val="00D90497"/>
    <w:rsid w:val="00D904B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E0E"/>
    <w:rsid w:val="00D92EB3"/>
    <w:rsid w:val="00D933B3"/>
    <w:rsid w:val="00D93445"/>
    <w:rsid w:val="00D935BD"/>
    <w:rsid w:val="00D93610"/>
    <w:rsid w:val="00D936BF"/>
    <w:rsid w:val="00D9383A"/>
    <w:rsid w:val="00D93868"/>
    <w:rsid w:val="00D939F9"/>
    <w:rsid w:val="00D93BE8"/>
    <w:rsid w:val="00D949B1"/>
    <w:rsid w:val="00D94C8C"/>
    <w:rsid w:val="00D94D8D"/>
    <w:rsid w:val="00D94E90"/>
    <w:rsid w:val="00D94FC8"/>
    <w:rsid w:val="00D95690"/>
    <w:rsid w:val="00D95787"/>
    <w:rsid w:val="00D95E4E"/>
    <w:rsid w:val="00D95FE6"/>
    <w:rsid w:val="00D960A6"/>
    <w:rsid w:val="00D962F5"/>
    <w:rsid w:val="00D96309"/>
    <w:rsid w:val="00D96776"/>
    <w:rsid w:val="00D967DC"/>
    <w:rsid w:val="00D967E1"/>
    <w:rsid w:val="00D968A8"/>
    <w:rsid w:val="00D96A46"/>
    <w:rsid w:val="00D96A82"/>
    <w:rsid w:val="00D96D76"/>
    <w:rsid w:val="00D96DC2"/>
    <w:rsid w:val="00D96E4B"/>
    <w:rsid w:val="00D97039"/>
    <w:rsid w:val="00D9718A"/>
    <w:rsid w:val="00D97309"/>
    <w:rsid w:val="00D9735C"/>
    <w:rsid w:val="00D975DB"/>
    <w:rsid w:val="00D97AC8"/>
    <w:rsid w:val="00D97B9B"/>
    <w:rsid w:val="00D97C2D"/>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879"/>
    <w:rsid w:val="00DA69C0"/>
    <w:rsid w:val="00DA6AD4"/>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DD1"/>
    <w:rsid w:val="00DB3F49"/>
    <w:rsid w:val="00DB4260"/>
    <w:rsid w:val="00DB4534"/>
    <w:rsid w:val="00DB47B4"/>
    <w:rsid w:val="00DB49C0"/>
    <w:rsid w:val="00DB4B44"/>
    <w:rsid w:val="00DB4CB5"/>
    <w:rsid w:val="00DB5223"/>
    <w:rsid w:val="00DB5997"/>
    <w:rsid w:val="00DB5E35"/>
    <w:rsid w:val="00DB5F14"/>
    <w:rsid w:val="00DB5F5E"/>
    <w:rsid w:val="00DB5FA1"/>
    <w:rsid w:val="00DB5FC6"/>
    <w:rsid w:val="00DB6150"/>
    <w:rsid w:val="00DB625A"/>
    <w:rsid w:val="00DB6C09"/>
    <w:rsid w:val="00DB706F"/>
    <w:rsid w:val="00DB7147"/>
    <w:rsid w:val="00DB741D"/>
    <w:rsid w:val="00DB765D"/>
    <w:rsid w:val="00DB7AFF"/>
    <w:rsid w:val="00DB7DB3"/>
    <w:rsid w:val="00DC00E3"/>
    <w:rsid w:val="00DC07F9"/>
    <w:rsid w:val="00DC1206"/>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9E5"/>
    <w:rsid w:val="00DD1B27"/>
    <w:rsid w:val="00DD1BE4"/>
    <w:rsid w:val="00DD1C69"/>
    <w:rsid w:val="00DD1E1C"/>
    <w:rsid w:val="00DD2695"/>
    <w:rsid w:val="00DD2AF7"/>
    <w:rsid w:val="00DD2AFD"/>
    <w:rsid w:val="00DD31B6"/>
    <w:rsid w:val="00DD31C3"/>
    <w:rsid w:val="00DD3343"/>
    <w:rsid w:val="00DD392B"/>
    <w:rsid w:val="00DD3AB5"/>
    <w:rsid w:val="00DD406A"/>
    <w:rsid w:val="00DD408D"/>
    <w:rsid w:val="00DD40EB"/>
    <w:rsid w:val="00DD41CB"/>
    <w:rsid w:val="00DD4C3A"/>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704A"/>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06F"/>
    <w:rsid w:val="00DE348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707"/>
    <w:rsid w:val="00DE6C8C"/>
    <w:rsid w:val="00DE6D49"/>
    <w:rsid w:val="00DE6D4B"/>
    <w:rsid w:val="00DE6F9F"/>
    <w:rsid w:val="00DE7157"/>
    <w:rsid w:val="00DE71A3"/>
    <w:rsid w:val="00DE71FF"/>
    <w:rsid w:val="00DE749A"/>
    <w:rsid w:val="00DE76E5"/>
    <w:rsid w:val="00DE773D"/>
    <w:rsid w:val="00DE7A76"/>
    <w:rsid w:val="00DE7F48"/>
    <w:rsid w:val="00DF050E"/>
    <w:rsid w:val="00DF052A"/>
    <w:rsid w:val="00DF09C0"/>
    <w:rsid w:val="00DF0E0D"/>
    <w:rsid w:val="00DF0E61"/>
    <w:rsid w:val="00DF11FC"/>
    <w:rsid w:val="00DF1759"/>
    <w:rsid w:val="00DF1768"/>
    <w:rsid w:val="00DF1D4B"/>
    <w:rsid w:val="00DF229A"/>
    <w:rsid w:val="00DF2621"/>
    <w:rsid w:val="00DF310C"/>
    <w:rsid w:val="00DF33CE"/>
    <w:rsid w:val="00DF387D"/>
    <w:rsid w:val="00DF3DDB"/>
    <w:rsid w:val="00DF3E45"/>
    <w:rsid w:val="00DF41C0"/>
    <w:rsid w:val="00DF4354"/>
    <w:rsid w:val="00DF45B9"/>
    <w:rsid w:val="00DF4798"/>
    <w:rsid w:val="00DF498C"/>
    <w:rsid w:val="00DF4A17"/>
    <w:rsid w:val="00DF4C6E"/>
    <w:rsid w:val="00DF4E5A"/>
    <w:rsid w:val="00DF5195"/>
    <w:rsid w:val="00DF5455"/>
    <w:rsid w:val="00DF60E8"/>
    <w:rsid w:val="00DF61B7"/>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E60"/>
    <w:rsid w:val="00E01847"/>
    <w:rsid w:val="00E0186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F76"/>
    <w:rsid w:val="00E04F78"/>
    <w:rsid w:val="00E0508A"/>
    <w:rsid w:val="00E051C0"/>
    <w:rsid w:val="00E05377"/>
    <w:rsid w:val="00E05800"/>
    <w:rsid w:val="00E05E2A"/>
    <w:rsid w:val="00E05EA2"/>
    <w:rsid w:val="00E06680"/>
    <w:rsid w:val="00E06819"/>
    <w:rsid w:val="00E069C0"/>
    <w:rsid w:val="00E06A77"/>
    <w:rsid w:val="00E06B1B"/>
    <w:rsid w:val="00E06E6B"/>
    <w:rsid w:val="00E0703F"/>
    <w:rsid w:val="00E070FD"/>
    <w:rsid w:val="00E0767C"/>
    <w:rsid w:val="00E07708"/>
    <w:rsid w:val="00E0787E"/>
    <w:rsid w:val="00E079D3"/>
    <w:rsid w:val="00E1019F"/>
    <w:rsid w:val="00E1037E"/>
    <w:rsid w:val="00E109E9"/>
    <w:rsid w:val="00E10DC6"/>
    <w:rsid w:val="00E11137"/>
    <w:rsid w:val="00E11258"/>
    <w:rsid w:val="00E11487"/>
    <w:rsid w:val="00E114C8"/>
    <w:rsid w:val="00E11620"/>
    <w:rsid w:val="00E11B6A"/>
    <w:rsid w:val="00E11FD5"/>
    <w:rsid w:val="00E1201E"/>
    <w:rsid w:val="00E1270A"/>
    <w:rsid w:val="00E127D7"/>
    <w:rsid w:val="00E12E98"/>
    <w:rsid w:val="00E1344E"/>
    <w:rsid w:val="00E137C4"/>
    <w:rsid w:val="00E13D6A"/>
    <w:rsid w:val="00E13E84"/>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17BC6"/>
    <w:rsid w:val="00E17CE5"/>
    <w:rsid w:val="00E20557"/>
    <w:rsid w:val="00E20758"/>
    <w:rsid w:val="00E2096E"/>
    <w:rsid w:val="00E20F31"/>
    <w:rsid w:val="00E21042"/>
    <w:rsid w:val="00E2119E"/>
    <w:rsid w:val="00E2137E"/>
    <w:rsid w:val="00E213E9"/>
    <w:rsid w:val="00E214C7"/>
    <w:rsid w:val="00E21511"/>
    <w:rsid w:val="00E21591"/>
    <w:rsid w:val="00E21651"/>
    <w:rsid w:val="00E21ABE"/>
    <w:rsid w:val="00E21B5A"/>
    <w:rsid w:val="00E21CDA"/>
    <w:rsid w:val="00E21D01"/>
    <w:rsid w:val="00E21E45"/>
    <w:rsid w:val="00E22280"/>
    <w:rsid w:val="00E22B43"/>
    <w:rsid w:val="00E22B74"/>
    <w:rsid w:val="00E22D92"/>
    <w:rsid w:val="00E22DD9"/>
    <w:rsid w:val="00E2303C"/>
    <w:rsid w:val="00E2353C"/>
    <w:rsid w:val="00E236C5"/>
    <w:rsid w:val="00E23717"/>
    <w:rsid w:val="00E23A7B"/>
    <w:rsid w:val="00E23B95"/>
    <w:rsid w:val="00E244E6"/>
    <w:rsid w:val="00E246B2"/>
    <w:rsid w:val="00E24EE1"/>
    <w:rsid w:val="00E25687"/>
    <w:rsid w:val="00E2594D"/>
    <w:rsid w:val="00E25A1E"/>
    <w:rsid w:val="00E25EB1"/>
    <w:rsid w:val="00E260A2"/>
    <w:rsid w:val="00E264DB"/>
    <w:rsid w:val="00E26786"/>
    <w:rsid w:val="00E26AB5"/>
    <w:rsid w:val="00E26DCB"/>
    <w:rsid w:val="00E27278"/>
    <w:rsid w:val="00E272D3"/>
    <w:rsid w:val="00E2774F"/>
    <w:rsid w:val="00E278C5"/>
    <w:rsid w:val="00E27BE3"/>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D58"/>
    <w:rsid w:val="00E32DCE"/>
    <w:rsid w:val="00E32DD1"/>
    <w:rsid w:val="00E32F67"/>
    <w:rsid w:val="00E33317"/>
    <w:rsid w:val="00E335CB"/>
    <w:rsid w:val="00E33689"/>
    <w:rsid w:val="00E337C4"/>
    <w:rsid w:val="00E3385B"/>
    <w:rsid w:val="00E339D3"/>
    <w:rsid w:val="00E33E00"/>
    <w:rsid w:val="00E33E40"/>
    <w:rsid w:val="00E3407E"/>
    <w:rsid w:val="00E34132"/>
    <w:rsid w:val="00E347EE"/>
    <w:rsid w:val="00E34830"/>
    <w:rsid w:val="00E34AE8"/>
    <w:rsid w:val="00E34AFA"/>
    <w:rsid w:val="00E35018"/>
    <w:rsid w:val="00E351CC"/>
    <w:rsid w:val="00E352EC"/>
    <w:rsid w:val="00E35615"/>
    <w:rsid w:val="00E3577B"/>
    <w:rsid w:val="00E35ACA"/>
    <w:rsid w:val="00E35B1B"/>
    <w:rsid w:val="00E36174"/>
    <w:rsid w:val="00E3619D"/>
    <w:rsid w:val="00E362EA"/>
    <w:rsid w:val="00E36B97"/>
    <w:rsid w:val="00E36ECF"/>
    <w:rsid w:val="00E37591"/>
    <w:rsid w:val="00E378B9"/>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B6"/>
    <w:rsid w:val="00E45493"/>
    <w:rsid w:val="00E454B6"/>
    <w:rsid w:val="00E4563A"/>
    <w:rsid w:val="00E45852"/>
    <w:rsid w:val="00E4585F"/>
    <w:rsid w:val="00E45D58"/>
    <w:rsid w:val="00E460F7"/>
    <w:rsid w:val="00E463CC"/>
    <w:rsid w:val="00E46446"/>
    <w:rsid w:val="00E464E1"/>
    <w:rsid w:val="00E465C4"/>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550"/>
    <w:rsid w:val="00E565AC"/>
    <w:rsid w:val="00E5666A"/>
    <w:rsid w:val="00E5669A"/>
    <w:rsid w:val="00E56825"/>
    <w:rsid w:val="00E568F2"/>
    <w:rsid w:val="00E56B6F"/>
    <w:rsid w:val="00E56D2C"/>
    <w:rsid w:val="00E57042"/>
    <w:rsid w:val="00E57468"/>
    <w:rsid w:val="00E5789E"/>
    <w:rsid w:val="00E57BF0"/>
    <w:rsid w:val="00E57E4C"/>
    <w:rsid w:val="00E60036"/>
    <w:rsid w:val="00E600FE"/>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0FC"/>
    <w:rsid w:val="00E6328E"/>
    <w:rsid w:val="00E637A8"/>
    <w:rsid w:val="00E6402A"/>
    <w:rsid w:val="00E64132"/>
    <w:rsid w:val="00E643DE"/>
    <w:rsid w:val="00E64555"/>
    <w:rsid w:val="00E64726"/>
    <w:rsid w:val="00E64813"/>
    <w:rsid w:val="00E64AB0"/>
    <w:rsid w:val="00E64DE8"/>
    <w:rsid w:val="00E6518B"/>
    <w:rsid w:val="00E65190"/>
    <w:rsid w:val="00E6543D"/>
    <w:rsid w:val="00E6568A"/>
    <w:rsid w:val="00E656C9"/>
    <w:rsid w:val="00E656F1"/>
    <w:rsid w:val="00E65B37"/>
    <w:rsid w:val="00E65FA9"/>
    <w:rsid w:val="00E66346"/>
    <w:rsid w:val="00E66448"/>
    <w:rsid w:val="00E664EC"/>
    <w:rsid w:val="00E664F9"/>
    <w:rsid w:val="00E66A78"/>
    <w:rsid w:val="00E66BC2"/>
    <w:rsid w:val="00E66E93"/>
    <w:rsid w:val="00E6709B"/>
    <w:rsid w:val="00E67102"/>
    <w:rsid w:val="00E67281"/>
    <w:rsid w:val="00E67334"/>
    <w:rsid w:val="00E675E9"/>
    <w:rsid w:val="00E676DB"/>
    <w:rsid w:val="00E677DF"/>
    <w:rsid w:val="00E677EA"/>
    <w:rsid w:val="00E67FCA"/>
    <w:rsid w:val="00E700BA"/>
    <w:rsid w:val="00E70A81"/>
    <w:rsid w:val="00E70CE6"/>
    <w:rsid w:val="00E70D1A"/>
    <w:rsid w:val="00E70EB0"/>
    <w:rsid w:val="00E71388"/>
    <w:rsid w:val="00E7145E"/>
    <w:rsid w:val="00E71618"/>
    <w:rsid w:val="00E71693"/>
    <w:rsid w:val="00E716DC"/>
    <w:rsid w:val="00E71835"/>
    <w:rsid w:val="00E718B8"/>
    <w:rsid w:val="00E71A66"/>
    <w:rsid w:val="00E71A85"/>
    <w:rsid w:val="00E720FE"/>
    <w:rsid w:val="00E7221D"/>
    <w:rsid w:val="00E7224B"/>
    <w:rsid w:val="00E72933"/>
    <w:rsid w:val="00E72C69"/>
    <w:rsid w:val="00E72DF8"/>
    <w:rsid w:val="00E72E9F"/>
    <w:rsid w:val="00E72F94"/>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DD8"/>
    <w:rsid w:val="00E81E58"/>
    <w:rsid w:val="00E81E9B"/>
    <w:rsid w:val="00E82671"/>
    <w:rsid w:val="00E82934"/>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40"/>
    <w:rsid w:val="00E83E5C"/>
    <w:rsid w:val="00E842EC"/>
    <w:rsid w:val="00E8442C"/>
    <w:rsid w:val="00E84627"/>
    <w:rsid w:val="00E84758"/>
    <w:rsid w:val="00E849E5"/>
    <w:rsid w:val="00E84A19"/>
    <w:rsid w:val="00E84DD9"/>
    <w:rsid w:val="00E8524D"/>
    <w:rsid w:val="00E852DF"/>
    <w:rsid w:val="00E856C2"/>
    <w:rsid w:val="00E8577E"/>
    <w:rsid w:val="00E85F90"/>
    <w:rsid w:val="00E86065"/>
    <w:rsid w:val="00E86139"/>
    <w:rsid w:val="00E867A9"/>
    <w:rsid w:val="00E86A3E"/>
    <w:rsid w:val="00E870AE"/>
    <w:rsid w:val="00E8763F"/>
    <w:rsid w:val="00E8767A"/>
    <w:rsid w:val="00E87A45"/>
    <w:rsid w:val="00E87BAA"/>
    <w:rsid w:val="00E87BD4"/>
    <w:rsid w:val="00E87BEE"/>
    <w:rsid w:val="00E901D1"/>
    <w:rsid w:val="00E90559"/>
    <w:rsid w:val="00E90799"/>
    <w:rsid w:val="00E9095B"/>
    <w:rsid w:val="00E90C6A"/>
    <w:rsid w:val="00E90DF3"/>
    <w:rsid w:val="00E912E9"/>
    <w:rsid w:val="00E915CA"/>
    <w:rsid w:val="00E920E8"/>
    <w:rsid w:val="00E922B3"/>
    <w:rsid w:val="00E92575"/>
    <w:rsid w:val="00E92EA1"/>
    <w:rsid w:val="00E931ED"/>
    <w:rsid w:val="00E939C8"/>
    <w:rsid w:val="00E93A96"/>
    <w:rsid w:val="00E94863"/>
    <w:rsid w:val="00E949EC"/>
    <w:rsid w:val="00E94B73"/>
    <w:rsid w:val="00E94C62"/>
    <w:rsid w:val="00E94DCB"/>
    <w:rsid w:val="00E951AD"/>
    <w:rsid w:val="00E953C0"/>
    <w:rsid w:val="00E956EF"/>
    <w:rsid w:val="00E95946"/>
    <w:rsid w:val="00E95ABB"/>
    <w:rsid w:val="00E95C03"/>
    <w:rsid w:val="00E962CC"/>
    <w:rsid w:val="00E964C7"/>
    <w:rsid w:val="00E9688A"/>
    <w:rsid w:val="00E96D48"/>
    <w:rsid w:val="00E96D62"/>
    <w:rsid w:val="00E96E7F"/>
    <w:rsid w:val="00E96F86"/>
    <w:rsid w:val="00E971B8"/>
    <w:rsid w:val="00E97236"/>
    <w:rsid w:val="00E973DF"/>
    <w:rsid w:val="00E976E1"/>
    <w:rsid w:val="00E977C8"/>
    <w:rsid w:val="00E97B58"/>
    <w:rsid w:val="00EA018A"/>
    <w:rsid w:val="00EA022D"/>
    <w:rsid w:val="00EA0298"/>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E06"/>
    <w:rsid w:val="00EA2277"/>
    <w:rsid w:val="00EA241B"/>
    <w:rsid w:val="00EA2891"/>
    <w:rsid w:val="00EA2981"/>
    <w:rsid w:val="00EA3511"/>
    <w:rsid w:val="00EA389C"/>
    <w:rsid w:val="00EA3AE6"/>
    <w:rsid w:val="00EA3C14"/>
    <w:rsid w:val="00EA3C1F"/>
    <w:rsid w:val="00EA3E8A"/>
    <w:rsid w:val="00EA3EE5"/>
    <w:rsid w:val="00EA40CF"/>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37"/>
    <w:rsid w:val="00EA6766"/>
    <w:rsid w:val="00EA6817"/>
    <w:rsid w:val="00EA69EE"/>
    <w:rsid w:val="00EA6AD4"/>
    <w:rsid w:val="00EA6B3C"/>
    <w:rsid w:val="00EA6FE7"/>
    <w:rsid w:val="00EA706F"/>
    <w:rsid w:val="00EA7266"/>
    <w:rsid w:val="00EA74CE"/>
    <w:rsid w:val="00EA7C6C"/>
    <w:rsid w:val="00EB00F7"/>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19C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1A5"/>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31D3"/>
    <w:rsid w:val="00ED3261"/>
    <w:rsid w:val="00ED333E"/>
    <w:rsid w:val="00ED33DE"/>
    <w:rsid w:val="00ED378C"/>
    <w:rsid w:val="00ED38DD"/>
    <w:rsid w:val="00ED40BA"/>
    <w:rsid w:val="00ED412C"/>
    <w:rsid w:val="00ED4280"/>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6E0F"/>
    <w:rsid w:val="00ED7367"/>
    <w:rsid w:val="00ED7498"/>
    <w:rsid w:val="00ED79C5"/>
    <w:rsid w:val="00ED7A0B"/>
    <w:rsid w:val="00ED7EBB"/>
    <w:rsid w:val="00ED7F4B"/>
    <w:rsid w:val="00EE031F"/>
    <w:rsid w:val="00EE0344"/>
    <w:rsid w:val="00EE04E0"/>
    <w:rsid w:val="00EE055C"/>
    <w:rsid w:val="00EE0630"/>
    <w:rsid w:val="00EE0648"/>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F93"/>
    <w:rsid w:val="00EE33AC"/>
    <w:rsid w:val="00EE3423"/>
    <w:rsid w:val="00EE3784"/>
    <w:rsid w:val="00EE388E"/>
    <w:rsid w:val="00EE415C"/>
    <w:rsid w:val="00EE4350"/>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742"/>
    <w:rsid w:val="00EF08E7"/>
    <w:rsid w:val="00EF09CF"/>
    <w:rsid w:val="00EF09D2"/>
    <w:rsid w:val="00EF0F0B"/>
    <w:rsid w:val="00EF125C"/>
    <w:rsid w:val="00EF137E"/>
    <w:rsid w:val="00EF154F"/>
    <w:rsid w:val="00EF1C3C"/>
    <w:rsid w:val="00EF1D77"/>
    <w:rsid w:val="00EF1DBB"/>
    <w:rsid w:val="00EF232C"/>
    <w:rsid w:val="00EF23DA"/>
    <w:rsid w:val="00EF268F"/>
    <w:rsid w:val="00EF2856"/>
    <w:rsid w:val="00EF2FB8"/>
    <w:rsid w:val="00EF309A"/>
    <w:rsid w:val="00EF32F0"/>
    <w:rsid w:val="00EF33BE"/>
    <w:rsid w:val="00EF3E3A"/>
    <w:rsid w:val="00EF46EE"/>
    <w:rsid w:val="00EF486E"/>
    <w:rsid w:val="00EF4930"/>
    <w:rsid w:val="00EF4D42"/>
    <w:rsid w:val="00EF4FF3"/>
    <w:rsid w:val="00EF513F"/>
    <w:rsid w:val="00EF5674"/>
    <w:rsid w:val="00EF59F6"/>
    <w:rsid w:val="00EF5D89"/>
    <w:rsid w:val="00EF5DF1"/>
    <w:rsid w:val="00EF61EC"/>
    <w:rsid w:val="00EF6247"/>
    <w:rsid w:val="00EF6384"/>
    <w:rsid w:val="00EF6401"/>
    <w:rsid w:val="00EF66D8"/>
    <w:rsid w:val="00EF673E"/>
    <w:rsid w:val="00EF6972"/>
    <w:rsid w:val="00EF6A29"/>
    <w:rsid w:val="00EF6B14"/>
    <w:rsid w:val="00EF6D1C"/>
    <w:rsid w:val="00EF7073"/>
    <w:rsid w:val="00EF7431"/>
    <w:rsid w:val="00EF77F6"/>
    <w:rsid w:val="00EF78EA"/>
    <w:rsid w:val="00EF7B33"/>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11D"/>
    <w:rsid w:val="00F0722B"/>
    <w:rsid w:val="00F073D2"/>
    <w:rsid w:val="00F0765D"/>
    <w:rsid w:val="00F07870"/>
    <w:rsid w:val="00F07A13"/>
    <w:rsid w:val="00F07A19"/>
    <w:rsid w:val="00F07CA1"/>
    <w:rsid w:val="00F07DAA"/>
    <w:rsid w:val="00F10347"/>
    <w:rsid w:val="00F103B7"/>
    <w:rsid w:val="00F10507"/>
    <w:rsid w:val="00F10542"/>
    <w:rsid w:val="00F10682"/>
    <w:rsid w:val="00F108A7"/>
    <w:rsid w:val="00F109E4"/>
    <w:rsid w:val="00F10D8F"/>
    <w:rsid w:val="00F10FDD"/>
    <w:rsid w:val="00F111CD"/>
    <w:rsid w:val="00F11652"/>
    <w:rsid w:val="00F11775"/>
    <w:rsid w:val="00F11C2E"/>
    <w:rsid w:val="00F11D73"/>
    <w:rsid w:val="00F12205"/>
    <w:rsid w:val="00F12275"/>
    <w:rsid w:val="00F123A0"/>
    <w:rsid w:val="00F1253B"/>
    <w:rsid w:val="00F12594"/>
    <w:rsid w:val="00F127A0"/>
    <w:rsid w:val="00F12A6E"/>
    <w:rsid w:val="00F130AE"/>
    <w:rsid w:val="00F13118"/>
    <w:rsid w:val="00F13606"/>
    <w:rsid w:val="00F13ADE"/>
    <w:rsid w:val="00F13CF9"/>
    <w:rsid w:val="00F13E06"/>
    <w:rsid w:val="00F13FBD"/>
    <w:rsid w:val="00F14323"/>
    <w:rsid w:val="00F14412"/>
    <w:rsid w:val="00F144C3"/>
    <w:rsid w:val="00F14AB4"/>
    <w:rsid w:val="00F14D45"/>
    <w:rsid w:val="00F14F8E"/>
    <w:rsid w:val="00F151DF"/>
    <w:rsid w:val="00F1528E"/>
    <w:rsid w:val="00F158B5"/>
    <w:rsid w:val="00F15AFE"/>
    <w:rsid w:val="00F15E44"/>
    <w:rsid w:val="00F15F35"/>
    <w:rsid w:val="00F15FC8"/>
    <w:rsid w:val="00F16052"/>
    <w:rsid w:val="00F1626D"/>
    <w:rsid w:val="00F1671C"/>
    <w:rsid w:val="00F167C8"/>
    <w:rsid w:val="00F16CD3"/>
    <w:rsid w:val="00F17191"/>
    <w:rsid w:val="00F173E4"/>
    <w:rsid w:val="00F17D11"/>
    <w:rsid w:val="00F17EE6"/>
    <w:rsid w:val="00F20298"/>
    <w:rsid w:val="00F2042B"/>
    <w:rsid w:val="00F204CF"/>
    <w:rsid w:val="00F2057D"/>
    <w:rsid w:val="00F2083A"/>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2E40"/>
    <w:rsid w:val="00F23073"/>
    <w:rsid w:val="00F23090"/>
    <w:rsid w:val="00F231DE"/>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2AA"/>
    <w:rsid w:val="00F274CB"/>
    <w:rsid w:val="00F2764D"/>
    <w:rsid w:val="00F277A6"/>
    <w:rsid w:val="00F278D3"/>
    <w:rsid w:val="00F27ACA"/>
    <w:rsid w:val="00F27B26"/>
    <w:rsid w:val="00F27C5E"/>
    <w:rsid w:val="00F27E6A"/>
    <w:rsid w:val="00F27FAB"/>
    <w:rsid w:val="00F30040"/>
    <w:rsid w:val="00F30287"/>
    <w:rsid w:val="00F3028F"/>
    <w:rsid w:val="00F3118B"/>
    <w:rsid w:val="00F312C1"/>
    <w:rsid w:val="00F317F1"/>
    <w:rsid w:val="00F31890"/>
    <w:rsid w:val="00F31B4D"/>
    <w:rsid w:val="00F31B9D"/>
    <w:rsid w:val="00F31E1A"/>
    <w:rsid w:val="00F324E0"/>
    <w:rsid w:val="00F32570"/>
    <w:rsid w:val="00F3257B"/>
    <w:rsid w:val="00F32AF9"/>
    <w:rsid w:val="00F32B4A"/>
    <w:rsid w:val="00F32CD6"/>
    <w:rsid w:val="00F32D50"/>
    <w:rsid w:val="00F32DF9"/>
    <w:rsid w:val="00F32F91"/>
    <w:rsid w:val="00F332DA"/>
    <w:rsid w:val="00F3378C"/>
    <w:rsid w:val="00F338BD"/>
    <w:rsid w:val="00F34021"/>
    <w:rsid w:val="00F34329"/>
    <w:rsid w:val="00F3441C"/>
    <w:rsid w:val="00F3449B"/>
    <w:rsid w:val="00F34508"/>
    <w:rsid w:val="00F34592"/>
    <w:rsid w:val="00F34749"/>
    <w:rsid w:val="00F34A8F"/>
    <w:rsid w:val="00F34D6F"/>
    <w:rsid w:val="00F35053"/>
    <w:rsid w:val="00F359F8"/>
    <w:rsid w:val="00F35BBB"/>
    <w:rsid w:val="00F35CA2"/>
    <w:rsid w:val="00F360D6"/>
    <w:rsid w:val="00F366A1"/>
    <w:rsid w:val="00F36B80"/>
    <w:rsid w:val="00F36C3B"/>
    <w:rsid w:val="00F36FBD"/>
    <w:rsid w:val="00F37043"/>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2F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F9"/>
    <w:rsid w:val="00F50257"/>
    <w:rsid w:val="00F50340"/>
    <w:rsid w:val="00F507A6"/>
    <w:rsid w:val="00F507DD"/>
    <w:rsid w:val="00F50E66"/>
    <w:rsid w:val="00F50F62"/>
    <w:rsid w:val="00F5116C"/>
    <w:rsid w:val="00F513C2"/>
    <w:rsid w:val="00F519D0"/>
    <w:rsid w:val="00F51E90"/>
    <w:rsid w:val="00F520C1"/>
    <w:rsid w:val="00F5211E"/>
    <w:rsid w:val="00F5220C"/>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AA6"/>
    <w:rsid w:val="00F56CBB"/>
    <w:rsid w:val="00F56EDA"/>
    <w:rsid w:val="00F56F16"/>
    <w:rsid w:val="00F601AD"/>
    <w:rsid w:val="00F601CD"/>
    <w:rsid w:val="00F6057E"/>
    <w:rsid w:val="00F6073A"/>
    <w:rsid w:val="00F607E0"/>
    <w:rsid w:val="00F60BEB"/>
    <w:rsid w:val="00F611BF"/>
    <w:rsid w:val="00F612FE"/>
    <w:rsid w:val="00F61702"/>
    <w:rsid w:val="00F61871"/>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569"/>
    <w:rsid w:val="00F647B6"/>
    <w:rsid w:val="00F64B6F"/>
    <w:rsid w:val="00F64F2A"/>
    <w:rsid w:val="00F6501A"/>
    <w:rsid w:val="00F65028"/>
    <w:rsid w:val="00F653E7"/>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A51"/>
    <w:rsid w:val="00F73AE7"/>
    <w:rsid w:val="00F73C34"/>
    <w:rsid w:val="00F73DA4"/>
    <w:rsid w:val="00F73DE9"/>
    <w:rsid w:val="00F74151"/>
    <w:rsid w:val="00F74177"/>
    <w:rsid w:val="00F742F5"/>
    <w:rsid w:val="00F744E1"/>
    <w:rsid w:val="00F74B9D"/>
    <w:rsid w:val="00F75527"/>
    <w:rsid w:val="00F75B27"/>
    <w:rsid w:val="00F75BB0"/>
    <w:rsid w:val="00F75CF8"/>
    <w:rsid w:val="00F765E4"/>
    <w:rsid w:val="00F768C6"/>
    <w:rsid w:val="00F768C9"/>
    <w:rsid w:val="00F76AEC"/>
    <w:rsid w:val="00F76E19"/>
    <w:rsid w:val="00F770C2"/>
    <w:rsid w:val="00F770F5"/>
    <w:rsid w:val="00F77100"/>
    <w:rsid w:val="00F77363"/>
    <w:rsid w:val="00F77D43"/>
    <w:rsid w:val="00F77EE9"/>
    <w:rsid w:val="00F77F4F"/>
    <w:rsid w:val="00F77F90"/>
    <w:rsid w:val="00F77FB4"/>
    <w:rsid w:val="00F80859"/>
    <w:rsid w:val="00F80930"/>
    <w:rsid w:val="00F809D2"/>
    <w:rsid w:val="00F809DB"/>
    <w:rsid w:val="00F80A7E"/>
    <w:rsid w:val="00F8151D"/>
    <w:rsid w:val="00F81533"/>
    <w:rsid w:val="00F81576"/>
    <w:rsid w:val="00F818CB"/>
    <w:rsid w:val="00F81AC6"/>
    <w:rsid w:val="00F81CB3"/>
    <w:rsid w:val="00F81EDA"/>
    <w:rsid w:val="00F81EDF"/>
    <w:rsid w:val="00F81F96"/>
    <w:rsid w:val="00F8200B"/>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6EB"/>
    <w:rsid w:val="00F92A43"/>
    <w:rsid w:val="00F92AC2"/>
    <w:rsid w:val="00F92BED"/>
    <w:rsid w:val="00F933B2"/>
    <w:rsid w:val="00F93726"/>
    <w:rsid w:val="00F93B32"/>
    <w:rsid w:val="00F93B7C"/>
    <w:rsid w:val="00F93EAF"/>
    <w:rsid w:val="00F93EE2"/>
    <w:rsid w:val="00F93F4E"/>
    <w:rsid w:val="00F93FDF"/>
    <w:rsid w:val="00F94203"/>
    <w:rsid w:val="00F94D9B"/>
    <w:rsid w:val="00F94E97"/>
    <w:rsid w:val="00F94F40"/>
    <w:rsid w:val="00F9508E"/>
    <w:rsid w:val="00F950ED"/>
    <w:rsid w:val="00F952B3"/>
    <w:rsid w:val="00F9530B"/>
    <w:rsid w:val="00F95333"/>
    <w:rsid w:val="00F95588"/>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2DF4"/>
    <w:rsid w:val="00FA318C"/>
    <w:rsid w:val="00FA3398"/>
    <w:rsid w:val="00FA3825"/>
    <w:rsid w:val="00FA3A08"/>
    <w:rsid w:val="00FA3AAA"/>
    <w:rsid w:val="00FA3F10"/>
    <w:rsid w:val="00FA4007"/>
    <w:rsid w:val="00FA405E"/>
    <w:rsid w:val="00FA42B2"/>
    <w:rsid w:val="00FA4435"/>
    <w:rsid w:val="00FA4469"/>
    <w:rsid w:val="00FA4613"/>
    <w:rsid w:val="00FA49CC"/>
    <w:rsid w:val="00FA4A5D"/>
    <w:rsid w:val="00FA4B6B"/>
    <w:rsid w:val="00FA4E4D"/>
    <w:rsid w:val="00FA5219"/>
    <w:rsid w:val="00FA53A5"/>
    <w:rsid w:val="00FA54AB"/>
    <w:rsid w:val="00FA5694"/>
    <w:rsid w:val="00FA57B1"/>
    <w:rsid w:val="00FA5ACA"/>
    <w:rsid w:val="00FA5C5F"/>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10A"/>
    <w:rsid w:val="00FB0456"/>
    <w:rsid w:val="00FB064C"/>
    <w:rsid w:val="00FB091E"/>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1FC3"/>
    <w:rsid w:val="00FB2029"/>
    <w:rsid w:val="00FB214D"/>
    <w:rsid w:val="00FB21D4"/>
    <w:rsid w:val="00FB25AF"/>
    <w:rsid w:val="00FB2741"/>
    <w:rsid w:val="00FB2810"/>
    <w:rsid w:val="00FB2816"/>
    <w:rsid w:val="00FB2A09"/>
    <w:rsid w:val="00FB2E37"/>
    <w:rsid w:val="00FB2F14"/>
    <w:rsid w:val="00FB2F8A"/>
    <w:rsid w:val="00FB30C9"/>
    <w:rsid w:val="00FB3424"/>
    <w:rsid w:val="00FB3436"/>
    <w:rsid w:val="00FB3C53"/>
    <w:rsid w:val="00FB3D19"/>
    <w:rsid w:val="00FB3DD6"/>
    <w:rsid w:val="00FB41AA"/>
    <w:rsid w:val="00FB43CA"/>
    <w:rsid w:val="00FB43F6"/>
    <w:rsid w:val="00FB451C"/>
    <w:rsid w:val="00FB4543"/>
    <w:rsid w:val="00FB4720"/>
    <w:rsid w:val="00FB49F2"/>
    <w:rsid w:val="00FB5600"/>
    <w:rsid w:val="00FB5CB5"/>
    <w:rsid w:val="00FB5E56"/>
    <w:rsid w:val="00FB604D"/>
    <w:rsid w:val="00FB63CD"/>
    <w:rsid w:val="00FB67B6"/>
    <w:rsid w:val="00FB6874"/>
    <w:rsid w:val="00FB725F"/>
    <w:rsid w:val="00FB769F"/>
    <w:rsid w:val="00FB76AD"/>
    <w:rsid w:val="00FB79C0"/>
    <w:rsid w:val="00FB7B9E"/>
    <w:rsid w:val="00FB7F9B"/>
    <w:rsid w:val="00FC0CC8"/>
    <w:rsid w:val="00FC0DE9"/>
    <w:rsid w:val="00FC0E16"/>
    <w:rsid w:val="00FC0FB1"/>
    <w:rsid w:val="00FC1128"/>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2E2"/>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CE1"/>
    <w:rsid w:val="00FD02F6"/>
    <w:rsid w:val="00FD03E6"/>
    <w:rsid w:val="00FD0697"/>
    <w:rsid w:val="00FD06E4"/>
    <w:rsid w:val="00FD0A86"/>
    <w:rsid w:val="00FD0B00"/>
    <w:rsid w:val="00FD10B0"/>
    <w:rsid w:val="00FD13A2"/>
    <w:rsid w:val="00FD16E3"/>
    <w:rsid w:val="00FD176C"/>
    <w:rsid w:val="00FD1784"/>
    <w:rsid w:val="00FD18E4"/>
    <w:rsid w:val="00FD19D0"/>
    <w:rsid w:val="00FD1AF7"/>
    <w:rsid w:val="00FD1CF3"/>
    <w:rsid w:val="00FD1E4D"/>
    <w:rsid w:val="00FD2475"/>
    <w:rsid w:val="00FD292B"/>
    <w:rsid w:val="00FD3CCD"/>
    <w:rsid w:val="00FD3D84"/>
    <w:rsid w:val="00FD3E3B"/>
    <w:rsid w:val="00FD3EA5"/>
    <w:rsid w:val="00FD425C"/>
    <w:rsid w:val="00FD447D"/>
    <w:rsid w:val="00FD45BF"/>
    <w:rsid w:val="00FD46E3"/>
    <w:rsid w:val="00FD492A"/>
    <w:rsid w:val="00FD4E1D"/>
    <w:rsid w:val="00FD4E46"/>
    <w:rsid w:val="00FD4E86"/>
    <w:rsid w:val="00FD5356"/>
    <w:rsid w:val="00FD56EB"/>
    <w:rsid w:val="00FD5803"/>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30"/>
    <w:rsid w:val="00FE1A99"/>
    <w:rsid w:val="00FE1EF8"/>
    <w:rsid w:val="00FE2020"/>
    <w:rsid w:val="00FE2328"/>
    <w:rsid w:val="00FE2D73"/>
    <w:rsid w:val="00FE332C"/>
    <w:rsid w:val="00FE3B87"/>
    <w:rsid w:val="00FE3BBA"/>
    <w:rsid w:val="00FE3CFD"/>
    <w:rsid w:val="00FE3E57"/>
    <w:rsid w:val="00FE3EAB"/>
    <w:rsid w:val="00FE41AF"/>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50E"/>
    <w:rsid w:val="00FF0725"/>
    <w:rsid w:val="00FF0B29"/>
    <w:rsid w:val="00FF0B82"/>
    <w:rsid w:val="00FF0FBA"/>
    <w:rsid w:val="00FF148C"/>
    <w:rsid w:val="00FF17A4"/>
    <w:rsid w:val="00FF1873"/>
    <w:rsid w:val="00FF1B56"/>
    <w:rsid w:val="00FF2011"/>
    <w:rsid w:val="00FF23E0"/>
    <w:rsid w:val="00FF29D6"/>
    <w:rsid w:val="00FF2CD0"/>
    <w:rsid w:val="00FF2D66"/>
    <w:rsid w:val="00FF2D69"/>
    <w:rsid w:val="00FF2E2C"/>
    <w:rsid w:val="00FF3065"/>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1D2B3"/>
  <w15:docId w15:val="{F12D9616-1366-4013-9215-187A80C6E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5EF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qForma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qFormat/>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qFormat/>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400E31"/>
    <w:pPr>
      <w:pBdr>
        <w:bottom w:val="single" w:sz="8" w:space="4" w:color="4F81BD" w:themeColor="accent1"/>
      </w:pBdr>
      <w:spacing w:after="300" w:line="240" w:lineRule="auto"/>
      <w:contextualSpacing/>
      <w:jc w:val="center"/>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qFormat/>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qFormat/>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Subtitle">
    <w:name w:val="Subtitle"/>
    <w:basedOn w:val="Normal"/>
    <w:next w:val="Normal"/>
    <w:link w:val="SubtitleChar"/>
    <w:uiPriority w:val="11"/>
    <w:qFormat/>
    <w:rsid w:val="00400E31"/>
    <w:pPr>
      <w:numPr>
        <w:ilvl w:val="1"/>
      </w:numPr>
      <w:jc w:val="cente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 w:type="character" w:styleId="LineNumber">
    <w:name w:val="line number"/>
    <w:basedOn w:val="DefaultParagraphFont"/>
    <w:uiPriority w:val="99"/>
    <w:semiHidden/>
    <w:unhideWhenUsed/>
    <w:rsid w:val="001933CC"/>
  </w:style>
  <w:style w:type="paragraph" w:customStyle="1" w:styleId="LO-Normal">
    <w:name w:val="LO-Normal"/>
    <w:rsid w:val="00CB2FAE"/>
    <w:pPr>
      <w:pBdr>
        <w:top w:val="nil"/>
        <w:left w:val="nil"/>
        <w:bottom w:val="nil"/>
        <w:right w:val="nil"/>
      </w:pBdr>
      <w:suppressAutoHyphens/>
      <w:spacing w:after="160"/>
    </w:pPr>
    <w:rPr>
      <w:rFonts w:ascii="Aptos" w:eastAsia="Aptos" w:hAnsi="Aptos" w:cs="Times New Roman"/>
      <w:kern w:val="2"/>
      <w:sz w:val="24"/>
      <w:szCs w:val="24"/>
      <w:lang w:val="en-GB"/>
    </w:rPr>
  </w:style>
  <w:style w:type="character" w:styleId="UnresolvedMention">
    <w:name w:val="Unresolved Mention"/>
    <w:basedOn w:val="DefaultParagraphFont"/>
    <w:uiPriority w:val="99"/>
    <w:semiHidden/>
    <w:unhideWhenUsed/>
    <w:rsid w:val="00AC06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microsoft.com/office/2007/relationships/diagramDrawing" Target="diagrams/drawing1.xml"/><Relationship Id="rId26" Type="http://schemas.openxmlformats.org/officeDocument/2006/relationships/hyperlink" Target="https://www.ey.com/en_id/insights/banking-capital-markets/riding-the-wave-of-indonesias-financial-services-growth" TargetMode="External"/><Relationship Id="rId39" Type="http://schemas.openxmlformats.org/officeDocument/2006/relationships/hyperlink" Target="https://www.finextra.com/newsarticle/46301/lloyds-trumpets-genai-knowledge-hubs-impact" TargetMode="External"/><Relationship Id="rId21" Type="http://schemas.openxmlformats.org/officeDocument/2006/relationships/hyperlink" Target="https://www.mdpi.com/2071-1050/14/4/2011" TargetMode="External"/><Relationship Id="rId34" Type="http://schemas.openxmlformats.org/officeDocument/2006/relationships/hyperlink" Target="https://jmi.rivierapublishing.id/index.php/rp/article/download/2243/965" TargetMode="External"/><Relationship Id="rId42" Type="http://schemas.openxmlformats.org/officeDocument/2006/relationships/hyperlink" Target="https://papers.ssrn.com/sol3/Delivery.cfm?abstractid=5057446" TargetMode="External"/><Relationship Id="rId47" Type="http://schemas.openxmlformats.org/officeDocument/2006/relationships/hyperlink" Target="https://www.mordorintelligence.com/industry-reports/indonesia-financial-technology-services-market" TargetMode="External"/><Relationship Id="rId50" Type="http://schemas.openxmlformats.org/officeDocument/2006/relationships/hyperlink" Target="https://ejurnalunsam.id/index.php/jhsk/article/download/7471/4625" TargetMode="External"/><Relationship Id="rId55" Type="http://schemas.openxmlformats.org/officeDocument/2006/relationships/hyperlink" Target="https://www.unwe.bg/doi/eajournal/2020.3/EA.2020.3.03.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QuickStyle" Target="diagrams/quickStyle1.xml"/><Relationship Id="rId29" Type="http://schemas.openxmlformats.org/officeDocument/2006/relationships/hyperlink" Target="https://dspace.bracu.ac.bd:8443/xmlui/bitstream/handle/10361/22883/20104023_BBA.pdf?sequence=1&amp;isAllowed=n" TargetMode="External"/><Relationship Id="rId11" Type="http://schemas.openxmlformats.org/officeDocument/2006/relationships/image" Target="media/image4.png"/><Relationship Id="rId24" Type="http://schemas.openxmlformats.org/officeDocument/2006/relationships/hyperlink" Target="https://ijaibdcms.org/index.php/ijaibdcms/article/download/54/49" TargetMode="External"/><Relationship Id="rId32" Type="http://schemas.openxmlformats.org/officeDocument/2006/relationships/hyperlink" Target="https://papers.ssrn.com/sol3/Delivery.cfm?abstractid=3529924" TargetMode="External"/><Relationship Id="rId37" Type="http://schemas.openxmlformats.org/officeDocument/2006/relationships/hyperlink" Target="https://www.lloydsbankinggroup.com/sustainability/climate-and-nature/our-operational-climate-pledges.html" TargetMode="External"/><Relationship Id="rId40" Type="http://schemas.openxmlformats.org/officeDocument/2006/relationships/hyperlink" Target="https://www.lloydsbank.com/about-us.html" TargetMode="External"/><Relationship Id="rId45" Type="http://schemas.openxmlformats.org/officeDocument/2006/relationships/hyperlink" Target="https://papers.ssrn.com/sol3/Delivery.cfm?abstractid=5210755" TargetMode="External"/><Relationship Id="rId53" Type="http://schemas.openxmlformats.org/officeDocument/2006/relationships/hyperlink" Target="https://journal.trunojoyo.ac.id/infestasi/article/download/22921/8985"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ir.uitm.edu.my/id/eprint/113166/1/113166.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Data" Target="diagrams/data1.xml"/><Relationship Id="rId22" Type="http://schemas.openxmlformats.org/officeDocument/2006/relationships/hyperlink" Target="https://papers.ssrn.com/sol3/Delivery.cfm?abstractid=5258411" TargetMode="External"/><Relationship Id="rId27" Type="http://schemas.openxmlformats.org/officeDocument/2006/relationships/hyperlink" Target="http://111.68.96.114:8088/get/pdf/Contemporary%20Strategy%20Analysis_%20Text%20and%20Cases%209th.ed%20-%20Robert%20M.%20Grant_5844.pdf" TargetMode="External"/><Relationship Id="rId30" Type="http://schemas.openxmlformats.org/officeDocument/2006/relationships/hyperlink" Target="https://pdfs.semanticscholar.org/62db/585e5bf811fadcc14448dae9408679644819.pdf" TargetMode="External"/><Relationship Id="rId35" Type="http://schemas.openxmlformats.org/officeDocument/2006/relationships/hyperlink" Target="https://repository.mdx.ac.uk/download/7cd677ee500b0fda6029cc7cfdf13a9b9c592e65ae564d9ca2ea493169a2bdf8/2651768/HLi%20thesis.pdf" TargetMode="External"/><Relationship Id="rId43" Type="http://schemas.openxmlformats.org/officeDocument/2006/relationships/hyperlink" Target="https://books.google.com/books?hl=en&amp;lr=&amp;id=MyAMEAAAQBAJ&amp;oi=fnd&amp;pg=PP1&amp;dq=Lynch,+R.,+(2021).+Strategic+management.+Sage.&amp;ots=lzgytVLlp_&amp;sig=PfRmkWq9HZGWRIEkOaXK3RFIe8g" TargetMode="External"/><Relationship Id="rId48" Type="http://schemas.openxmlformats.org/officeDocument/2006/relationships/hyperlink" Target="https://caribou.global/wp-content/uploads/2025/04/Indonesia-report-Final-Master-for-Web-1.pdf" TargetMode="External"/><Relationship Id="rId56" Type="http://schemas.openxmlformats.org/officeDocument/2006/relationships/hyperlink" Target="http://www.ajmesc.com/index.php/ajmesc/article/download/986/701" TargetMode="External"/><Relationship Id="rId8" Type="http://schemas.openxmlformats.org/officeDocument/2006/relationships/image" Target="media/image1.png"/><Relationship Id="rId51" Type="http://schemas.openxmlformats.org/officeDocument/2006/relationships/hyperlink" Target="https://www.statista.com/outlook/fmo/banking/digital-banks/indonesia"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diagramColors" Target="diagrams/colors1.xml"/><Relationship Id="rId25" Type="http://schemas.openxmlformats.org/officeDocument/2006/relationships/hyperlink" Target="https://www.researchandmarkets.com/reports/6176278/indonesia-private-banking-market-size-share" TargetMode="External"/><Relationship Id="rId33" Type="http://schemas.openxmlformats.org/officeDocument/2006/relationships/hyperlink" Target="https://www.kenresearch.com/indonesia-neobanking-digital-lending-market" TargetMode="External"/><Relationship Id="rId38" Type="http://schemas.openxmlformats.org/officeDocument/2006/relationships/hyperlink" Target="https://www.lloydsbankinggroup.com/who-we-are/our-strategy/financial-wellbeing.html" TargetMode="External"/><Relationship Id="rId46" Type="http://schemas.openxmlformats.org/officeDocument/2006/relationships/hyperlink" Target="https://www.mckinsey.com.br/our-insights/southeast-asia-quarterly-economic-review" TargetMode="External"/><Relationship Id="rId59" Type="http://schemas.openxmlformats.org/officeDocument/2006/relationships/theme" Target="theme/theme1.xml"/><Relationship Id="rId20" Type="http://schemas.openxmlformats.org/officeDocument/2006/relationships/hyperlink" Target="https://www.researchgate.net/profile/Bramanthyo-Andrian/publication/359684655_Sentiment_Analysis_on_Customer_Satisfaction_of_Digital_Banking_in_Indonesia/links/6247cad68068956f3c61a229/Sentiment-Analysis-on-Customer-Satisfaction-of-Digital-Banking-in-Indonesia.pdf" TargetMode="External"/><Relationship Id="rId41" Type="http://schemas.openxmlformats.org/officeDocument/2006/relationships/hyperlink" Target="https://www.lloydsbank.com/current-accounts/cma-results.html" TargetMode="External"/><Relationship Id="rId54" Type="http://schemas.openxmlformats.org/officeDocument/2006/relationships/hyperlink" Target="https://www.thestrategyinstitute.org/insights/a-comprehensive-guide-to-implementing-the-basslanced-scorecard-framewor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hyperlink" Target="https://ris.utwente.nl/ws/portalfiles/portal/289304258/report_wellbeing_2022_wave_1_final_07_07_2022.pdf" TargetMode="External"/><Relationship Id="rId28" Type="http://schemas.openxmlformats.org/officeDocument/2006/relationships/hyperlink" Target="http://www.ijble.com/index.php/journal/article/download/991/883" TargetMode="External"/><Relationship Id="rId36" Type="http://schemas.openxmlformats.org/officeDocument/2006/relationships/hyperlink" Target="https://www.lloydsbankinggroup.com/who-we-are/group-overview/artificial-intelligence.html" TargetMode="External"/><Relationship Id="rId49" Type="http://schemas.openxmlformats.org/officeDocument/2006/relationships/hyperlink" Target="https://www.researchgate.net/profile/Yoesoep-Rachmad/publication/397430322_Danantara_and_National_Economic_Resilience_Strengthening_Indonesia's_Financial_Stability/links/6917e946de81430982716289/Danantara-and-National-Economic-Resilience-Strengthening-Indonesias-Financial-Stability.pdf" TargetMode="External"/><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hyperlink" Target="https://iclg.com/practice-areas/fintech-laws-and-regulations/indonesia" TargetMode="External"/><Relationship Id="rId44" Type="http://schemas.openxmlformats.org/officeDocument/2006/relationships/hyperlink" Target="https://marketresearchindonesia.com/insights/articles/indonesia-digital-banking-expansion-growth" TargetMode="External"/><Relationship Id="rId52" Type="http://schemas.openxmlformats.org/officeDocument/2006/relationships/hyperlink" Target="https://papers.ssrn.com/sol3/Delivery.cfm?abstractid=5049165"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6037F4E-E1E0-4109-8DD4-8D54B71ABC50}" type="doc">
      <dgm:prSet loTypeId="urn:microsoft.com/office/officeart/2005/8/layout/cycle6" loCatId="cycle" qsTypeId="urn:microsoft.com/office/officeart/2005/8/quickstyle/simple1" qsCatId="simple" csTypeId="urn:microsoft.com/office/officeart/2005/8/colors/colorful1" csCatId="colorful" phldr="1"/>
      <dgm:spPr/>
      <dgm:t>
        <a:bodyPr/>
        <a:lstStyle/>
        <a:p>
          <a:endParaRPr lang="en-IN"/>
        </a:p>
      </dgm:t>
    </dgm:pt>
    <dgm:pt modelId="{31A6DB47-4534-40E6-94D4-3D170129AA43}">
      <dgm:prSet phldrT="[Text]"/>
      <dgm:spPr/>
      <dgm:t>
        <a:bodyPr/>
        <a:lstStyle/>
        <a:p>
          <a:pPr algn="ctr">
            <a:buNone/>
          </a:pPr>
          <a:r>
            <a:rPr lang="en-IN" b="0" i="0"/>
            <a:t>People (Social Value)</a:t>
          </a:r>
          <a:endParaRPr lang="en-IN"/>
        </a:p>
      </dgm:t>
    </dgm:pt>
    <dgm:pt modelId="{55F7152D-546F-4E33-9F60-23EA2CAB9CB2}" type="parTrans" cxnId="{4E6E9878-8B6E-414A-BB40-73C0E0554EA2}">
      <dgm:prSet/>
      <dgm:spPr/>
      <dgm:t>
        <a:bodyPr/>
        <a:lstStyle/>
        <a:p>
          <a:pPr algn="ctr"/>
          <a:endParaRPr lang="en-IN"/>
        </a:p>
      </dgm:t>
    </dgm:pt>
    <dgm:pt modelId="{1F35F8A5-5F1D-49B6-A7CF-4F617BA77732}" type="sibTrans" cxnId="{4E6E9878-8B6E-414A-BB40-73C0E0554EA2}">
      <dgm:prSet/>
      <dgm:spPr/>
      <dgm:t>
        <a:bodyPr/>
        <a:lstStyle/>
        <a:p>
          <a:pPr algn="ctr"/>
          <a:endParaRPr lang="en-IN"/>
        </a:p>
      </dgm:t>
    </dgm:pt>
    <dgm:pt modelId="{75553B1E-E941-4EFC-9CBA-D45F1C031E95}">
      <dgm:prSet phldrT="[Text]"/>
      <dgm:spPr/>
      <dgm:t>
        <a:bodyPr/>
        <a:lstStyle/>
        <a:p>
          <a:pPr algn="ctr">
            <a:buNone/>
          </a:pPr>
          <a:r>
            <a:rPr lang="en-IN" b="0" i="0"/>
            <a:t>Planet (Environmental Value)</a:t>
          </a:r>
          <a:endParaRPr lang="en-IN"/>
        </a:p>
      </dgm:t>
    </dgm:pt>
    <dgm:pt modelId="{BAFFE399-A595-47C1-825E-436F4460201F}" type="parTrans" cxnId="{DF69FAD9-06AC-4455-932D-BE4B9225E7D5}">
      <dgm:prSet/>
      <dgm:spPr/>
      <dgm:t>
        <a:bodyPr/>
        <a:lstStyle/>
        <a:p>
          <a:pPr algn="ctr"/>
          <a:endParaRPr lang="en-IN"/>
        </a:p>
      </dgm:t>
    </dgm:pt>
    <dgm:pt modelId="{D32728AC-BBD0-40A8-8C12-DEF0453666C3}" type="sibTrans" cxnId="{DF69FAD9-06AC-4455-932D-BE4B9225E7D5}">
      <dgm:prSet/>
      <dgm:spPr/>
      <dgm:t>
        <a:bodyPr/>
        <a:lstStyle/>
        <a:p>
          <a:pPr algn="ctr"/>
          <a:endParaRPr lang="en-IN"/>
        </a:p>
      </dgm:t>
    </dgm:pt>
    <dgm:pt modelId="{C04FBA46-B959-4828-AFFF-2C110BE609DD}">
      <dgm:prSet phldrT="[Text]"/>
      <dgm:spPr/>
      <dgm:t>
        <a:bodyPr/>
        <a:lstStyle/>
        <a:p>
          <a:pPr algn="ctr">
            <a:buNone/>
          </a:pPr>
          <a:r>
            <a:rPr lang="en-IN" b="0" i="0"/>
            <a:t>Profit (Economic &amp; Governance Value</a:t>
          </a:r>
          <a:endParaRPr lang="en-IN"/>
        </a:p>
      </dgm:t>
    </dgm:pt>
    <dgm:pt modelId="{FB8EA45D-2CEC-44CC-9E54-1C12DC0AA1F8}" type="parTrans" cxnId="{F4D42C09-A38C-4BD6-858A-A5F3790E7484}">
      <dgm:prSet/>
      <dgm:spPr/>
      <dgm:t>
        <a:bodyPr/>
        <a:lstStyle/>
        <a:p>
          <a:pPr algn="ctr"/>
          <a:endParaRPr lang="en-IN"/>
        </a:p>
      </dgm:t>
    </dgm:pt>
    <dgm:pt modelId="{F49CB635-563E-43F6-BC5A-D07AD7183CF7}" type="sibTrans" cxnId="{F4D42C09-A38C-4BD6-858A-A5F3790E7484}">
      <dgm:prSet/>
      <dgm:spPr/>
      <dgm:t>
        <a:bodyPr/>
        <a:lstStyle/>
        <a:p>
          <a:pPr algn="ctr"/>
          <a:endParaRPr lang="en-IN"/>
        </a:p>
      </dgm:t>
    </dgm:pt>
    <dgm:pt modelId="{0F8186DC-2001-4847-9F29-8FF7E2302DE3}" type="pres">
      <dgm:prSet presAssocID="{46037F4E-E1E0-4109-8DD4-8D54B71ABC50}" presName="cycle" presStyleCnt="0">
        <dgm:presLayoutVars>
          <dgm:dir/>
          <dgm:resizeHandles val="exact"/>
        </dgm:presLayoutVars>
      </dgm:prSet>
      <dgm:spPr/>
    </dgm:pt>
    <dgm:pt modelId="{0F21F3CC-D003-414D-B93C-54DBA479C1DA}" type="pres">
      <dgm:prSet presAssocID="{31A6DB47-4534-40E6-94D4-3D170129AA43}" presName="node" presStyleLbl="node1" presStyleIdx="0" presStyleCnt="3">
        <dgm:presLayoutVars>
          <dgm:bulletEnabled val="1"/>
        </dgm:presLayoutVars>
      </dgm:prSet>
      <dgm:spPr/>
    </dgm:pt>
    <dgm:pt modelId="{F15C09E8-BB34-4B75-845C-B52E1C78500F}" type="pres">
      <dgm:prSet presAssocID="{31A6DB47-4534-40E6-94D4-3D170129AA43}" presName="spNode" presStyleCnt="0"/>
      <dgm:spPr/>
    </dgm:pt>
    <dgm:pt modelId="{79A84FEB-D728-45DC-96C9-11C6B9492550}" type="pres">
      <dgm:prSet presAssocID="{1F35F8A5-5F1D-49B6-A7CF-4F617BA77732}" presName="sibTrans" presStyleLbl="sibTrans1D1" presStyleIdx="0" presStyleCnt="3"/>
      <dgm:spPr/>
    </dgm:pt>
    <dgm:pt modelId="{55657CBA-8DDC-4AFC-B49B-E4E67D7C0851}" type="pres">
      <dgm:prSet presAssocID="{75553B1E-E941-4EFC-9CBA-D45F1C031E95}" presName="node" presStyleLbl="node1" presStyleIdx="1" presStyleCnt="3">
        <dgm:presLayoutVars>
          <dgm:bulletEnabled val="1"/>
        </dgm:presLayoutVars>
      </dgm:prSet>
      <dgm:spPr/>
    </dgm:pt>
    <dgm:pt modelId="{DD53272D-453B-40EB-902A-73A31DD2AF63}" type="pres">
      <dgm:prSet presAssocID="{75553B1E-E941-4EFC-9CBA-D45F1C031E95}" presName="spNode" presStyleCnt="0"/>
      <dgm:spPr/>
    </dgm:pt>
    <dgm:pt modelId="{5633B25D-97C2-4B9A-9B0E-3389A31F81C7}" type="pres">
      <dgm:prSet presAssocID="{D32728AC-BBD0-40A8-8C12-DEF0453666C3}" presName="sibTrans" presStyleLbl="sibTrans1D1" presStyleIdx="1" presStyleCnt="3"/>
      <dgm:spPr/>
    </dgm:pt>
    <dgm:pt modelId="{7825C0D9-0A0C-4924-90A7-3FE5418F5F93}" type="pres">
      <dgm:prSet presAssocID="{C04FBA46-B959-4828-AFFF-2C110BE609DD}" presName="node" presStyleLbl="node1" presStyleIdx="2" presStyleCnt="3">
        <dgm:presLayoutVars>
          <dgm:bulletEnabled val="1"/>
        </dgm:presLayoutVars>
      </dgm:prSet>
      <dgm:spPr/>
    </dgm:pt>
    <dgm:pt modelId="{9D9722F2-E47B-42F2-899C-5F79DD9AFACF}" type="pres">
      <dgm:prSet presAssocID="{C04FBA46-B959-4828-AFFF-2C110BE609DD}" presName="spNode" presStyleCnt="0"/>
      <dgm:spPr/>
    </dgm:pt>
    <dgm:pt modelId="{4492CDA3-0AB2-4D77-A59F-768B7AD6FA6B}" type="pres">
      <dgm:prSet presAssocID="{F49CB635-563E-43F6-BC5A-D07AD7183CF7}" presName="sibTrans" presStyleLbl="sibTrans1D1" presStyleIdx="2" presStyleCnt="3"/>
      <dgm:spPr/>
    </dgm:pt>
  </dgm:ptLst>
  <dgm:cxnLst>
    <dgm:cxn modelId="{F4D42C09-A38C-4BD6-858A-A5F3790E7484}" srcId="{46037F4E-E1E0-4109-8DD4-8D54B71ABC50}" destId="{C04FBA46-B959-4828-AFFF-2C110BE609DD}" srcOrd="2" destOrd="0" parTransId="{FB8EA45D-2CEC-44CC-9E54-1C12DC0AA1F8}" sibTransId="{F49CB635-563E-43F6-BC5A-D07AD7183CF7}"/>
    <dgm:cxn modelId="{78D26D44-DDC3-4343-BF68-DBAF14936B5E}" type="presOf" srcId="{1F35F8A5-5F1D-49B6-A7CF-4F617BA77732}" destId="{79A84FEB-D728-45DC-96C9-11C6B9492550}" srcOrd="0" destOrd="0" presId="urn:microsoft.com/office/officeart/2005/8/layout/cycle6"/>
    <dgm:cxn modelId="{A2159C6C-7DF7-4DFD-AE4B-4FE2A5F287E9}" type="presOf" srcId="{31A6DB47-4534-40E6-94D4-3D170129AA43}" destId="{0F21F3CC-D003-414D-B93C-54DBA479C1DA}" srcOrd="0" destOrd="0" presId="urn:microsoft.com/office/officeart/2005/8/layout/cycle6"/>
    <dgm:cxn modelId="{4E6E9878-8B6E-414A-BB40-73C0E0554EA2}" srcId="{46037F4E-E1E0-4109-8DD4-8D54B71ABC50}" destId="{31A6DB47-4534-40E6-94D4-3D170129AA43}" srcOrd="0" destOrd="0" parTransId="{55F7152D-546F-4E33-9F60-23EA2CAB9CB2}" sibTransId="{1F35F8A5-5F1D-49B6-A7CF-4F617BA77732}"/>
    <dgm:cxn modelId="{B6CACF87-22CD-452D-B79B-21367D934A22}" type="presOf" srcId="{C04FBA46-B959-4828-AFFF-2C110BE609DD}" destId="{7825C0D9-0A0C-4924-90A7-3FE5418F5F93}" srcOrd="0" destOrd="0" presId="urn:microsoft.com/office/officeart/2005/8/layout/cycle6"/>
    <dgm:cxn modelId="{9B79A89D-C1B7-4D53-BE8A-3AD8B3B37705}" type="presOf" srcId="{46037F4E-E1E0-4109-8DD4-8D54B71ABC50}" destId="{0F8186DC-2001-4847-9F29-8FF7E2302DE3}" srcOrd="0" destOrd="0" presId="urn:microsoft.com/office/officeart/2005/8/layout/cycle6"/>
    <dgm:cxn modelId="{3BB2A9B7-9091-4924-A506-A3990145784B}" type="presOf" srcId="{D32728AC-BBD0-40A8-8C12-DEF0453666C3}" destId="{5633B25D-97C2-4B9A-9B0E-3389A31F81C7}" srcOrd="0" destOrd="0" presId="urn:microsoft.com/office/officeart/2005/8/layout/cycle6"/>
    <dgm:cxn modelId="{DF69FAD9-06AC-4455-932D-BE4B9225E7D5}" srcId="{46037F4E-E1E0-4109-8DD4-8D54B71ABC50}" destId="{75553B1E-E941-4EFC-9CBA-D45F1C031E95}" srcOrd="1" destOrd="0" parTransId="{BAFFE399-A595-47C1-825E-436F4460201F}" sibTransId="{D32728AC-BBD0-40A8-8C12-DEF0453666C3}"/>
    <dgm:cxn modelId="{10FB6FDB-2630-48B5-AAED-9C063748E921}" type="presOf" srcId="{F49CB635-563E-43F6-BC5A-D07AD7183CF7}" destId="{4492CDA3-0AB2-4D77-A59F-768B7AD6FA6B}" srcOrd="0" destOrd="0" presId="urn:microsoft.com/office/officeart/2005/8/layout/cycle6"/>
    <dgm:cxn modelId="{0DA683FB-72BA-43B1-9E9E-CC18D154ABDC}" type="presOf" srcId="{75553B1E-E941-4EFC-9CBA-D45F1C031E95}" destId="{55657CBA-8DDC-4AFC-B49B-E4E67D7C0851}" srcOrd="0" destOrd="0" presId="urn:microsoft.com/office/officeart/2005/8/layout/cycle6"/>
    <dgm:cxn modelId="{7D00ED7F-386C-459A-BFFC-7AB2BB06D2A0}" type="presParOf" srcId="{0F8186DC-2001-4847-9F29-8FF7E2302DE3}" destId="{0F21F3CC-D003-414D-B93C-54DBA479C1DA}" srcOrd="0" destOrd="0" presId="urn:microsoft.com/office/officeart/2005/8/layout/cycle6"/>
    <dgm:cxn modelId="{50CEA98F-6EE2-48D2-8685-94E6A8C280E2}" type="presParOf" srcId="{0F8186DC-2001-4847-9F29-8FF7E2302DE3}" destId="{F15C09E8-BB34-4B75-845C-B52E1C78500F}" srcOrd="1" destOrd="0" presId="urn:microsoft.com/office/officeart/2005/8/layout/cycle6"/>
    <dgm:cxn modelId="{F84D5E95-53A4-4B43-80F8-7CD0A346BD9C}" type="presParOf" srcId="{0F8186DC-2001-4847-9F29-8FF7E2302DE3}" destId="{79A84FEB-D728-45DC-96C9-11C6B9492550}" srcOrd="2" destOrd="0" presId="urn:microsoft.com/office/officeart/2005/8/layout/cycle6"/>
    <dgm:cxn modelId="{141C5492-5F8D-4822-ABF8-35BFB286B1B7}" type="presParOf" srcId="{0F8186DC-2001-4847-9F29-8FF7E2302DE3}" destId="{55657CBA-8DDC-4AFC-B49B-E4E67D7C0851}" srcOrd="3" destOrd="0" presId="urn:microsoft.com/office/officeart/2005/8/layout/cycle6"/>
    <dgm:cxn modelId="{6D84B3ED-6946-4A58-8F4E-36F5A3F30226}" type="presParOf" srcId="{0F8186DC-2001-4847-9F29-8FF7E2302DE3}" destId="{DD53272D-453B-40EB-902A-73A31DD2AF63}" srcOrd="4" destOrd="0" presId="urn:microsoft.com/office/officeart/2005/8/layout/cycle6"/>
    <dgm:cxn modelId="{344DF4ED-D713-4FBC-A589-3AFB965740FB}" type="presParOf" srcId="{0F8186DC-2001-4847-9F29-8FF7E2302DE3}" destId="{5633B25D-97C2-4B9A-9B0E-3389A31F81C7}" srcOrd="5" destOrd="0" presId="urn:microsoft.com/office/officeart/2005/8/layout/cycle6"/>
    <dgm:cxn modelId="{37D9A5A8-7F91-4D7B-BE09-BDDA58D7E148}" type="presParOf" srcId="{0F8186DC-2001-4847-9F29-8FF7E2302DE3}" destId="{7825C0D9-0A0C-4924-90A7-3FE5418F5F93}" srcOrd="6" destOrd="0" presId="urn:microsoft.com/office/officeart/2005/8/layout/cycle6"/>
    <dgm:cxn modelId="{7201067E-D6A5-4DD5-B4BC-F88297676286}" type="presParOf" srcId="{0F8186DC-2001-4847-9F29-8FF7E2302DE3}" destId="{9D9722F2-E47B-42F2-899C-5F79DD9AFACF}" srcOrd="7" destOrd="0" presId="urn:microsoft.com/office/officeart/2005/8/layout/cycle6"/>
    <dgm:cxn modelId="{589018B3-1534-4C32-8FA2-66528CBD5D18}" type="presParOf" srcId="{0F8186DC-2001-4847-9F29-8FF7E2302DE3}" destId="{4492CDA3-0AB2-4D77-A59F-768B7AD6FA6B}" srcOrd="8" destOrd="0" presId="urn:microsoft.com/office/officeart/2005/8/layout/cycle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21F3CC-D003-414D-B93C-54DBA479C1DA}">
      <dsp:nvSpPr>
        <dsp:cNvPr id="0" name=""/>
        <dsp:cNvSpPr/>
      </dsp:nvSpPr>
      <dsp:spPr>
        <a:xfrm>
          <a:off x="1272201" y="664"/>
          <a:ext cx="1036997" cy="674048"/>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b="0" i="0" kern="1200"/>
            <a:t>People (Social Value)</a:t>
          </a:r>
          <a:endParaRPr lang="en-IN" sz="900" kern="1200"/>
        </a:p>
      </dsp:txBody>
      <dsp:txXfrm>
        <a:off x="1305105" y="33568"/>
        <a:ext cx="971189" cy="608240"/>
      </dsp:txXfrm>
    </dsp:sp>
    <dsp:sp modelId="{79A84FEB-D728-45DC-96C9-11C6B9492550}">
      <dsp:nvSpPr>
        <dsp:cNvPr id="0" name=""/>
        <dsp:cNvSpPr/>
      </dsp:nvSpPr>
      <dsp:spPr>
        <a:xfrm>
          <a:off x="891796" y="337688"/>
          <a:ext cx="1797807" cy="1797807"/>
        </a:xfrm>
        <a:custGeom>
          <a:avLst/>
          <a:gdLst/>
          <a:ahLst/>
          <a:cxnLst/>
          <a:rect l="0" t="0" r="0" b="0"/>
          <a:pathLst>
            <a:path>
              <a:moveTo>
                <a:pt x="1424933" y="169986"/>
              </a:moveTo>
              <a:arcTo wR="898903" hR="898903" stAng="18348988" swAng="3646717"/>
            </a:path>
          </a:pathLst>
        </a:custGeom>
        <a:noFill/>
        <a:ln w="9525" cap="flat" cmpd="sng" algn="ctr">
          <a:solidFill>
            <a:schemeClr val="accent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5657CBA-8DDC-4AFC-B49B-E4E67D7C0851}">
      <dsp:nvSpPr>
        <dsp:cNvPr id="0" name=""/>
        <dsp:cNvSpPr/>
      </dsp:nvSpPr>
      <dsp:spPr>
        <a:xfrm>
          <a:off x="2050674" y="1349020"/>
          <a:ext cx="1036997" cy="674048"/>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b="0" i="0" kern="1200"/>
            <a:t>Planet (Environmental Value)</a:t>
          </a:r>
          <a:endParaRPr lang="en-IN" sz="900" kern="1200"/>
        </a:p>
      </dsp:txBody>
      <dsp:txXfrm>
        <a:off x="2083578" y="1381924"/>
        <a:ext cx="971189" cy="608240"/>
      </dsp:txXfrm>
    </dsp:sp>
    <dsp:sp modelId="{5633B25D-97C2-4B9A-9B0E-3389A31F81C7}">
      <dsp:nvSpPr>
        <dsp:cNvPr id="0" name=""/>
        <dsp:cNvSpPr/>
      </dsp:nvSpPr>
      <dsp:spPr>
        <a:xfrm>
          <a:off x="891796" y="337688"/>
          <a:ext cx="1797807" cy="1797807"/>
        </a:xfrm>
        <a:custGeom>
          <a:avLst/>
          <a:gdLst/>
          <a:ahLst/>
          <a:cxnLst/>
          <a:rect l="0" t="0" r="0" b="0"/>
          <a:pathLst>
            <a:path>
              <a:moveTo>
                <a:pt x="1326563" y="1689558"/>
              </a:moveTo>
              <a:arcTo wR="898903" hR="898903" stAng="3695481" swAng="3409038"/>
            </a:path>
          </a:pathLst>
        </a:custGeom>
        <a:noFill/>
        <a:ln w="9525" cap="flat" cmpd="sng" algn="ctr">
          <a:solidFill>
            <a:schemeClr val="accent3">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7825C0D9-0A0C-4924-90A7-3FE5418F5F93}">
      <dsp:nvSpPr>
        <dsp:cNvPr id="0" name=""/>
        <dsp:cNvSpPr/>
      </dsp:nvSpPr>
      <dsp:spPr>
        <a:xfrm>
          <a:off x="493727" y="1349020"/>
          <a:ext cx="1036997" cy="674048"/>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N" sz="900" b="0" i="0" kern="1200"/>
            <a:t>Profit (Economic &amp; Governance Value</a:t>
          </a:r>
          <a:endParaRPr lang="en-IN" sz="900" kern="1200"/>
        </a:p>
      </dsp:txBody>
      <dsp:txXfrm>
        <a:off x="526631" y="1381924"/>
        <a:ext cx="971189" cy="608240"/>
      </dsp:txXfrm>
    </dsp:sp>
    <dsp:sp modelId="{4492CDA3-0AB2-4D77-A59F-768B7AD6FA6B}">
      <dsp:nvSpPr>
        <dsp:cNvPr id="0" name=""/>
        <dsp:cNvSpPr/>
      </dsp:nvSpPr>
      <dsp:spPr>
        <a:xfrm>
          <a:off x="891796" y="337688"/>
          <a:ext cx="1797807" cy="1797807"/>
        </a:xfrm>
        <a:custGeom>
          <a:avLst/>
          <a:gdLst/>
          <a:ahLst/>
          <a:cxnLst/>
          <a:rect l="0" t="0" r="0" b="0"/>
          <a:pathLst>
            <a:path>
              <a:moveTo>
                <a:pt x="5948" y="1002144"/>
              </a:moveTo>
              <a:arcTo wR="898903" hR="898903" stAng="10404295" swAng="3646717"/>
            </a:path>
          </a:pathLst>
        </a:custGeom>
        <a:noFill/>
        <a:ln w="9525" cap="flat" cmpd="sng" algn="ctr">
          <a:solidFill>
            <a:schemeClr val="accent4">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2106DCC0-1F1F-4A33-85BF-54AC3E188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26</Pages>
  <Words>7710</Words>
  <Characters>43951</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Vrunda Parmar</cp:lastModifiedBy>
  <cp:revision>203</cp:revision>
  <dcterms:created xsi:type="dcterms:W3CDTF">2025-10-29T06:29:00Z</dcterms:created>
  <dcterms:modified xsi:type="dcterms:W3CDTF">2025-12-20T22:51:00Z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