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40896" w14:textId="77777777" w:rsidR="00373DC6" w:rsidRDefault="00373DC6">
      <w:pPr>
        <w:jc w:val="center"/>
        <w:rPr>
          <w:b/>
          <w:sz w:val="36"/>
          <w:szCs w:val="36"/>
        </w:rPr>
      </w:pPr>
    </w:p>
    <w:p w14:paraId="33CA2F5F" w14:textId="77777777" w:rsidR="00373DC6" w:rsidRDefault="00373DC6">
      <w:pPr>
        <w:jc w:val="center"/>
        <w:rPr>
          <w:b/>
          <w:sz w:val="36"/>
          <w:szCs w:val="36"/>
        </w:rPr>
      </w:pPr>
    </w:p>
    <w:p w14:paraId="6E8810EC" w14:textId="77777777" w:rsidR="00373DC6" w:rsidRDefault="00373DC6">
      <w:pPr>
        <w:jc w:val="center"/>
        <w:rPr>
          <w:b/>
          <w:sz w:val="36"/>
          <w:szCs w:val="36"/>
        </w:rPr>
      </w:pPr>
    </w:p>
    <w:p w14:paraId="74FE1D86" w14:textId="77777777" w:rsidR="00373DC6" w:rsidRDefault="00373DC6">
      <w:pPr>
        <w:jc w:val="center"/>
        <w:rPr>
          <w:b/>
          <w:sz w:val="36"/>
          <w:szCs w:val="36"/>
        </w:rPr>
      </w:pPr>
    </w:p>
    <w:p w14:paraId="53BF9E2E" w14:textId="77777777" w:rsidR="00373DC6" w:rsidRDefault="00373DC6">
      <w:pPr>
        <w:jc w:val="center"/>
        <w:rPr>
          <w:b/>
          <w:sz w:val="36"/>
          <w:szCs w:val="36"/>
        </w:rPr>
      </w:pPr>
    </w:p>
    <w:p w14:paraId="79243854" w14:textId="77777777" w:rsidR="00373DC6" w:rsidRDefault="00000000">
      <w:pPr>
        <w:jc w:val="center"/>
        <w:rPr>
          <w:b/>
          <w:sz w:val="36"/>
          <w:szCs w:val="36"/>
        </w:rPr>
      </w:pPr>
      <w:r>
        <w:rPr>
          <w:b/>
          <w:sz w:val="36"/>
          <w:szCs w:val="36"/>
        </w:rPr>
        <w:t>Module Name- Problem Solving and Innovation</w:t>
      </w:r>
    </w:p>
    <w:p w14:paraId="7D91E4C0" w14:textId="1BB23328" w:rsidR="00373DC6" w:rsidRDefault="00000000">
      <w:pPr>
        <w:jc w:val="center"/>
        <w:rPr>
          <w:b/>
          <w:sz w:val="36"/>
          <w:szCs w:val="36"/>
        </w:rPr>
      </w:pPr>
      <w:r>
        <w:rPr>
          <w:b/>
          <w:sz w:val="36"/>
          <w:szCs w:val="36"/>
        </w:rPr>
        <w:t>Student Name</w:t>
      </w:r>
      <w:r w:rsidR="00503284">
        <w:rPr>
          <w:b/>
          <w:sz w:val="36"/>
          <w:szCs w:val="36"/>
        </w:rPr>
        <w:t xml:space="preserve"> </w:t>
      </w:r>
      <w:r w:rsidR="00503284" w:rsidRPr="00503284">
        <w:rPr>
          <w:b/>
          <w:sz w:val="36"/>
          <w:szCs w:val="36"/>
        </w:rPr>
        <w:t>Dorina Whittingham</w:t>
      </w:r>
    </w:p>
    <w:p w14:paraId="61018BDD" w14:textId="5F6F408C" w:rsidR="00373DC6" w:rsidRDefault="00000000">
      <w:pPr>
        <w:jc w:val="center"/>
        <w:rPr>
          <w:sz w:val="36"/>
          <w:szCs w:val="36"/>
        </w:rPr>
      </w:pPr>
      <w:r>
        <w:rPr>
          <w:b/>
          <w:sz w:val="36"/>
          <w:szCs w:val="36"/>
        </w:rPr>
        <w:t>Student ID</w:t>
      </w:r>
      <w:r w:rsidR="00503284">
        <w:rPr>
          <w:b/>
          <w:sz w:val="36"/>
          <w:szCs w:val="36"/>
        </w:rPr>
        <w:t xml:space="preserve"> </w:t>
      </w:r>
      <w:r w:rsidR="00503284" w:rsidRPr="00503284">
        <w:rPr>
          <w:b/>
          <w:sz w:val="36"/>
          <w:szCs w:val="36"/>
        </w:rPr>
        <w:t>2421723</w:t>
      </w:r>
    </w:p>
    <w:p w14:paraId="135F8FB4" w14:textId="77777777" w:rsidR="00373DC6" w:rsidRDefault="00000000">
      <w:pPr>
        <w:spacing w:line="276" w:lineRule="auto"/>
        <w:jc w:val="left"/>
        <w:rPr>
          <w:sz w:val="36"/>
          <w:szCs w:val="36"/>
        </w:rPr>
      </w:pPr>
      <w:r>
        <w:br w:type="page"/>
      </w:r>
    </w:p>
    <w:p w14:paraId="5418ADE1" w14:textId="77777777" w:rsidR="00373DC6" w:rsidRPr="00503284" w:rsidRDefault="00000000" w:rsidP="00151334">
      <w:pPr>
        <w:spacing w:line="360" w:lineRule="auto"/>
        <w:jc w:val="center"/>
        <w:rPr>
          <w:rFonts w:ascii="Arial" w:hAnsi="Arial" w:cs="Arial"/>
          <w:b/>
        </w:rPr>
      </w:pPr>
      <w:r w:rsidRPr="00503284">
        <w:rPr>
          <w:rFonts w:ascii="Arial" w:hAnsi="Arial" w:cs="Arial"/>
          <w:b/>
        </w:rPr>
        <w:lastRenderedPageBreak/>
        <w:t>Executive Summary</w:t>
      </w:r>
    </w:p>
    <w:p w14:paraId="51D36123" w14:textId="60320265" w:rsidR="00373DC6" w:rsidRPr="00503284" w:rsidRDefault="00000000" w:rsidP="00151334">
      <w:pPr>
        <w:spacing w:line="360" w:lineRule="auto"/>
        <w:rPr>
          <w:rFonts w:ascii="Arial" w:hAnsi="Arial" w:cs="Arial"/>
          <w:b/>
        </w:rPr>
      </w:pPr>
      <w:r w:rsidRPr="00503284">
        <w:rPr>
          <w:rFonts w:ascii="Arial" w:hAnsi="Arial" w:cs="Arial"/>
        </w:rPr>
        <w:t>The key findings of this report imply that the UK High Street Retailers are under mounting pressures from external factors like rapid e-commerce growth, shifting preferences of the consumers, along with high business rates. In addition, many retailers struggle with outdated stores and formats along with workforce shortage and lack of innovation, which further weakens their competitiveness. To thrive in these aspects, the businesses must embrace</w:t>
      </w:r>
      <w:r w:rsidR="0078191D">
        <w:rPr>
          <w:rFonts w:ascii="Arial" w:hAnsi="Arial" w:cs="Arial"/>
        </w:rPr>
        <w:t xml:space="preserve"> market </w:t>
      </w:r>
      <w:r w:rsidRPr="00503284">
        <w:rPr>
          <w:rFonts w:ascii="Arial" w:hAnsi="Arial" w:cs="Arial"/>
        </w:rPr>
        <w:t xml:space="preserve">strategies and invest in technology to achieve positive outcomes. In addition, strong leadership and data-driven decision making, along with agility, are critical to sustain the relevance and profitability in an evolving retail environment that is shaped by economic uncertainty and changing shoppers’ expectations. </w:t>
      </w:r>
      <w:r w:rsidRPr="00503284">
        <w:rPr>
          <w:rFonts w:ascii="Arial" w:hAnsi="Arial" w:cs="Arial"/>
        </w:rPr>
        <w:br w:type="page"/>
      </w:r>
    </w:p>
    <w:p w14:paraId="354251BC" w14:textId="77777777" w:rsidR="00373DC6" w:rsidRPr="00503284" w:rsidRDefault="00000000" w:rsidP="00151334">
      <w:pPr>
        <w:keepNext/>
        <w:keepLines/>
        <w:pBdr>
          <w:top w:val="nil"/>
          <w:left w:val="nil"/>
          <w:bottom w:val="nil"/>
          <w:right w:val="nil"/>
          <w:between w:val="nil"/>
        </w:pBdr>
        <w:spacing w:before="240" w:line="360" w:lineRule="auto"/>
        <w:jc w:val="left"/>
        <w:rPr>
          <w:rFonts w:ascii="Arial" w:eastAsia="Calibri" w:hAnsi="Arial" w:cs="Arial"/>
          <w:color w:val="366091"/>
        </w:rPr>
      </w:pPr>
      <w:r w:rsidRPr="00503284">
        <w:rPr>
          <w:rFonts w:ascii="Arial" w:eastAsia="Calibri" w:hAnsi="Arial" w:cs="Arial"/>
          <w:color w:val="366091"/>
        </w:rPr>
        <w:lastRenderedPageBreak/>
        <w:t>Table of Contents</w:t>
      </w:r>
    </w:p>
    <w:sdt>
      <w:sdtPr>
        <w:rPr>
          <w:rFonts w:ascii="Arial" w:hAnsi="Arial" w:cs="Arial"/>
        </w:rPr>
        <w:id w:val="-173165173"/>
        <w:docPartObj>
          <w:docPartGallery w:val="Table of Contents"/>
          <w:docPartUnique/>
        </w:docPartObj>
      </w:sdtPr>
      <w:sdtContent>
        <w:p w14:paraId="75485706" w14:textId="2F03B60B" w:rsidR="00EA0FBD" w:rsidRPr="00503284" w:rsidRDefault="00000000" w:rsidP="00151334">
          <w:pPr>
            <w:pStyle w:val="TOC1"/>
            <w:tabs>
              <w:tab w:val="right" w:leader="dot" w:pos="9350"/>
            </w:tabs>
            <w:spacing w:line="360" w:lineRule="auto"/>
            <w:rPr>
              <w:rFonts w:ascii="Arial" w:eastAsiaTheme="minorEastAsia" w:hAnsi="Arial" w:cs="Arial"/>
              <w:noProof/>
              <w:kern w:val="2"/>
              <w14:ligatures w14:val="standardContextual"/>
            </w:rPr>
          </w:pPr>
          <w:r w:rsidRPr="00503284">
            <w:rPr>
              <w:rFonts w:ascii="Arial" w:hAnsi="Arial" w:cs="Arial"/>
            </w:rPr>
            <w:fldChar w:fldCharType="begin"/>
          </w:r>
          <w:r w:rsidRPr="00503284">
            <w:rPr>
              <w:rFonts w:ascii="Arial" w:hAnsi="Arial" w:cs="Arial"/>
            </w:rPr>
            <w:instrText xml:space="preserve"> TOC \h \u \z \t "Heading 1,1,Heading 2,2,Heading 3,3,"</w:instrText>
          </w:r>
          <w:r w:rsidRPr="00503284">
            <w:rPr>
              <w:rFonts w:ascii="Arial" w:hAnsi="Arial" w:cs="Arial"/>
            </w:rPr>
            <w:fldChar w:fldCharType="separate"/>
          </w:r>
          <w:hyperlink w:anchor="_Toc201847480" w:history="1">
            <w:r w:rsidR="00EA0FBD" w:rsidRPr="00503284">
              <w:rPr>
                <w:rStyle w:val="Hyperlink"/>
                <w:rFonts w:ascii="Arial" w:hAnsi="Arial" w:cs="Arial"/>
                <w:noProof/>
              </w:rPr>
              <w:t>Introduction</w:t>
            </w:r>
            <w:r w:rsidR="00EA0FBD" w:rsidRPr="00503284">
              <w:rPr>
                <w:rFonts w:ascii="Arial" w:hAnsi="Arial" w:cs="Arial"/>
                <w:noProof/>
                <w:webHidden/>
              </w:rPr>
              <w:tab/>
            </w:r>
            <w:r w:rsidR="00EA0FBD" w:rsidRPr="00503284">
              <w:rPr>
                <w:rFonts w:ascii="Arial" w:hAnsi="Arial" w:cs="Arial"/>
                <w:noProof/>
                <w:webHidden/>
              </w:rPr>
              <w:fldChar w:fldCharType="begin"/>
            </w:r>
            <w:r w:rsidR="00EA0FBD" w:rsidRPr="00503284">
              <w:rPr>
                <w:rFonts w:ascii="Arial" w:hAnsi="Arial" w:cs="Arial"/>
                <w:noProof/>
                <w:webHidden/>
              </w:rPr>
              <w:instrText xml:space="preserve"> PAGEREF _Toc201847480 \h </w:instrText>
            </w:r>
            <w:r w:rsidR="00EA0FBD" w:rsidRPr="00503284">
              <w:rPr>
                <w:rFonts w:ascii="Arial" w:hAnsi="Arial" w:cs="Arial"/>
                <w:noProof/>
                <w:webHidden/>
              </w:rPr>
            </w:r>
            <w:r w:rsidR="00EA0FBD" w:rsidRPr="00503284">
              <w:rPr>
                <w:rFonts w:ascii="Arial" w:hAnsi="Arial" w:cs="Arial"/>
                <w:noProof/>
                <w:webHidden/>
              </w:rPr>
              <w:fldChar w:fldCharType="separate"/>
            </w:r>
            <w:r w:rsidR="00EA0FBD" w:rsidRPr="00503284">
              <w:rPr>
                <w:rFonts w:ascii="Arial" w:hAnsi="Arial" w:cs="Arial"/>
                <w:noProof/>
                <w:webHidden/>
              </w:rPr>
              <w:t>4</w:t>
            </w:r>
            <w:r w:rsidR="00EA0FBD" w:rsidRPr="00503284">
              <w:rPr>
                <w:rFonts w:ascii="Arial" w:hAnsi="Arial" w:cs="Arial"/>
                <w:noProof/>
                <w:webHidden/>
              </w:rPr>
              <w:fldChar w:fldCharType="end"/>
            </w:r>
          </w:hyperlink>
        </w:p>
        <w:p w14:paraId="733F72D8" w14:textId="0711923D" w:rsidR="00EA0FBD" w:rsidRPr="00503284" w:rsidRDefault="00EA0FBD" w:rsidP="00151334">
          <w:pPr>
            <w:pStyle w:val="TOC1"/>
            <w:tabs>
              <w:tab w:val="right" w:leader="dot" w:pos="9350"/>
            </w:tabs>
            <w:spacing w:line="360" w:lineRule="auto"/>
            <w:rPr>
              <w:rFonts w:ascii="Arial" w:eastAsiaTheme="minorEastAsia" w:hAnsi="Arial" w:cs="Arial"/>
              <w:noProof/>
              <w:kern w:val="2"/>
              <w14:ligatures w14:val="standardContextual"/>
            </w:rPr>
          </w:pPr>
          <w:hyperlink w:anchor="_Toc201847481" w:history="1">
            <w:r w:rsidRPr="00503284">
              <w:rPr>
                <w:rStyle w:val="Hyperlink"/>
                <w:rFonts w:ascii="Arial" w:hAnsi="Arial" w:cs="Arial"/>
                <w:noProof/>
              </w:rPr>
              <w:t>Findings</w:t>
            </w:r>
            <w:r w:rsidRPr="00503284">
              <w:rPr>
                <w:rFonts w:ascii="Arial" w:hAnsi="Arial" w:cs="Arial"/>
                <w:noProof/>
                <w:webHidden/>
              </w:rPr>
              <w:tab/>
            </w:r>
            <w:r w:rsidRPr="00503284">
              <w:rPr>
                <w:rFonts w:ascii="Arial" w:hAnsi="Arial" w:cs="Arial"/>
                <w:noProof/>
                <w:webHidden/>
              </w:rPr>
              <w:fldChar w:fldCharType="begin"/>
            </w:r>
            <w:r w:rsidRPr="00503284">
              <w:rPr>
                <w:rFonts w:ascii="Arial" w:hAnsi="Arial" w:cs="Arial"/>
                <w:noProof/>
                <w:webHidden/>
              </w:rPr>
              <w:instrText xml:space="preserve"> PAGEREF _Toc201847481 \h </w:instrText>
            </w:r>
            <w:r w:rsidRPr="00503284">
              <w:rPr>
                <w:rFonts w:ascii="Arial" w:hAnsi="Arial" w:cs="Arial"/>
                <w:noProof/>
                <w:webHidden/>
              </w:rPr>
            </w:r>
            <w:r w:rsidRPr="00503284">
              <w:rPr>
                <w:rFonts w:ascii="Arial" w:hAnsi="Arial" w:cs="Arial"/>
                <w:noProof/>
                <w:webHidden/>
              </w:rPr>
              <w:fldChar w:fldCharType="separate"/>
            </w:r>
            <w:r w:rsidRPr="00503284">
              <w:rPr>
                <w:rFonts w:ascii="Arial" w:hAnsi="Arial" w:cs="Arial"/>
                <w:noProof/>
                <w:webHidden/>
              </w:rPr>
              <w:t>5</w:t>
            </w:r>
            <w:r w:rsidRPr="00503284">
              <w:rPr>
                <w:rFonts w:ascii="Arial" w:hAnsi="Arial" w:cs="Arial"/>
                <w:noProof/>
                <w:webHidden/>
              </w:rPr>
              <w:fldChar w:fldCharType="end"/>
            </w:r>
          </w:hyperlink>
        </w:p>
        <w:p w14:paraId="6425B770" w14:textId="228E67A8" w:rsidR="00EA0FBD" w:rsidRPr="00503284" w:rsidRDefault="00EA0FBD" w:rsidP="00151334">
          <w:pPr>
            <w:pStyle w:val="TOC1"/>
            <w:tabs>
              <w:tab w:val="right" w:leader="dot" w:pos="9350"/>
            </w:tabs>
            <w:spacing w:line="360" w:lineRule="auto"/>
            <w:rPr>
              <w:rFonts w:ascii="Arial" w:eastAsiaTheme="minorEastAsia" w:hAnsi="Arial" w:cs="Arial"/>
              <w:noProof/>
              <w:kern w:val="2"/>
              <w14:ligatures w14:val="standardContextual"/>
            </w:rPr>
          </w:pPr>
          <w:hyperlink w:anchor="_Toc201847482" w:history="1">
            <w:r w:rsidRPr="00503284">
              <w:rPr>
                <w:rStyle w:val="Hyperlink"/>
                <w:rFonts w:ascii="Arial" w:hAnsi="Arial" w:cs="Arial"/>
                <w:noProof/>
              </w:rPr>
              <w:t>Conclusion</w:t>
            </w:r>
            <w:r w:rsidRPr="00503284">
              <w:rPr>
                <w:rFonts w:ascii="Arial" w:hAnsi="Arial" w:cs="Arial"/>
                <w:noProof/>
                <w:webHidden/>
              </w:rPr>
              <w:tab/>
            </w:r>
            <w:r w:rsidRPr="00503284">
              <w:rPr>
                <w:rFonts w:ascii="Arial" w:hAnsi="Arial" w:cs="Arial"/>
                <w:noProof/>
                <w:webHidden/>
              </w:rPr>
              <w:fldChar w:fldCharType="begin"/>
            </w:r>
            <w:r w:rsidRPr="00503284">
              <w:rPr>
                <w:rFonts w:ascii="Arial" w:hAnsi="Arial" w:cs="Arial"/>
                <w:noProof/>
                <w:webHidden/>
              </w:rPr>
              <w:instrText xml:space="preserve"> PAGEREF _Toc201847482 \h </w:instrText>
            </w:r>
            <w:r w:rsidRPr="00503284">
              <w:rPr>
                <w:rFonts w:ascii="Arial" w:hAnsi="Arial" w:cs="Arial"/>
                <w:noProof/>
                <w:webHidden/>
              </w:rPr>
            </w:r>
            <w:r w:rsidRPr="00503284">
              <w:rPr>
                <w:rFonts w:ascii="Arial" w:hAnsi="Arial" w:cs="Arial"/>
                <w:noProof/>
                <w:webHidden/>
              </w:rPr>
              <w:fldChar w:fldCharType="separate"/>
            </w:r>
            <w:r w:rsidRPr="00503284">
              <w:rPr>
                <w:rFonts w:ascii="Arial" w:hAnsi="Arial" w:cs="Arial"/>
                <w:noProof/>
                <w:webHidden/>
              </w:rPr>
              <w:t>17</w:t>
            </w:r>
            <w:r w:rsidRPr="00503284">
              <w:rPr>
                <w:rFonts w:ascii="Arial" w:hAnsi="Arial" w:cs="Arial"/>
                <w:noProof/>
                <w:webHidden/>
              </w:rPr>
              <w:fldChar w:fldCharType="end"/>
            </w:r>
          </w:hyperlink>
        </w:p>
        <w:p w14:paraId="15FB1DFB" w14:textId="38607955" w:rsidR="00EA0FBD" w:rsidRPr="00503284" w:rsidRDefault="00EA0FBD" w:rsidP="00151334">
          <w:pPr>
            <w:pStyle w:val="TOC1"/>
            <w:tabs>
              <w:tab w:val="right" w:leader="dot" w:pos="9350"/>
            </w:tabs>
            <w:spacing w:line="360" w:lineRule="auto"/>
            <w:rPr>
              <w:rFonts w:ascii="Arial" w:eastAsiaTheme="minorEastAsia" w:hAnsi="Arial" w:cs="Arial"/>
              <w:noProof/>
              <w:kern w:val="2"/>
              <w14:ligatures w14:val="standardContextual"/>
            </w:rPr>
          </w:pPr>
          <w:hyperlink w:anchor="_Toc201847483" w:history="1">
            <w:r w:rsidRPr="00503284">
              <w:rPr>
                <w:rStyle w:val="Hyperlink"/>
                <w:rFonts w:ascii="Arial" w:hAnsi="Arial" w:cs="Arial"/>
                <w:noProof/>
              </w:rPr>
              <w:t>Recommendations</w:t>
            </w:r>
            <w:r w:rsidRPr="00503284">
              <w:rPr>
                <w:rFonts w:ascii="Arial" w:hAnsi="Arial" w:cs="Arial"/>
                <w:noProof/>
                <w:webHidden/>
              </w:rPr>
              <w:tab/>
            </w:r>
            <w:r w:rsidRPr="00503284">
              <w:rPr>
                <w:rFonts w:ascii="Arial" w:hAnsi="Arial" w:cs="Arial"/>
                <w:noProof/>
                <w:webHidden/>
              </w:rPr>
              <w:fldChar w:fldCharType="begin"/>
            </w:r>
            <w:r w:rsidRPr="00503284">
              <w:rPr>
                <w:rFonts w:ascii="Arial" w:hAnsi="Arial" w:cs="Arial"/>
                <w:noProof/>
                <w:webHidden/>
              </w:rPr>
              <w:instrText xml:space="preserve"> PAGEREF _Toc201847483 \h </w:instrText>
            </w:r>
            <w:r w:rsidRPr="00503284">
              <w:rPr>
                <w:rFonts w:ascii="Arial" w:hAnsi="Arial" w:cs="Arial"/>
                <w:noProof/>
                <w:webHidden/>
              </w:rPr>
            </w:r>
            <w:r w:rsidRPr="00503284">
              <w:rPr>
                <w:rFonts w:ascii="Arial" w:hAnsi="Arial" w:cs="Arial"/>
                <w:noProof/>
                <w:webHidden/>
              </w:rPr>
              <w:fldChar w:fldCharType="separate"/>
            </w:r>
            <w:r w:rsidRPr="00503284">
              <w:rPr>
                <w:rFonts w:ascii="Arial" w:hAnsi="Arial" w:cs="Arial"/>
                <w:noProof/>
                <w:webHidden/>
              </w:rPr>
              <w:t>18</w:t>
            </w:r>
            <w:r w:rsidRPr="00503284">
              <w:rPr>
                <w:rFonts w:ascii="Arial" w:hAnsi="Arial" w:cs="Arial"/>
                <w:noProof/>
                <w:webHidden/>
              </w:rPr>
              <w:fldChar w:fldCharType="end"/>
            </w:r>
          </w:hyperlink>
        </w:p>
        <w:p w14:paraId="5DB9D4F0" w14:textId="03B7C46D" w:rsidR="00EA0FBD" w:rsidRPr="00503284" w:rsidRDefault="00EA0FBD" w:rsidP="00151334">
          <w:pPr>
            <w:pStyle w:val="TOC1"/>
            <w:tabs>
              <w:tab w:val="right" w:leader="dot" w:pos="9350"/>
            </w:tabs>
            <w:spacing w:line="360" w:lineRule="auto"/>
            <w:rPr>
              <w:rFonts w:ascii="Arial" w:eastAsiaTheme="minorEastAsia" w:hAnsi="Arial" w:cs="Arial"/>
              <w:noProof/>
              <w:kern w:val="2"/>
              <w14:ligatures w14:val="standardContextual"/>
            </w:rPr>
          </w:pPr>
          <w:hyperlink w:anchor="_Toc201847484" w:history="1">
            <w:r w:rsidRPr="00503284">
              <w:rPr>
                <w:rStyle w:val="Hyperlink"/>
                <w:rFonts w:ascii="Arial" w:hAnsi="Arial" w:cs="Arial"/>
                <w:noProof/>
              </w:rPr>
              <w:t>References</w:t>
            </w:r>
            <w:r w:rsidRPr="00503284">
              <w:rPr>
                <w:rFonts w:ascii="Arial" w:hAnsi="Arial" w:cs="Arial"/>
                <w:noProof/>
                <w:webHidden/>
              </w:rPr>
              <w:tab/>
            </w:r>
            <w:r w:rsidRPr="00503284">
              <w:rPr>
                <w:rFonts w:ascii="Arial" w:hAnsi="Arial" w:cs="Arial"/>
                <w:noProof/>
                <w:webHidden/>
              </w:rPr>
              <w:fldChar w:fldCharType="begin"/>
            </w:r>
            <w:r w:rsidRPr="00503284">
              <w:rPr>
                <w:rFonts w:ascii="Arial" w:hAnsi="Arial" w:cs="Arial"/>
                <w:noProof/>
                <w:webHidden/>
              </w:rPr>
              <w:instrText xml:space="preserve"> PAGEREF _Toc201847484 \h </w:instrText>
            </w:r>
            <w:r w:rsidRPr="00503284">
              <w:rPr>
                <w:rFonts w:ascii="Arial" w:hAnsi="Arial" w:cs="Arial"/>
                <w:noProof/>
                <w:webHidden/>
              </w:rPr>
            </w:r>
            <w:r w:rsidRPr="00503284">
              <w:rPr>
                <w:rFonts w:ascii="Arial" w:hAnsi="Arial" w:cs="Arial"/>
                <w:noProof/>
                <w:webHidden/>
              </w:rPr>
              <w:fldChar w:fldCharType="separate"/>
            </w:r>
            <w:r w:rsidRPr="00503284">
              <w:rPr>
                <w:rFonts w:ascii="Arial" w:hAnsi="Arial" w:cs="Arial"/>
                <w:noProof/>
                <w:webHidden/>
              </w:rPr>
              <w:t>20</w:t>
            </w:r>
            <w:r w:rsidRPr="00503284">
              <w:rPr>
                <w:rFonts w:ascii="Arial" w:hAnsi="Arial" w:cs="Arial"/>
                <w:noProof/>
                <w:webHidden/>
              </w:rPr>
              <w:fldChar w:fldCharType="end"/>
            </w:r>
          </w:hyperlink>
        </w:p>
        <w:p w14:paraId="5A747B3C" w14:textId="3D2AE237" w:rsidR="00373DC6" w:rsidRPr="00503284" w:rsidRDefault="00000000" w:rsidP="00151334">
          <w:pPr>
            <w:spacing w:line="360" w:lineRule="auto"/>
            <w:rPr>
              <w:rFonts w:ascii="Arial" w:hAnsi="Arial" w:cs="Arial"/>
            </w:rPr>
          </w:pPr>
          <w:r w:rsidRPr="00503284">
            <w:rPr>
              <w:rFonts w:ascii="Arial" w:hAnsi="Arial" w:cs="Arial"/>
            </w:rPr>
            <w:fldChar w:fldCharType="end"/>
          </w:r>
        </w:p>
      </w:sdtContent>
    </w:sdt>
    <w:p w14:paraId="41A890FA" w14:textId="77777777" w:rsidR="00373DC6" w:rsidRPr="00503284" w:rsidRDefault="00000000" w:rsidP="00151334">
      <w:pPr>
        <w:spacing w:line="360" w:lineRule="auto"/>
        <w:rPr>
          <w:rFonts w:ascii="Arial" w:hAnsi="Arial" w:cs="Arial"/>
          <w:b/>
        </w:rPr>
      </w:pPr>
      <w:r w:rsidRPr="00503284">
        <w:rPr>
          <w:rFonts w:ascii="Arial" w:hAnsi="Arial" w:cs="Arial"/>
        </w:rPr>
        <w:br w:type="page"/>
      </w:r>
    </w:p>
    <w:p w14:paraId="7ACE9B09" w14:textId="77777777" w:rsidR="00373DC6" w:rsidRPr="00503284" w:rsidRDefault="00000000" w:rsidP="00151334">
      <w:pPr>
        <w:pStyle w:val="Heading1"/>
        <w:spacing w:line="360" w:lineRule="auto"/>
        <w:rPr>
          <w:rFonts w:ascii="Arial" w:hAnsi="Arial" w:cs="Arial"/>
          <w:sz w:val="24"/>
          <w:szCs w:val="24"/>
        </w:rPr>
      </w:pPr>
      <w:bookmarkStart w:id="0" w:name="_Toc201847480"/>
      <w:r w:rsidRPr="00503284">
        <w:rPr>
          <w:rFonts w:ascii="Arial" w:hAnsi="Arial" w:cs="Arial"/>
          <w:sz w:val="24"/>
          <w:szCs w:val="24"/>
        </w:rPr>
        <w:lastRenderedPageBreak/>
        <w:t>Introduction</w:t>
      </w:r>
      <w:bookmarkEnd w:id="0"/>
    </w:p>
    <w:p w14:paraId="631EAEC4" w14:textId="77777777" w:rsidR="00373DC6" w:rsidRPr="00503284" w:rsidRDefault="00000000" w:rsidP="00151334">
      <w:pPr>
        <w:spacing w:line="360" w:lineRule="auto"/>
        <w:rPr>
          <w:rFonts w:ascii="Arial" w:hAnsi="Arial" w:cs="Arial"/>
        </w:rPr>
      </w:pPr>
      <w:r w:rsidRPr="00503284">
        <w:rPr>
          <w:rFonts w:ascii="Arial" w:hAnsi="Arial" w:cs="Arial"/>
        </w:rPr>
        <w:t xml:space="preserve">The UK High Street retail is undergoing a profound transformation that is driven by shifting the behaviour of the consumers, along with maintaining economic uncertainty and technological disruptions. The traditional retailers, once central to community life, are now facing intense competition from e-commerce giants and rising operational costs, along with evolving societal values that aim towards maintaining convenience and sustainability. The aftermath of Brexit, the impact of COVID-19 19 and growing inflationary pressures have only intensified these challenges and are prompting many established brands the downsize or close together. </w:t>
      </w:r>
    </w:p>
    <w:p w14:paraId="2B2370D8" w14:textId="77777777" w:rsidR="00373DC6" w:rsidRPr="00503284" w:rsidRDefault="00000000" w:rsidP="00151334">
      <w:pPr>
        <w:spacing w:line="360" w:lineRule="auto"/>
        <w:rPr>
          <w:rFonts w:ascii="Arial" w:hAnsi="Arial" w:cs="Arial"/>
          <w:b/>
        </w:rPr>
      </w:pPr>
      <w:r w:rsidRPr="00503284">
        <w:rPr>
          <w:rFonts w:ascii="Arial" w:hAnsi="Arial" w:cs="Arial"/>
        </w:rPr>
        <w:t xml:space="preserve">In addition, this report also aims to critically analyse the external factors influencing the performance and survival of the High Street retailers using strategic tools like PESTLE and SWOT. It will also explore how the PESTLE factors intersect to shape the retail landscape and will also analyse the internal strengths and weaknesses along with the external threats and opportunities to offer strategic recommendations to support retailers in coping with the dynamics of the changing environment. </w:t>
      </w:r>
      <w:r w:rsidRPr="00503284">
        <w:rPr>
          <w:rFonts w:ascii="Arial" w:hAnsi="Arial" w:cs="Arial"/>
        </w:rPr>
        <w:br w:type="page"/>
      </w:r>
    </w:p>
    <w:p w14:paraId="09ACC791" w14:textId="77777777" w:rsidR="00373DC6" w:rsidRPr="00503284" w:rsidRDefault="00000000" w:rsidP="00151334">
      <w:pPr>
        <w:pStyle w:val="Heading1"/>
        <w:spacing w:line="360" w:lineRule="auto"/>
        <w:rPr>
          <w:rFonts w:ascii="Arial" w:hAnsi="Arial" w:cs="Arial"/>
          <w:sz w:val="24"/>
          <w:szCs w:val="24"/>
        </w:rPr>
      </w:pPr>
      <w:bookmarkStart w:id="1" w:name="_Toc201847481"/>
      <w:r w:rsidRPr="00503284">
        <w:rPr>
          <w:rFonts w:ascii="Arial" w:hAnsi="Arial" w:cs="Arial"/>
          <w:sz w:val="24"/>
          <w:szCs w:val="24"/>
        </w:rPr>
        <w:lastRenderedPageBreak/>
        <w:t>Findings</w:t>
      </w:r>
      <w:bookmarkEnd w:id="1"/>
    </w:p>
    <w:p w14:paraId="4470C8E3" w14:textId="77777777" w:rsidR="00373DC6" w:rsidRPr="00503284" w:rsidRDefault="00000000" w:rsidP="00151334">
      <w:pPr>
        <w:spacing w:line="360" w:lineRule="auto"/>
        <w:rPr>
          <w:rFonts w:ascii="Arial" w:hAnsi="Arial" w:cs="Arial"/>
          <w:b/>
        </w:rPr>
      </w:pPr>
      <w:r w:rsidRPr="00503284">
        <w:rPr>
          <w:rFonts w:ascii="Arial" w:hAnsi="Arial" w:cs="Arial"/>
          <w:b/>
        </w:rPr>
        <w:t>Identification and analysis of the external factors impacting the High Street retailers</w:t>
      </w:r>
    </w:p>
    <w:p w14:paraId="35D783AF" w14:textId="77777777" w:rsidR="00373DC6" w:rsidRPr="00503284" w:rsidRDefault="00000000" w:rsidP="00151334">
      <w:pPr>
        <w:spacing w:line="360" w:lineRule="auto"/>
        <w:rPr>
          <w:rFonts w:ascii="Arial" w:hAnsi="Arial" w:cs="Arial"/>
          <w:b/>
        </w:rPr>
      </w:pPr>
      <w:r w:rsidRPr="00503284">
        <w:rPr>
          <w:rFonts w:ascii="Arial" w:hAnsi="Arial" w:cs="Arial"/>
          <w:b/>
          <w:noProof/>
        </w:rPr>
        <w:drawing>
          <wp:inline distT="114300" distB="114300" distL="114300" distR="114300" wp14:anchorId="65D10B8B" wp14:editId="1FB4C4DD">
            <wp:extent cx="5915025" cy="3478293"/>
            <wp:effectExtent l="0" t="0" r="0" b="0"/>
            <wp:docPr id="213188245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15025" cy="3478293"/>
                    </a:xfrm>
                    <a:prstGeom prst="rect">
                      <a:avLst/>
                    </a:prstGeom>
                    <a:ln/>
                  </pic:spPr>
                </pic:pic>
              </a:graphicData>
            </a:graphic>
          </wp:inline>
        </w:drawing>
      </w:r>
    </w:p>
    <w:p w14:paraId="27E39489" w14:textId="77777777" w:rsidR="00373DC6" w:rsidRPr="00503284" w:rsidRDefault="00000000" w:rsidP="00151334">
      <w:pPr>
        <w:spacing w:line="360" w:lineRule="auto"/>
        <w:jc w:val="center"/>
        <w:rPr>
          <w:rFonts w:ascii="Arial" w:hAnsi="Arial" w:cs="Arial"/>
          <w:b/>
        </w:rPr>
      </w:pPr>
      <w:r w:rsidRPr="00503284">
        <w:rPr>
          <w:rFonts w:ascii="Arial" w:hAnsi="Arial" w:cs="Arial"/>
          <w:b/>
        </w:rPr>
        <w:t>Figure- Retail employment of high street, UK</w:t>
      </w:r>
    </w:p>
    <w:p w14:paraId="60C61BF1" w14:textId="77777777" w:rsidR="00373DC6" w:rsidRPr="00503284" w:rsidRDefault="00000000" w:rsidP="00151334">
      <w:pPr>
        <w:spacing w:line="360" w:lineRule="auto"/>
        <w:jc w:val="center"/>
        <w:rPr>
          <w:rFonts w:ascii="Arial" w:hAnsi="Arial" w:cs="Arial"/>
          <w:b/>
        </w:rPr>
      </w:pPr>
      <w:r w:rsidRPr="00503284">
        <w:rPr>
          <w:rFonts w:ascii="Arial" w:hAnsi="Arial" w:cs="Arial"/>
          <w:b/>
        </w:rPr>
        <w:t xml:space="preserve">Source- </w:t>
      </w:r>
      <w:r w:rsidRPr="00503284">
        <w:rPr>
          <w:rFonts w:ascii="Arial" w:hAnsi="Arial" w:cs="Arial"/>
        </w:rPr>
        <w:t>(Ward, 2025)</w:t>
      </w:r>
    </w:p>
    <w:p w14:paraId="2B2AD407" w14:textId="77777777" w:rsidR="00373DC6" w:rsidRPr="00503284" w:rsidRDefault="00000000" w:rsidP="00151334">
      <w:pPr>
        <w:spacing w:line="360" w:lineRule="auto"/>
        <w:rPr>
          <w:rFonts w:ascii="Arial" w:hAnsi="Arial" w:cs="Arial"/>
        </w:rPr>
      </w:pPr>
      <w:r w:rsidRPr="00503284">
        <w:rPr>
          <w:rFonts w:ascii="Arial" w:hAnsi="Arial" w:cs="Arial"/>
        </w:rPr>
        <w:t xml:space="preserve">The UK high Street, once the heartbeat of urban social and commercial life, is undergoing a profound transformation. From the collapse of well-known brands like Debenhams to the rapid growth of e-commerce, the retail terrain has become unpredictable and complex. In addition, the convergence of global events like Brexit, the COVID-19 pandemic, along climate change has generated a new reliability for brick-and-mortar businesses. </w:t>
      </w:r>
    </w:p>
    <w:p w14:paraId="2514E477" w14:textId="77777777" w:rsidR="00373DC6" w:rsidRPr="00503284" w:rsidRDefault="00000000" w:rsidP="00151334">
      <w:pPr>
        <w:spacing w:line="360" w:lineRule="auto"/>
        <w:rPr>
          <w:rFonts w:ascii="Arial" w:hAnsi="Arial" w:cs="Arial"/>
          <w:i/>
          <w:u w:val="single"/>
        </w:rPr>
      </w:pPr>
      <w:r w:rsidRPr="00503284">
        <w:rPr>
          <w:rFonts w:ascii="Arial" w:hAnsi="Arial" w:cs="Arial"/>
        </w:rPr>
        <w:br w:type="page"/>
      </w:r>
    </w:p>
    <w:p w14:paraId="2D8D6D7E" w14:textId="77777777" w:rsidR="00373DC6" w:rsidRPr="00503284" w:rsidRDefault="00000000" w:rsidP="00151334">
      <w:pPr>
        <w:spacing w:line="360" w:lineRule="auto"/>
        <w:rPr>
          <w:rFonts w:ascii="Arial" w:hAnsi="Arial" w:cs="Arial"/>
          <w:b/>
          <w:i/>
          <w:u w:val="single"/>
        </w:rPr>
      </w:pPr>
      <w:r w:rsidRPr="00503284">
        <w:rPr>
          <w:rFonts w:ascii="Arial" w:hAnsi="Arial" w:cs="Arial"/>
          <w:b/>
          <w:i/>
          <w:u w:val="single"/>
        </w:rPr>
        <w:lastRenderedPageBreak/>
        <w:t>PESTLE Analysis</w:t>
      </w:r>
    </w:p>
    <w:p w14:paraId="25AE4075" w14:textId="77777777" w:rsidR="00373DC6" w:rsidRPr="00503284" w:rsidRDefault="00000000" w:rsidP="00151334">
      <w:pPr>
        <w:spacing w:line="360" w:lineRule="auto"/>
        <w:rPr>
          <w:rFonts w:ascii="Arial" w:hAnsi="Arial" w:cs="Arial"/>
          <w:i/>
          <w:u w:val="single"/>
        </w:rPr>
      </w:pPr>
      <w:r w:rsidRPr="00503284">
        <w:rPr>
          <w:rFonts w:ascii="Arial" w:hAnsi="Arial" w:cs="Arial"/>
          <w:i/>
          <w:noProof/>
          <w:u w:val="single"/>
        </w:rPr>
        <w:drawing>
          <wp:inline distT="114300" distB="114300" distL="114300" distR="114300" wp14:anchorId="74F1254E" wp14:editId="62310510">
            <wp:extent cx="5934075" cy="3438525"/>
            <wp:effectExtent l="0" t="0" r="0" b="0"/>
            <wp:docPr id="213188245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34075" cy="3438525"/>
                    </a:xfrm>
                    <a:prstGeom prst="rect">
                      <a:avLst/>
                    </a:prstGeom>
                    <a:ln/>
                  </pic:spPr>
                </pic:pic>
              </a:graphicData>
            </a:graphic>
          </wp:inline>
        </w:drawing>
      </w:r>
    </w:p>
    <w:p w14:paraId="28EB9F7F" w14:textId="77777777" w:rsidR="00373DC6" w:rsidRPr="00503284" w:rsidRDefault="00000000" w:rsidP="00151334">
      <w:pPr>
        <w:spacing w:line="360" w:lineRule="auto"/>
        <w:jc w:val="center"/>
        <w:rPr>
          <w:rFonts w:ascii="Arial" w:hAnsi="Arial" w:cs="Arial"/>
          <w:b/>
        </w:rPr>
      </w:pPr>
      <w:r w:rsidRPr="00503284">
        <w:rPr>
          <w:rFonts w:ascii="Arial" w:hAnsi="Arial" w:cs="Arial"/>
          <w:b/>
        </w:rPr>
        <w:t>Figure- Analysis of the business of the high street by size</w:t>
      </w:r>
    </w:p>
    <w:p w14:paraId="7252A08D" w14:textId="77777777" w:rsidR="00373DC6" w:rsidRPr="00503284" w:rsidRDefault="00000000" w:rsidP="00151334">
      <w:pPr>
        <w:spacing w:line="360" w:lineRule="auto"/>
        <w:jc w:val="center"/>
        <w:rPr>
          <w:rFonts w:ascii="Arial" w:hAnsi="Arial" w:cs="Arial"/>
          <w:b/>
        </w:rPr>
      </w:pPr>
      <w:r w:rsidRPr="00503284">
        <w:rPr>
          <w:rFonts w:ascii="Arial" w:hAnsi="Arial" w:cs="Arial"/>
          <w:b/>
        </w:rPr>
        <w:t xml:space="preserve">Source- </w:t>
      </w:r>
      <w:r w:rsidRPr="00503284">
        <w:rPr>
          <w:rFonts w:ascii="Arial" w:hAnsi="Arial" w:cs="Arial"/>
        </w:rPr>
        <w:t>(Ward, 2025)</w:t>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05"/>
        <w:gridCol w:w="2106"/>
        <w:gridCol w:w="2588"/>
        <w:gridCol w:w="2694"/>
      </w:tblGrid>
      <w:tr w:rsidR="00373DC6" w:rsidRPr="00503284" w14:paraId="54AD2D2C" w14:textId="77777777">
        <w:trPr>
          <w:cantSplit/>
          <w:trHeight w:val="225"/>
        </w:trPr>
        <w:tc>
          <w:tcPr>
            <w:tcW w:w="2105" w:type="dxa"/>
            <w:shd w:val="clear" w:color="auto" w:fill="1F497D"/>
            <w:vAlign w:val="center"/>
          </w:tcPr>
          <w:p w14:paraId="66E6441F" w14:textId="77777777" w:rsidR="00373DC6" w:rsidRPr="00503284" w:rsidRDefault="00000000" w:rsidP="00151334">
            <w:pPr>
              <w:spacing w:line="360" w:lineRule="auto"/>
              <w:jc w:val="center"/>
              <w:rPr>
                <w:rFonts w:ascii="Arial" w:hAnsi="Arial" w:cs="Arial"/>
                <w:b/>
                <w:color w:val="FFFFFF"/>
              </w:rPr>
            </w:pPr>
            <w:bookmarkStart w:id="2" w:name="_heading=h.2lglm8e3sjx1" w:colFirst="0" w:colLast="0"/>
            <w:bookmarkEnd w:id="2"/>
            <w:r w:rsidRPr="00503284">
              <w:rPr>
                <w:rFonts w:ascii="Arial" w:hAnsi="Arial" w:cs="Arial"/>
                <w:b/>
                <w:color w:val="FFFFFF"/>
              </w:rPr>
              <w:t>Criteria Examples</w:t>
            </w:r>
          </w:p>
        </w:tc>
        <w:tc>
          <w:tcPr>
            <w:tcW w:w="2106" w:type="dxa"/>
            <w:shd w:val="clear" w:color="auto" w:fill="1F497D"/>
            <w:vAlign w:val="center"/>
          </w:tcPr>
          <w:p w14:paraId="2AD03FB1" w14:textId="77777777" w:rsidR="00373DC6" w:rsidRPr="00503284" w:rsidRDefault="00000000" w:rsidP="00151334">
            <w:pPr>
              <w:spacing w:line="360" w:lineRule="auto"/>
              <w:jc w:val="center"/>
              <w:rPr>
                <w:rFonts w:ascii="Arial" w:hAnsi="Arial" w:cs="Arial"/>
                <w:b/>
                <w:color w:val="FFFFFF"/>
              </w:rPr>
            </w:pPr>
            <w:r w:rsidRPr="00503284">
              <w:rPr>
                <w:rFonts w:ascii="Arial" w:hAnsi="Arial" w:cs="Arial"/>
                <w:b/>
                <w:color w:val="FFFFFF"/>
              </w:rPr>
              <w:t>Political</w:t>
            </w:r>
          </w:p>
        </w:tc>
        <w:tc>
          <w:tcPr>
            <w:tcW w:w="2588" w:type="dxa"/>
            <w:shd w:val="clear" w:color="auto" w:fill="1F497D"/>
            <w:vAlign w:val="center"/>
          </w:tcPr>
          <w:p w14:paraId="12282865" w14:textId="77777777" w:rsidR="00373DC6" w:rsidRPr="00503284" w:rsidRDefault="00000000" w:rsidP="00151334">
            <w:pPr>
              <w:spacing w:line="360" w:lineRule="auto"/>
              <w:jc w:val="center"/>
              <w:rPr>
                <w:rFonts w:ascii="Arial" w:hAnsi="Arial" w:cs="Arial"/>
                <w:b/>
                <w:color w:val="FFFFFF"/>
              </w:rPr>
            </w:pPr>
            <w:r w:rsidRPr="00503284">
              <w:rPr>
                <w:rFonts w:ascii="Arial" w:hAnsi="Arial" w:cs="Arial"/>
                <w:b/>
                <w:color w:val="FFFFFF"/>
              </w:rPr>
              <w:t>Economic</w:t>
            </w:r>
          </w:p>
        </w:tc>
        <w:tc>
          <w:tcPr>
            <w:tcW w:w="2694" w:type="dxa"/>
            <w:shd w:val="clear" w:color="auto" w:fill="1F497D"/>
            <w:vAlign w:val="center"/>
          </w:tcPr>
          <w:p w14:paraId="29A25BEC" w14:textId="77777777" w:rsidR="00373DC6" w:rsidRPr="00503284" w:rsidRDefault="00000000" w:rsidP="00151334">
            <w:pPr>
              <w:spacing w:line="360" w:lineRule="auto"/>
              <w:jc w:val="center"/>
              <w:rPr>
                <w:rFonts w:ascii="Arial" w:hAnsi="Arial" w:cs="Arial"/>
                <w:b/>
                <w:color w:val="FFFFFF"/>
              </w:rPr>
            </w:pPr>
            <w:r w:rsidRPr="00503284">
              <w:rPr>
                <w:rFonts w:ascii="Arial" w:hAnsi="Arial" w:cs="Arial"/>
                <w:b/>
                <w:color w:val="FFFFFF"/>
              </w:rPr>
              <w:t>Criteria Examples</w:t>
            </w:r>
          </w:p>
        </w:tc>
      </w:tr>
      <w:tr w:rsidR="00373DC6" w:rsidRPr="00503284" w14:paraId="2B948988" w14:textId="77777777">
        <w:trPr>
          <w:cantSplit/>
          <w:trHeight w:val="58"/>
        </w:trPr>
        <w:tc>
          <w:tcPr>
            <w:tcW w:w="2105" w:type="dxa"/>
            <w:shd w:val="clear" w:color="auto" w:fill="F2F2F2"/>
          </w:tcPr>
          <w:p w14:paraId="12AAD2EB" w14:textId="77777777" w:rsidR="00373DC6" w:rsidRPr="00503284" w:rsidRDefault="00000000" w:rsidP="00151334">
            <w:pPr>
              <w:numPr>
                <w:ilvl w:val="1"/>
                <w:numId w:val="4"/>
              </w:numPr>
              <w:pBdr>
                <w:top w:val="nil"/>
                <w:left w:val="nil"/>
                <w:bottom w:val="nil"/>
                <w:right w:val="nil"/>
                <w:between w:val="nil"/>
              </w:pBdr>
              <w:spacing w:line="360" w:lineRule="auto"/>
              <w:ind w:left="519" w:hanging="283"/>
              <w:jc w:val="left"/>
              <w:rPr>
                <w:rFonts w:ascii="Arial" w:hAnsi="Arial" w:cs="Arial"/>
                <w:color w:val="000000"/>
              </w:rPr>
            </w:pPr>
            <w:r w:rsidRPr="00503284">
              <w:rPr>
                <w:rFonts w:ascii="Arial" w:hAnsi="Arial" w:cs="Arial"/>
                <w:color w:val="000000"/>
              </w:rPr>
              <w:lastRenderedPageBreak/>
              <w:t>Political Stability</w:t>
            </w:r>
          </w:p>
          <w:p w14:paraId="3E6A445B" w14:textId="77777777" w:rsidR="00373DC6" w:rsidRPr="00503284" w:rsidRDefault="00000000" w:rsidP="00151334">
            <w:pPr>
              <w:numPr>
                <w:ilvl w:val="1"/>
                <w:numId w:val="4"/>
              </w:numPr>
              <w:pBdr>
                <w:top w:val="nil"/>
                <w:left w:val="nil"/>
                <w:bottom w:val="nil"/>
                <w:right w:val="nil"/>
                <w:between w:val="nil"/>
              </w:pBdr>
              <w:spacing w:line="360" w:lineRule="auto"/>
              <w:ind w:left="519" w:hanging="283"/>
              <w:jc w:val="left"/>
              <w:rPr>
                <w:rFonts w:ascii="Arial" w:hAnsi="Arial" w:cs="Arial"/>
                <w:color w:val="000000"/>
              </w:rPr>
            </w:pPr>
            <w:r w:rsidRPr="00503284">
              <w:rPr>
                <w:rFonts w:ascii="Arial" w:hAnsi="Arial" w:cs="Arial"/>
                <w:color w:val="000000"/>
              </w:rPr>
              <w:t>Trade regulations</w:t>
            </w:r>
          </w:p>
          <w:p w14:paraId="0DCD3FBD" w14:textId="77777777" w:rsidR="00373DC6" w:rsidRPr="00503284" w:rsidRDefault="00000000" w:rsidP="00151334">
            <w:pPr>
              <w:numPr>
                <w:ilvl w:val="1"/>
                <w:numId w:val="4"/>
              </w:numPr>
              <w:pBdr>
                <w:top w:val="nil"/>
                <w:left w:val="nil"/>
                <w:bottom w:val="nil"/>
                <w:right w:val="nil"/>
                <w:between w:val="nil"/>
              </w:pBdr>
              <w:spacing w:line="360" w:lineRule="auto"/>
              <w:ind w:left="519" w:hanging="283"/>
              <w:jc w:val="left"/>
              <w:rPr>
                <w:rFonts w:ascii="Arial" w:hAnsi="Arial" w:cs="Arial"/>
                <w:color w:val="000000"/>
              </w:rPr>
            </w:pPr>
            <w:r w:rsidRPr="00503284">
              <w:rPr>
                <w:rFonts w:ascii="Arial" w:hAnsi="Arial" w:cs="Arial"/>
                <w:color w:val="000000"/>
              </w:rPr>
              <w:t>Government policies or legislation</w:t>
            </w:r>
          </w:p>
        </w:tc>
        <w:tc>
          <w:tcPr>
            <w:tcW w:w="2106" w:type="dxa"/>
          </w:tcPr>
          <w:p w14:paraId="1612DF9F" w14:textId="77777777" w:rsidR="00373DC6" w:rsidRPr="00503284" w:rsidRDefault="00000000" w:rsidP="00151334">
            <w:pPr>
              <w:pBdr>
                <w:top w:val="nil"/>
                <w:left w:val="nil"/>
                <w:bottom w:val="nil"/>
                <w:right w:val="nil"/>
                <w:between w:val="nil"/>
              </w:pBdr>
              <w:spacing w:line="360" w:lineRule="auto"/>
              <w:jc w:val="left"/>
              <w:rPr>
                <w:rFonts w:ascii="Arial" w:hAnsi="Arial" w:cs="Arial"/>
                <w:color w:val="000000"/>
              </w:rPr>
            </w:pPr>
            <w:r w:rsidRPr="00503284">
              <w:rPr>
                <w:rFonts w:ascii="Arial" w:hAnsi="Arial" w:cs="Arial"/>
                <w:color w:val="000000"/>
              </w:rPr>
              <w:t xml:space="preserve">The aspects of Brexit marked a seismic shift within the market of the UK’s international trade environment, and the introduction of tariffs, customs delays, along with the regulatory divergence, have also disrupted the establishment of the supply chains, along with the increased cost of imported goods. Therefore, the retailers importing fashion, electronics or food products from the EU now face heightened uncertainties. In addition, the political aspect emphasises local tourism and regeneration, </w:t>
            </w:r>
            <w:r w:rsidRPr="00503284">
              <w:rPr>
                <w:rFonts w:ascii="Arial" w:hAnsi="Arial" w:cs="Arial"/>
                <w:color w:val="000000"/>
              </w:rPr>
              <w:lastRenderedPageBreak/>
              <w:t>which has prompted urban planning interventions aimed at revitalising town centres. Therefore, the government scheme, like the “Future High Street Fund”, also offers financial aid, but their long-term effectiveness also remains to be seen, and the aspects of political instability also rely on shifts in trade policies or election outcomes that also plays a crucial role in shaping the confidence of the business (Mintel, 2024).</w:t>
            </w:r>
          </w:p>
          <w:p w14:paraId="6D19A5CF" w14:textId="77777777" w:rsidR="00373DC6" w:rsidRPr="00503284" w:rsidRDefault="00373DC6" w:rsidP="00151334">
            <w:pPr>
              <w:pBdr>
                <w:top w:val="nil"/>
                <w:left w:val="nil"/>
                <w:bottom w:val="nil"/>
                <w:right w:val="nil"/>
                <w:between w:val="nil"/>
              </w:pBdr>
              <w:spacing w:line="360" w:lineRule="auto"/>
              <w:jc w:val="left"/>
              <w:rPr>
                <w:rFonts w:ascii="Arial" w:hAnsi="Arial" w:cs="Arial"/>
                <w:color w:val="000000"/>
              </w:rPr>
            </w:pPr>
          </w:p>
        </w:tc>
        <w:tc>
          <w:tcPr>
            <w:tcW w:w="2588" w:type="dxa"/>
          </w:tcPr>
          <w:p w14:paraId="0BFAE83E" w14:textId="77777777" w:rsidR="00373DC6" w:rsidRPr="00503284" w:rsidRDefault="00000000" w:rsidP="00151334">
            <w:pPr>
              <w:pBdr>
                <w:top w:val="nil"/>
                <w:left w:val="nil"/>
                <w:bottom w:val="nil"/>
                <w:right w:val="nil"/>
                <w:between w:val="nil"/>
              </w:pBdr>
              <w:spacing w:line="360" w:lineRule="auto"/>
              <w:jc w:val="left"/>
              <w:rPr>
                <w:rFonts w:ascii="Arial" w:hAnsi="Arial" w:cs="Arial"/>
                <w:color w:val="000000"/>
              </w:rPr>
            </w:pPr>
            <w:r w:rsidRPr="00503284">
              <w:rPr>
                <w:rFonts w:ascii="Arial" w:hAnsi="Arial" w:cs="Arial"/>
                <w:color w:val="000000"/>
              </w:rPr>
              <w:lastRenderedPageBreak/>
              <w:t>The UK’s high rate of inflation and stagnant wages have eroded the purchasing power. In the years 2022 to 2024, inflation peaked at over 10% which was driven by the prices of energy aligning with post-pandemic disruptions. Therefore, as a household budget tightens, the shoppers have become more cautious and favour value-driven purchases. The retailers with physical outlets are also burdened by high operational costs and especially with the rate of business that disproportionately impacts the town centre stores compared to out-of-town retail parks or online warehouses</w:t>
            </w:r>
            <w:r w:rsidR="00523A6D" w:rsidRPr="00503284">
              <w:rPr>
                <w:rFonts w:ascii="Arial" w:hAnsi="Arial" w:cs="Arial"/>
                <w:color w:val="000000"/>
              </w:rPr>
              <w:t xml:space="preserve"> </w:t>
            </w:r>
            <w:r w:rsidRPr="00503284">
              <w:rPr>
                <w:rFonts w:ascii="Arial" w:hAnsi="Arial" w:cs="Arial"/>
                <w:color w:val="000000"/>
              </w:rPr>
              <w:t>(</w:t>
            </w:r>
            <w:r w:rsidRPr="00503284">
              <w:rPr>
                <w:rFonts w:ascii="Arial" w:hAnsi="Arial" w:cs="Arial"/>
                <w:color w:val="222222"/>
                <w:highlight w:val="white"/>
              </w:rPr>
              <w:t>Dolega and Lord, 2020).</w:t>
            </w:r>
          </w:p>
        </w:tc>
        <w:tc>
          <w:tcPr>
            <w:tcW w:w="2694" w:type="dxa"/>
            <w:shd w:val="clear" w:color="auto" w:fill="F2F2F2"/>
          </w:tcPr>
          <w:p w14:paraId="33AC57AF" w14:textId="77777777" w:rsidR="00373DC6" w:rsidRPr="00503284" w:rsidRDefault="00000000" w:rsidP="00151334">
            <w:pPr>
              <w:numPr>
                <w:ilvl w:val="0"/>
                <w:numId w:val="5"/>
              </w:numPr>
              <w:pBdr>
                <w:top w:val="nil"/>
                <w:left w:val="nil"/>
                <w:bottom w:val="nil"/>
                <w:right w:val="nil"/>
                <w:between w:val="nil"/>
              </w:pBdr>
              <w:spacing w:line="360" w:lineRule="auto"/>
              <w:ind w:left="444"/>
              <w:jc w:val="left"/>
              <w:rPr>
                <w:rFonts w:ascii="Arial" w:hAnsi="Arial" w:cs="Arial"/>
                <w:color w:val="000000"/>
              </w:rPr>
            </w:pPr>
            <w:r w:rsidRPr="00503284">
              <w:rPr>
                <w:rFonts w:ascii="Arial" w:hAnsi="Arial" w:cs="Arial"/>
                <w:color w:val="000000"/>
              </w:rPr>
              <w:t>Inflation and interest rates</w:t>
            </w:r>
          </w:p>
          <w:p w14:paraId="75ACA126" w14:textId="77777777" w:rsidR="00373DC6" w:rsidRPr="00503284" w:rsidRDefault="00000000" w:rsidP="00151334">
            <w:pPr>
              <w:numPr>
                <w:ilvl w:val="0"/>
                <w:numId w:val="5"/>
              </w:numPr>
              <w:pBdr>
                <w:top w:val="nil"/>
                <w:left w:val="nil"/>
                <w:bottom w:val="nil"/>
                <w:right w:val="nil"/>
                <w:between w:val="nil"/>
              </w:pBdr>
              <w:spacing w:line="360" w:lineRule="auto"/>
              <w:ind w:left="444"/>
              <w:jc w:val="left"/>
              <w:rPr>
                <w:rFonts w:ascii="Arial" w:hAnsi="Arial" w:cs="Arial"/>
                <w:color w:val="000000"/>
              </w:rPr>
            </w:pPr>
            <w:r w:rsidRPr="00503284">
              <w:rPr>
                <w:rFonts w:ascii="Arial" w:hAnsi="Arial" w:cs="Arial"/>
                <w:color w:val="000000"/>
              </w:rPr>
              <w:t xml:space="preserve">Consumer Purchasing </w:t>
            </w:r>
            <w:r w:rsidRPr="00503284">
              <w:rPr>
                <w:rFonts w:ascii="Arial" w:hAnsi="Arial" w:cs="Arial"/>
              </w:rPr>
              <w:t>Power</w:t>
            </w:r>
          </w:p>
          <w:p w14:paraId="7AAF2111" w14:textId="77777777" w:rsidR="00373DC6" w:rsidRPr="00503284" w:rsidRDefault="00000000" w:rsidP="00151334">
            <w:pPr>
              <w:numPr>
                <w:ilvl w:val="0"/>
                <w:numId w:val="5"/>
              </w:numPr>
              <w:pBdr>
                <w:top w:val="nil"/>
                <w:left w:val="nil"/>
                <w:bottom w:val="nil"/>
                <w:right w:val="nil"/>
                <w:between w:val="nil"/>
              </w:pBdr>
              <w:spacing w:line="360" w:lineRule="auto"/>
              <w:ind w:left="444"/>
              <w:jc w:val="left"/>
              <w:rPr>
                <w:rFonts w:ascii="Arial" w:hAnsi="Arial" w:cs="Arial"/>
                <w:color w:val="000000"/>
              </w:rPr>
            </w:pPr>
            <w:r w:rsidRPr="00503284">
              <w:rPr>
                <w:rFonts w:ascii="Arial" w:hAnsi="Arial" w:cs="Arial"/>
                <w:color w:val="000000"/>
              </w:rPr>
              <w:t xml:space="preserve">Employment rates and </w:t>
            </w:r>
            <w:r w:rsidRPr="00503284">
              <w:rPr>
                <w:rFonts w:ascii="Arial" w:hAnsi="Arial" w:cs="Arial"/>
              </w:rPr>
              <w:t>wage levels</w:t>
            </w:r>
          </w:p>
        </w:tc>
      </w:tr>
      <w:tr w:rsidR="00373DC6" w:rsidRPr="00503284" w14:paraId="63209CEE" w14:textId="77777777">
        <w:trPr>
          <w:cantSplit/>
          <w:trHeight w:val="1833"/>
        </w:trPr>
        <w:tc>
          <w:tcPr>
            <w:tcW w:w="2105" w:type="dxa"/>
            <w:tcBorders>
              <w:top w:val="single" w:sz="4" w:space="0" w:color="000000"/>
              <w:left w:val="single" w:sz="4" w:space="0" w:color="000000"/>
              <w:bottom w:val="single" w:sz="4" w:space="0" w:color="000000"/>
              <w:right w:val="single" w:sz="4" w:space="0" w:color="000000"/>
            </w:tcBorders>
            <w:shd w:val="clear" w:color="auto" w:fill="F2F2F2"/>
          </w:tcPr>
          <w:p w14:paraId="7C6CDFB9" w14:textId="77777777" w:rsidR="00373DC6" w:rsidRPr="00503284" w:rsidRDefault="00373DC6" w:rsidP="00151334">
            <w:pPr>
              <w:pBdr>
                <w:top w:val="nil"/>
                <w:left w:val="nil"/>
                <w:bottom w:val="nil"/>
                <w:right w:val="nil"/>
                <w:between w:val="nil"/>
              </w:pBdr>
              <w:spacing w:line="360" w:lineRule="auto"/>
              <w:jc w:val="left"/>
              <w:rPr>
                <w:rFonts w:ascii="Arial" w:hAnsi="Arial" w:cs="Arial"/>
                <w:color w:val="000000"/>
              </w:rPr>
            </w:pPr>
          </w:p>
        </w:tc>
        <w:tc>
          <w:tcPr>
            <w:tcW w:w="2106" w:type="dxa"/>
            <w:tcBorders>
              <w:top w:val="single" w:sz="4" w:space="0" w:color="000000"/>
              <w:left w:val="single" w:sz="4" w:space="0" w:color="000000"/>
              <w:bottom w:val="single" w:sz="4" w:space="0" w:color="000000"/>
              <w:right w:val="single" w:sz="4" w:space="0" w:color="000000"/>
            </w:tcBorders>
            <w:shd w:val="clear" w:color="auto" w:fill="1F497D"/>
          </w:tcPr>
          <w:p w14:paraId="77CFBAAF" w14:textId="77777777" w:rsidR="00373DC6" w:rsidRPr="00503284" w:rsidRDefault="00000000" w:rsidP="00151334">
            <w:pPr>
              <w:pBdr>
                <w:top w:val="nil"/>
                <w:left w:val="nil"/>
                <w:bottom w:val="nil"/>
                <w:right w:val="nil"/>
                <w:between w:val="nil"/>
              </w:pBdr>
              <w:spacing w:line="360" w:lineRule="auto"/>
              <w:jc w:val="left"/>
              <w:rPr>
                <w:rFonts w:ascii="Arial" w:hAnsi="Arial" w:cs="Arial"/>
                <w:b/>
                <w:color w:val="FFFFFF"/>
              </w:rPr>
            </w:pPr>
            <w:r w:rsidRPr="00503284">
              <w:rPr>
                <w:rFonts w:ascii="Arial" w:hAnsi="Arial" w:cs="Arial"/>
                <w:b/>
                <w:color w:val="FFFFFF"/>
              </w:rPr>
              <w:t xml:space="preserve"> Social</w:t>
            </w:r>
          </w:p>
        </w:tc>
        <w:tc>
          <w:tcPr>
            <w:tcW w:w="2588" w:type="dxa"/>
            <w:tcBorders>
              <w:top w:val="single" w:sz="4" w:space="0" w:color="000000"/>
              <w:left w:val="single" w:sz="4" w:space="0" w:color="000000"/>
              <w:bottom w:val="single" w:sz="4" w:space="0" w:color="000000"/>
              <w:right w:val="single" w:sz="4" w:space="0" w:color="000000"/>
            </w:tcBorders>
            <w:shd w:val="clear" w:color="auto" w:fill="1F497D"/>
          </w:tcPr>
          <w:p w14:paraId="7739BCCA" w14:textId="77777777" w:rsidR="00373DC6" w:rsidRPr="00503284" w:rsidRDefault="00000000" w:rsidP="00151334">
            <w:pPr>
              <w:pBdr>
                <w:top w:val="nil"/>
                <w:left w:val="nil"/>
                <w:bottom w:val="nil"/>
                <w:right w:val="nil"/>
                <w:between w:val="nil"/>
              </w:pBdr>
              <w:spacing w:line="360" w:lineRule="auto"/>
              <w:jc w:val="left"/>
              <w:rPr>
                <w:rFonts w:ascii="Arial" w:hAnsi="Arial" w:cs="Arial"/>
                <w:b/>
                <w:color w:val="FFFFFF"/>
              </w:rPr>
            </w:pPr>
            <w:r w:rsidRPr="00503284">
              <w:rPr>
                <w:rFonts w:ascii="Arial" w:hAnsi="Arial" w:cs="Arial"/>
                <w:b/>
                <w:color w:val="FFFFFF"/>
              </w:rPr>
              <w:t>Technological</w:t>
            </w:r>
          </w:p>
        </w:tc>
        <w:tc>
          <w:tcPr>
            <w:tcW w:w="2694" w:type="dxa"/>
            <w:tcBorders>
              <w:top w:val="single" w:sz="4" w:space="0" w:color="000000"/>
              <w:left w:val="single" w:sz="4" w:space="0" w:color="000000"/>
              <w:bottom w:val="single" w:sz="4" w:space="0" w:color="000000"/>
              <w:right w:val="single" w:sz="4" w:space="0" w:color="000000"/>
            </w:tcBorders>
            <w:shd w:val="clear" w:color="auto" w:fill="F2F2F2"/>
          </w:tcPr>
          <w:p w14:paraId="7D0C7CE7" w14:textId="77777777" w:rsidR="00373DC6" w:rsidRPr="00503284" w:rsidRDefault="00373DC6" w:rsidP="00151334">
            <w:pPr>
              <w:pBdr>
                <w:top w:val="nil"/>
                <w:left w:val="nil"/>
                <w:bottom w:val="nil"/>
                <w:right w:val="nil"/>
                <w:between w:val="nil"/>
              </w:pBdr>
              <w:spacing w:line="360" w:lineRule="auto"/>
              <w:ind w:left="720" w:hanging="360"/>
              <w:jc w:val="left"/>
              <w:rPr>
                <w:rFonts w:ascii="Arial" w:hAnsi="Arial" w:cs="Arial"/>
                <w:color w:val="000000"/>
              </w:rPr>
            </w:pPr>
          </w:p>
        </w:tc>
      </w:tr>
      <w:tr w:rsidR="00373DC6" w:rsidRPr="00503284" w14:paraId="024B7D6E" w14:textId="77777777">
        <w:trPr>
          <w:cantSplit/>
          <w:trHeight w:val="8496"/>
        </w:trPr>
        <w:tc>
          <w:tcPr>
            <w:tcW w:w="2105" w:type="dxa"/>
            <w:tcBorders>
              <w:top w:val="single" w:sz="4" w:space="0" w:color="000000"/>
              <w:left w:val="single" w:sz="4" w:space="0" w:color="000000"/>
              <w:bottom w:val="single" w:sz="4" w:space="0" w:color="000000"/>
              <w:right w:val="single" w:sz="4" w:space="0" w:color="000000"/>
            </w:tcBorders>
            <w:shd w:val="clear" w:color="auto" w:fill="F2F2F2"/>
          </w:tcPr>
          <w:p w14:paraId="75314FC4" w14:textId="77777777" w:rsidR="00373DC6" w:rsidRPr="00503284" w:rsidRDefault="00000000" w:rsidP="00151334">
            <w:pPr>
              <w:numPr>
                <w:ilvl w:val="1"/>
                <w:numId w:val="1"/>
              </w:numPr>
              <w:pBdr>
                <w:top w:val="nil"/>
                <w:left w:val="nil"/>
                <w:bottom w:val="nil"/>
                <w:right w:val="nil"/>
                <w:between w:val="nil"/>
              </w:pBdr>
              <w:spacing w:line="360" w:lineRule="auto"/>
              <w:ind w:left="236" w:hanging="236"/>
              <w:jc w:val="left"/>
              <w:rPr>
                <w:rFonts w:ascii="Arial" w:hAnsi="Arial" w:cs="Arial"/>
                <w:color w:val="000000"/>
              </w:rPr>
            </w:pPr>
            <w:r w:rsidRPr="00503284">
              <w:rPr>
                <w:rFonts w:ascii="Arial" w:hAnsi="Arial" w:cs="Arial"/>
                <w:color w:val="000000"/>
              </w:rPr>
              <w:lastRenderedPageBreak/>
              <w:t>Changing consumer preferences</w:t>
            </w:r>
          </w:p>
          <w:p w14:paraId="7FCE1553" w14:textId="77777777" w:rsidR="00373DC6" w:rsidRPr="00503284" w:rsidRDefault="00000000" w:rsidP="00151334">
            <w:pPr>
              <w:numPr>
                <w:ilvl w:val="1"/>
                <w:numId w:val="1"/>
              </w:numPr>
              <w:pBdr>
                <w:top w:val="nil"/>
                <w:left w:val="nil"/>
                <w:bottom w:val="nil"/>
                <w:right w:val="nil"/>
                <w:between w:val="nil"/>
              </w:pBdr>
              <w:spacing w:line="360" w:lineRule="auto"/>
              <w:ind w:left="236" w:hanging="236"/>
              <w:jc w:val="left"/>
              <w:rPr>
                <w:rFonts w:ascii="Arial" w:hAnsi="Arial" w:cs="Arial"/>
                <w:color w:val="000000"/>
              </w:rPr>
            </w:pPr>
            <w:r w:rsidRPr="00503284">
              <w:rPr>
                <w:rFonts w:ascii="Arial" w:hAnsi="Arial" w:cs="Arial"/>
                <w:color w:val="000000"/>
              </w:rPr>
              <w:t>Attitudes toward sustainability and ethics</w:t>
            </w:r>
          </w:p>
          <w:p w14:paraId="20150C90" w14:textId="77777777" w:rsidR="00373DC6" w:rsidRPr="00503284" w:rsidRDefault="00000000" w:rsidP="00151334">
            <w:pPr>
              <w:numPr>
                <w:ilvl w:val="1"/>
                <w:numId w:val="1"/>
              </w:numPr>
              <w:pBdr>
                <w:top w:val="nil"/>
                <w:left w:val="nil"/>
                <w:bottom w:val="nil"/>
                <w:right w:val="nil"/>
                <w:between w:val="nil"/>
              </w:pBdr>
              <w:spacing w:line="360" w:lineRule="auto"/>
              <w:ind w:left="236" w:hanging="236"/>
              <w:jc w:val="left"/>
              <w:rPr>
                <w:rFonts w:ascii="Arial" w:hAnsi="Arial" w:cs="Arial"/>
                <w:color w:val="000000"/>
              </w:rPr>
            </w:pPr>
            <w:r w:rsidRPr="00503284">
              <w:rPr>
                <w:rFonts w:ascii="Arial" w:hAnsi="Arial" w:cs="Arial"/>
                <w:color w:val="000000"/>
              </w:rPr>
              <w:t>Demographics trends</w:t>
            </w:r>
          </w:p>
        </w:tc>
        <w:tc>
          <w:tcPr>
            <w:tcW w:w="2106" w:type="dxa"/>
            <w:tcBorders>
              <w:top w:val="single" w:sz="4" w:space="0" w:color="000000"/>
              <w:left w:val="single" w:sz="4" w:space="0" w:color="000000"/>
              <w:bottom w:val="single" w:sz="4" w:space="0" w:color="000000"/>
              <w:right w:val="single" w:sz="4" w:space="0" w:color="000000"/>
            </w:tcBorders>
          </w:tcPr>
          <w:p w14:paraId="628FAA15" w14:textId="77777777" w:rsidR="00373DC6" w:rsidRPr="00503284" w:rsidRDefault="00000000" w:rsidP="00151334">
            <w:pPr>
              <w:pBdr>
                <w:top w:val="nil"/>
                <w:left w:val="nil"/>
                <w:bottom w:val="nil"/>
                <w:right w:val="nil"/>
                <w:between w:val="nil"/>
              </w:pBdr>
              <w:spacing w:line="360" w:lineRule="auto"/>
              <w:jc w:val="left"/>
              <w:rPr>
                <w:rFonts w:ascii="Arial" w:hAnsi="Arial" w:cs="Arial"/>
                <w:color w:val="000000"/>
              </w:rPr>
            </w:pPr>
            <w:r w:rsidRPr="00503284">
              <w:rPr>
                <w:rFonts w:ascii="Arial" w:hAnsi="Arial" w:cs="Arial"/>
                <w:color w:val="000000"/>
              </w:rPr>
              <w:t xml:space="preserve">The shopping habits within the UK have changed drastically, and modern consumers also prioritise convenience, sustainability, along digital engagement. Ethical concerns like supply chain transparency, carbon footprints, along labour practices are also influencing the purchasing decisions. Therefore, the rise of flexible arrangements has also further impacted the high street market as people spend more time working from home, and the commuter-based footfall has </w:t>
            </w:r>
            <w:r w:rsidRPr="00503284">
              <w:rPr>
                <w:rFonts w:ascii="Arial" w:hAnsi="Arial" w:cs="Arial"/>
                <w:color w:val="000000"/>
              </w:rPr>
              <w:lastRenderedPageBreak/>
              <w:t>also declined, weakening the demand for fast fashion and convenience retailers in the city centres. On the positive side, localism has also encouraged consumers to support the independent shops along with the opening of differentiated and community-focused retail experiences. </w:t>
            </w:r>
          </w:p>
          <w:p w14:paraId="3C7CC331" w14:textId="77777777" w:rsidR="00373DC6" w:rsidRPr="00503284" w:rsidRDefault="00373DC6" w:rsidP="00151334">
            <w:pPr>
              <w:pBdr>
                <w:top w:val="nil"/>
                <w:left w:val="nil"/>
                <w:bottom w:val="nil"/>
                <w:right w:val="nil"/>
                <w:between w:val="nil"/>
              </w:pBdr>
              <w:spacing w:line="360" w:lineRule="auto"/>
              <w:jc w:val="left"/>
              <w:rPr>
                <w:rFonts w:ascii="Arial" w:hAnsi="Arial" w:cs="Arial"/>
                <w:b/>
                <w:color w:val="000000"/>
              </w:rPr>
            </w:pPr>
          </w:p>
        </w:tc>
        <w:tc>
          <w:tcPr>
            <w:tcW w:w="2588" w:type="dxa"/>
            <w:tcBorders>
              <w:top w:val="single" w:sz="4" w:space="0" w:color="000000"/>
              <w:left w:val="single" w:sz="4" w:space="0" w:color="000000"/>
              <w:bottom w:val="single" w:sz="4" w:space="0" w:color="000000"/>
              <w:right w:val="single" w:sz="4" w:space="0" w:color="000000"/>
            </w:tcBorders>
          </w:tcPr>
          <w:p w14:paraId="1959074B" w14:textId="77777777" w:rsidR="00373DC6" w:rsidRPr="00503284" w:rsidRDefault="00000000" w:rsidP="00151334">
            <w:pPr>
              <w:pBdr>
                <w:top w:val="nil"/>
                <w:left w:val="nil"/>
                <w:bottom w:val="nil"/>
                <w:right w:val="nil"/>
                <w:between w:val="nil"/>
              </w:pBdr>
              <w:spacing w:line="360" w:lineRule="auto"/>
              <w:jc w:val="left"/>
              <w:rPr>
                <w:rFonts w:ascii="Arial" w:hAnsi="Arial" w:cs="Arial"/>
                <w:color w:val="000000"/>
              </w:rPr>
            </w:pPr>
            <w:r w:rsidRPr="00503284">
              <w:rPr>
                <w:rFonts w:ascii="Arial" w:hAnsi="Arial" w:cs="Arial"/>
                <w:color w:val="000000"/>
              </w:rPr>
              <w:lastRenderedPageBreak/>
              <w:t>The retail sector is undergoing a rapid technological transformation, and the expansion of e-commerce and m-commerce has also enabled consumers to shop anywhere and anytime. The retailers are unable to provide an integrated online and offline experience, which results in a decline in the market share. In addition, technologies like AI, AR and automated checkout systems are reshaping retail norms. While large retailers like M&amp;S or Next are investing in the digital infrastructure and the small players generally lack the capital or expertise to compete within the dynamics of the business market</w:t>
            </w:r>
            <w:r w:rsidR="00523A6D" w:rsidRPr="00503284">
              <w:rPr>
                <w:rFonts w:ascii="Arial" w:hAnsi="Arial" w:cs="Arial"/>
                <w:color w:val="000000"/>
              </w:rPr>
              <w:t xml:space="preserve"> </w:t>
            </w:r>
            <w:r w:rsidRPr="00503284">
              <w:rPr>
                <w:rFonts w:ascii="Arial" w:hAnsi="Arial" w:cs="Arial"/>
                <w:color w:val="000000"/>
              </w:rPr>
              <w:t>(</w:t>
            </w:r>
            <w:r w:rsidRPr="00503284">
              <w:rPr>
                <w:rFonts w:ascii="Arial" w:hAnsi="Arial" w:cs="Arial"/>
                <w:color w:val="222222"/>
                <w:highlight w:val="white"/>
              </w:rPr>
              <w:t>Langton et al., 2021).</w:t>
            </w:r>
          </w:p>
          <w:p w14:paraId="07798F95" w14:textId="77777777" w:rsidR="00373DC6" w:rsidRPr="00503284" w:rsidRDefault="00373DC6" w:rsidP="00151334">
            <w:pPr>
              <w:pBdr>
                <w:top w:val="nil"/>
                <w:left w:val="nil"/>
                <w:bottom w:val="nil"/>
                <w:right w:val="nil"/>
                <w:between w:val="nil"/>
              </w:pBdr>
              <w:spacing w:line="360" w:lineRule="auto"/>
              <w:jc w:val="left"/>
              <w:rPr>
                <w:rFonts w:ascii="Arial" w:hAnsi="Arial" w:cs="Arial"/>
                <w:color w:val="000000"/>
              </w:rPr>
            </w:pPr>
          </w:p>
          <w:p w14:paraId="5D85F79B" w14:textId="77777777" w:rsidR="00373DC6" w:rsidRPr="00503284" w:rsidRDefault="00373DC6" w:rsidP="00151334">
            <w:pPr>
              <w:pBdr>
                <w:top w:val="nil"/>
                <w:left w:val="nil"/>
                <w:bottom w:val="nil"/>
                <w:right w:val="nil"/>
                <w:between w:val="nil"/>
              </w:pBdr>
              <w:spacing w:line="360" w:lineRule="auto"/>
              <w:jc w:val="left"/>
              <w:rPr>
                <w:rFonts w:ascii="Arial" w:hAnsi="Arial" w:cs="Arial"/>
                <w:b/>
                <w:color w:val="000000"/>
              </w:rPr>
            </w:pPr>
          </w:p>
        </w:tc>
        <w:tc>
          <w:tcPr>
            <w:tcW w:w="2694" w:type="dxa"/>
            <w:tcBorders>
              <w:top w:val="single" w:sz="4" w:space="0" w:color="000000"/>
              <w:left w:val="single" w:sz="4" w:space="0" w:color="000000"/>
              <w:bottom w:val="single" w:sz="4" w:space="0" w:color="000000"/>
              <w:right w:val="single" w:sz="4" w:space="0" w:color="000000"/>
            </w:tcBorders>
            <w:shd w:val="clear" w:color="auto" w:fill="F2F2F2"/>
          </w:tcPr>
          <w:p w14:paraId="7778E327" w14:textId="77777777" w:rsidR="00373DC6" w:rsidRPr="00503284" w:rsidRDefault="00000000" w:rsidP="00151334">
            <w:pPr>
              <w:numPr>
                <w:ilvl w:val="0"/>
                <w:numId w:val="6"/>
              </w:numPr>
              <w:pBdr>
                <w:top w:val="nil"/>
                <w:left w:val="nil"/>
                <w:bottom w:val="nil"/>
                <w:right w:val="nil"/>
                <w:between w:val="nil"/>
              </w:pBdr>
              <w:spacing w:line="360" w:lineRule="auto"/>
              <w:ind w:left="444"/>
              <w:jc w:val="left"/>
              <w:rPr>
                <w:rFonts w:ascii="Arial" w:hAnsi="Arial" w:cs="Arial"/>
                <w:color w:val="000000"/>
              </w:rPr>
            </w:pPr>
            <w:r w:rsidRPr="00503284">
              <w:rPr>
                <w:rFonts w:ascii="Arial" w:hAnsi="Arial" w:cs="Arial"/>
                <w:color w:val="000000"/>
              </w:rPr>
              <w:lastRenderedPageBreak/>
              <w:t>E-commerce development</w:t>
            </w:r>
          </w:p>
          <w:p w14:paraId="73AF33F2" w14:textId="77777777" w:rsidR="00373DC6" w:rsidRPr="00503284" w:rsidRDefault="00000000" w:rsidP="00151334">
            <w:pPr>
              <w:numPr>
                <w:ilvl w:val="0"/>
                <w:numId w:val="6"/>
              </w:numPr>
              <w:pBdr>
                <w:top w:val="nil"/>
                <w:left w:val="nil"/>
                <w:bottom w:val="nil"/>
                <w:right w:val="nil"/>
                <w:between w:val="nil"/>
              </w:pBdr>
              <w:spacing w:line="360" w:lineRule="auto"/>
              <w:ind w:left="444"/>
              <w:jc w:val="left"/>
              <w:rPr>
                <w:rFonts w:ascii="Arial" w:hAnsi="Arial" w:cs="Arial"/>
                <w:color w:val="000000"/>
              </w:rPr>
            </w:pPr>
            <w:r w:rsidRPr="00503284">
              <w:rPr>
                <w:rFonts w:ascii="Arial" w:hAnsi="Arial" w:cs="Arial"/>
                <w:color w:val="000000"/>
              </w:rPr>
              <w:t>Mobile and contactless payment systems</w:t>
            </w:r>
          </w:p>
          <w:p w14:paraId="2368B098" w14:textId="77777777" w:rsidR="00373DC6" w:rsidRPr="00503284" w:rsidRDefault="00000000" w:rsidP="00151334">
            <w:pPr>
              <w:numPr>
                <w:ilvl w:val="0"/>
                <w:numId w:val="6"/>
              </w:numPr>
              <w:pBdr>
                <w:top w:val="nil"/>
                <w:left w:val="nil"/>
                <w:bottom w:val="nil"/>
                <w:right w:val="nil"/>
                <w:between w:val="nil"/>
              </w:pBdr>
              <w:spacing w:line="360" w:lineRule="auto"/>
              <w:ind w:left="444"/>
              <w:jc w:val="left"/>
              <w:rPr>
                <w:rFonts w:ascii="Arial" w:hAnsi="Arial" w:cs="Arial"/>
                <w:color w:val="000000"/>
              </w:rPr>
            </w:pPr>
            <w:r w:rsidRPr="00503284">
              <w:rPr>
                <w:rFonts w:ascii="Arial" w:hAnsi="Arial" w:cs="Arial"/>
                <w:color w:val="000000"/>
              </w:rPr>
              <w:t>Innovation in customer experience</w:t>
            </w:r>
          </w:p>
        </w:tc>
      </w:tr>
      <w:tr w:rsidR="00373DC6" w:rsidRPr="00503284" w14:paraId="08D2C6D7" w14:textId="77777777">
        <w:trPr>
          <w:cantSplit/>
          <w:trHeight w:val="4787"/>
        </w:trPr>
        <w:tc>
          <w:tcPr>
            <w:tcW w:w="2105" w:type="dxa"/>
            <w:tcBorders>
              <w:top w:val="single" w:sz="4" w:space="0" w:color="000000"/>
              <w:left w:val="single" w:sz="4" w:space="0" w:color="000000"/>
              <w:bottom w:val="single" w:sz="4" w:space="0" w:color="000000"/>
              <w:right w:val="single" w:sz="4" w:space="0" w:color="000000"/>
            </w:tcBorders>
            <w:shd w:val="clear" w:color="auto" w:fill="F2F2F2"/>
          </w:tcPr>
          <w:p w14:paraId="2517A002" w14:textId="77777777" w:rsidR="00373DC6" w:rsidRPr="00503284" w:rsidRDefault="00000000" w:rsidP="00151334">
            <w:pPr>
              <w:pBdr>
                <w:top w:val="nil"/>
                <w:left w:val="nil"/>
                <w:bottom w:val="nil"/>
                <w:right w:val="nil"/>
                <w:between w:val="nil"/>
              </w:pBdr>
              <w:spacing w:line="360" w:lineRule="auto"/>
              <w:ind w:left="720"/>
              <w:jc w:val="left"/>
              <w:rPr>
                <w:rFonts w:ascii="Arial" w:hAnsi="Arial" w:cs="Arial"/>
                <w:color w:val="000000"/>
              </w:rPr>
            </w:pPr>
            <w:r w:rsidRPr="00503284">
              <w:rPr>
                <w:rFonts w:ascii="Arial" w:hAnsi="Arial" w:cs="Arial"/>
                <w:color w:val="000000"/>
              </w:rPr>
              <w:lastRenderedPageBreak/>
              <w:t xml:space="preserve">Criteria Examples </w:t>
            </w:r>
          </w:p>
        </w:tc>
        <w:tc>
          <w:tcPr>
            <w:tcW w:w="2106" w:type="dxa"/>
            <w:tcBorders>
              <w:top w:val="single" w:sz="4" w:space="0" w:color="000000"/>
              <w:left w:val="single" w:sz="4" w:space="0" w:color="000000"/>
              <w:bottom w:val="single" w:sz="4" w:space="0" w:color="000000"/>
              <w:right w:val="single" w:sz="4" w:space="0" w:color="000000"/>
            </w:tcBorders>
            <w:shd w:val="clear" w:color="auto" w:fill="1F497D"/>
          </w:tcPr>
          <w:p w14:paraId="1662254D" w14:textId="77777777" w:rsidR="00373DC6" w:rsidRPr="00503284" w:rsidRDefault="00000000" w:rsidP="00151334">
            <w:pPr>
              <w:pBdr>
                <w:top w:val="nil"/>
                <w:left w:val="nil"/>
                <w:bottom w:val="nil"/>
                <w:right w:val="nil"/>
                <w:between w:val="nil"/>
              </w:pBdr>
              <w:spacing w:line="360" w:lineRule="auto"/>
              <w:jc w:val="left"/>
              <w:rPr>
                <w:rFonts w:ascii="Arial" w:hAnsi="Arial" w:cs="Arial"/>
                <w:color w:val="FFFFFF"/>
              </w:rPr>
            </w:pPr>
            <w:r w:rsidRPr="00503284">
              <w:rPr>
                <w:rFonts w:ascii="Arial" w:hAnsi="Arial" w:cs="Arial"/>
                <w:color w:val="FFFFFF"/>
              </w:rPr>
              <w:t>Legal</w:t>
            </w:r>
          </w:p>
        </w:tc>
        <w:tc>
          <w:tcPr>
            <w:tcW w:w="2588" w:type="dxa"/>
            <w:tcBorders>
              <w:top w:val="single" w:sz="4" w:space="0" w:color="000000"/>
              <w:left w:val="single" w:sz="4" w:space="0" w:color="000000"/>
              <w:bottom w:val="single" w:sz="4" w:space="0" w:color="000000"/>
              <w:right w:val="single" w:sz="4" w:space="0" w:color="000000"/>
            </w:tcBorders>
            <w:shd w:val="clear" w:color="auto" w:fill="1F497D"/>
          </w:tcPr>
          <w:p w14:paraId="4E3DCAC5" w14:textId="77777777" w:rsidR="00373DC6" w:rsidRPr="00503284" w:rsidRDefault="00000000" w:rsidP="00151334">
            <w:pPr>
              <w:pBdr>
                <w:top w:val="nil"/>
                <w:left w:val="nil"/>
                <w:bottom w:val="nil"/>
                <w:right w:val="nil"/>
                <w:between w:val="nil"/>
              </w:pBdr>
              <w:spacing w:line="360" w:lineRule="auto"/>
              <w:jc w:val="left"/>
              <w:rPr>
                <w:rFonts w:ascii="Arial" w:hAnsi="Arial" w:cs="Arial"/>
                <w:color w:val="FFFFFF"/>
              </w:rPr>
            </w:pPr>
            <w:r w:rsidRPr="00503284">
              <w:rPr>
                <w:rFonts w:ascii="Arial" w:hAnsi="Arial" w:cs="Arial"/>
                <w:color w:val="FFFFFF"/>
              </w:rPr>
              <w:t>Environmental</w:t>
            </w:r>
          </w:p>
        </w:tc>
        <w:tc>
          <w:tcPr>
            <w:tcW w:w="2694" w:type="dxa"/>
            <w:tcBorders>
              <w:top w:val="single" w:sz="4" w:space="0" w:color="000000"/>
              <w:left w:val="single" w:sz="4" w:space="0" w:color="000000"/>
              <w:bottom w:val="single" w:sz="4" w:space="0" w:color="000000"/>
              <w:right w:val="single" w:sz="4" w:space="0" w:color="000000"/>
            </w:tcBorders>
            <w:shd w:val="clear" w:color="auto" w:fill="F2F2F2"/>
          </w:tcPr>
          <w:p w14:paraId="3398D291" w14:textId="77777777" w:rsidR="00373DC6" w:rsidRPr="00503284" w:rsidRDefault="00000000" w:rsidP="00151334">
            <w:pPr>
              <w:pBdr>
                <w:top w:val="nil"/>
                <w:left w:val="nil"/>
                <w:bottom w:val="nil"/>
                <w:right w:val="nil"/>
                <w:between w:val="nil"/>
              </w:pBdr>
              <w:spacing w:line="360" w:lineRule="auto"/>
              <w:jc w:val="left"/>
              <w:rPr>
                <w:rFonts w:ascii="Arial" w:hAnsi="Arial" w:cs="Arial"/>
                <w:color w:val="000000"/>
              </w:rPr>
            </w:pPr>
            <w:r w:rsidRPr="00503284">
              <w:rPr>
                <w:rFonts w:ascii="Arial" w:hAnsi="Arial" w:cs="Arial"/>
                <w:color w:val="000000"/>
              </w:rPr>
              <w:t xml:space="preserve"> Criteria Examples</w:t>
            </w:r>
          </w:p>
        </w:tc>
      </w:tr>
      <w:tr w:rsidR="00373DC6" w:rsidRPr="00503284" w14:paraId="7DA5ADFB" w14:textId="77777777">
        <w:trPr>
          <w:cantSplit/>
          <w:trHeight w:val="4787"/>
        </w:trPr>
        <w:tc>
          <w:tcPr>
            <w:tcW w:w="2105" w:type="dxa"/>
            <w:tcBorders>
              <w:top w:val="single" w:sz="4" w:space="0" w:color="000000"/>
              <w:left w:val="single" w:sz="4" w:space="0" w:color="000000"/>
              <w:bottom w:val="single" w:sz="4" w:space="0" w:color="000000"/>
              <w:right w:val="single" w:sz="4" w:space="0" w:color="000000"/>
            </w:tcBorders>
            <w:shd w:val="clear" w:color="auto" w:fill="F2F2F2"/>
          </w:tcPr>
          <w:p w14:paraId="1922E87F" w14:textId="77777777" w:rsidR="00373DC6" w:rsidRPr="00503284" w:rsidRDefault="00000000" w:rsidP="00151334">
            <w:pPr>
              <w:numPr>
                <w:ilvl w:val="0"/>
                <w:numId w:val="2"/>
              </w:numPr>
              <w:pBdr>
                <w:top w:val="nil"/>
                <w:left w:val="nil"/>
                <w:bottom w:val="nil"/>
                <w:right w:val="nil"/>
                <w:between w:val="nil"/>
              </w:pBdr>
              <w:spacing w:line="360" w:lineRule="auto"/>
              <w:jc w:val="left"/>
              <w:rPr>
                <w:rFonts w:ascii="Arial" w:hAnsi="Arial" w:cs="Arial"/>
                <w:color w:val="000000"/>
              </w:rPr>
            </w:pPr>
            <w:r w:rsidRPr="00503284">
              <w:rPr>
                <w:rFonts w:ascii="Arial" w:hAnsi="Arial" w:cs="Arial"/>
                <w:color w:val="000000"/>
              </w:rPr>
              <w:lastRenderedPageBreak/>
              <w:t>Data protection regulation</w:t>
            </w:r>
          </w:p>
          <w:p w14:paraId="6B3E0110" w14:textId="77777777" w:rsidR="00373DC6" w:rsidRPr="00503284" w:rsidRDefault="00000000" w:rsidP="00151334">
            <w:pPr>
              <w:numPr>
                <w:ilvl w:val="0"/>
                <w:numId w:val="2"/>
              </w:numPr>
              <w:pBdr>
                <w:top w:val="nil"/>
                <w:left w:val="nil"/>
                <w:bottom w:val="nil"/>
                <w:right w:val="nil"/>
                <w:between w:val="nil"/>
              </w:pBdr>
              <w:spacing w:line="360" w:lineRule="auto"/>
              <w:jc w:val="left"/>
              <w:rPr>
                <w:rFonts w:ascii="Arial" w:hAnsi="Arial" w:cs="Arial"/>
                <w:color w:val="000000"/>
              </w:rPr>
            </w:pPr>
            <w:r w:rsidRPr="00503284">
              <w:rPr>
                <w:rFonts w:ascii="Arial" w:hAnsi="Arial" w:cs="Arial"/>
                <w:color w:val="000000"/>
              </w:rPr>
              <w:t>Health and safety laws</w:t>
            </w:r>
          </w:p>
          <w:p w14:paraId="44BBB41B" w14:textId="77777777" w:rsidR="00373DC6" w:rsidRPr="00503284" w:rsidRDefault="00000000" w:rsidP="00151334">
            <w:pPr>
              <w:numPr>
                <w:ilvl w:val="0"/>
                <w:numId w:val="2"/>
              </w:numPr>
              <w:pBdr>
                <w:top w:val="nil"/>
                <w:left w:val="nil"/>
                <w:bottom w:val="nil"/>
                <w:right w:val="nil"/>
                <w:between w:val="nil"/>
              </w:pBdr>
              <w:spacing w:line="360" w:lineRule="auto"/>
              <w:jc w:val="left"/>
              <w:rPr>
                <w:rFonts w:ascii="Arial" w:hAnsi="Arial" w:cs="Arial"/>
                <w:color w:val="000000"/>
              </w:rPr>
            </w:pPr>
            <w:r w:rsidRPr="00503284">
              <w:rPr>
                <w:rFonts w:ascii="Arial" w:hAnsi="Arial" w:cs="Arial"/>
                <w:color w:val="000000"/>
              </w:rPr>
              <w:t>Employment and labour laws</w:t>
            </w:r>
          </w:p>
        </w:tc>
        <w:tc>
          <w:tcPr>
            <w:tcW w:w="2106" w:type="dxa"/>
            <w:tcBorders>
              <w:top w:val="single" w:sz="4" w:space="0" w:color="000000"/>
              <w:left w:val="single" w:sz="4" w:space="0" w:color="000000"/>
              <w:bottom w:val="single" w:sz="4" w:space="0" w:color="000000"/>
              <w:right w:val="single" w:sz="4" w:space="0" w:color="000000"/>
            </w:tcBorders>
          </w:tcPr>
          <w:p w14:paraId="6FF93BDC" w14:textId="04A2251A" w:rsidR="00373DC6" w:rsidRPr="00503284" w:rsidRDefault="00000000" w:rsidP="00151334">
            <w:pPr>
              <w:pBdr>
                <w:top w:val="nil"/>
                <w:left w:val="nil"/>
                <w:bottom w:val="nil"/>
                <w:right w:val="nil"/>
                <w:between w:val="nil"/>
              </w:pBdr>
              <w:spacing w:line="360" w:lineRule="auto"/>
              <w:ind w:left="360"/>
              <w:jc w:val="left"/>
              <w:rPr>
                <w:rFonts w:ascii="Arial" w:hAnsi="Arial" w:cs="Arial"/>
                <w:b/>
                <w:color w:val="000000"/>
              </w:rPr>
            </w:pPr>
            <w:r w:rsidRPr="00503284">
              <w:rPr>
                <w:rFonts w:ascii="Arial" w:hAnsi="Arial" w:cs="Arial"/>
                <w:b/>
                <w:color w:val="000000"/>
              </w:rPr>
              <w:t> </w:t>
            </w:r>
            <w:r w:rsidRPr="00503284">
              <w:rPr>
                <w:rFonts w:ascii="Arial" w:hAnsi="Arial" w:cs="Arial"/>
                <w:color w:val="000000"/>
              </w:rPr>
              <w:t>Retailers are subject to a complex web of regulations, and the General Data Protection Regulation (GDPR) requires a transparent and secure handling of the data of the consumers along with secure handling of the data of consumers, particularly as digital engagement intensifies</w:t>
            </w:r>
            <w:r w:rsidR="00EA0FBD" w:rsidRPr="00503284">
              <w:rPr>
                <w:rFonts w:ascii="Arial" w:hAnsi="Arial" w:cs="Arial"/>
                <w:color w:val="000000"/>
              </w:rPr>
              <w:t>, especially</w:t>
            </w:r>
            <w:r w:rsidRPr="00503284">
              <w:rPr>
                <w:rFonts w:ascii="Arial" w:hAnsi="Arial" w:cs="Arial"/>
                <w:color w:val="000000"/>
              </w:rPr>
              <w:t xml:space="preserve"> in the wake of COVID-related adaptations. The employment disputes and </w:t>
            </w:r>
            <w:r w:rsidRPr="00503284">
              <w:rPr>
                <w:rFonts w:ascii="Arial" w:hAnsi="Arial" w:cs="Arial"/>
                <w:color w:val="000000"/>
              </w:rPr>
              <w:lastRenderedPageBreak/>
              <w:t>regulations around the zero-hour contract also shape the hiring techniques and strategies (</w:t>
            </w:r>
            <w:r w:rsidRPr="00503284">
              <w:rPr>
                <w:rFonts w:ascii="Arial" w:hAnsi="Arial" w:cs="Arial"/>
                <w:color w:val="222222"/>
                <w:highlight w:val="white"/>
              </w:rPr>
              <w:t>Orr et al., 2023).</w:t>
            </w:r>
          </w:p>
          <w:p w14:paraId="477A4EC6" w14:textId="77777777" w:rsidR="00373DC6" w:rsidRPr="00503284" w:rsidRDefault="00373DC6" w:rsidP="00151334">
            <w:pPr>
              <w:pBdr>
                <w:top w:val="nil"/>
                <w:left w:val="nil"/>
                <w:bottom w:val="nil"/>
                <w:right w:val="nil"/>
                <w:between w:val="nil"/>
              </w:pBdr>
              <w:spacing w:line="360" w:lineRule="auto"/>
              <w:jc w:val="left"/>
              <w:rPr>
                <w:rFonts w:ascii="Arial" w:hAnsi="Arial" w:cs="Arial"/>
                <w:color w:val="000000"/>
              </w:rPr>
            </w:pPr>
          </w:p>
        </w:tc>
        <w:tc>
          <w:tcPr>
            <w:tcW w:w="2588" w:type="dxa"/>
            <w:tcBorders>
              <w:top w:val="single" w:sz="4" w:space="0" w:color="000000"/>
              <w:left w:val="single" w:sz="4" w:space="0" w:color="000000"/>
              <w:bottom w:val="single" w:sz="4" w:space="0" w:color="000000"/>
              <w:right w:val="single" w:sz="4" w:space="0" w:color="000000"/>
            </w:tcBorders>
          </w:tcPr>
          <w:p w14:paraId="3A2CD27A" w14:textId="77777777" w:rsidR="00373DC6" w:rsidRPr="00503284" w:rsidRDefault="00000000" w:rsidP="00151334">
            <w:pPr>
              <w:pBdr>
                <w:top w:val="nil"/>
                <w:left w:val="nil"/>
                <w:bottom w:val="nil"/>
                <w:right w:val="nil"/>
                <w:between w:val="nil"/>
              </w:pBdr>
              <w:spacing w:line="360" w:lineRule="auto"/>
              <w:jc w:val="left"/>
              <w:rPr>
                <w:rFonts w:ascii="Arial" w:hAnsi="Arial" w:cs="Arial"/>
                <w:b/>
                <w:color w:val="000000"/>
              </w:rPr>
            </w:pPr>
            <w:r w:rsidRPr="00503284">
              <w:rPr>
                <w:rFonts w:ascii="Arial" w:hAnsi="Arial" w:cs="Arial"/>
                <w:color w:val="000000"/>
              </w:rPr>
              <w:lastRenderedPageBreak/>
              <w:t>Consumers and regulators are likely to push retailers to adopt more sustainable practices, from banning single-use plastic to requiring supply chain carbon footprint audits, and the environmental expectations are increasing</w:t>
            </w:r>
            <w:r w:rsidRPr="00503284">
              <w:rPr>
                <w:rFonts w:ascii="Arial" w:hAnsi="Arial" w:cs="Arial"/>
              </w:rPr>
              <w:t xml:space="preserve"> </w:t>
            </w:r>
            <w:r w:rsidRPr="00503284">
              <w:rPr>
                <w:rFonts w:ascii="Arial" w:hAnsi="Arial" w:cs="Arial"/>
                <w:color w:val="000000"/>
              </w:rPr>
              <w:t>(</w:t>
            </w:r>
            <w:proofErr w:type="spellStart"/>
            <w:r w:rsidRPr="00503284">
              <w:rPr>
                <w:rFonts w:ascii="Arial" w:hAnsi="Arial" w:cs="Arial"/>
                <w:color w:val="222222"/>
                <w:highlight w:val="white"/>
              </w:rPr>
              <w:t>Bolet</w:t>
            </w:r>
            <w:proofErr w:type="spellEnd"/>
            <w:r w:rsidRPr="00503284">
              <w:rPr>
                <w:rFonts w:ascii="Arial" w:hAnsi="Arial" w:cs="Arial"/>
                <w:color w:val="222222"/>
                <w:highlight w:val="white"/>
              </w:rPr>
              <w:t>, 2021).</w:t>
            </w:r>
          </w:p>
          <w:p w14:paraId="64937646" w14:textId="77777777" w:rsidR="00373DC6" w:rsidRPr="00503284" w:rsidRDefault="00373DC6" w:rsidP="00151334">
            <w:pPr>
              <w:pBdr>
                <w:top w:val="nil"/>
                <w:left w:val="nil"/>
                <w:bottom w:val="nil"/>
                <w:right w:val="nil"/>
                <w:between w:val="nil"/>
              </w:pBdr>
              <w:spacing w:line="360" w:lineRule="auto"/>
              <w:jc w:val="left"/>
              <w:rPr>
                <w:rFonts w:ascii="Arial" w:hAnsi="Arial" w:cs="Arial"/>
                <w:color w:val="000000"/>
              </w:rPr>
            </w:pPr>
          </w:p>
        </w:tc>
        <w:tc>
          <w:tcPr>
            <w:tcW w:w="2694" w:type="dxa"/>
            <w:tcBorders>
              <w:top w:val="single" w:sz="4" w:space="0" w:color="000000"/>
              <w:left w:val="single" w:sz="4" w:space="0" w:color="000000"/>
              <w:bottom w:val="single" w:sz="4" w:space="0" w:color="000000"/>
              <w:right w:val="single" w:sz="4" w:space="0" w:color="000000"/>
            </w:tcBorders>
            <w:shd w:val="clear" w:color="auto" w:fill="F2F2F2"/>
          </w:tcPr>
          <w:p w14:paraId="082D411C" w14:textId="77777777" w:rsidR="00373DC6" w:rsidRPr="00503284" w:rsidRDefault="00000000" w:rsidP="00151334">
            <w:pPr>
              <w:numPr>
                <w:ilvl w:val="1"/>
                <w:numId w:val="3"/>
              </w:numPr>
              <w:pBdr>
                <w:top w:val="nil"/>
                <w:left w:val="nil"/>
                <w:bottom w:val="nil"/>
                <w:right w:val="nil"/>
                <w:between w:val="nil"/>
              </w:pBdr>
              <w:spacing w:line="360" w:lineRule="auto"/>
              <w:ind w:left="586" w:hanging="425"/>
              <w:jc w:val="left"/>
              <w:rPr>
                <w:rFonts w:ascii="Arial" w:hAnsi="Arial" w:cs="Arial"/>
                <w:color w:val="000000"/>
              </w:rPr>
            </w:pPr>
            <w:r w:rsidRPr="00503284">
              <w:rPr>
                <w:rFonts w:ascii="Arial" w:hAnsi="Arial" w:cs="Arial"/>
                <w:color w:val="000000"/>
              </w:rPr>
              <w:t>Climate change and extreme weather impacts</w:t>
            </w:r>
          </w:p>
          <w:p w14:paraId="4B27954E" w14:textId="77777777" w:rsidR="00373DC6" w:rsidRPr="00503284" w:rsidRDefault="00000000" w:rsidP="00151334">
            <w:pPr>
              <w:numPr>
                <w:ilvl w:val="1"/>
                <w:numId w:val="3"/>
              </w:numPr>
              <w:pBdr>
                <w:top w:val="nil"/>
                <w:left w:val="nil"/>
                <w:bottom w:val="nil"/>
                <w:right w:val="nil"/>
                <w:between w:val="nil"/>
              </w:pBdr>
              <w:spacing w:line="360" w:lineRule="auto"/>
              <w:ind w:left="586" w:hanging="425"/>
              <w:jc w:val="left"/>
              <w:rPr>
                <w:rFonts w:ascii="Arial" w:hAnsi="Arial" w:cs="Arial"/>
                <w:color w:val="000000"/>
              </w:rPr>
            </w:pPr>
            <w:r w:rsidRPr="00503284">
              <w:rPr>
                <w:rFonts w:ascii="Arial" w:hAnsi="Arial" w:cs="Arial"/>
                <w:color w:val="000000"/>
              </w:rPr>
              <w:t>Sustainability and environmental impacts</w:t>
            </w:r>
          </w:p>
          <w:p w14:paraId="4897ABC6" w14:textId="77777777" w:rsidR="00373DC6" w:rsidRPr="00503284" w:rsidRDefault="00000000" w:rsidP="00151334">
            <w:pPr>
              <w:numPr>
                <w:ilvl w:val="1"/>
                <w:numId w:val="3"/>
              </w:numPr>
              <w:pBdr>
                <w:top w:val="nil"/>
                <w:left w:val="nil"/>
                <w:bottom w:val="nil"/>
                <w:right w:val="nil"/>
                <w:between w:val="nil"/>
              </w:pBdr>
              <w:spacing w:line="360" w:lineRule="auto"/>
              <w:ind w:left="586" w:hanging="425"/>
              <w:jc w:val="left"/>
              <w:rPr>
                <w:rFonts w:ascii="Arial" w:hAnsi="Arial" w:cs="Arial"/>
                <w:color w:val="000000"/>
              </w:rPr>
            </w:pPr>
            <w:r w:rsidRPr="00503284">
              <w:rPr>
                <w:rFonts w:ascii="Arial" w:hAnsi="Arial" w:cs="Arial"/>
                <w:color w:val="000000"/>
              </w:rPr>
              <w:t>Green supply chain initiatives</w:t>
            </w:r>
          </w:p>
        </w:tc>
      </w:tr>
    </w:tbl>
    <w:p w14:paraId="58107B54" w14:textId="77777777" w:rsidR="00373DC6" w:rsidRPr="00503284" w:rsidRDefault="00000000" w:rsidP="00151334">
      <w:pPr>
        <w:spacing w:line="360" w:lineRule="auto"/>
        <w:rPr>
          <w:rFonts w:ascii="Arial" w:hAnsi="Arial" w:cs="Arial"/>
          <w:b/>
        </w:rPr>
      </w:pPr>
      <w:r w:rsidRPr="00503284">
        <w:rPr>
          <w:rFonts w:ascii="Arial" w:hAnsi="Arial" w:cs="Arial"/>
        </w:rPr>
        <w:br w:type="page"/>
      </w:r>
    </w:p>
    <w:p w14:paraId="0B583D2E" w14:textId="77777777" w:rsidR="00373DC6" w:rsidRPr="00503284" w:rsidRDefault="00000000" w:rsidP="00151334">
      <w:pPr>
        <w:spacing w:line="360" w:lineRule="auto"/>
        <w:rPr>
          <w:rFonts w:ascii="Arial" w:hAnsi="Arial" w:cs="Arial"/>
          <w:b/>
          <w:i/>
          <w:u w:val="single"/>
        </w:rPr>
      </w:pPr>
      <w:r w:rsidRPr="00503284">
        <w:rPr>
          <w:rFonts w:ascii="Arial" w:hAnsi="Arial" w:cs="Arial"/>
          <w:b/>
          <w:i/>
          <w:u w:val="single"/>
        </w:rPr>
        <w:lastRenderedPageBreak/>
        <w:t>SWOT analysis</w:t>
      </w:r>
    </w:p>
    <w:p w14:paraId="532FC442" w14:textId="77777777" w:rsidR="00373DC6" w:rsidRPr="00503284" w:rsidRDefault="00000000" w:rsidP="00151334">
      <w:pPr>
        <w:spacing w:line="360" w:lineRule="auto"/>
        <w:jc w:val="center"/>
        <w:rPr>
          <w:rFonts w:ascii="Arial" w:hAnsi="Arial" w:cs="Arial"/>
          <w:b/>
          <w:i/>
          <w:u w:val="single"/>
        </w:rPr>
      </w:pPr>
      <w:r w:rsidRPr="00503284">
        <w:rPr>
          <w:rFonts w:ascii="Arial" w:hAnsi="Arial" w:cs="Arial"/>
          <w:noProof/>
        </w:rPr>
        <w:drawing>
          <wp:inline distT="0" distB="0" distL="0" distR="0" wp14:anchorId="0D9C2E07" wp14:editId="3B9E75A5">
            <wp:extent cx="4914900" cy="3200400"/>
            <wp:effectExtent l="0" t="0" r="0" b="0"/>
            <wp:docPr id="2131882452" name="image2.png" descr="High streets in Great Britain - Office for National Statistics"/>
            <wp:cNvGraphicFramePr/>
            <a:graphic xmlns:a="http://schemas.openxmlformats.org/drawingml/2006/main">
              <a:graphicData uri="http://schemas.openxmlformats.org/drawingml/2006/picture">
                <pic:pic xmlns:pic="http://schemas.openxmlformats.org/drawingml/2006/picture">
                  <pic:nvPicPr>
                    <pic:cNvPr id="0" name="image2.png" descr="High streets in Great Britain - Office for National Statistics"/>
                    <pic:cNvPicPr preferRelativeResize="0"/>
                  </pic:nvPicPr>
                  <pic:blipFill>
                    <a:blip r:embed="rId10"/>
                    <a:srcRect/>
                    <a:stretch>
                      <a:fillRect/>
                    </a:stretch>
                  </pic:blipFill>
                  <pic:spPr>
                    <a:xfrm>
                      <a:off x="0" y="0"/>
                      <a:ext cx="4914900" cy="3200400"/>
                    </a:xfrm>
                    <a:prstGeom prst="rect">
                      <a:avLst/>
                    </a:prstGeom>
                    <a:ln/>
                  </pic:spPr>
                </pic:pic>
              </a:graphicData>
            </a:graphic>
          </wp:inline>
        </w:drawing>
      </w:r>
    </w:p>
    <w:p w14:paraId="6A88FACE" w14:textId="77777777" w:rsidR="00373DC6" w:rsidRPr="00503284" w:rsidRDefault="00000000" w:rsidP="00151334">
      <w:pPr>
        <w:spacing w:line="360" w:lineRule="auto"/>
        <w:jc w:val="center"/>
        <w:rPr>
          <w:rFonts w:ascii="Arial" w:hAnsi="Arial" w:cs="Arial"/>
          <w:b/>
        </w:rPr>
      </w:pPr>
      <w:r w:rsidRPr="00503284">
        <w:rPr>
          <w:rFonts w:ascii="Arial" w:hAnsi="Arial" w:cs="Arial"/>
          <w:b/>
        </w:rPr>
        <w:t>Figure- Internal analysis graph of High Street retail in the UK</w:t>
      </w:r>
    </w:p>
    <w:p w14:paraId="240AA115" w14:textId="77777777" w:rsidR="00373DC6" w:rsidRPr="00503284" w:rsidRDefault="00000000" w:rsidP="00151334">
      <w:pPr>
        <w:spacing w:line="360" w:lineRule="auto"/>
        <w:jc w:val="center"/>
        <w:rPr>
          <w:rFonts w:ascii="Arial" w:hAnsi="Arial" w:cs="Arial"/>
          <w:b/>
        </w:rPr>
      </w:pPr>
      <w:r w:rsidRPr="00503284">
        <w:rPr>
          <w:rFonts w:ascii="Arial" w:hAnsi="Arial" w:cs="Arial"/>
          <w:b/>
        </w:rPr>
        <w:t xml:space="preserve">Source- </w:t>
      </w:r>
      <w:r w:rsidRPr="00503284">
        <w:rPr>
          <w:rFonts w:ascii="Arial" w:hAnsi="Arial" w:cs="Arial"/>
        </w:rPr>
        <w:t>(ONS.gov.UK, 2019)</w:t>
      </w:r>
    </w:p>
    <w:p w14:paraId="46D259DA" w14:textId="77777777" w:rsidR="00373DC6" w:rsidRPr="00503284" w:rsidRDefault="00000000" w:rsidP="00151334">
      <w:pPr>
        <w:spacing w:line="360" w:lineRule="auto"/>
        <w:rPr>
          <w:rFonts w:ascii="Arial" w:hAnsi="Arial" w:cs="Arial"/>
          <w:b/>
        </w:rPr>
      </w:pPr>
      <w:r w:rsidRPr="00503284">
        <w:rPr>
          <w:rFonts w:ascii="Arial" w:hAnsi="Arial" w:cs="Arial"/>
          <w:b/>
        </w:rPr>
        <w:t>Strengths</w:t>
      </w:r>
    </w:p>
    <w:p w14:paraId="0ECDD504" w14:textId="77777777" w:rsidR="00373DC6" w:rsidRPr="00503284" w:rsidRDefault="00000000" w:rsidP="00151334">
      <w:pPr>
        <w:spacing w:line="360" w:lineRule="auto"/>
        <w:rPr>
          <w:rFonts w:ascii="Arial" w:hAnsi="Arial" w:cs="Arial"/>
        </w:rPr>
      </w:pPr>
      <w:r w:rsidRPr="00503284">
        <w:rPr>
          <w:rFonts w:ascii="Arial" w:hAnsi="Arial" w:cs="Arial"/>
        </w:rPr>
        <w:t xml:space="preserve">Many </w:t>
      </w:r>
      <w:proofErr w:type="gramStart"/>
      <w:r w:rsidRPr="00503284">
        <w:rPr>
          <w:rFonts w:ascii="Arial" w:hAnsi="Arial" w:cs="Arial"/>
        </w:rPr>
        <w:t>UK</w:t>
      </w:r>
      <w:proofErr w:type="gramEnd"/>
      <w:r w:rsidRPr="00503284">
        <w:rPr>
          <w:rFonts w:ascii="Arial" w:hAnsi="Arial" w:cs="Arial"/>
        </w:rPr>
        <w:t xml:space="preserve"> high street enjoys high consumer trust that has been built over decades of consistent services. In addition, the stores also provide a tangible consumer experience that digital-only brands struggle to emulate, especially crucial for high-involvement purchases like fashion or electronics. </w:t>
      </w:r>
    </w:p>
    <w:p w14:paraId="0971C59C" w14:textId="77777777" w:rsidR="00373DC6" w:rsidRPr="00503284" w:rsidRDefault="00000000" w:rsidP="00151334">
      <w:pPr>
        <w:spacing w:line="360" w:lineRule="auto"/>
        <w:rPr>
          <w:rFonts w:ascii="Arial" w:hAnsi="Arial" w:cs="Arial"/>
          <w:b/>
        </w:rPr>
      </w:pPr>
      <w:r w:rsidRPr="00503284">
        <w:rPr>
          <w:rFonts w:ascii="Arial" w:hAnsi="Arial" w:cs="Arial"/>
          <w:b/>
        </w:rPr>
        <w:t>Weaknesses</w:t>
      </w:r>
    </w:p>
    <w:p w14:paraId="6CB6AC43" w14:textId="77777777" w:rsidR="00373DC6" w:rsidRPr="00503284" w:rsidRDefault="00000000" w:rsidP="00151334">
      <w:pPr>
        <w:spacing w:line="360" w:lineRule="auto"/>
        <w:rPr>
          <w:rFonts w:ascii="Arial" w:hAnsi="Arial" w:cs="Arial"/>
        </w:rPr>
      </w:pPr>
      <w:r w:rsidRPr="00503284">
        <w:rPr>
          <w:rFonts w:ascii="Arial" w:hAnsi="Arial" w:cs="Arial"/>
        </w:rPr>
        <w:t>The aspect of high fixed costs and the traditional retailers have been historically slow in adopting digital strategies or responding towards shifting consumer preferences (</w:t>
      </w:r>
      <w:r w:rsidRPr="00503284">
        <w:rPr>
          <w:rFonts w:ascii="Arial" w:hAnsi="Arial" w:cs="Arial"/>
          <w:color w:val="222222"/>
          <w:highlight w:val="white"/>
        </w:rPr>
        <w:t xml:space="preserve">Costa Dias et al., 2020). </w:t>
      </w:r>
    </w:p>
    <w:p w14:paraId="36FB8831" w14:textId="77777777" w:rsidR="00373DC6" w:rsidRPr="00503284" w:rsidRDefault="00000000" w:rsidP="00151334">
      <w:pPr>
        <w:spacing w:line="360" w:lineRule="auto"/>
        <w:rPr>
          <w:rFonts w:ascii="Arial" w:hAnsi="Arial" w:cs="Arial"/>
          <w:b/>
        </w:rPr>
      </w:pPr>
      <w:r w:rsidRPr="00503284">
        <w:rPr>
          <w:rFonts w:ascii="Arial" w:hAnsi="Arial" w:cs="Arial"/>
          <w:b/>
        </w:rPr>
        <w:t>Opportunities</w:t>
      </w:r>
    </w:p>
    <w:p w14:paraId="6AA49165" w14:textId="7A0478B4" w:rsidR="00373DC6" w:rsidRPr="00503284" w:rsidRDefault="00000000" w:rsidP="00151334">
      <w:pPr>
        <w:spacing w:line="360" w:lineRule="auto"/>
        <w:rPr>
          <w:rFonts w:ascii="Arial" w:hAnsi="Arial" w:cs="Arial"/>
          <w:color w:val="FF0000"/>
        </w:rPr>
      </w:pPr>
      <w:r w:rsidRPr="00503284">
        <w:rPr>
          <w:rFonts w:ascii="Arial" w:hAnsi="Arial" w:cs="Arial"/>
        </w:rPr>
        <w:t xml:space="preserve">Leveraging tech towards the delivery of a seamless </w:t>
      </w:r>
      <w:r w:rsidR="00630BDD">
        <w:rPr>
          <w:rFonts w:ascii="Arial" w:hAnsi="Arial" w:cs="Arial"/>
        </w:rPr>
        <w:t>market</w:t>
      </w:r>
      <w:r w:rsidRPr="00503284">
        <w:rPr>
          <w:rFonts w:ascii="Arial" w:hAnsi="Arial" w:cs="Arial"/>
        </w:rPr>
        <w:t xml:space="preserve"> experience, along with click and collect. The virtual try-ons, along with mobile exclusive discounts, can also differentiate the high street brands. In addition, strong sustainability credentials can also attract younger, purpose-driven audiences (</w:t>
      </w:r>
      <w:r w:rsidRPr="00503284">
        <w:rPr>
          <w:rFonts w:ascii="Arial" w:hAnsi="Arial" w:cs="Arial"/>
          <w:highlight w:val="white"/>
        </w:rPr>
        <w:t>Henry, 2022).</w:t>
      </w:r>
    </w:p>
    <w:p w14:paraId="466AC87A" w14:textId="77777777" w:rsidR="00373DC6" w:rsidRPr="00503284" w:rsidRDefault="00000000" w:rsidP="00151334">
      <w:pPr>
        <w:spacing w:line="360" w:lineRule="auto"/>
        <w:rPr>
          <w:rFonts w:ascii="Arial" w:hAnsi="Arial" w:cs="Arial"/>
          <w:b/>
        </w:rPr>
      </w:pPr>
      <w:r w:rsidRPr="00503284">
        <w:rPr>
          <w:rFonts w:ascii="Arial" w:hAnsi="Arial" w:cs="Arial"/>
          <w:b/>
        </w:rPr>
        <w:t>Threats</w:t>
      </w:r>
    </w:p>
    <w:p w14:paraId="0999C2AC" w14:textId="77777777" w:rsidR="00373DC6" w:rsidRPr="00503284" w:rsidRDefault="00000000" w:rsidP="00151334">
      <w:pPr>
        <w:spacing w:line="360" w:lineRule="auto"/>
        <w:rPr>
          <w:rFonts w:ascii="Arial" w:hAnsi="Arial" w:cs="Arial"/>
        </w:rPr>
      </w:pPr>
      <w:r w:rsidRPr="00503284">
        <w:rPr>
          <w:rFonts w:ascii="Arial" w:hAnsi="Arial" w:cs="Arial"/>
        </w:rPr>
        <w:lastRenderedPageBreak/>
        <w:t>The fast and efficient online retail platforms set a high consumer expectation that brick-and-mortar stores struggle to match. In addition, the reduced consumer confidence, along with increased unemployment, also creates volatility in spending patterns (</w:t>
      </w:r>
      <w:r w:rsidRPr="00503284">
        <w:rPr>
          <w:rFonts w:ascii="Arial" w:hAnsi="Arial" w:cs="Arial"/>
          <w:color w:val="222222"/>
          <w:highlight w:val="white"/>
        </w:rPr>
        <w:t xml:space="preserve">Anderson et al., 2021). </w:t>
      </w:r>
    </w:p>
    <w:p w14:paraId="6ACDE57F" w14:textId="77777777" w:rsidR="00373DC6" w:rsidRPr="00503284" w:rsidRDefault="00000000" w:rsidP="00151334">
      <w:pPr>
        <w:spacing w:line="360" w:lineRule="auto"/>
        <w:rPr>
          <w:rFonts w:ascii="Arial" w:hAnsi="Arial" w:cs="Arial"/>
        </w:rPr>
      </w:pPr>
      <w:r w:rsidRPr="00503284">
        <w:rPr>
          <w:rFonts w:ascii="Arial" w:hAnsi="Arial" w:cs="Arial"/>
        </w:rPr>
        <w:br w:type="page"/>
      </w:r>
    </w:p>
    <w:p w14:paraId="77EA2EFF" w14:textId="77777777" w:rsidR="00373DC6" w:rsidRPr="00503284" w:rsidRDefault="00000000" w:rsidP="00151334">
      <w:pPr>
        <w:pStyle w:val="Heading1"/>
        <w:spacing w:line="360" w:lineRule="auto"/>
        <w:rPr>
          <w:rFonts w:ascii="Arial" w:hAnsi="Arial" w:cs="Arial"/>
          <w:sz w:val="24"/>
          <w:szCs w:val="24"/>
        </w:rPr>
      </w:pPr>
      <w:bookmarkStart w:id="3" w:name="_Toc201847482"/>
      <w:r w:rsidRPr="00503284">
        <w:rPr>
          <w:rFonts w:ascii="Arial" w:hAnsi="Arial" w:cs="Arial"/>
          <w:sz w:val="24"/>
          <w:szCs w:val="24"/>
        </w:rPr>
        <w:lastRenderedPageBreak/>
        <w:t>Conclusion</w:t>
      </w:r>
      <w:bookmarkEnd w:id="3"/>
    </w:p>
    <w:p w14:paraId="6E19E232" w14:textId="77777777" w:rsidR="00373DC6" w:rsidRPr="00503284" w:rsidRDefault="00000000" w:rsidP="00151334">
      <w:pPr>
        <w:spacing w:line="360" w:lineRule="auto"/>
        <w:rPr>
          <w:rFonts w:ascii="Arial" w:hAnsi="Arial" w:cs="Arial"/>
        </w:rPr>
      </w:pPr>
      <w:r w:rsidRPr="00503284">
        <w:rPr>
          <w:rFonts w:ascii="Arial" w:hAnsi="Arial" w:cs="Arial"/>
        </w:rPr>
        <w:t xml:space="preserve">The high street faces unprecedented turbulence, and the interplay of political gifts along with economic constraints and sociocultural evolutions continues to rewrite the rules of retail. While the traditional retailers have some competitive edges, their grading heritage and face-to-face engagement, along with their survival, hinge on how they respond to the external factors. The tools like SWOT and PESTLE also support in diagnosing the state of play and informing the strategic responses, as the resilient High Street retailers have been those who embrace the changes and cope with the dynamics of the business market more by valuing the future of the UK high street retailers that might not resemble the past but can still thrive and it also provides the aspects of creativity, adaptability and purpose. </w:t>
      </w:r>
      <w:r w:rsidRPr="00503284">
        <w:rPr>
          <w:rFonts w:ascii="Arial" w:hAnsi="Arial" w:cs="Arial"/>
        </w:rPr>
        <w:br w:type="page"/>
      </w:r>
    </w:p>
    <w:p w14:paraId="72079837" w14:textId="77777777" w:rsidR="00373DC6" w:rsidRPr="00503284" w:rsidRDefault="00000000" w:rsidP="00151334">
      <w:pPr>
        <w:pStyle w:val="Heading1"/>
        <w:spacing w:line="360" w:lineRule="auto"/>
        <w:rPr>
          <w:rFonts w:ascii="Arial" w:hAnsi="Arial" w:cs="Arial"/>
          <w:sz w:val="24"/>
          <w:szCs w:val="24"/>
        </w:rPr>
      </w:pPr>
      <w:bookmarkStart w:id="4" w:name="_Toc201847483"/>
      <w:r w:rsidRPr="00503284">
        <w:rPr>
          <w:rFonts w:ascii="Arial" w:hAnsi="Arial" w:cs="Arial"/>
          <w:sz w:val="24"/>
          <w:szCs w:val="24"/>
        </w:rPr>
        <w:lastRenderedPageBreak/>
        <w:t>Recommendations</w:t>
      </w:r>
      <w:bookmarkEnd w:id="4"/>
      <w:r w:rsidRPr="00503284">
        <w:rPr>
          <w:rFonts w:ascii="Arial" w:hAnsi="Arial" w:cs="Arial"/>
          <w:sz w:val="24"/>
          <w:szCs w:val="24"/>
        </w:rPr>
        <w:t xml:space="preserve"> </w:t>
      </w:r>
    </w:p>
    <w:p w14:paraId="28676028" w14:textId="77777777" w:rsidR="00373DC6" w:rsidRPr="00503284" w:rsidRDefault="00000000" w:rsidP="00151334">
      <w:pPr>
        <w:spacing w:line="360" w:lineRule="auto"/>
        <w:rPr>
          <w:rFonts w:ascii="Arial" w:hAnsi="Arial" w:cs="Arial"/>
        </w:rPr>
      </w:pPr>
      <w:r w:rsidRPr="00503284">
        <w:rPr>
          <w:rFonts w:ascii="Arial" w:hAnsi="Arial" w:cs="Arial"/>
        </w:rPr>
        <w:t>To gain knowledge of how the high-street retailers can navigate the evolving landscape, the examination of the external factors is conducted with the use of the PESTLE framework, consisting of political, economic, social, technological, legal and environmental factors. Therefore, the SWOT also used to assess the internal strengths and weaknesses related to external opportunities and threats of the UK high street retailers (Mintel, 2024).  Furthermore, the over-reliance on footfall and the decline in in-store visits also expose vulnerabilities in business models that depend on volume-based revenues and as the population ages and moves away from city centres, the retailers might lose their traditional customer base unless they adapt their product and service offerings (</w:t>
      </w:r>
      <w:r w:rsidRPr="00503284">
        <w:rPr>
          <w:rFonts w:ascii="Arial" w:hAnsi="Arial" w:cs="Arial"/>
          <w:highlight w:val="white"/>
        </w:rPr>
        <w:t>Hunt and Rolf, 2022).</w:t>
      </w:r>
    </w:p>
    <w:p w14:paraId="20E0A0D8" w14:textId="307C6655" w:rsidR="00373DC6" w:rsidRPr="00503284" w:rsidRDefault="00000000" w:rsidP="00151334">
      <w:pPr>
        <w:spacing w:line="360" w:lineRule="auto"/>
        <w:rPr>
          <w:rFonts w:ascii="Arial" w:hAnsi="Arial" w:cs="Arial"/>
        </w:rPr>
      </w:pPr>
      <w:r w:rsidRPr="00503284">
        <w:rPr>
          <w:rFonts w:ascii="Arial" w:hAnsi="Arial" w:cs="Arial"/>
        </w:rPr>
        <w:t xml:space="preserve">As an example, the seasonal products can become a liability if unexpected weather disrupts traditional shopping patterns, and the company's failure can also result in hefty fines along with reputational damage. The labour laws have also become a focal point, and the change in the minimum </w:t>
      </w:r>
      <w:r w:rsidR="00EA0FBD" w:rsidRPr="00503284">
        <w:rPr>
          <w:rFonts w:ascii="Arial" w:hAnsi="Arial" w:cs="Arial"/>
        </w:rPr>
        <w:t>wage</w:t>
      </w:r>
      <w:r w:rsidRPr="00503284">
        <w:rPr>
          <w:rFonts w:ascii="Arial" w:hAnsi="Arial" w:cs="Arial"/>
        </w:rPr>
        <w:t xml:space="preserve"> legislation, diversity, along with the requirements of inclusion and health and safety protocols, needs constant attention (</w:t>
      </w:r>
      <w:r w:rsidRPr="00503284">
        <w:rPr>
          <w:rFonts w:ascii="Arial" w:hAnsi="Arial" w:cs="Arial"/>
          <w:highlight w:val="white"/>
        </w:rPr>
        <w:t xml:space="preserve">Sarder, 2022). </w:t>
      </w:r>
      <w:r w:rsidRPr="00503284">
        <w:rPr>
          <w:rFonts w:ascii="Arial" w:hAnsi="Arial" w:cs="Arial"/>
        </w:rPr>
        <w:t>Therefore, climate change also presents physical threats that can impact both the availability of the product and the consumers' behaviour (</w:t>
      </w:r>
      <w:r w:rsidRPr="00503284">
        <w:rPr>
          <w:rFonts w:ascii="Arial" w:hAnsi="Arial" w:cs="Arial"/>
          <w:highlight w:val="white"/>
        </w:rPr>
        <w:t xml:space="preserve">Sesa and </w:t>
      </w:r>
      <w:proofErr w:type="spellStart"/>
      <w:r w:rsidRPr="00503284">
        <w:rPr>
          <w:rFonts w:ascii="Arial" w:hAnsi="Arial" w:cs="Arial"/>
          <w:highlight w:val="white"/>
        </w:rPr>
        <w:t>Hasnawati</w:t>
      </w:r>
      <w:proofErr w:type="spellEnd"/>
      <w:r w:rsidRPr="00503284">
        <w:rPr>
          <w:rFonts w:ascii="Arial" w:hAnsi="Arial" w:cs="Arial"/>
          <w:highlight w:val="white"/>
        </w:rPr>
        <w:t xml:space="preserve">, 2023). </w:t>
      </w:r>
      <w:r w:rsidRPr="00503284">
        <w:rPr>
          <w:rFonts w:ascii="Arial" w:hAnsi="Arial" w:cs="Arial"/>
        </w:rPr>
        <w:t xml:space="preserve">Therefore, the recommendations also rely on the factors of PESTLE and the weaknesses and threats of the </w:t>
      </w:r>
      <w:r w:rsidR="00523A6D" w:rsidRPr="00503284">
        <w:rPr>
          <w:rFonts w:ascii="Arial" w:hAnsi="Arial" w:cs="Arial"/>
        </w:rPr>
        <w:t>High Street</w:t>
      </w:r>
      <w:r w:rsidRPr="00503284">
        <w:rPr>
          <w:rFonts w:ascii="Arial" w:hAnsi="Arial" w:cs="Arial"/>
        </w:rPr>
        <w:t xml:space="preserve"> retailers in the UK. </w:t>
      </w:r>
    </w:p>
    <w:p w14:paraId="64874ECA" w14:textId="6E540240" w:rsidR="00373DC6" w:rsidRPr="00503284" w:rsidRDefault="00000000" w:rsidP="00151334">
      <w:pPr>
        <w:spacing w:line="360" w:lineRule="auto"/>
        <w:rPr>
          <w:rFonts w:ascii="Arial" w:hAnsi="Arial" w:cs="Arial"/>
        </w:rPr>
      </w:pPr>
      <w:r w:rsidRPr="00503284">
        <w:rPr>
          <w:rFonts w:ascii="Arial" w:hAnsi="Arial" w:cs="Arial"/>
        </w:rPr>
        <w:t xml:space="preserve">It is recommended to invest in an integrated </w:t>
      </w:r>
      <w:r w:rsidR="00C3676B">
        <w:rPr>
          <w:rFonts w:ascii="Arial" w:hAnsi="Arial" w:cs="Arial"/>
        </w:rPr>
        <w:t>market</w:t>
      </w:r>
      <w:r w:rsidRPr="00503284">
        <w:rPr>
          <w:rFonts w:ascii="Arial" w:hAnsi="Arial" w:cs="Arial"/>
        </w:rPr>
        <w:t xml:space="preserve"> experience to remain competitive against digital-only brands, as the Highstreet retailers must blend physical and digital shopping experiences seamlessly. This aspect is related to the use of mobile applications that offer real-time stock visibility and expanding click-and-collect services. In addition, the consumers also expect a consistently honest experience, whether shopping online through mobile, would be authentic and proving their authenticity would also generate more consumer attraction and boost the sales volume of the business up to a certain percentage (</w:t>
      </w:r>
      <w:proofErr w:type="spellStart"/>
      <w:r w:rsidRPr="00503284">
        <w:rPr>
          <w:rFonts w:ascii="Arial" w:hAnsi="Arial" w:cs="Arial"/>
          <w:highlight w:val="white"/>
        </w:rPr>
        <w:t>Elmghaamez</w:t>
      </w:r>
      <w:proofErr w:type="spellEnd"/>
      <w:r w:rsidRPr="00503284">
        <w:rPr>
          <w:rFonts w:ascii="Arial" w:hAnsi="Arial" w:cs="Arial"/>
          <w:highlight w:val="white"/>
        </w:rPr>
        <w:t xml:space="preserve"> and Parajuli, 2022). </w:t>
      </w:r>
    </w:p>
    <w:p w14:paraId="35E690CC" w14:textId="77777777" w:rsidR="00373DC6" w:rsidRPr="00503284" w:rsidRDefault="00000000" w:rsidP="00151334">
      <w:pPr>
        <w:spacing w:line="360" w:lineRule="auto"/>
        <w:rPr>
          <w:rFonts w:ascii="Arial" w:hAnsi="Arial" w:cs="Arial"/>
        </w:rPr>
      </w:pPr>
      <w:r w:rsidRPr="00503284">
        <w:rPr>
          <w:rFonts w:ascii="Arial" w:hAnsi="Arial" w:cs="Arial"/>
        </w:rPr>
        <w:t xml:space="preserve">Additionally, it is also suggested to prioritise sustainability as the core strategy and the consumers' demand for ethical and eco-conscious communities, as the retailers should also audit their supply chains and reduce packaging waste along </w:t>
      </w:r>
      <w:proofErr w:type="spellStart"/>
      <w:r w:rsidRPr="00503284">
        <w:rPr>
          <w:rFonts w:ascii="Arial" w:hAnsi="Arial" w:cs="Arial"/>
        </w:rPr>
        <w:t>wth</w:t>
      </w:r>
      <w:proofErr w:type="spellEnd"/>
      <w:r w:rsidRPr="00503284">
        <w:rPr>
          <w:rFonts w:ascii="Arial" w:hAnsi="Arial" w:cs="Arial"/>
        </w:rPr>
        <w:t xml:space="preserve"> communicating </w:t>
      </w:r>
      <w:r w:rsidRPr="00503284">
        <w:rPr>
          <w:rFonts w:ascii="Arial" w:hAnsi="Arial" w:cs="Arial"/>
        </w:rPr>
        <w:lastRenderedPageBreak/>
        <w:t>clear and sustainability goals. The initiatives, like garment recycling schemes along with local sourcing and energy-efficient store operation, can also strengthen the brand reputation and foster trust. As an example, the launch of a green label, collection or showcasing carbon-neutral logistics can also provide a competitive edge while aligning with the national environmental goals (</w:t>
      </w:r>
      <w:r w:rsidRPr="00503284">
        <w:rPr>
          <w:rFonts w:ascii="Arial" w:hAnsi="Arial" w:cs="Arial"/>
          <w:highlight w:val="white"/>
        </w:rPr>
        <w:t xml:space="preserve">Jouan et al., 2022). </w:t>
      </w:r>
      <w:r w:rsidRPr="00503284">
        <w:rPr>
          <w:rFonts w:ascii="Arial" w:hAnsi="Arial" w:cs="Arial"/>
        </w:rPr>
        <w:br w:type="page"/>
      </w:r>
    </w:p>
    <w:p w14:paraId="694DADC9" w14:textId="77777777" w:rsidR="00373DC6" w:rsidRPr="00151334" w:rsidRDefault="00000000" w:rsidP="00AB2836">
      <w:pPr>
        <w:pStyle w:val="Heading1"/>
        <w:rPr>
          <w:sz w:val="24"/>
          <w:szCs w:val="24"/>
        </w:rPr>
      </w:pPr>
      <w:bookmarkStart w:id="5" w:name="_Toc201847484"/>
      <w:r w:rsidRPr="00151334">
        <w:rPr>
          <w:sz w:val="24"/>
          <w:szCs w:val="24"/>
        </w:rPr>
        <w:lastRenderedPageBreak/>
        <w:t>References</w:t>
      </w:r>
      <w:bookmarkEnd w:id="5"/>
    </w:p>
    <w:p w14:paraId="6410E364" w14:textId="77777777" w:rsidR="00500E65" w:rsidRPr="00151334" w:rsidRDefault="00500E65" w:rsidP="00AB2836">
      <w:pPr>
        <w:rPr>
          <w:color w:val="222222"/>
          <w:highlight w:val="white"/>
        </w:rPr>
      </w:pPr>
      <w:r w:rsidRPr="00151334">
        <w:rPr>
          <w:color w:val="222222"/>
          <w:highlight w:val="white"/>
        </w:rPr>
        <w:t xml:space="preserve">Anderson, P., O'Donnell, A., Kaner, E., Llopis, E.J., Manthey, J. and Rehm, J., (2021). Impact of minimum unit pricing on alcohol purchases in Scotland and Wales: controlled interrupted time series analyses. </w:t>
      </w:r>
      <w:r w:rsidRPr="00151334">
        <w:rPr>
          <w:i/>
          <w:color w:val="222222"/>
          <w:highlight w:val="white"/>
        </w:rPr>
        <w:t>The Lancet Public Health</w:t>
      </w:r>
      <w:r w:rsidRPr="00151334">
        <w:rPr>
          <w:color w:val="222222"/>
          <w:highlight w:val="white"/>
        </w:rPr>
        <w:t xml:space="preserve">, </w:t>
      </w:r>
      <w:r w:rsidRPr="00151334">
        <w:rPr>
          <w:i/>
          <w:color w:val="222222"/>
          <w:highlight w:val="white"/>
        </w:rPr>
        <w:t>6</w:t>
      </w:r>
      <w:r w:rsidRPr="00151334">
        <w:rPr>
          <w:color w:val="222222"/>
          <w:highlight w:val="white"/>
        </w:rPr>
        <w:t xml:space="preserve">(8), </w:t>
      </w:r>
      <w:proofErr w:type="gramStart"/>
      <w:r w:rsidRPr="00151334">
        <w:rPr>
          <w:color w:val="222222"/>
          <w:highlight w:val="white"/>
        </w:rPr>
        <w:t>pp.e</w:t>
      </w:r>
      <w:proofErr w:type="gramEnd"/>
      <w:r w:rsidRPr="00151334">
        <w:rPr>
          <w:color w:val="222222"/>
          <w:highlight w:val="white"/>
        </w:rPr>
        <w:t>557-e565.</w:t>
      </w:r>
    </w:p>
    <w:p w14:paraId="76F05854" w14:textId="77777777" w:rsidR="00500E65" w:rsidRPr="00151334" w:rsidRDefault="00500E65" w:rsidP="00AB2836">
      <w:pPr>
        <w:rPr>
          <w:color w:val="222222"/>
          <w:highlight w:val="white"/>
        </w:rPr>
      </w:pPr>
      <w:proofErr w:type="spellStart"/>
      <w:r w:rsidRPr="00151334">
        <w:rPr>
          <w:color w:val="222222"/>
          <w:highlight w:val="white"/>
        </w:rPr>
        <w:t>Bolet</w:t>
      </w:r>
      <w:proofErr w:type="spellEnd"/>
      <w:r w:rsidRPr="00151334">
        <w:rPr>
          <w:color w:val="222222"/>
          <w:highlight w:val="white"/>
        </w:rPr>
        <w:t xml:space="preserve">, D., (2021). Drinking alone: local socio-cultural degradation and radical right support—the case of British pub closures. </w:t>
      </w:r>
      <w:r w:rsidRPr="00151334">
        <w:rPr>
          <w:i/>
          <w:color w:val="222222"/>
          <w:highlight w:val="white"/>
        </w:rPr>
        <w:t>Comparative Political Studies</w:t>
      </w:r>
      <w:r w:rsidRPr="00151334">
        <w:rPr>
          <w:color w:val="222222"/>
          <w:highlight w:val="white"/>
        </w:rPr>
        <w:t xml:space="preserve">, </w:t>
      </w:r>
      <w:r w:rsidRPr="00151334">
        <w:rPr>
          <w:i/>
          <w:color w:val="222222"/>
          <w:highlight w:val="white"/>
        </w:rPr>
        <w:t>54</w:t>
      </w:r>
      <w:r w:rsidRPr="00151334">
        <w:rPr>
          <w:color w:val="222222"/>
          <w:highlight w:val="white"/>
        </w:rPr>
        <w:t>(9), pp.1653-1692.</w:t>
      </w:r>
    </w:p>
    <w:p w14:paraId="7D798905" w14:textId="77777777" w:rsidR="00500E65" w:rsidRPr="00151334" w:rsidRDefault="00500E65" w:rsidP="00AB2836">
      <w:pPr>
        <w:rPr>
          <w:color w:val="222222"/>
          <w:highlight w:val="white"/>
        </w:rPr>
      </w:pPr>
      <w:r w:rsidRPr="00151334">
        <w:rPr>
          <w:color w:val="222222"/>
          <w:highlight w:val="white"/>
        </w:rPr>
        <w:t xml:space="preserve">Costa Dias, M., Joyce, R., Postel‐Vinay, F. and Xu, X., (2020). The challenges for labour market policy during the Covid‐19 pandemic. </w:t>
      </w:r>
      <w:r w:rsidRPr="00151334">
        <w:rPr>
          <w:i/>
          <w:color w:val="222222"/>
          <w:highlight w:val="white"/>
        </w:rPr>
        <w:t>Fiscal Studies</w:t>
      </w:r>
      <w:r w:rsidRPr="00151334">
        <w:rPr>
          <w:color w:val="222222"/>
          <w:highlight w:val="white"/>
        </w:rPr>
        <w:t xml:space="preserve">, </w:t>
      </w:r>
      <w:r w:rsidRPr="00151334">
        <w:rPr>
          <w:i/>
          <w:color w:val="222222"/>
          <w:highlight w:val="white"/>
        </w:rPr>
        <w:t>41</w:t>
      </w:r>
      <w:r w:rsidRPr="00151334">
        <w:rPr>
          <w:color w:val="222222"/>
          <w:highlight w:val="white"/>
        </w:rPr>
        <w:t>(2), pp.371-382.</w:t>
      </w:r>
    </w:p>
    <w:p w14:paraId="3A8A846C" w14:textId="77777777" w:rsidR="00500E65" w:rsidRPr="00151334" w:rsidRDefault="00500E65" w:rsidP="00AB2836">
      <w:pPr>
        <w:rPr>
          <w:color w:val="222222"/>
          <w:highlight w:val="white"/>
        </w:rPr>
      </w:pPr>
      <w:r w:rsidRPr="00151334">
        <w:rPr>
          <w:color w:val="222222"/>
          <w:highlight w:val="white"/>
        </w:rPr>
        <w:t xml:space="preserve">Dolega, L. and Lord, A., (2020). Exploring the geography of retail success and decline: A case study of the Liverpool City Region. </w:t>
      </w:r>
      <w:r w:rsidRPr="00151334">
        <w:rPr>
          <w:i/>
          <w:color w:val="222222"/>
          <w:highlight w:val="white"/>
        </w:rPr>
        <w:t>Cities</w:t>
      </w:r>
      <w:r w:rsidRPr="00151334">
        <w:rPr>
          <w:color w:val="222222"/>
          <w:highlight w:val="white"/>
        </w:rPr>
        <w:t xml:space="preserve">, </w:t>
      </w:r>
      <w:r w:rsidRPr="00151334">
        <w:rPr>
          <w:i/>
          <w:color w:val="222222"/>
          <w:highlight w:val="white"/>
        </w:rPr>
        <w:t>96</w:t>
      </w:r>
      <w:r w:rsidRPr="00151334">
        <w:rPr>
          <w:color w:val="222222"/>
          <w:highlight w:val="white"/>
        </w:rPr>
        <w:t>, p.102456.</w:t>
      </w:r>
    </w:p>
    <w:p w14:paraId="6F06E398" w14:textId="77777777" w:rsidR="00500E65" w:rsidRPr="00151334" w:rsidRDefault="00500E65" w:rsidP="00AB2836">
      <w:pPr>
        <w:rPr>
          <w:highlight w:val="white"/>
        </w:rPr>
      </w:pPr>
      <w:proofErr w:type="spellStart"/>
      <w:r w:rsidRPr="00151334">
        <w:rPr>
          <w:highlight w:val="white"/>
        </w:rPr>
        <w:t>Elmghaamez</w:t>
      </w:r>
      <w:proofErr w:type="spellEnd"/>
      <w:r w:rsidRPr="00151334">
        <w:rPr>
          <w:highlight w:val="white"/>
        </w:rPr>
        <w:t xml:space="preserve">, I.K. and Parajuli, M.A., (2022). Evaluating the failure of British Home Stores: a case study using Taffler Z-score model and SWOT analysis. </w:t>
      </w:r>
      <w:r w:rsidRPr="00151334">
        <w:rPr>
          <w:i/>
          <w:highlight w:val="white"/>
        </w:rPr>
        <w:t>International Journal of Teaching and Case Studies</w:t>
      </w:r>
      <w:r w:rsidRPr="00151334">
        <w:rPr>
          <w:highlight w:val="white"/>
        </w:rPr>
        <w:t xml:space="preserve">, </w:t>
      </w:r>
      <w:r w:rsidRPr="00151334">
        <w:rPr>
          <w:i/>
          <w:highlight w:val="white"/>
        </w:rPr>
        <w:t>13</w:t>
      </w:r>
      <w:r w:rsidRPr="00151334">
        <w:rPr>
          <w:highlight w:val="white"/>
        </w:rPr>
        <w:t>(3), pp.241-258.</w:t>
      </w:r>
    </w:p>
    <w:p w14:paraId="76563F8B" w14:textId="77777777" w:rsidR="00500E65" w:rsidRPr="00151334" w:rsidRDefault="00500E65" w:rsidP="00AB2836">
      <w:pPr>
        <w:rPr>
          <w:highlight w:val="white"/>
        </w:rPr>
      </w:pPr>
      <w:r w:rsidRPr="00151334">
        <w:rPr>
          <w:highlight w:val="white"/>
        </w:rPr>
        <w:t xml:space="preserve">Henry, J., (2022). </w:t>
      </w:r>
      <w:r w:rsidRPr="00151334">
        <w:rPr>
          <w:i/>
          <w:highlight w:val="white"/>
        </w:rPr>
        <w:t>Writing at the crossroads: a linguistic analysis of academic business report writing at a modern UK university</w:t>
      </w:r>
      <w:r w:rsidRPr="00151334">
        <w:rPr>
          <w:highlight w:val="white"/>
        </w:rPr>
        <w:t xml:space="preserve"> (Doctoral dissertation, University of Birmingham).</w:t>
      </w:r>
    </w:p>
    <w:p w14:paraId="65D0A51D" w14:textId="77777777" w:rsidR="00500E65" w:rsidRPr="00151334" w:rsidRDefault="00500E65" w:rsidP="00AB2836">
      <w:pPr>
        <w:rPr>
          <w:highlight w:val="white"/>
        </w:rPr>
      </w:pPr>
      <w:r w:rsidRPr="00151334">
        <w:rPr>
          <w:highlight w:val="white"/>
        </w:rPr>
        <w:t xml:space="preserve">Hunt, W. and Rolf, S., (2022). ARTIFICIAL INTELLIGENCE AND AUTO MATION IN RETAIL. </w:t>
      </w:r>
      <w:r w:rsidRPr="00151334">
        <w:rPr>
          <w:i/>
          <w:highlight w:val="white"/>
        </w:rPr>
        <w:t>Friedrich Ebert Stiftung</w:t>
      </w:r>
      <w:r w:rsidRPr="00151334">
        <w:rPr>
          <w:highlight w:val="white"/>
        </w:rPr>
        <w:t>.</w:t>
      </w:r>
    </w:p>
    <w:p w14:paraId="105B3FDA" w14:textId="77777777" w:rsidR="00500E65" w:rsidRPr="00151334" w:rsidRDefault="00500E65" w:rsidP="00AB2836">
      <w:pPr>
        <w:rPr>
          <w:color w:val="222222"/>
          <w:highlight w:val="white"/>
        </w:rPr>
      </w:pPr>
      <w:r w:rsidRPr="00151334">
        <w:rPr>
          <w:color w:val="222222"/>
          <w:highlight w:val="white"/>
        </w:rPr>
        <w:t>Jouan, N., Ogden, T., Black, J., Wood-Donnelly, C. and Coulson, S., (2022). UK strategy for the High North.</w:t>
      </w:r>
    </w:p>
    <w:p w14:paraId="17AD3A68" w14:textId="77777777" w:rsidR="00500E65" w:rsidRPr="00151334" w:rsidRDefault="00500E65" w:rsidP="00AB2836">
      <w:pPr>
        <w:rPr>
          <w:color w:val="222222"/>
          <w:highlight w:val="white"/>
        </w:rPr>
      </w:pPr>
      <w:r w:rsidRPr="00151334">
        <w:rPr>
          <w:color w:val="222222"/>
          <w:highlight w:val="white"/>
        </w:rPr>
        <w:t xml:space="preserve">Langton, S., Dixon, A. and Farrell, G., (2021). Six months in: pandemic crime trends in England and Wales. </w:t>
      </w:r>
      <w:r w:rsidRPr="00151334">
        <w:rPr>
          <w:i/>
          <w:color w:val="222222"/>
          <w:highlight w:val="white"/>
        </w:rPr>
        <w:t>Crime science</w:t>
      </w:r>
      <w:r w:rsidRPr="00151334">
        <w:rPr>
          <w:color w:val="222222"/>
          <w:highlight w:val="white"/>
        </w:rPr>
        <w:t xml:space="preserve">, </w:t>
      </w:r>
      <w:r w:rsidRPr="00151334">
        <w:rPr>
          <w:i/>
          <w:color w:val="222222"/>
          <w:highlight w:val="white"/>
        </w:rPr>
        <w:t>10</w:t>
      </w:r>
      <w:r w:rsidRPr="00151334">
        <w:rPr>
          <w:color w:val="222222"/>
          <w:highlight w:val="white"/>
        </w:rPr>
        <w:t>(1), p.6.</w:t>
      </w:r>
    </w:p>
    <w:p w14:paraId="6BA661B3" w14:textId="77777777" w:rsidR="00500E65" w:rsidRPr="00151334" w:rsidRDefault="00500E65" w:rsidP="00AB2836">
      <w:pPr>
        <w:rPr>
          <w:color w:val="222222"/>
          <w:highlight w:val="white"/>
        </w:rPr>
      </w:pPr>
      <w:r w:rsidRPr="00151334">
        <w:t xml:space="preserve">Mintel, (2024). </w:t>
      </w:r>
      <w:r w:rsidRPr="00151334">
        <w:rPr>
          <w:i/>
        </w:rPr>
        <w:t xml:space="preserve">Retail Trends: Navigating the Future of the UK Retail Industry. </w:t>
      </w:r>
      <w:r w:rsidRPr="00151334">
        <w:t xml:space="preserve">[Online]  Available at: </w:t>
      </w:r>
      <w:hyperlink r:id="rId11" w:anchor=":~:text=Mintel's%20Retail%20Rankings%202024%20Report,protect%20prices%20for%20the%20consumer">
        <w:r w:rsidRPr="00151334">
          <w:rPr>
            <w:color w:val="0000FF"/>
            <w:u w:val="single"/>
          </w:rPr>
          <w:t>https://www.mintel.com/insights/retail/retail-trends-navigating-future-of-uk-retail-</w:t>
        </w:r>
        <w:r w:rsidRPr="00151334">
          <w:rPr>
            <w:color w:val="0000FF"/>
            <w:u w:val="single"/>
          </w:rPr>
          <w:lastRenderedPageBreak/>
          <w:t>industry/#:~:text=Mintel's%20Retail%20Rankings%202024%20Report,protect%20prices%20for%20the%20consumer</w:t>
        </w:r>
      </w:hyperlink>
      <w:r w:rsidRPr="00151334">
        <w:t>. [Accessed 25 06 2025].</w:t>
      </w:r>
    </w:p>
    <w:p w14:paraId="68FEF986" w14:textId="77777777" w:rsidR="00500E65" w:rsidRPr="00151334" w:rsidRDefault="00500E65" w:rsidP="00AB2836">
      <w:pPr>
        <w:pBdr>
          <w:top w:val="nil"/>
          <w:left w:val="nil"/>
          <w:bottom w:val="nil"/>
          <w:right w:val="nil"/>
          <w:between w:val="nil"/>
        </w:pBdr>
        <w:rPr>
          <w:color w:val="000000"/>
        </w:rPr>
      </w:pPr>
      <w:r w:rsidRPr="00151334">
        <w:rPr>
          <w:color w:val="000000"/>
        </w:rPr>
        <w:t xml:space="preserve">ONS.gov.UK, (2019). </w:t>
      </w:r>
      <w:r w:rsidRPr="00151334">
        <w:rPr>
          <w:i/>
          <w:color w:val="000000"/>
        </w:rPr>
        <w:t xml:space="preserve">High streets in Great Britain. </w:t>
      </w:r>
      <w:r w:rsidRPr="00151334">
        <w:rPr>
          <w:color w:val="000000"/>
        </w:rPr>
        <w:t xml:space="preserve">[Online]  Available at: </w:t>
      </w:r>
      <w:hyperlink r:id="rId12">
        <w:r w:rsidRPr="00151334">
          <w:rPr>
            <w:color w:val="0000FF"/>
            <w:u w:val="single"/>
          </w:rPr>
          <w:t>https://www.ons.gov.uk/peoplepopulationandcommunity/populationandmigration/populationestimates/articles/highstreetsingreatbritain/2019-06-06</w:t>
        </w:r>
      </w:hyperlink>
      <w:r w:rsidRPr="00151334">
        <w:rPr>
          <w:color w:val="000000"/>
        </w:rPr>
        <w:t xml:space="preserve"> [Accessed 25 06 2025].</w:t>
      </w:r>
    </w:p>
    <w:p w14:paraId="18B7804B" w14:textId="77777777" w:rsidR="00500E65" w:rsidRPr="00151334" w:rsidRDefault="00500E65" w:rsidP="00AB2836">
      <w:pPr>
        <w:rPr>
          <w:highlight w:val="white"/>
        </w:rPr>
      </w:pPr>
      <w:r w:rsidRPr="00151334">
        <w:rPr>
          <w:color w:val="222222"/>
          <w:highlight w:val="white"/>
        </w:rPr>
        <w:t xml:space="preserve">Orr, A.M., Stewart, J.L., Jackson, C. and White, J.T., (2023). Not quite the ‘death of the high </w:t>
      </w:r>
      <w:proofErr w:type="spellStart"/>
      <w:r w:rsidRPr="00151334">
        <w:rPr>
          <w:color w:val="222222"/>
          <w:highlight w:val="white"/>
        </w:rPr>
        <w:t>street’in</w:t>
      </w:r>
      <w:proofErr w:type="spellEnd"/>
      <w:r w:rsidRPr="00151334">
        <w:rPr>
          <w:color w:val="222222"/>
          <w:highlight w:val="white"/>
        </w:rPr>
        <w:t xml:space="preserve"> UK city centres: Rising vacancy rates and the shift in property use richness and diversity. </w:t>
      </w:r>
      <w:r w:rsidRPr="00151334">
        <w:rPr>
          <w:i/>
          <w:highlight w:val="white"/>
        </w:rPr>
        <w:t>Cities</w:t>
      </w:r>
      <w:r w:rsidRPr="00151334">
        <w:rPr>
          <w:highlight w:val="white"/>
        </w:rPr>
        <w:t xml:space="preserve">, </w:t>
      </w:r>
      <w:r w:rsidRPr="00151334">
        <w:rPr>
          <w:i/>
          <w:highlight w:val="white"/>
        </w:rPr>
        <w:t>133</w:t>
      </w:r>
      <w:r w:rsidRPr="00151334">
        <w:rPr>
          <w:highlight w:val="white"/>
        </w:rPr>
        <w:t>, p.104124.</w:t>
      </w:r>
    </w:p>
    <w:p w14:paraId="52C18554" w14:textId="77777777" w:rsidR="00500E65" w:rsidRPr="00151334" w:rsidRDefault="00500E65" w:rsidP="00AB2836">
      <w:pPr>
        <w:rPr>
          <w:highlight w:val="white"/>
        </w:rPr>
      </w:pPr>
      <w:r w:rsidRPr="00151334">
        <w:rPr>
          <w:highlight w:val="white"/>
        </w:rPr>
        <w:t xml:space="preserve">Sarder, M.M., (2022). Marketing plan for </w:t>
      </w:r>
      <w:proofErr w:type="spellStart"/>
      <w:r w:rsidRPr="00151334">
        <w:rPr>
          <w:highlight w:val="white"/>
        </w:rPr>
        <w:t>Mixmart</w:t>
      </w:r>
      <w:proofErr w:type="spellEnd"/>
      <w:r w:rsidRPr="00151334">
        <w:rPr>
          <w:highlight w:val="white"/>
        </w:rPr>
        <w:t>: Marketing communication perspective.</w:t>
      </w:r>
    </w:p>
    <w:p w14:paraId="6524B750" w14:textId="77777777" w:rsidR="00500E65" w:rsidRPr="00151334" w:rsidRDefault="00500E65" w:rsidP="00AB2836">
      <w:pPr>
        <w:rPr>
          <w:highlight w:val="white"/>
        </w:rPr>
      </w:pPr>
      <w:r w:rsidRPr="00151334">
        <w:rPr>
          <w:highlight w:val="white"/>
        </w:rPr>
        <w:t xml:space="preserve">Sesa, P.G.E. and </w:t>
      </w:r>
      <w:proofErr w:type="spellStart"/>
      <w:r w:rsidRPr="00151334">
        <w:rPr>
          <w:highlight w:val="white"/>
        </w:rPr>
        <w:t>Hasnawati</w:t>
      </w:r>
      <w:proofErr w:type="spellEnd"/>
      <w:r w:rsidRPr="00151334">
        <w:rPr>
          <w:highlight w:val="white"/>
        </w:rPr>
        <w:t xml:space="preserve">, H., (2023). Analysis Of Financial </w:t>
      </w:r>
      <w:proofErr w:type="gramStart"/>
      <w:r w:rsidRPr="00151334">
        <w:rPr>
          <w:highlight w:val="white"/>
        </w:rPr>
        <w:t>And</w:t>
      </w:r>
      <w:proofErr w:type="gramEnd"/>
      <w:r w:rsidRPr="00151334">
        <w:rPr>
          <w:highlight w:val="white"/>
        </w:rPr>
        <w:t xml:space="preserve"> Non-Financial Performance </w:t>
      </w:r>
      <w:proofErr w:type="gramStart"/>
      <w:r w:rsidRPr="00151334">
        <w:rPr>
          <w:highlight w:val="white"/>
        </w:rPr>
        <w:t>Of</w:t>
      </w:r>
      <w:proofErr w:type="gramEnd"/>
      <w:r w:rsidRPr="00151334">
        <w:rPr>
          <w:highlight w:val="white"/>
        </w:rPr>
        <w:t xml:space="preserve"> The 3 Largest Companies </w:t>
      </w:r>
      <w:proofErr w:type="gramStart"/>
      <w:r w:rsidRPr="00151334">
        <w:rPr>
          <w:highlight w:val="white"/>
        </w:rPr>
        <w:t>In</w:t>
      </w:r>
      <w:proofErr w:type="gramEnd"/>
      <w:r w:rsidRPr="00151334">
        <w:rPr>
          <w:highlight w:val="white"/>
        </w:rPr>
        <w:t xml:space="preserve"> </w:t>
      </w:r>
      <w:proofErr w:type="gramStart"/>
      <w:r w:rsidRPr="00151334">
        <w:rPr>
          <w:highlight w:val="white"/>
        </w:rPr>
        <w:t>The</w:t>
      </w:r>
      <w:proofErr w:type="gramEnd"/>
      <w:r w:rsidRPr="00151334">
        <w:rPr>
          <w:highlight w:val="white"/>
        </w:rPr>
        <w:t xml:space="preserve"> United Kingdom’s Apparel Retail Industry For 2018-2022. </w:t>
      </w:r>
      <w:r w:rsidRPr="00151334">
        <w:rPr>
          <w:i/>
          <w:highlight w:val="white"/>
        </w:rPr>
        <w:t>Enrichment: Journal of Multidisciplinary Research and Development</w:t>
      </w:r>
      <w:r w:rsidRPr="00151334">
        <w:rPr>
          <w:highlight w:val="white"/>
        </w:rPr>
        <w:t xml:space="preserve">, </w:t>
      </w:r>
      <w:r w:rsidRPr="00151334">
        <w:rPr>
          <w:i/>
          <w:highlight w:val="white"/>
        </w:rPr>
        <w:t>1</w:t>
      </w:r>
      <w:r w:rsidRPr="00151334">
        <w:rPr>
          <w:highlight w:val="white"/>
        </w:rPr>
        <w:t>(9), pp.610-629.</w:t>
      </w:r>
    </w:p>
    <w:p w14:paraId="4C99630F" w14:textId="77777777" w:rsidR="00500E65" w:rsidRPr="00151334" w:rsidRDefault="00500E65" w:rsidP="00AB2836">
      <w:pPr>
        <w:pBdr>
          <w:top w:val="nil"/>
          <w:left w:val="nil"/>
          <w:bottom w:val="nil"/>
          <w:right w:val="nil"/>
          <w:between w:val="nil"/>
        </w:pBdr>
        <w:rPr>
          <w:color w:val="000000"/>
        </w:rPr>
      </w:pPr>
      <w:r w:rsidRPr="00151334">
        <w:t xml:space="preserve">Ward, M., (2025). </w:t>
      </w:r>
      <w:r w:rsidRPr="00151334">
        <w:rPr>
          <w:i/>
        </w:rPr>
        <w:t xml:space="preserve">Retail sector in the UK. </w:t>
      </w:r>
      <w:r w:rsidRPr="00151334">
        <w:t>[Online</w:t>
      </w:r>
      <w:r w:rsidRPr="00151334">
        <w:rPr>
          <w:color w:val="000000"/>
        </w:rPr>
        <w:t xml:space="preserve">]  Available at: </w:t>
      </w:r>
      <w:hyperlink r:id="rId13">
        <w:r w:rsidRPr="00151334">
          <w:rPr>
            <w:color w:val="0000FF"/>
            <w:u w:val="single"/>
          </w:rPr>
          <w:t>https://researchbriefings.files.parliament.uk/documents/SN06186/SN06186.pdf</w:t>
        </w:r>
      </w:hyperlink>
      <w:r w:rsidRPr="00151334">
        <w:rPr>
          <w:color w:val="000000"/>
        </w:rPr>
        <w:t xml:space="preserve"> [Accessed 25 06 2025].</w:t>
      </w:r>
    </w:p>
    <w:p w14:paraId="337A1EFA" w14:textId="77777777" w:rsidR="00373DC6" w:rsidRDefault="00373DC6" w:rsidP="00151334">
      <w:pPr>
        <w:spacing w:line="360" w:lineRule="auto"/>
      </w:pPr>
    </w:p>
    <w:p w14:paraId="6F031F34" w14:textId="77777777" w:rsidR="00373DC6" w:rsidRDefault="00373DC6" w:rsidP="00151334">
      <w:pPr>
        <w:spacing w:line="360" w:lineRule="auto"/>
        <w:rPr>
          <w:color w:val="222222"/>
          <w:highlight w:val="white"/>
        </w:rPr>
      </w:pPr>
    </w:p>
    <w:sectPr w:rsidR="00373DC6">
      <w:headerReference w:type="default" r:id="rId14"/>
      <w:footerReference w:type="defaul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14DA8" w14:textId="77777777" w:rsidR="0014473D" w:rsidRDefault="0014473D">
      <w:pPr>
        <w:spacing w:line="240" w:lineRule="auto"/>
      </w:pPr>
      <w:r>
        <w:separator/>
      </w:r>
    </w:p>
  </w:endnote>
  <w:endnote w:type="continuationSeparator" w:id="0">
    <w:p w14:paraId="0EA0D549" w14:textId="77777777" w:rsidR="0014473D" w:rsidRDefault="001447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121D6" w14:textId="77777777" w:rsidR="00373DC6"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500E65">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500E65">
      <w:rPr>
        <w:b/>
        <w:noProof/>
        <w:color w:val="000000"/>
      </w:rPr>
      <w:t>3</w:t>
    </w:r>
    <w:r>
      <w:rPr>
        <w:b/>
        <w:color w:val="000000"/>
      </w:rPr>
      <w:fldChar w:fldCharType="end"/>
    </w:r>
  </w:p>
  <w:p w14:paraId="0DBC068E" w14:textId="77777777" w:rsidR="00373DC6" w:rsidRDefault="00373DC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06FC0" w14:textId="77777777" w:rsidR="0014473D" w:rsidRDefault="0014473D">
      <w:pPr>
        <w:spacing w:line="240" w:lineRule="auto"/>
      </w:pPr>
      <w:r>
        <w:separator/>
      </w:r>
    </w:p>
  </w:footnote>
  <w:footnote w:type="continuationSeparator" w:id="0">
    <w:p w14:paraId="3644DCFD" w14:textId="77777777" w:rsidR="0014473D" w:rsidRDefault="001447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4DF9B" w14:textId="2EC37EDD" w:rsidR="00373DC6" w:rsidRDefault="00373DC6">
    <w:pPr>
      <w:pBdr>
        <w:top w:val="nil"/>
        <w:left w:val="nil"/>
        <w:bottom w:val="nil"/>
        <w:right w:val="nil"/>
        <w:between w:val="nil"/>
      </w:pBdr>
      <w:tabs>
        <w:tab w:val="center" w:pos="4513"/>
        <w:tab w:val="right" w:pos="9026"/>
      </w:tabs>
      <w:spacing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0907"/>
    <w:multiLevelType w:val="multilevel"/>
    <w:tmpl w:val="15386F04"/>
    <w:lvl w:ilvl="0">
      <w:start w:val="1"/>
      <w:numFmt w:val="decimal"/>
      <w:lvlText w:val="%1."/>
      <w:lvlJc w:val="left"/>
      <w:pPr>
        <w:ind w:left="720" w:hanging="360"/>
      </w:pPr>
    </w:lvl>
    <w:lvl w:ilvl="1">
      <w:start w:val="1"/>
      <w:numFmt w:val="decimal"/>
      <w:lvlText w:val="%2."/>
      <w:lvlJc w:val="righ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0A2509D"/>
    <w:multiLevelType w:val="multilevel"/>
    <w:tmpl w:val="DF881B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25241E"/>
    <w:multiLevelType w:val="multilevel"/>
    <w:tmpl w:val="AF46BA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0345C1A"/>
    <w:multiLevelType w:val="multilevel"/>
    <w:tmpl w:val="2E92E148"/>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1597F12"/>
    <w:multiLevelType w:val="hybridMultilevel"/>
    <w:tmpl w:val="73028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031ABE"/>
    <w:multiLevelType w:val="multilevel"/>
    <w:tmpl w:val="5100D5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E255733"/>
    <w:multiLevelType w:val="multilevel"/>
    <w:tmpl w:val="2EB66D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73406205">
    <w:abstractNumId w:val="3"/>
  </w:num>
  <w:num w:numId="2" w16cid:durableId="557278305">
    <w:abstractNumId w:val="5"/>
  </w:num>
  <w:num w:numId="3" w16cid:durableId="945043131">
    <w:abstractNumId w:val="2"/>
  </w:num>
  <w:num w:numId="4" w16cid:durableId="1469201142">
    <w:abstractNumId w:val="0"/>
  </w:num>
  <w:num w:numId="5" w16cid:durableId="615716815">
    <w:abstractNumId w:val="1"/>
  </w:num>
  <w:num w:numId="6" w16cid:durableId="173884006">
    <w:abstractNumId w:val="6"/>
  </w:num>
  <w:num w:numId="7" w16cid:durableId="15056339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DC6"/>
    <w:rsid w:val="000D573F"/>
    <w:rsid w:val="001337B7"/>
    <w:rsid w:val="0014473D"/>
    <w:rsid w:val="00151334"/>
    <w:rsid w:val="00170AC1"/>
    <w:rsid w:val="00293672"/>
    <w:rsid w:val="00344AF8"/>
    <w:rsid w:val="00373DC6"/>
    <w:rsid w:val="003B0B1A"/>
    <w:rsid w:val="00500E65"/>
    <w:rsid w:val="00503284"/>
    <w:rsid w:val="00523A6D"/>
    <w:rsid w:val="00630BDD"/>
    <w:rsid w:val="0078191D"/>
    <w:rsid w:val="00AB2836"/>
    <w:rsid w:val="00AE7EC7"/>
    <w:rsid w:val="00C3676B"/>
    <w:rsid w:val="00C77EDF"/>
    <w:rsid w:val="00D007E6"/>
    <w:rsid w:val="00D44F62"/>
    <w:rsid w:val="00D466FE"/>
    <w:rsid w:val="00D72663"/>
    <w:rsid w:val="00EA0FBD"/>
    <w:rsid w:val="00ED6984"/>
    <w:rsid w:val="00ED7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0E0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0" w:type="dxa"/>
        <w:left w:w="0" w:type="dxa"/>
        <w:bottom w:w="0" w:type="dxa"/>
        <w:right w:w="0" w:type="dxa"/>
      </w:tblCellMar>
    </w:tblPr>
  </w:style>
  <w:style w:type="paragraph" w:customStyle="1" w:styleId="TableText">
    <w:name w:val="Table Text"/>
    <w:basedOn w:val="Normal"/>
    <w:rsid w:val="00CB3CD1"/>
    <w:pPr>
      <w:spacing w:line="240" w:lineRule="auto"/>
      <w:jc w:val="center"/>
    </w:pPr>
    <w:rPr>
      <w:szCs w:val="20"/>
    </w:rPr>
  </w:style>
  <w:style w:type="character" w:customStyle="1" w:styleId="Heading1Char">
    <w:name w:val="Heading 1 Char"/>
    <w:basedOn w:val="DefaultParagraphFont"/>
    <w:link w:val="Heading1"/>
    <w:uiPriority w:val="9"/>
    <w:rsid w:val="00CB3CD1"/>
    <w:rPr>
      <w:rFonts w:ascii="Times New Roman" w:hAnsi="Times New Roman"/>
      <w:b/>
      <w:sz w:val="28"/>
      <w:szCs w:val="40"/>
      <w:lang w:val="en-GB"/>
    </w:rPr>
  </w:style>
  <w:style w:type="paragraph" w:styleId="Bibliography">
    <w:name w:val="Bibliography"/>
    <w:basedOn w:val="Normal"/>
    <w:next w:val="Normal"/>
    <w:uiPriority w:val="37"/>
    <w:unhideWhenUsed/>
    <w:rsid w:val="00CB3CD1"/>
  </w:style>
  <w:style w:type="character" w:styleId="Hyperlink">
    <w:name w:val="Hyperlink"/>
    <w:basedOn w:val="DefaultParagraphFont"/>
    <w:uiPriority w:val="99"/>
    <w:unhideWhenUsed/>
    <w:rsid w:val="00CB3CD1"/>
    <w:rPr>
      <w:color w:val="0000FF" w:themeColor="hyperlink"/>
      <w:u w:val="single"/>
    </w:rPr>
  </w:style>
  <w:style w:type="character" w:styleId="UnresolvedMention">
    <w:name w:val="Unresolved Mention"/>
    <w:basedOn w:val="DefaultParagraphFont"/>
    <w:uiPriority w:val="99"/>
    <w:semiHidden/>
    <w:unhideWhenUsed/>
    <w:rsid w:val="00CB3CD1"/>
    <w:rPr>
      <w:color w:val="605E5C"/>
      <w:shd w:val="clear" w:color="auto" w:fill="E1DFDD"/>
    </w:rPr>
  </w:style>
  <w:style w:type="paragraph" w:styleId="Header">
    <w:name w:val="header"/>
    <w:basedOn w:val="Normal"/>
    <w:link w:val="HeaderChar"/>
    <w:uiPriority w:val="99"/>
    <w:unhideWhenUsed/>
    <w:rsid w:val="00BF5BAA"/>
    <w:pPr>
      <w:tabs>
        <w:tab w:val="center" w:pos="4513"/>
        <w:tab w:val="right" w:pos="9026"/>
      </w:tabs>
      <w:spacing w:line="240" w:lineRule="auto"/>
    </w:pPr>
  </w:style>
  <w:style w:type="character" w:customStyle="1" w:styleId="HeaderChar">
    <w:name w:val="Header Char"/>
    <w:basedOn w:val="DefaultParagraphFont"/>
    <w:link w:val="Header"/>
    <w:uiPriority w:val="99"/>
    <w:rsid w:val="00BF5BAA"/>
    <w:rPr>
      <w:rFonts w:ascii="Times New Roman" w:hAnsi="Times New Roman"/>
      <w:sz w:val="24"/>
      <w:lang w:val="en-GB"/>
    </w:rPr>
  </w:style>
  <w:style w:type="paragraph" w:styleId="Footer">
    <w:name w:val="footer"/>
    <w:basedOn w:val="Normal"/>
    <w:link w:val="FooterChar"/>
    <w:uiPriority w:val="99"/>
    <w:unhideWhenUsed/>
    <w:rsid w:val="00BF5BAA"/>
    <w:pPr>
      <w:tabs>
        <w:tab w:val="center" w:pos="4513"/>
        <w:tab w:val="right" w:pos="9026"/>
      </w:tabs>
      <w:spacing w:line="240" w:lineRule="auto"/>
    </w:pPr>
  </w:style>
  <w:style w:type="character" w:customStyle="1" w:styleId="FooterChar">
    <w:name w:val="Footer Char"/>
    <w:basedOn w:val="DefaultParagraphFont"/>
    <w:link w:val="Footer"/>
    <w:uiPriority w:val="99"/>
    <w:rsid w:val="00BF5BAA"/>
    <w:rPr>
      <w:rFonts w:ascii="Times New Roman" w:hAnsi="Times New Roman"/>
      <w:sz w:val="24"/>
      <w:lang w:val="en-GB"/>
    </w:rPr>
  </w:style>
  <w:style w:type="paragraph" w:styleId="TOCHeading">
    <w:name w:val="TOC Heading"/>
    <w:basedOn w:val="Heading1"/>
    <w:next w:val="Normal"/>
    <w:uiPriority w:val="39"/>
    <w:unhideWhenUsed/>
    <w:qFormat/>
    <w:rsid w:val="00FE2EB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E2EB2"/>
    <w:pPr>
      <w:spacing w:after="100"/>
    </w:p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left w:w="43" w:type="dxa"/>
        <w:right w:w="43" w:type="dxa"/>
      </w:tblCellMar>
    </w:tblPr>
  </w:style>
  <w:style w:type="paragraph" w:styleId="ListParagraph">
    <w:name w:val="List Paragraph"/>
    <w:basedOn w:val="Normal"/>
    <w:uiPriority w:val="34"/>
    <w:qFormat/>
    <w:rsid w:val="00500E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searchbriefings.files.parliament.uk/documents/SN06186/SN06186.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peoplepopulationandcommunity/populationandmigration/populationestimates/articles/highstreetsingreatbritain/2019-06-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tel.com/insights/retail/retail-trends-navigating-future-of-uk-retail-industr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uU8s+Hxi/VDSdzX7FxWyI1GoYw==">CgMxLjAyDmgueHpsMHhubnRjeTRnMg5oLjIzNmZhZHh2eWE4ZzIOaC4ybGdsbThlM3NqeDEyDmguZXdpMmYzbWVycDhoMg5oLjF0a2gzcGdmMWltMzIOaC5ld2NycnE2d3E3ZnQ4AHIhMXRoWUd0TGMtdjNKdlZFOU1GWTJ0bms0eGtXMENrSjRS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2350</Words>
  <Characters>13395</Characters>
  <Application>Microsoft Office Word</Application>
  <DocSecurity>0</DocSecurity>
  <Lines>111</Lines>
  <Paragraphs>31</Paragraphs>
  <ScaleCrop>false</ScaleCrop>
  <Company/>
  <LinksUpToDate>false</LinksUpToDate>
  <CharactersWithSpaces>15714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2025-06-26T15:24:00Z</dcterms:created>
  <dcterms:modified xsi:type="dcterms:W3CDTF">2025-07-04T11:18:00Z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1669b2e8-bf32-40a9-bd19-5d518bee556b</vt:lpwstr>
  </property>
</Properties>
</file>