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eastAsiaTheme="minorEastAsia" w:hAnsiTheme="minorHAnsi" w:cstheme="minorHAnsi"/>
          <w:b w:val="0"/>
          <w:bCs w:val="0"/>
          <w:color w:val="auto"/>
          <w:sz w:val="24"/>
          <w:szCs w:val="24"/>
          <w:lang w:eastAsia="ja-JP"/>
        </w:rPr>
        <w:id w:val="2069377876"/>
        <w:docPartObj>
          <w:docPartGallery w:val="Table of Contents"/>
          <w:docPartUnique/>
        </w:docPartObj>
      </w:sdtPr>
      <w:sdtEndPr/>
      <w:sdtContent>
        <w:p w:rsidR="00470E65" w:rsidRPr="003A204C" w:rsidRDefault="00470E65" w:rsidP="003A204C">
          <w:pPr>
            <w:pStyle w:val="TOCHeading"/>
            <w:spacing w:line="480" w:lineRule="auto"/>
            <w:rPr>
              <w:rFonts w:asciiTheme="minorHAnsi" w:hAnsiTheme="minorHAnsi" w:cstheme="minorHAnsi"/>
              <w:color w:val="auto"/>
              <w:sz w:val="24"/>
              <w:szCs w:val="24"/>
            </w:rPr>
          </w:pPr>
          <w:r w:rsidRPr="003A204C">
            <w:rPr>
              <w:rFonts w:asciiTheme="minorHAnsi" w:hAnsiTheme="minorHAnsi" w:cstheme="minorHAnsi"/>
              <w:color w:val="auto"/>
              <w:sz w:val="24"/>
              <w:szCs w:val="24"/>
            </w:rPr>
            <w:t>Table of Contents</w:t>
          </w:r>
        </w:p>
        <w:p w:rsidR="006F7A15" w:rsidRPr="003A204C" w:rsidRDefault="00470E65" w:rsidP="003A204C">
          <w:pPr>
            <w:pStyle w:val="TOC1"/>
            <w:tabs>
              <w:tab w:val="right" w:leader="dot" w:pos="9350"/>
            </w:tabs>
            <w:spacing w:line="480" w:lineRule="auto"/>
            <w:rPr>
              <w:rFonts w:cstheme="minorHAnsi"/>
              <w:noProof/>
              <w:sz w:val="24"/>
              <w:szCs w:val="24"/>
              <w:lang w:val="en-GB" w:eastAsia="en-GB"/>
            </w:rPr>
          </w:pPr>
          <w:r w:rsidRPr="003A204C">
            <w:rPr>
              <w:rFonts w:cstheme="minorHAnsi"/>
              <w:sz w:val="24"/>
              <w:szCs w:val="24"/>
            </w:rPr>
            <w:fldChar w:fldCharType="begin"/>
          </w:r>
          <w:r w:rsidRPr="003A204C">
            <w:rPr>
              <w:rFonts w:cstheme="minorHAnsi"/>
              <w:sz w:val="24"/>
              <w:szCs w:val="24"/>
            </w:rPr>
            <w:instrText xml:space="preserve"> TOC \o "1-3" \h \z \u </w:instrText>
          </w:r>
          <w:r w:rsidRPr="003A204C">
            <w:rPr>
              <w:rFonts w:cstheme="minorHAnsi"/>
              <w:sz w:val="24"/>
              <w:szCs w:val="24"/>
            </w:rPr>
            <w:fldChar w:fldCharType="separate"/>
          </w:r>
          <w:hyperlink w:anchor="_Toc60751893" w:history="1">
            <w:r w:rsidR="006F7A15" w:rsidRPr="003A204C">
              <w:rPr>
                <w:rStyle w:val="Hyperlink"/>
                <w:rFonts w:cstheme="minorHAnsi"/>
                <w:noProof/>
                <w:color w:val="auto"/>
                <w:sz w:val="24"/>
                <w:szCs w:val="24"/>
              </w:rPr>
              <w:t>Task 1</w:t>
            </w:r>
            <w:r w:rsidR="006F7A15" w:rsidRPr="003A204C">
              <w:rPr>
                <w:rFonts w:cstheme="minorHAnsi"/>
                <w:noProof/>
                <w:webHidden/>
                <w:sz w:val="24"/>
                <w:szCs w:val="24"/>
              </w:rPr>
              <w:tab/>
            </w:r>
            <w:r w:rsidR="006F7A15" w:rsidRPr="003A204C">
              <w:rPr>
                <w:rFonts w:cstheme="minorHAnsi"/>
                <w:noProof/>
                <w:webHidden/>
                <w:sz w:val="24"/>
                <w:szCs w:val="24"/>
              </w:rPr>
              <w:fldChar w:fldCharType="begin"/>
            </w:r>
            <w:r w:rsidR="006F7A15" w:rsidRPr="003A204C">
              <w:rPr>
                <w:rFonts w:cstheme="minorHAnsi"/>
                <w:noProof/>
                <w:webHidden/>
                <w:sz w:val="24"/>
                <w:szCs w:val="24"/>
              </w:rPr>
              <w:instrText xml:space="preserve"> PAGEREF _Toc60751893 \h </w:instrText>
            </w:r>
            <w:r w:rsidR="006F7A15" w:rsidRPr="003A204C">
              <w:rPr>
                <w:rFonts w:cstheme="minorHAnsi"/>
                <w:noProof/>
                <w:webHidden/>
                <w:sz w:val="24"/>
                <w:szCs w:val="24"/>
              </w:rPr>
            </w:r>
            <w:r w:rsidR="006F7A15" w:rsidRPr="003A204C">
              <w:rPr>
                <w:rFonts w:cstheme="minorHAnsi"/>
                <w:noProof/>
                <w:webHidden/>
                <w:sz w:val="24"/>
                <w:szCs w:val="24"/>
              </w:rPr>
              <w:fldChar w:fldCharType="separate"/>
            </w:r>
            <w:r w:rsidR="006F7A15" w:rsidRPr="003A204C">
              <w:rPr>
                <w:rFonts w:cstheme="minorHAnsi"/>
                <w:noProof/>
                <w:webHidden/>
                <w:sz w:val="24"/>
                <w:szCs w:val="24"/>
              </w:rPr>
              <w:t>2</w:t>
            </w:r>
            <w:r w:rsidR="006F7A15" w:rsidRPr="003A204C">
              <w:rPr>
                <w:rFonts w:cstheme="minorHAnsi"/>
                <w:noProof/>
                <w:webHidden/>
                <w:sz w:val="24"/>
                <w:szCs w:val="24"/>
              </w:rPr>
              <w:fldChar w:fldCharType="end"/>
            </w:r>
          </w:hyperlink>
        </w:p>
        <w:p w:rsidR="006F7A15" w:rsidRPr="003A204C" w:rsidRDefault="003A204C" w:rsidP="003A204C">
          <w:pPr>
            <w:pStyle w:val="TOC2"/>
            <w:tabs>
              <w:tab w:val="right" w:leader="dot" w:pos="9350"/>
            </w:tabs>
            <w:spacing w:line="480" w:lineRule="auto"/>
            <w:rPr>
              <w:rFonts w:cstheme="minorHAnsi"/>
              <w:noProof/>
              <w:sz w:val="24"/>
              <w:szCs w:val="24"/>
              <w:lang w:val="en-GB" w:eastAsia="en-GB"/>
            </w:rPr>
          </w:pPr>
          <w:hyperlink w:anchor="_Toc60751894" w:history="1">
            <w:r w:rsidR="006F7A15" w:rsidRPr="003A204C">
              <w:rPr>
                <w:rStyle w:val="Hyperlink"/>
                <w:rFonts w:cstheme="minorHAnsi"/>
                <w:noProof/>
                <w:color w:val="auto"/>
                <w:sz w:val="24"/>
                <w:szCs w:val="24"/>
              </w:rPr>
              <w:t>Introduction</w:t>
            </w:r>
            <w:r w:rsidR="006F7A15" w:rsidRPr="003A204C">
              <w:rPr>
                <w:rFonts w:cstheme="minorHAnsi"/>
                <w:noProof/>
                <w:webHidden/>
                <w:sz w:val="24"/>
                <w:szCs w:val="24"/>
              </w:rPr>
              <w:tab/>
            </w:r>
            <w:r w:rsidR="006F7A15" w:rsidRPr="003A204C">
              <w:rPr>
                <w:rFonts w:cstheme="minorHAnsi"/>
                <w:noProof/>
                <w:webHidden/>
                <w:sz w:val="24"/>
                <w:szCs w:val="24"/>
              </w:rPr>
              <w:fldChar w:fldCharType="begin"/>
            </w:r>
            <w:r w:rsidR="006F7A15" w:rsidRPr="003A204C">
              <w:rPr>
                <w:rFonts w:cstheme="minorHAnsi"/>
                <w:noProof/>
                <w:webHidden/>
                <w:sz w:val="24"/>
                <w:szCs w:val="24"/>
              </w:rPr>
              <w:instrText xml:space="preserve"> PAGEREF _Toc60751894 \h </w:instrText>
            </w:r>
            <w:r w:rsidR="006F7A15" w:rsidRPr="003A204C">
              <w:rPr>
                <w:rFonts w:cstheme="minorHAnsi"/>
                <w:noProof/>
                <w:webHidden/>
                <w:sz w:val="24"/>
                <w:szCs w:val="24"/>
              </w:rPr>
            </w:r>
            <w:r w:rsidR="006F7A15" w:rsidRPr="003A204C">
              <w:rPr>
                <w:rFonts w:cstheme="minorHAnsi"/>
                <w:noProof/>
                <w:webHidden/>
                <w:sz w:val="24"/>
                <w:szCs w:val="24"/>
              </w:rPr>
              <w:fldChar w:fldCharType="separate"/>
            </w:r>
            <w:r w:rsidR="006F7A15" w:rsidRPr="003A204C">
              <w:rPr>
                <w:rFonts w:cstheme="minorHAnsi"/>
                <w:noProof/>
                <w:webHidden/>
                <w:sz w:val="24"/>
                <w:szCs w:val="24"/>
              </w:rPr>
              <w:t>2</w:t>
            </w:r>
            <w:r w:rsidR="006F7A15" w:rsidRPr="003A204C">
              <w:rPr>
                <w:rFonts w:cstheme="minorHAnsi"/>
                <w:noProof/>
                <w:webHidden/>
                <w:sz w:val="24"/>
                <w:szCs w:val="24"/>
              </w:rPr>
              <w:fldChar w:fldCharType="end"/>
            </w:r>
          </w:hyperlink>
        </w:p>
        <w:p w:rsidR="006F7A15" w:rsidRPr="003A204C" w:rsidRDefault="003A204C" w:rsidP="003A204C">
          <w:pPr>
            <w:pStyle w:val="TOC2"/>
            <w:tabs>
              <w:tab w:val="right" w:leader="dot" w:pos="9350"/>
            </w:tabs>
            <w:spacing w:line="480" w:lineRule="auto"/>
            <w:rPr>
              <w:rFonts w:cstheme="minorHAnsi"/>
              <w:noProof/>
              <w:sz w:val="24"/>
              <w:szCs w:val="24"/>
              <w:lang w:val="en-GB" w:eastAsia="en-GB"/>
            </w:rPr>
          </w:pPr>
          <w:hyperlink w:anchor="_Toc60751895" w:history="1">
            <w:r w:rsidR="006F7A15" w:rsidRPr="003A204C">
              <w:rPr>
                <w:rStyle w:val="Hyperlink"/>
                <w:rFonts w:cstheme="minorHAnsi"/>
                <w:noProof/>
                <w:color w:val="auto"/>
                <w:sz w:val="24"/>
                <w:szCs w:val="24"/>
              </w:rPr>
              <w:t>Defamation Act 2013 and discussions on relevant case laws</w:t>
            </w:r>
            <w:r w:rsidR="006F7A15" w:rsidRPr="003A204C">
              <w:rPr>
                <w:rFonts w:cstheme="minorHAnsi"/>
                <w:noProof/>
                <w:webHidden/>
                <w:sz w:val="24"/>
                <w:szCs w:val="24"/>
              </w:rPr>
              <w:tab/>
            </w:r>
            <w:r w:rsidR="006F7A15" w:rsidRPr="003A204C">
              <w:rPr>
                <w:rFonts w:cstheme="minorHAnsi"/>
                <w:noProof/>
                <w:webHidden/>
                <w:sz w:val="24"/>
                <w:szCs w:val="24"/>
              </w:rPr>
              <w:fldChar w:fldCharType="begin"/>
            </w:r>
            <w:r w:rsidR="006F7A15" w:rsidRPr="003A204C">
              <w:rPr>
                <w:rFonts w:cstheme="minorHAnsi"/>
                <w:noProof/>
                <w:webHidden/>
                <w:sz w:val="24"/>
                <w:szCs w:val="24"/>
              </w:rPr>
              <w:instrText xml:space="preserve"> PAGEREF _Toc60751895 \h </w:instrText>
            </w:r>
            <w:r w:rsidR="006F7A15" w:rsidRPr="003A204C">
              <w:rPr>
                <w:rFonts w:cstheme="minorHAnsi"/>
                <w:noProof/>
                <w:webHidden/>
                <w:sz w:val="24"/>
                <w:szCs w:val="24"/>
              </w:rPr>
            </w:r>
            <w:r w:rsidR="006F7A15" w:rsidRPr="003A204C">
              <w:rPr>
                <w:rFonts w:cstheme="minorHAnsi"/>
                <w:noProof/>
                <w:webHidden/>
                <w:sz w:val="24"/>
                <w:szCs w:val="24"/>
              </w:rPr>
              <w:fldChar w:fldCharType="separate"/>
            </w:r>
            <w:r w:rsidR="006F7A15" w:rsidRPr="003A204C">
              <w:rPr>
                <w:rFonts w:cstheme="minorHAnsi"/>
                <w:noProof/>
                <w:webHidden/>
                <w:sz w:val="24"/>
                <w:szCs w:val="24"/>
              </w:rPr>
              <w:t>2</w:t>
            </w:r>
            <w:r w:rsidR="006F7A15" w:rsidRPr="003A204C">
              <w:rPr>
                <w:rFonts w:cstheme="minorHAnsi"/>
                <w:noProof/>
                <w:webHidden/>
                <w:sz w:val="24"/>
                <w:szCs w:val="24"/>
              </w:rPr>
              <w:fldChar w:fldCharType="end"/>
            </w:r>
          </w:hyperlink>
        </w:p>
        <w:p w:rsidR="006F7A15" w:rsidRPr="003A204C" w:rsidRDefault="003A204C" w:rsidP="003A204C">
          <w:pPr>
            <w:pStyle w:val="TOC1"/>
            <w:tabs>
              <w:tab w:val="right" w:leader="dot" w:pos="9350"/>
            </w:tabs>
            <w:spacing w:line="480" w:lineRule="auto"/>
            <w:rPr>
              <w:rFonts w:cstheme="minorHAnsi"/>
              <w:noProof/>
              <w:sz w:val="24"/>
              <w:szCs w:val="24"/>
              <w:lang w:val="en-GB" w:eastAsia="en-GB"/>
            </w:rPr>
          </w:pPr>
          <w:hyperlink w:anchor="_Toc60751896" w:history="1">
            <w:r w:rsidR="006F7A15" w:rsidRPr="003A204C">
              <w:rPr>
                <w:rStyle w:val="Hyperlink"/>
                <w:rFonts w:cstheme="minorHAnsi"/>
                <w:noProof/>
                <w:color w:val="auto"/>
                <w:sz w:val="24"/>
                <w:szCs w:val="24"/>
                <w:shd w:val="clear" w:color="auto" w:fill="FFFFFF"/>
              </w:rPr>
              <w:t>Conclusion</w:t>
            </w:r>
            <w:r w:rsidR="006F7A15" w:rsidRPr="003A204C">
              <w:rPr>
                <w:rFonts w:cstheme="minorHAnsi"/>
                <w:noProof/>
                <w:webHidden/>
                <w:sz w:val="24"/>
                <w:szCs w:val="24"/>
              </w:rPr>
              <w:tab/>
            </w:r>
            <w:r w:rsidR="006F7A15" w:rsidRPr="003A204C">
              <w:rPr>
                <w:rFonts w:cstheme="minorHAnsi"/>
                <w:noProof/>
                <w:webHidden/>
                <w:sz w:val="24"/>
                <w:szCs w:val="24"/>
              </w:rPr>
              <w:fldChar w:fldCharType="begin"/>
            </w:r>
            <w:r w:rsidR="006F7A15" w:rsidRPr="003A204C">
              <w:rPr>
                <w:rFonts w:cstheme="minorHAnsi"/>
                <w:noProof/>
                <w:webHidden/>
                <w:sz w:val="24"/>
                <w:szCs w:val="24"/>
              </w:rPr>
              <w:instrText xml:space="preserve"> PAGEREF _Toc60751896 \h </w:instrText>
            </w:r>
            <w:r w:rsidR="006F7A15" w:rsidRPr="003A204C">
              <w:rPr>
                <w:rFonts w:cstheme="minorHAnsi"/>
                <w:noProof/>
                <w:webHidden/>
                <w:sz w:val="24"/>
                <w:szCs w:val="24"/>
              </w:rPr>
            </w:r>
            <w:r w:rsidR="006F7A15" w:rsidRPr="003A204C">
              <w:rPr>
                <w:rFonts w:cstheme="minorHAnsi"/>
                <w:noProof/>
                <w:webHidden/>
                <w:sz w:val="24"/>
                <w:szCs w:val="24"/>
              </w:rPr>
              <w:fldChar w:fldCharType="separate"/>
            </w:r>
            <w:r w:rsidR="006F7A15" w:rsidRPr="003A204C">
              <w:rPr>
                <w:rFonts w:cstheme="minorHAnsi"/>
                <w:noProof/>
                <w:webHidden/>
                <w:sz w:val="24"/>
                <w:szCs w:val="24"/>
              </w:rPr>
              <w:t>5</w:t>
            </w:r>
            <w:r w:rsidR="006F7A15" w:rsidRPr="003A204C">
              <w:rPr>
                <w:rFonts w:cstheme="minorHAnsi"/>
                <w:noProof/>
                <w:webHidden/>
                <w:sz w:val="24"/>
                <w:szCs w:val="24"/>
              </w:rPr>
              <w:fldChar w:fldCharType="end"/>
            </w:r>
          </w:hyperlink>
        </w:p>
        <w:p w:rsidR="006F7A15" w:rsidRPr="003A204C" w:rsidRDefault="003A204C" w:rsidP="003A204C">
          <w:pPr>
            <w:pStyle w:val="TOC1"/>
            <w:tabs>
              <w:tab w:val="right" w:leader="dot" w:pos="9350"/>
            </w:tabs>
            <w:spacing w:line="480" w:lineRule="auto"/>
            <w:rPr>
              <w:rFonts w:cstheme="minorHAnsi"/>
              <w:noProof/>
              <w:sz w:val="24"/>
              <w:szCs w:val="24"/>
              <w:lang w:val="en-GB" w:eastAsia="en-GB"/>
            </w:rPr>
          </w:pPr>
          <w:hyperlink w:anchor="_Toc60751897" w:history="1">
            <w:r w:rsidR="006F7A15" w:rsidRPr="003A204C">
              <w:rPr>
                <w:rStyle w:val="Hyperlink"/>
                <w:rFonts w:cstheme="minorHAnsi"/>
                <w:noProof/>
                <w:color w:val="auto"/>
                <w:sz w:val="24"/>
                <w:szCs w:val="24"/>
                <w:shd w:val="clear" w:color="auto" w:fill="FFFFFF"/>
              </w:rPr>
              <w:t>Task 2</w:t>
            </w:r>
            <w:r w:rsidR="006F7A15" w:rsidRPr="003A204C">
              <w:rPr>
                <w:rFonts w:cstheme="minorHAnsi"/>
                <w:noProof/>
                <w:webHidden/>
                <w:sz w:val="24"/>
                <w:szCs w:val="24"/>
              </w:rPr>
              <w:tab/>
            </w:r>
            <w:r w:rsidR="006F7A15" w:rsidRPr="003A204C">
              <w:rPr>
                <w:rFonts w:cstheme="minorHAnsi"/>
                <w:noProof/>
                <w:webHidden/>
                <w:sz w:val="24"/>
                <w:szCs w:val="24"/>
              </w:rPr>
              <w:fldChar w:fldCharType="begin"/>
            </w:r>
            <w:r w:rsidR="006F7A15" w:rsidRPr="003A204C">
              <w:rPr>
                <w:rFonts w:cstheme="minorHAnsi"/>
                <w:noProof/>
                <w:webHidden/>
                <w:sz w:val="24"/>
                <w:szCs w:val="24"/>
              </w:rPr>
              <w:instrText xml:space="preserve"> PAGEREF _Toc60751897 \h </w:instrText>
            </w:r>
            <w:r w:rsidR="006F7A15" w:rsidRPr="003A204C">
              <w:rPr>
                <w:rFonts w:cstheme="minorHAnsi"/>
                <w:noProof/>
                <w:webHidden/>
                <w:sz w:val="24"/>
                <w:szCs w:val="24"/>
              </w:rPr>
            </w:r>
            <w:r w:rsidR="006F7A15" w:rsidRPr="003A204C">
              <w:rPr>
                <w:rFonts w:cstheme="minorHAnsi"/>
                <w:noProof/>
                <w:webHidden/>
                <w:sz w:val="24"/>
                <w:szCs w:val="24"/>
              </w:rPr>
              <w:fldChar w:fldCharType="separate"/>
            </w:r>
            <w:r w:rsidR="006F7A15" w:rsidRPr="003A204C">
              <w:rPr>
                <w:rFonts w:cstheme="minorHAnsi"/>
                <w:noProof/>
                <w:webHidden/>
                <w:sz w:val="24"/>
                <w:szCs w:val="24"/>
              </w:rPr>
              <w:t>6</w:t>
            </w:r>
            <w:r w:rsidR="006F7A15" w:rsidRPr="003A204C">
              <w:rPr>
                <w:rFonts w:cstheme="minorHAnsi"/>
                <w:noProof/>
                <w:webHidden/>
                <w:sz w:val="24"/>
                <w:szCs w:val="24"/>
              </w:rPr>
              <w:fldChar w:fldCharType="end"/>
            </w:r>
          </w:hyperlink>
        </w:p>
        <w:p w:rsidR="006F7A15" w:rsidRPr="003A204C" w:rsidRDefault="003A204C" w:rsidP="003A204C">
          <w:pPr>
            <w:pStyle w:val="TOC1"/>
            <w:tabs>
              <w:tab w:val="right" w:leader="dot" w:pos="9350"/>
            </w:tabs>
            <w:spacing w:line="480" w:lineRule="auto"/>
            <w:rPr>
              <w:rFonts w:cstheme="minorHAnsi"/>
              <w:noProof/>
              <w:sz w:val="24"/>
              <w:szCs w:val="24"/>
              <w:lang w:val="en-GB" w:eastAsia="en-GB"/>
            </w:rPr>
          </w:pPr>
          <w:hyperlink w:anchor="_Toc60751898" w:history="1">
            <w:r w:rsidR="006F7A15" w:rsidRPr="003A204C">
              <w:rPr>
                <w:rStyle w:val="Hyperlink"/>
                <w:rFonts w:cstheme="minorHAnsi"/>
                <w:noProof/>
                <w:color w:val="auto"/>
                <w:sz w:val="24"/>
                <w:szCs w:val="24"/>
                <w:shd w:val="clear" w:color="auto" w:fill="FFFFFF"/>
              </w:rPr>
              <w:t>References</w:t>
            </w:r>
            <w:r w:rsidR="006F7A15" w:rsidRPr="003A204C">
              <w:rPr>
                <w:rFonts w:cstheme="minorHAnsi"/>
                <w:noProof/>
                <w:webHidden/>
                <w:sz w:val="24"/>
                <w:szCs w:val="24"/>
              </w:rPr>
              <w:tab/>
            </w:r>
            <w:r w:rsidR="006F7A15" w:rsidRPr="003A204C">
              <w:rPr>
                <w:rFonts w:cstheme="minorHAnsi"/>
                <w:noProof/>
                <w:webHidden/>
                <w:sz w:val="24"/>
                <w:szCs w:val="24"/>
              </w:rPr>
              <w:fldChar w:fldCharType="begin"/>
            </w:r>
            <w:r w:rsidR="006F7A15" w:rsidRPr="003A204C">
              <w:rPr>
                <w:rFonts w:cstheme="minorHAnsi"/>
                <w:noProof/>
                <w:webHidden/>
                <w:sz w:val="24"/>
                <w:szCs w:val="24"/>
              </w:rPr>
              <w:instrText xml:space="preserve"> PAGEREF _Toc60751898 \h </w:instrText>
            </w:r>
            <w:r w:rsidR="006F7A15" w:rsidRPr="003A204C">
              <w:rPr>
                <w:rFonts w:cstheme="minorHAnsi"/>
                <w:noProof/>
                <w:webHidden/>
                <w:sz w:val="24"/>
                <w:szCs w:val="24"/>
              </w:rPr>
            </w:r>
            <w:r w:rsidR="006F7A15" w:rsidRPr="003A204C">
              <w:rPr>
                <w:rFonts w:cstheme="minorHAnsi"/>
                <w:noProof/>
                <w:webHidden/>
                <w:sz w:val="24"/>
                <w:szCs w:val="24"/>
              </w:rPr>
              <w:fldChar w:fldCharType="separate"/>
            </w:r>
            <w:r w:rsidR="006F7A15" w:rsidRPr="003A204C">
              <w:rPr>
                <w:rFonts w:cstheme="minorHAnsi"/>
                <w:noProof/>
                <w:webHidden/>
                <w:sz w:val="24"/>
                <w:szCs w:val="24"/>
              </w:rPr>
              <w:t>9</w:t>
            </w:r>
            <w:r w:rsidR="006F7A15" w:rsidRPr="003A204C">
              <w:rPr>
                <w:rFonts w:cstheme="minorHAnsi"/>
                <w:noProof/>
                <w:webHidden/>
                <w:sz w:val="24"/>
                <w:szCs w:val="24"/>
              </w:rPr>
              <w:fldChar w:fldCharType="end"/>
            </w:r>
          </w:hyperlink>
        </w:p>
        <w:p w:rsidR="00470E65" w:rsidRPr="003A204C" w:rsidRDefault="00470E65" w:rsidP="003A204C">
          <w:pPr>
            <w:spacing w:line="480" w:lineRule="auto"/>
            <w:rPr>
              <w:rFonts w:cstheme="minorHAnsi"/>
              <w:sz w:val="24"/>
              <w:szCs w:val="24"/>
            </w:rPr>
          </w:pPr>
          <w:r w:rsidRPr="003A204C">
            <w:rPr>
              <w:rFonts w:cstheme="minorHAnsi"/>
              <w:sz w:val="24"/>
              <w:szCs w:val="24"/>
            </w:rPr>
            <w:fldChar w:fldCharType="end"/>
          </w:r>
        </w:p>
      </w:sdtContent>
    </w:sdt>
    <w:p w:rsidR="00470E65" w:rsidRPr="003A204C" w:rsidRDefault="00470E65">
      <w:pPr>
        <w:rPr>
          <w:rFonts w:eastAsiaTheme="majorEastAsia" w:cstheme="minorHAnsi"/>
          <w:b/>
          <w:bCs/>
          <w:sz w:val="24"/>
          <w:szCs w:val="24"/>
        </w:rPr>
      </w:pPr>
      <w:r w:rsidRPr="003A204C">
        <w:rPr>
          <w:rFonts w:cstheme="minorHAnsi"/>
          <w:sz w:val="24"/>
          <w:szCs w:val="24"/>
        </w:rPr>
        <w:br w:type="page"/>
      </w:r>
      <w:bookmarkStart w:id="0" w:name="_GoBack"/>
      <w:bookmarkEnd w:id="0"/>
    </w:p>
    <w:p w:rsidR="00D30FC7" w:rsidRPr="003A204C" w:rsidRDefault="00D30FC7" w:rsidP="003A204C">
      <w:pPr>
        <w:pStyle w:val="Heading1"/>
      </w:pPr>
      <w:bookmarkStart w:id="1" w:name="_Toc60751893"/>
      <w:r w:rsidRPr="003A204C">
        <w:lastRenderedPageBreak/>
        <w:t>Task 1</w:t>
      </w:r>
      <w:bookmarkEnd w:id="1"/>
    </w:p>
    <w:p w:rsidR="00906470" w:rsidRPr="003A204C" w:rsidRDefault="00906470" w:rsidP="00D30FC7">
      <w:pPr>
        <w:pStyle w:val="Heading2"/>
        <w:spacing w:after="240" w:line="360" w:lineRule="auto"/>
        <w:jc w:val="both"/>
        <w:rPr>
          <w:rFonts w:asciiTheme="minorHAnsi" w:hAnsiTheme="minorHAnsi" w:cstheme="minorHAnsi"/>
          <w:color w:val="auto"/>
          <w:sz w:val="24"/>
          <w:szCs w:val="24"/>
        </w:rPr>
      </w:pPr>
      <w:bookmarkStart w:id="2" w:name="_Toc60751894"/>
      <w:r w:rsidRPr="003A204C">
        <w:rPr>
          <w:rFonts w:asciiTheme="minorHAnsi" w:hAnsiTheme="minorHAnsi" w:cstheme="minorHAnsi"/>
          <w:color w:val="auto"/>
          <w:sz w:val="24"/>
          <w:szCs w:val="24"/>
        </w:rPr>
        <w:t>Introduction</w:t>
      </w:r>
      <w:bookmarkEnd w:id="2"/>
    </w:p>
    <w:p w:rsidR="002F695F" w:rsidRPr="003A204C" w:rsidRDefault="003A536D" w:rsidP="00D30FC7">
      <w:pPr>
        <w:spacing w:after="240" w:line="360" w:lineRule="auto"/>
        <w:jc w:val="both"/>
        <w:rPr>
          <w:rFonts w:cstheme="minorHAnsi"/>
          <w:sz w:val="24"/>
          <w:szCs w:val="24"/>
        </w:rPr>
      </w:pPr>
      <w:r w:rsidRPr="003A204C">
        <w:rPr>
          <w:rFonts w:cstheme="minorHAnsi"/>
          <w:sz w:val="24"/>
          <w:szCs w:val="24"/>
        </w:rPr>
        <w:t xml:space="preserve">Defamation generally means the process of attacking another's reputation with false communication as well as by publication which brings the person into disrepute. </w:t>
      </w:r>
      <w:r w:rsidR="00BC1E85" w:rsidRPr="003A204C">
        <w:rPr>
          <w:rFonts w:cstheme="minorHAnsi"/>
          <w:sz w:val="24"/>
          <w:szCs w:val="24"/>
        </w:rPr>
        <w:t xml:space="preserve">It can be oral as well as written communication by making a false statement which unjustly harms the reputation of the person for whom the statement is made. It is regarded as the crime for which legal actions can be taken. </w:t>
      </w:r>
      <w:r w:rsidR="00661784" w:rsidRPr="003A204C">
        <w:rPr>
          <w:rFonts w:cstheme="minorHAnsi"/>
          <w:sz w:val="24"/>
          <w:szCs w:val="24"/>
        </w:rPr>
        <w:t>The Defamation Act 2013 is an act of the United Kingdom Parliament rehabilitating the English law on defamation and providing the legal implications for issues relating to the rights to freedom of speech and helping to protect the reputation.</w:t>
      </w:r>
      <w:r w:rsidR="00A37354" w:rsidRPr="003A204C">
        <w:rPr>
          <w:rFonts w:cstheme="minorHAnsi"/>
          <w:sz w:val="24"/>
          <w:szCs w:val="24"/>
        </w:rPr>
        <w:t xml:space="preserve"> In </w:t>
      </w:r>
      <w:r w:rsidR="00714ACD" w:rsidRPr="003A204C">
        <w:rPr>
          <w:rFonts w:cstheme="minorHAnsi"/>
          <w:sz w:val="24"/>
          <w:szCs w:val="24"/>
        </w:rPr>
        <w:t xml:space="preserve">the </w:t>
      </w:r>
      <w:r w:rsidR="00A37354" w:rsidRPr="003A204C">
        <w:rPr>
          <w:rFonts w:cstheme="minorHAnsi"/>
          <w:sz w:val="24"/>
          <w:szCs w:val="24"/>
        </w:rPr>
        <w:t>UK</w:t>
      </w:r>
      <w:r w:rsidR="00EB61AA" w:rsidRPr="003A204C">
        <w:rPr>
          <w:rFonts w:cstheme="minorHAnsi"/>
          <w:sz w:val="24"/>
          <w:szCs w:val="24"/>
        </w:rPr>
        <w:t>,</w:t>
      </w:r>
      <w:r w:rsidR="00A37354" w:rsidRPr="003A204C">
        <w:rPr>
          <w:rFonts w:cstheme="minorHAnsi"/>
          <w:sz w:val="24"/>
          <w:szCs w:val="24"/>
        </w:rPr>
        <w:t xml:space="preserve"> defamation attracts civil action, and when it is proved the </w:t>
      </w:r>
      <w:r w:rsidR="00EB61AA" w:rsidRPr="003A204C">
        <w:rPr>
          <w:rFonts w:cstheme="minorHAnsi"/>
          <w:sz w:val="24"/>
          <w:szCs w:val="24"/>
        </w:rPr>
        <w:t xml:space="preserve">judge of the court can award </w:t>
      </w:r>
      <w:r w:rsidR="00A37354" w:rsidRPr="003A204C">
        <w:rPr>
          <w:rFonts w:cstheme="minorHAnsi"/>
          <w:sz w:val="24"/>
          <w:szCs w:val="24"/>
        </w:rPr>
        <w:t>significant damages to the plaintiff. Though defamation provides the freedom to speak, it checks the happening of lies and false statement</w:t>
      </w:r>
      <w:r w:rsidR="00714ACD" w:rsidRPr="003A204C">
        <w:rPr>
          <w:rFonts w:cstheme="minorHAnsi"/>
          <w:sz w:val="24"/>
          <w:szCs w:val="24"/>
        </w:rPr>
        <w:t>s</w:t>
      </w:r>
      <w:r w:rsidR="00A37354" w:rsidRPr="003A204C">
        <w:rPr>
          <w:rFonts w:cstheme="minorHAnsi"/>
          <w:sz w:val="24"/>
          <w:szCs w:val="24"/>
        </w:rPr>
        <w:t xml:space="preserve"> in the course of speaking which </w:t>
      </w:r>
      <w:r w:rsidR="00EB61AA" w:rsidRPr="003A204C">
        <w:rPr>
          <w:rFonts w:cstheme="minorHAnsi"/>
          <w:sz w:val="24"/>
          <w:szCs w:val="24"/>
        </w:rPr>
        <w:t xml:space="preserve">might damage </w:t>
      </w:r>
      <w:r w:rsidR="00A37354" w:rsidRPr="003A204C">
        <w:rPr>
          <w:rFonts w:cstheme="minorHAnsi"/>
          <w:sz w:val="24"/>
          <w:szCs w:val="24"/>
        </w:rPr>
        <w:t xml:space="preserve">the reputation as well as </w:t>
      </w:r>
      <w:r w:rsidR="00714ACD" w:rsidRPr="003A204C">
        <w:rPr>
          <w:rFonts w:cstheme="minorHAnsi"/>
          <w:sz w:val="24"/>
          <w:szCs w:val="24"/>
        </w:rPr>
        <w:t xml:space="preserve">the </w:t>
      </w:r>
      <w:r w:rsidR="00A37354" w:rsidRPr="003A204C">
        <w:rPr>
          <w:rFonts w:cstheme="minorHAnsi"/>
          <w:sz w:val="24"/>
          <w:szCs w:val="24"/>
        </w:rPr>
        <w:t>business of the others</w:t>
      </w:r>
      <w:r w:rsidR="00D77654" w:rsidRPr="003A204C">
        <w:rPr>
          <w:rFonts w:cstheme="minorHAnsi"/>
          <w:sz w:val="24"/>
          <w:szCs w:val="24"/>
          <w:shd w:val="clear" w:color="auto" w:fill="FFFFFF"/>
        </w:rPr>
        <w:t xml:space="preserve"> (Braithwaite, 1997)</w:t>
      </w:r>
      <w:r w:rsidR="00A37354" w:rsidRPr="003A204C">
        <w:rPr>
          <w:rFonts w:cstheme="minorHAnsi"/>
          <w:sz w:val="24"/>
          <w:szCs w:val="24"/>
        </w:rPr>
        <w:t xml:space="preserve">. </w:t>
      </w:r>
    </w:p>
    <w:p w:rsidR="00C46E44" w:rsidRPr="003A204C" w:rsidRDefault="00C46E44" w:rsidP="00BB559E">
      <w:pPr>
        <w:spacing w:line="360" w:lineRule="auto"/>
        <w:jc w:val="both"/>
        <w:rPr>
          <w:rFonts w:cstheme="minorHAnsi"/>
          <w:sz w:val="24"/>
          <w:szCs w:val="24"/>
        </w:rPr>
      </w:pPr>
      <w:r w:rsidRPr="003A204C">
        <w:rPr>
          <w:rFonts w:cstheme="minorHAnsi"/>
          <w:sz w:val="24"/>
          <w:szCs w:val="24"/>
        </w:rPr>
        <w:t xml:space="preserve">Sometimes the agent of the company can make the statement of their own business as well as could reveal some frauds as well as make </w:t>
      </w:r>
      <w:r w:rsidR="00714ACD" w:rsidRPr="003A204C">
        <w:rPr>
          <w:rFonts w:cstheme="minorHAnsi"/>
          <w:sz w:val="24"/>
          <w:szCs w:val="24"/>
        </w:rPr>
        <w:t xml:space="preserve">a </w:t>
      </w:r>
      <w:r w:rsidRPr="003A204C">
        <w:rPr>
          <w:rFonts w:cstheme="minorHAnsi"/>
          <w:sz w:val="24"/>
          <w:szCs w:val="24"/>
        </w:rPr>
        <w:t xml:space="preserve">false statement regarding the rivalry companies. It is because they want to show their own company </w:t>
      </w:r>
      <w:r w:rsidR="00483451" w:rsidRPr="003A204C">
        <w:rPr>
          <w:rFonts w:cstheme="minorHAnsi"/>
          <w:sz w:val="24"/>
          <w:szCs w:val="24"/>
        </w:rPr>
        <w:t>is better than</w:t>
      </w:r>
      <w:r w:rsidRPr="003A204C">
        <w:rPr>
          <w:rFonts w:cstheme="minorHAnsi"/>
          <w:sz w:val="24"/>
          <w:szCs w:val="24"/>
        </w:rPr>
        <w:t xml:space="preserve"> rivals. They </w:t>
      </w:r>
      <w:r w:rsidR="00483451" w:rsidRPr="003A204C">
        <w:rPr>
          <w:rFonts w:cstheme="minorHAnsi"/>
          <w:sz w:val="24"/>
          <w:szCs w:val="24"/>
        </w:rPr>
        <w:t>might suggest</w:t>
      </w:r>
      <w:r w:rsidRPr="003A204C">
        <w:rPr>
          <w:rFonts w:cstheme="minorHAnsi"/>
          <w:sz w:val="24"/>
          <w:szCs w:val="24"/>
        </w:rPr>
        <w:t xml:space="preserve"> through the email making </w:t>
      </w:r>
      <w:r w:rsidR="00714ACD" w:rsidRPr="003A204C">
        <w:rPr>
          <w:rFonts w:cstheme="minorHAnsi"/>
          <w:sz w:val="24"/>
          <w:szCs w:val="24"/>
        </w:rPr>
        <w:t xml:space="preserve">a </w:t>
      </w:r>
      <w:r w:rsidRPr="003A204C">
        <w:rPr>
          <w:rFonts w:cstheme="minorHAnsi"/>
          <w:sz w:val="24"/>
          <w:szCs w:val="24"/>
        </w:rPr>
        <w:t xml:space="preserve">statement in making a property </w:t>
      </w:r>
      <w:r w:rsidR="00483451" w:rsidRPr="003A204C">
        <w:rPr>
          <w:rFonts w:cstheme="minorHAnsi"/>
          <w:sz w:val="24"/>
          <w:szCs w:val="24"/>
        </w:rPr>
        <w:t>scam</w:t>
      </w:r>
      <w:r w:rsidRPr="003A204C">
        <w:rPr>
          <w:rFonts w:cstheme="minorHAnsi"/>
          <w:sz w:val="24"/>
          <w:szCs w:val="24"/>
        </w:rPr>
        <w:t xml:space="preserve"> </w:t>
      </w:r>
      <w:r w:rsidR="00483451" w:rsidRPr="003A204C">
        <w:rPr>
          <w:rFonts w:cstheme="minorHAnsi"/>
          <w:sz w:val="24"/>
          <w:szCs w:val="24"/>
        </w:rPr>
        <w:t>though</w:t>
      </w:r>
      <w:r w:rsidRPr="003A204C">
        <w:rPr>
          <w:rFonts w:cstheme="minorHAnsi"/>
          <w:sz w:val="24"/>
          <w:szCs w:val="24"/>
        </w:rPr>
        <w:t xml:space="preserve"> they do not have any conclusive evidence to support the claim. </w:t>
      </w:r>
      <w:r w:rsidR="00E12BC9" w:rsidRPr="003A204C">
        <w:rPr>
          <w:rFonts w:cstheme="minorHAnsi"/>
          <w:sz w:val="24"/>
          <w:szCs w:val="24"/>
        </w:rPr>
        <w:t xml:space="preserve">When the act of defamation </w:t>
      </w:r>
      <w:r w:rsidR="00714ACD" w:rsidRPr="003A204C">
        <w:rPr>
          <w:rFonts w:cstheme="minorHAnsi"/>
          <w:sz w:val="24"/>
          <w:szCs w:val="24"/>
        </w:rPr>
        <w:t xml:space="preserve">is </w:t>
      </w:r>
      <w:r w:rsidR="00E12BC9" w:rsidRPr="003A204C">
        <w:rPr>
          <w:rFonts w:cstheme="minorHAnsi"/>
          <w:sz w:val="24"/>
          <w:szCs w:val="24"/>
        </w:rPr>
        <w:t>attracted due to the circulation of the false statement, the claimant could claim the significant damages and costs that can be of any amount as per court</w:t>
      </w:r>
      <w:r w:rsidR="00714AA7" w:rsidRPr="003A204C">
        <w:rPr>
          <w:rFonts w:cstheme="minorHAnsi"/>
          <w:sz w:val="24"/>
          <w:szCs w:val="24"/>
          <w:shd w:val="clear" w:color="auto" w:fill="FFFFFF"/>
        </w:rPr>
        <w:t xml:space="preserve"> (Stallard, 1997)</w:t>
      </w:r>
      <w:r w:rsidR="00E12BC9" w:rsidRPr="003A204C">
        <w:rPr>
          <w:rFonts w:cstheme="minorHAnsi"/>
          <w:sz w:val="24"/>
          <w:szCs w:val="24"/>
        </w:rPr>
        <w:t xml:space="preserve">. </w:t>
      </w:r>
    </w:p>
    <w:p w:rsidR="00906470" w:rsidRPr="003A204C" w:rsidRDefault="00906470" w:rsidP="00D30FC7">
      <w:pPr>
        <w:pStyle w:val="Heading2"/>
        <w:spacing w:after="240" w:line="360" w:lineRule="auto"/>
        <w:jc w:val="both"/>
        <w:rPr>
          <w:rFonts w:asciiTheme="minorHAnsi" w:hAnsiTheme="minorHAnsi" w:cstheme="minorHAnsi"/>
          <w:color w:val="auto"/>
          <w:sz w:val="24"/>
          <w:szCs w:val="24"/>
        </w:rPr>
      </w:pPr>
      <w:bookmarkStart w:id="3" w:name="_Toc60751895"/>
      <w:r w:rsidRPr="003A204C">
        <w:rPr>
          <w:rFonts w:asciiTheme="minorHAnsi" w:hAnsiTheme="minorHAnsi" w:cstheme="minorHAnsi"/>
          <w:color w:val="auto"/>
          <w:sz w:val="24"/>
          <w:szCs w:val="24"/>
        </w:rPr>
        <w:t>Defamation Act 2013 and discussions on relevant case laws</w:t>
      </w:r>
      <w:bookmarkEnd w:id="3"/>
    </w:p>
    <w:p w:rsidR="00993931" w:rsidRPr="003A204C" w:rsidRDefault="00E91E70" w:rsidP="00993931">
      <w:pPr>
        <w:spacing w:after="240" w:line="360" w:lineRule="auto"/>
        <w:jc w:val="both"/>
        <w:rPr>
          <w:rFonts w:cstheme="minorHAnsi"/>
          <w:sz w:val="24"/>
          <w:szCs w:val="24"/>
        </w:rPr>
      </w:pPr>
      <w:r w:rsidRPr="003A204C">
        <w:rPr>
          <w:rFonts w:cstheme="minorHAnsi"/>
          <w:sz w:val="24"/>
          <w:szCs w:val="24"/>
        </w:rPr>
        <w:t>The business can be safeguar</w:t>
      </w:r>
      <w:r w:rsidR="00714ACD" w:rsidRPr="003A204C">
        <w:rPr>
          <w:rFonts w:cstheme="minorHAnsi"/>
          <w:sz w:val="24"/>
          <w:szCs w:val="24"/>
        </w:rPr>
        <w:t>de</w:t>
      </w:r>
      <w:r w:rsidRPr="003A204C">
        <w:rPr>
          <w:rFonts w:cstheme="minorHAnsi"/>
          <w:sz w:val="24"/>
          <w:szCs w:val="24"/>
        </w:rPr>
        <w:t xml:space="preserve">d against defamation by letting the employees talk about the actual data and performance of the company. The briefing is to be done among all the employees what they are allowed to do in conversations and written statements while doing transactions to third parties. This could reduce the happening of defamation in business. The creation of </w:t>
      </w:r>
      <w:r w:rsidR="00714ACD" w:rsidRPr="003A204C">
        <w:rPr>
          <w:rFonts w:cstheme="minorHAnsi"/>
          <w:sz w:val="24"/>
          <w:szCs w:val="24"/>
        </w:rPr>
        <w:t xml:space="preserve">the </w:t>
      </w:r>
      <w:r w:rsidRPr="003A204C">
        <w:rPr>
          <w:rFonts w:cstheme="minorHAnsi"/>
          <w:sz w:val="24"/>
          <w:szCs w:val="24"/>
        </w:rPr>
        <w:t>template for communication provides the restriction in giving opinions</w:t>
      </w:r>
      <w:r w:rsidR="0073479B" w:rsidRPr="003A204C">
        <w:rPr>
          <w:rFonts w:cstheme="minorHAnsi"/>
          <w:sz w:val="24"/>
          <w:szCs w:val="24"/>
          <w:shd w:val="clear" w:color="auto" w:fill="FFFFFF"/>
        </w:rPr>
        <w:t xml:space="preserve"> (Barendt, 2009)</w:t>
      </w:r>
      <w:r w:rsidRPr="003A204C">
        <w:rPr>
          <w:rFonts w:cstheme="minorHAnsi"/>
          <w:sz w:val="24"/>
          <w:szCs w:val="24"/>
        </w:rPr>
        <w:t xml:space="preserve">. </w:t>
      </w:r>
    </w:p>
    <w:p w:rsidR="00BB559E" w:rsidRPr="003A204C" w:rsidRDefault="00714ACD" w:rsidP="00993931">
      <w:pPr>
        <w:spacing w:after="240" w:line="360" w:lineRule="auto"/>
        <w:jc w:val="both"/>
        <w:rPr>
          <w:rFonts w:cstheme="minorHAnsi"/>
          <w:sz w:val="24"/>
          <w:szCs w:val="24"/>
        </w:rPr>
      </w:pPr>
      <w:r w:rsidRPr="003A204C">
        <w:rPr>
          <w:rFonts w:cstheme="minorHAnsi"/>
          <w:sz w:val="24"/>
          <w:szCs w:val="24"/>
        </w:rPr>
        <w:lastRenderedPageBreak/>
        <w:t>S</w:t>
      </w:r>
      <w:r w:rsidR="001454A3" w:rsidRPr="003A204C">
        <w:rPr>
          <w:rFonts w:cstheme="minorHAnsi"/>
          <w:sz w:val="24"/>
          <w:szCs w:val="24"/>
        </w:rPr>
        <w:t xml:space="preserve">ection 4 of </w:t>
      </w:r>
      <w:r w:rsidRPr="003A204C">
        <w:rPr>
          <w:rFonts w:cstheme="minorHAnsi"/>
          <w:sz w:val="24"/>
          <w:szCs w:val="24"/>
        </w:rPr>
        <w:t xml:space="preserve">the </w:t>
      </w:r>
      <w:r w:rsidR="001454A3" w:rsidRPr="003A204C">
        <w:rPr>
          <w:rFonts w:cstheme="minorHAnsi"/>
          <w:sz w:val="24"/>
          <w:szCs w:val="24"/>
        </w:rPr>
        <w:t xml:space="preserve">Defamation Act 2013 provides the relevant clauses and legal issues regarding the </w:t>
      </w:r>
      <w:r w:rsidR="00A854CF" w:rsidRPr="003A204C">
        <w:rPr>
          <w:rFonts w:cstheme="minorHAnsi"/>
          <w:sz w:val="24"/>
          <w:szCs w:val="24"/>
        </w:rPr>
        <w:t>protection</w:t>
      </w:r>
      <w:r w:rsidR="001454A3" w:rsidRPr="003A204C">
        <w:rPr>
          <w:rFonts w:cstheme="minorHAnsi"/>
          <w:sz w:val="24"/>
          <w:szCs w:val="24"/>
        </w:rPr>
        <w:t xml:space="preserve"> of </w:t>
      </w:r>
      <w:r w:rsidR="00BE243E" w:rsidRPr="003A204C">
        <w:rPr>
          <w:rFonts w:cstheme="minorHAnsi"/>
          <w:sz w:val="24"/>
          <w:szCs w:val="24"/>
        </w:rPr>
        <w:t>civic</w:t>
      </w:r>
      <w:r w:rsidR="001454A3" w:rsidRPr="003A204C">
        <w:rPr>
          <w:rFonts w:cstheme="minorHAnsi"/>
          <w:sz w:val="24"/>
          <w:szCs w:val="24"/>
        </w:rPr>
        <w:t xml:space="preserve"> interest.</w:t>
      </w:r>
      <w:r w:rsidR="00993931" w:rsidRPr="003A204C">
        <w:rPr>
          <w:rFonts w:cstheme="minorHAnsi"/>
          <w:sz w:val="24"/>
          <w:szCs w:val="24"/>
        </w:rPr>
        <w:t xml:space="preserve"> Section 4 Act involves the disclosure of matters relating to the welfare of the public. The case is due to the defamation of the defendant for demonstrating that the statement was made on the subject of public concern and the defendant reasonably assumed that the release of the statement was due to the public interest of the defendant</w:t>
      </w:r>
      <w:r w:rsidR="001C42FC" w:rsidRPr="003A204C">
        <w:rPr>
          <w:rFonts w:cstheme="minorHAnsi"/>
          <w:sz w:val="24"/>
          <w:szCs w:val="24"/>
        </w:rPr>
        <w:t>.</w:t>
      </w:r>
      <w:r w:rsidR="00993931" w:rsidRPr="003A204C">
        <w:rPr>
          <w:rFonts w:cstheme="minorHAnsi"/>
          <w:sz w:val="24"/>
          <w:szCs w:val="24"/>
        </w:rPr>
        <w:t xml:space="preserve"> If subsections 3 and 4 decide if the defendant has shown the problems referred to in subsection 1, then the court must take all the circumstances of the case into account.</w:t>
      </w:r>
      <w:r w:rsidR="00982220" w:rsidRPr="003A204C">
        <w:rPr>
          <w:rFonts w:cstheme="minorHAnsi"/>
          <w:sz w:val="24"/>
          <w:szCs w:val="24"/>
        </w:rPr>
        <w:t xml:space="preserve"> If the off chance that the statement gripped was, or framed piece of, a true and impartial record of the debate for which the plaintiff was a participant, the court should disregard any regulation of the litigant to find a way to verify the truth of the ascription passed on by it when determining whether it was fair for the respondent to agree that transmitting the assertion was in the public interest. The court should make such an allowance for article judgment as it finds appropriate when determining if it was fair for the litigant to agree that the dissemination of the criticized claim was in the civic interest. The safeguard under this section may be </w:t>
      </w:r>
      <w:r w:rsidRPr="003A204C">
        <w:rPr>
          <w:rFonts w:cstheme="minorHAnsi"/>
          <w:sz w:val="24"/>
          <w:szCs w:val="24"/>
        </w:rPr>
        <w:t xml:space="preserve">an </w:t>
      </w:r>
      <w:r w:rsidR="00982220" w:rsidRPr="003A204C">
        <w:rPr>
          <w:rFonts w:cstheme="minorHAnsi"/>
          <w:sz w:val="24"/>
          <w:szCs w:val="24"/>
        </w:rPr>
        <w:t>endless supply for the avoidance of confusion of whether the claim whined is an assertion of fact or an assertion of evaluation. The common law security is canceled, known as Reynolds safety</w:t>
      </w:r>
      <w:r w:rsidR="007B5A13" w:rsidRPr="003A204C">
        <w:rPr>
          <w:rFonts w:cstheme="minorHAnsi"/>
          <w:sz w:val="24"/>
          <w:szCs w:val="24"/>
          <w:shd w:val="clear" w:color="auto" w:fill="FFFFFF"/>
        </w:rPr>
        <w:t xml:space="preserve"> (Hilser, 2020)</w:t>
      </w:r>
      <w:r w:rsidR="00C31646" w:rsidRPr="003A204C">
        <w:rPr>
          <w:rFonts w:cstheme="minorHAnsi"/>
          <w:sz w:val="24"/>
          <w:szCs w:val="24"/>
        </w:rPr>
        <w:t>.</w:t>
      </w:r>
    </w:p>
    <w:p w:rsidR="00D63D69" w:rsidRPr="003A204C" w:rsidRDefault="00982220" w:rsidP="00BB559E">
      <w:pPr>
        <w:spacing w:line="360" w:lineRule="auto"/>
        <w:jc w:val="both"/>
        <w:rPr>
          <w:rFonts w:cstheme="minorHAnsi"/>
          <w:sz w:val="24"/>
          <w:szCs w:val="24"/>
        </w:rPr>
      </w:pPr>
      <w:r w:rsidRPr="003A204C">
        <w:rPr>
          <w:rFonts w:cstheme="minorHAnsi"/>
          <w:sz w:val="24"/>
          <w:szCs w:val="24"/>
        </w:rPr>
        <w:t xml:space="preserve">Section 4 removes the 'Reynolds qualified advantage'/editorial qualified advantage (advanced from the dicta in Reynolds v Times Newspapers Ltd [1999] UKHL 45) custom-based law defense and replaces it with the guard of publication on a matter of public interest. A matter of public concern should be established for the safeguard to succeed the claim or any portion of it, and the litigant should sensibly agree that the dissemination of the assertion is in the </w:t>
      </w:r>
      <w:r w:rsidR="00DB30F0" w:rsidRPr="003A204C">
        <w:rPr>
          <w:rFonts w:cstheme="minorHAnsi"/>
          <w:sz w:val="24"/>
          <w:szCs w:val="24"/>
        </w:rPr>
        <w:t>public interest (Weaver, et</w:t>
      </w:r>
      <w:r w:rsidRPr="003A204C">
        <w:rPr>
          <w:rFonts w:cstheme="minorHAnsi"/>
          <w:sz w:val="24"/>
          <w:szCs w:val="24"/>
        </w:rPr>
        <w:t xml:space="preserve"> al., 2004).</w:t>
      </w:r>
      <w:r w:rsidR="00D63D69" w:rsidRPr="003A204C">
        <w:rPr>
          <w:rFonts w:cstheme="minorHAnsi"/>
          <w:sz w:val="24"/>
          <w:szCs w:val="24"/>
        </w:rPr>
        <w:t xml:space="preserve"> Although the litigant had to have behaved capably/to the level of competent reporting at the Reynolds security, there is no explicit provision in the Act (or reference to any list of components like those set out in Reynolds)</w:t>
      </w:r>
    </w:p>
    <w:p w:rsidR="008D04E1" w:rsidRPr="003A204C" w:rsidRDefault="00D63D69" w:rsidP="003A204C">
      <w:pPr>
        <w:spacing w:line="360" w:lineRule="auto"/>
        <w:jc w:val="both"/>
        <w:rPr>
          <w:rFonts w:cstheme="minorHAnsi"/>
          <w:sz w:val="24"/>
          <w:szCs w:val="24"/>
          <w:shd w:val="clear" w:color="auto" w:fill="FFFFFF"/>
        </w:rPr>
      </w:pPr>
      <w:r w:rsidRPr="003A204C">
        <w:rPr>
          <w:rFonts w:cstheme="minorHAnsi"/>
          <w:sz w:val="24"/>
          <w:szCs w:val="24"/>
        </w:rPr>
        <w:t>Nevertheless, insightful records to the Act indicate that the innovative protection is proposed to reflect the precedent-based law</w:t>
      </w:r>
      <w:r w:rsidR="00714ACD" w:rsidRPr="003A204C">
        <w:rPr>
          <w:rFonts w:cstheme="minorHAnsi"/>
          <w:sz w:val="24"/>
          <w:szCs w:val="24"/>
        </w:rPr>
        <w:t>, as usual,</w:t>
      </w:r>
      <w:r w:rsidRPr="003A204C">
        <w:rPr>
          <w:rFonts w:cstheme="minorHAnsi"/>
          <w:sz w:val="24"/>
          <w:szCs w:val="24"/>
        </w:rPr>
        <w:t xml:space="preserve"> out in Flood v Times Newspapers [2012] UKsC 11, in which Lord Mance claimed that it would only be there to distribute information that was not the subject of responsible journalistic inquiry and thinking in the public interest.</w:t>
      </w:r>
      <w:r w:rsidR="0003370A" w:rsidRPr="003A204C">
        <w:rPr>
          <w:rFonts w:cstheme="minorHAnsi"/>
          <w:sz w:val="24"/>
          <w:szCs w:val="24"/>
        </w:rPr>
        <w:t xml:space="preserve"> </w:t>
      </w:r>
      <w:r w:rsidR="00202653" w:rsidRPr="003A204C">
        <w:rPr>
          <w:rFonts w:cstheme="minorHAnsi"/>
          <w:sz w:val="24"/>
          <w:szCs w:val="24"/>
        </w:rPr>
        <w:t xml:space="preserve">The practicality </w:t>
      </w:r>
      <w:r w:rsidR="00202653" w:rsidRPr="003A204C">
        <w:rPr>
          <w:rFonts w:cstheme="minorHAnsi"/>
          <w:sz w:val="24"/>
          <w:szCs w:val="24"/>
        </w:rPr>
        <w:lastRenderedPageBreak/>
        <w:t xml:space="preserve">of any guard under section 4 would, by its very nature, be factually sensitive and difficult to determine once in a while </w:t>
      </w:r>
      <w:r w:rsidR="00026D3E" w:rsidRPr="003A204C">
        <w:rPr>
          <w:rFonts w:cstheme="minorHAnsi"/>
          <w:sz w:val="24"/>
          <w:szCs w:val="24"/>
          <w:shd w:val="clear" w:color="auto" w:fill="FFFFFF"/>
        </w:rPr>
        <w:t xml:space="preserve">(Gale, 2015). </w:t>
      </w:r>
      <w:r w:rsidR="00B15487" w:rsidRPr="003A204C">
        <w:rPr>
          <w:rFonts w:cstheme="minorHAnsi"/>
          <w:sz w:val="24"/>
          <w:szCs w:val="24"/>
        </w:rPr>
        <w:t>The complainant was a foreign businessma</w:t>
      </w:r>
      <w:r w:rsidR="00D05F48" w:rsidRPr="003A204C">
        <w:rPr>
          <w:rFonts w:cstheme="minorHAnsi"/>
          <w:sz w:val="24"/>
          <w:szCs w:val="24"/>
        </w:rPr>
        <w:t>n in the case of Loutchansky vs Times Newspaper Ltd (2002). T</w:t>
      </w:r>
      <w:r w:rsidR="00B15487" w:rsidRPr="003A204C">
        <w:rPr>
          <w:rFonts w:cstheme="minorHAnsi"/>
          <w:sz w:val="24"/>
          <w:szCs w:val="24"/>
        </w:rPr>
        <w:t xml:space="preserve">he </w:t>
      </w:r>
      <w:r w:rsidR="00A97869" w:rsidRPr="003A204C">
        <w:rPr>
          <w:rFonts w:cstheme="minorHAnsi"/>
          <w:sz w:val="24"/>
          <w:szCs w:val="24"/>
        </w:rPr>
        <w:t>offenders</w:t>
      </w:r>
      <w:r w:rsidR="00B15487" w:rsidRPr="003A204C">
        <w:rPr>
          <w:rFonts w:cstheme="minorHAnsi"/>
          <w:sz w:val="24"/>
          <w:szCs w:val="24"/>
        </w:rPr>
        <w:t xml:space="preserve"> were the </w:t>
      </w:r>
      <w:r w:rsidR="00D05F48" w:rsidRPr="003A204C">
        <w:rPr>
          <w:rFonts w:cstheme="minorHAnsi"/>
          <w:sz w:val="24"/>
          <w:szCs w:val="24"/>
        </w:rPr>
        <w:t>managing editor and</w:t>
      </w:r>
      <w:r w:rsidR="00B15487" w:rsidRPr="003A204C">
        <w:rPr>
          <w:rFonts w:cstheme="minorHAnsi"/>
          <w:sz w:val="24"/>
          <w:szCs w:val="24"/>
        </w:rPr>
        <w:t xml:space="preserve"> </w:t>
      </w:r>
      <w:r w:rsidR="00D05F48" w:rsidRPr="003A204C">
        <w:rPr>
          <w:rFonts w:cstheme="minorHAnsi"/>
          <w:sz w:val="24"/>
          <w:szCs w:val="24"/>
        </w:rPr>
        <w:t xml:space="preserve">publisher </w:t>
      </w:r>
      <w:r w:rsidR="00B15487" w:rsidRPr="003A204C">
        <w:rPr>
          <w:rFonts w:cstheme="minorHAnsi"/>
          <w:sz w:val="24"/>
          <w:szCs w:val="24"/>
        </w:rPr>
        <w:t xml:space="preserve">of the Times and two of its journalists. The </w:t>
      </w:r>
      <w:r w:rsidR="00A97869" w:rsidRPr="003A204C">
        <w:rPr>
          <w:rFonts w:cstheme="minorHAnsi"/>
          <w:sz w:val="24"/>
          <w:szCs w:val="24"/>
        </w:rPr>
        <w:t>complainant</w:t>
      </w:r>
      <w:r w:rsidR="00B15487" w:rsidRPr="003A204C">
        <w:rPr>
          <w:rFonts w:cstheme="minorHAnsi"/>
          <w:sz w:val="24"/>
          <w:szCs w:val="24"/>
        </w:rPr>
        <w:t xml:space="preserve"> </w:t>
      </w:r>
      <w:r w:rsidR="00A97869" w:rsidRPr="003A204C">
        <w:rPr>
          <w:rFonts w:cstheme="minorHAnsi"/>
          <w:sz w:val="24"/>
          <w:szCs w:val="24"/>
        </w:rPr>
        <w:t>litigated</w:t>
      </w:r>
      <w:r w:rsidR="00B15487" w:rsidRPr="003A204C">
        <w:rPr>
          <w:rFonts w:cstheme="minorHAnsi"/>
          <w:sz w:val="24"/>
          <w:szCs w:val="24"/>
        </w:rPr>
        <w:t xml:space="preserve"> for libel for two Times articles (and for the same articles on the Times website, the second suit began a year later) accusing him of being involved in serious foreign criminal activities, including smuggling of nucl</w:t>
      </w:r>
      <w:r w:rsidR="00A97869" w:rsidRPr="003A204C">
        <w:rPr>
          <w:rFonts w:cstheme="minorHAnsi"/>
          <w:sz w:val="24"/>
          <w:szCs w:val="24"/>
        </w:rPr>
        <w:t>ear weapons and money laundering.</w:t>
      </w:r>
      <w:r w:rsidR="00B15487" w:rsidRPr="003A204C">
        <w:rPr>
          <w:rFonts w:cstheme="minorHAnsi"/>
          <w:sz w:val="24"/>
          <w:szCs w:val="24"/>
        </w:rPr>
        <w:t xml:space="preserve"> The </w:t>
      </w:r>
      <w:r w:rsidR="00A97869" w:rsidRPr="003A204C">
        <w:rPr>
          <w:rFonts w:cstheme="minorHAnsi"/>
          <w:sz w:val="24"/>
          <w:szCs w:val="24"/>
        </w:rPr>
        <w:t>perpetrators</w:t>
      </w:r>
      <w:r w:rsidR="00B15487" w:rsidRPr="003A204C">
        <w:rPr>
          <w:rFonts w:cstheme="minorHAnsi"/>
          <w:sz w:val="24"/>
          <w:szCs w:val="24"/>
        </w:rPr>
        <w:t xml:space="preserve"> pled for </w:t>
      </w:r>
      <w:r w:rsidR="00714ACD" w:rsidRPr="003A204C">
        <w:rPr>
          <w:rFonts w:cstheme="minorHAnsi"/>
          <w:sz w:val="24"/>
          <w:szCs w:val="24"/>
        </w:rPr>
        <w:t xml:space="preserve">the </w:t>
      </w:r>
      <w:r w:rsidR="00B15487" w:rsidRPr="003A204C">
        <w:rPr>
          <w:rFonts w:cstheme="minorHAnsi"/>
          <w:sz w:val="24"/>
          <w:szCs w:val="24"/>
        </w:rPr>
        <w:t xml:space="preserve">professional privilege, but not for </w:t>
      </w:r>
      <w:r w:rsidR="00714ACD" w:rsidRPr="003A204C">
        <w:rPr>
          <w:rFonts w:cstheme="minorHAnsi"/>
          <w:sz w:val="24"/>
          <w:szCs w:val="24"/>
        </w:rPr>
        <w:t xml:space="preserve">an </w:t>
      </w:r>
      <w:r w:rsidR="00A97869" w:rsidRPr="003A204C">
        <w:rPr>
          <w:rFonts w:cstheme="minorHAnsi"/>
          <w:sz w:val="24"/>
          <w:szCs w:val="24"/>
        </w:rPr>
        <w:t>excuse.</w:t>
      </w:r>
      <w:r w:rsidR="00A97869" w:rsidRPr="003A204C">
        <w:rPr>
          <w:rFonts w:cstheme="minorHAnsi"/>
          <w:sz w:val="24"/>
          <w:szCs w:val="24"/>
          <w:shd w:val="clear" w:color="auto" w:fill="FFFFFF"/>
        </w:rPr>
        <w:t xml:space="preserve"> The</w:t>
      </w:r>
      <w:r w:rsidR="00B15487" w:rsidRPr="003A204C">
        <w:rPr>
          <w:rFonts w:cstheme="minorHAnsi"/>
          <w:sz w:val="24"/>
          <w:szCs w:val="24"/>
          <w:shd w:val="clear" w:color="auto" w:fill="FFFFFF"/>
        </w:rPr>
        <w:t xml:space="preserve"> issues in the case are whether the Judge was correct in finding that the papers were not protected by qualified privilege and whether there was a single publishing rule in English law, as well as whether the Judge was right to order the summary disposal of the petition for damages even after a jury had ruled on the issue of liability</w:t>
      </w:r>
      <w:r w:rsidR="001C4287" w:rsidRPr="003A204C">
        <w:rPr>
          <w:rFonts w:cstheme="minorHAnsi"/>
          <w:sz w:val="24"/>
          <w:szCs w:val="24"/>
          <w:shd w:val="clear" w:color="auto" w:fill="FFFFFF"/>
        </w:rPr>
        <w:t xml:space="preserve"> </w:t>
      </w:r>
      <w:r w:rsidR="004E0D3B" w:rsidRPr="003A204C">
        <w:rPr>
          <w:rFonts w:cstheme="minorHAnsi"/>
          <w:sz w:val="24"/>
          <w:szCs w:val="24"/>
          <w:shd w:val="clear" w:color="auto" w:fill="FFFFFF"/>
        </w:rPr>
        <w:t>(Yang, 2014)</w:t>
      </w:r>
      <w:r w:rsidR="001C4287" w:rsidRPr="003A204C">
        <w:rPr>
          <w:rFonts w:cstheme="minorHAnsi"/>
          <w:sz w:val="24"/>
          <w:szCs w:val="24"/>
          <w:shd w:val="clear" w:color="auto" w:fill="FFFFFF"/>
        </w:rPr>
        <w:t>.</w:t>
      </w:r>
      <w:r w:rsidR="004B3DF3" w:rsidRPr="003A204C">
        <w:rPr>
          <w:rFonts w:cstheme="minorHAnsi"/>
          <w:sz w:val="24"/>
          <w:szCs w:val="24"/>
          <w:shd w:val="clear" w:color="auto" w:fill="FFFFFF"/>
        </w:rPr>
        <w:t xml:space="preserve"> </w:t>
      </w:r>
      <w:r w:rsidR="00B15487" w:rsidRPr="003A204C">
        <w:rPr>
          <w:rFonts w:cstheme="minorHAnsi"/>
          <w:sz w:val="24"/>
          <w:szCs w:val="24"/>
          <w:shd w:val="clear" w:color="auto" w:fill="FFFFFF"/>
        </w:rPr>
        <w:t>And the court held that the public's interest was in free speech and a free and robust press in a liberal democracy.</w:t>
      </w:r>
      <w:r w:rsidR="00B15487" w:rsidRPr="003A204C">
        <w:rPr>
          <w:rFonts w:cstheme="minorHAnsi"/>
          <w:sz w:val="24"/>
          <w:szCs w:val="24"/>
        </w:rPr>
        <w:t xml:space="preserve"> </w:t>
      </w:r>
      <w:r w:rsidR="00B15487" w:rsidRPr="003A204C">
        <w:rPr>
          <w:rFonts w:cstheme="minorHAnsi"/>
          <w:sz w:val="24"/>
          <w:szCs w:val="24"/>
          <w:shd w:val="clear" w:color="auto" w:fill="FFFFFF"/>
        </w:rPr>
        <w:t>In the event of the case, the resulting obligation on the journalist was to discharge the role by acting as a professional journalist and there was no single publication rule in English law and the summary disposal of the claim for damages was correctly ordered</w:t>
      </w:r>
      <w:r w:rsidR="006B2405" w:rsidRPr="003A204C">
        <w:rPr>
          <w:rFonts w:cstheme="minorHAnsi"/>
          <w:sz w:val="24"/>
          <w:szCs w:val="24"/>
          <w:shd w:val="clear" w:color="auto" w:fill="FFFFFF"/>
        </w:rPr>
        <w:t xml:space="preserve"> (Connolly, 2012)</w:t>
      </w:r>
      <w:r w:rsidR="005C193E" w:rsidRPr="003A204C">
        <w:rPr>
          <w:rFonts w:cstheme="minorHAnsi"/>
          <w:sz w:val="24"/>
          <w:szCs w:val="24"/>
          <w:shd w:val="clear" w:color="auto" w:fill="FFFFFF"/>
        </w:rPr>
        <w:t>.</w:t>
      </w:r>
    </w:p>
    <w:p w:rsidR="005C193E" w:rsidRPr="003A204C" w:rsidRDefault="00906470" w:rsidP="003A204C">
      <w:pPr>
        <w:pStyle w:val="Heading2"/>
      </w:pPr>
      <w:bookmarkStart w:id="4" w:name="_Toc60751896"/>
      <w:r w:rsidRPr="003A204C">
        <w:t>Conclusion</w:t>
      </w:r>
      <w:bookmarkEnd w:id="4"/>
    </w:p>
    <w:p w:rsidR="00906470" w:rsidRPr="003A204C" w:rsidRDefault="00E15B6D" w:rsidP="008D04E1">
      <w:pPr>
        <w:spacing w:after="240" w:line="360" w:lineRule="auto"/>
        <w:jc w:val="both"/>
        <w:rPr>
          <w:rFonts w:cstheme="minorHAnsi"/>
          <w:sz w:val="24"/>
          <w:szCs w:val="24"/>
        </w:rPr>
      </w:pPr>
      <w:r w:rsidRPr="003A204C">
        <w:rPr>
          <w:rFonts w:cstheme="minorHAnsi"/>
          <w:sz w:val="24"/>
          <w:szCs w:val="24"/>
        </w:rPr>
        <w:t xml:space="preserve">Here in above an essay has been written the Defamation Act 2013 and its relevant sections. The various case laws </w:t>
      </w:r>
      <w:r w:rsidR="00714ACD" w:rsidRPr="003A204C">
        <w:rPr>
          <w:rFonts w:cstheme="minorHAnsi"/>
          <w:sz w:val="24"/>
          <w:szCs w:val="24"/>
        </w:rPr>
        <w:t>with</w:t>
      </w:r>
      <w:r w:rsidRPr="003A204C">
        <w:rPr>
          <w:rFonts w:cstheme="minorHAnsi"/>
          <w:sz w:val="24"/>
          <w:szCs w:val="24"/>
        </w:rPr>
        <w:t xml:space="preserve"> the Defamation Act have been presented in the above discussion. The cases of Reynolds v Times newspapers, Loutchansky v Times newspaper (2002), Flood v Times </w:t>
      </w:r>
      <w:r w:rsidR="00714ACD" w:rsidRPr="003A204C">
        <w:rPr>
          <w:rFonts w:cstheme="minorHAnsi"/>
          <w:sz w:val="24"/>
          <w:szCs w:val="24"/>
        </w:rPr>
        <w:t>N</w:t>
      </w:r>
      <w:r w:rsidRPr="003A204C">
        <w:rPr>
          <w:rFonts w:cstheme="minorHAnsi"/>
          <w:sz w:val="24"/>
          <w:szCs w:val="24"/>
        </w:rPr>
        <w:t xml:space="preserve">ewspaper Ltd (2012), Economou de Freitas (2017), Secretary of State for </w:t>
      </w:r>
      <w:r w:rsidR="008D04E1" w:rsidRPr="003A204C">
        <w:rPr>
          <w:rFonts w:cstheme="minorHAnsi"/>
          <w:sz w:val="24"/>
          <w:szCs w:val="24"/>
        </w:rPr>
        <w:t>Defense</w:t>
      </w:r>
      <w:r w:rsidRPr="003A204C">
        <w:rPr>
          <w:rFonts w:cstheme="minorHAnsi"/>
          <w:sz w:val="24"/>
          <w:szCs w:val="24"/>
        </w:rPr>
        <w:t xml:space="preserve"> v</w:t>
      </w:r>
      <w:r w:rsidR="008D04E1" w:rsidRPr="003A204C">
        <w:rPr>
          <w:rFonts w:cstheme="minorHAnsi"/>
          <w:sz w:val="24"/>
          <w:szCs w:val="24"/>
        </w:rPr>
        <w:t>s</w:t>
      </w:r>
      <w:r w:rsidRPr="003A204C">
        <w:rPr>
          <w:rFonts w:cstheme="minorHAnsi"/>
          <w:sz w:val="24"/>
          <w:szCs w:val="24"/>
        </w:rPr>
        <w:t xml:space="preserve"> Guardian newspapers Ltd (1985), Financial Times Ltd v UK (2009) have been presented. </w:t>
      </w:r>
      <w:r w:rsidR="008D04E1" w:rsidRPr="003A204C">
        <w:rPr>
          <w:rFonts w:cstheme="minorHAnsi"/>
          <w:sz w:val="24"/>
          <w:szCs w:val="24"/>
        </w:rPr>
        <w:t>From the above analysis and based on the presented case laws, it can be inferred that only the journalists could not publish the false statement because of the public interest and the journalist must find the truth before publishing such news.</w:t>
      </w:r>
    </w:p>
    <w:p w:rsidR="002C4235" w:rsidRPr="003A204C" w:rsidRDefault="002C4235">
      <w:pPr>
        <w:rPr>
          <w:rFonts w:cstheme="minorHAnsi"/>
          <w:sz w:val="24"/>
          <w:szCs w:val="24"/>
          <w:shd w:val="clear" w:color="auto" w:fill="FFFFFF"/>
        </w:rPr>
      </w:pPr>
      <w:r w:rsidRPr="003A204C">
        <w:rPr>
          <w:rFonts w:cstheme="minorHAnsi"/>
          <w:sz w:val="24"/>
          <w:szCs w:val="24"/>
          <w:shd w:val="clear" w:color="auto" w:fill="FFFFFF"/>
        </w:rPr>
        <w:br w:type="page"/>
      </w:r>
    </w:p>
    <w:p w:rsidR="002C4235" w:rsidRPr="003A204C" w:rsidRDefault="002C4235" w:rsidP="003A204C">
      <w:pPr>
        <w:pStyle w:val="Heading1"/>
      </w:pPr>
      <w:bookmarkStart w:id="5" w:name="_Toc60751897"/>
      <w:r w:rsidRPr="003A204C">
        <w:lastRenderedPageBreak/>
        <w:t>Task 2</w:t>
      </w:r>
      <w:bookmarkEnd w:id="5"/>
    </w:p>
    <w:p w:rsidR="00FA0CC7" w:rsidRPr="003A204C" w:rsidRDefault="002C4235" w:rsidP="002C54D8">
      <w:pPr>
        <w:spacing w:after="240" w:line="360" w:lineRule="auto"/>
        <w:jc w:val="both"/>
        <w:rPr>
          <w:rFonts w:cstheme="minorHAnsi"/>
          <w:sz w:val="24"/>
          <w:szCs w:val="24"/>
          <w:shd w:val="clear" w:color="auto" w:fill="FFFFFF"/>
        </w:rPr>
      </w:pPr>
      <w:r w:rsidRPr="003A204C">
        <w:rPr>
          <w:rFonts w:cstheme="minorHAnsi"/>
          <w:sz w:val="24"/>
          <w:szCs w:val="24"/>
          <w:shd w:val="clear" w:color="auto" w:fill="FFFFFF"/>
        </w:rPr>
        <w:t xml:space="preserve">In the year 2019, the Parliament of </w:t>
      </w:r>
      <w:r w:rsidR="00714ACD" w:rsidRPr="003A204C">
        <w:rPr>
          <w:rFonts w:cstheme="minorHAnsi"/>
          <w:sz w:val="24"/>
          <w:szCs w:val="24"/>
          <w:shd w:val="clear" w:color="auto" w:fill="FFFFFF"/>
        </w:rPr>
        <w:t xml:space="preserve">the </w:t>
      </w:r>
      <w:r w:rsidRPr="003A204C">
        <w:rPr>
          <w:rFonts w:cstheme="minorHAnsi"/>
          <w:sz w:val="24"/>
          <w:szCs w:val="24"/>
          <w:shd w:val="clear" w:color="auto" w:fill="FFFFFF"/>
        </w:rPr>
        <w:t>UK passed the Environmental protection</w:t>
      </w:r>
      <w:r w:rsidR="00DB30F0" w:rsidRPr="003A204C">
        <w:rPr>
          <w:rFonts w:cstheme="minorHAnsi"/>
          <w:sz w:val="24"/>
          <w:szCs w:val="24"/>
          <w:shd w:val="clear" w:color="auto" w:fill="FFFFFF"/>
        </w:rPr>
        <w:t xml:space="preserve"> Act </w:t>
      </w:r>
      <w:r w:rsidR="00714ACD" w:rsidRPr="003A204C">
        <w:rPr>
          <w:rFonts w:cstheme="minorHAnsi"/>
          <w:sz w:val="24"/>
          <w:szCs w:val="24"/>
          <w:shd w:val="clear" w:color="auto" w:fill="FFFFFF"/>
        </w:rPr>
        <w:t>intending to promote</w:t>
      </w:r>
      <w:r w:rsidRPr="003A204C">
        <w:rPr>
          <w:rFonts w:cstheme="minorHAnsi"/>
          <w:sz w:val="24"/>
          <w:szCs w:val="24"/>
          <w:shd w:val="clear" w:color="auto" w:fill="FFFFFF"/>
        </w:rPr>
        <w:t xml:space="preserve"> recycling of plastics. The Act also includes the Plastic Regulatory Authority</w:t>
      </w:r>
      <w:r w:rsidR="00DB30F0" w:rsidRPr="003A204C">
        <w:rPr>
          <w:rFonts w:cstheme="minorHAnsi"/>
          <w:sz w:val="24"/>
          <w:szCs w:val="24"/>
          <w:shd w:val="clear" w:color="auto" w:fill="FFFFFF"/>
        </w:rPr>
        <w:t>,</w:t>
      </w:r>
      <w:r w:rsidRPr="003A204C">
        <w:rPr>
          <w:rFonts w:cstheme="minorHAnsi"/>
          <w:sz w:val="24"/>
          <w:szCs w:val="24"/>
          <w:shd w:val="clear" w:color="auto" w:fill="FFFFFF"/>
        </w:rPr>
        <w:t xml:space="preserve"> which regulates the number of standards regarding the recycling of plastics within various areas. </w:t>
      </w:r>
      <w:r w:rsidR="00341E2D" w:rsidRPr="003A204C">
        <w:rPr>
          <w:rFonts w:cstheme="minorHAnsi"/>
          <w:sz w:val="24"/>
          <w:szCs w:val="24"/>
          <w:shd w:val="clear" w:color="auto" w:fill="FFFFFF"/>
        </w:rPr>
        <w:t xml:space="preserve">Any business </w:t>
      </w:r>
      <w:r w:rsidR="00714ACD" w:rsidRPr="003A204C">
        <w:rPr>
          <w:rFonts w:cstheme="minorHAnsi"/>
          <w:sz w:val="24"/>
          <w:szCs w:val="24"/>
          <w:shd w:val="clear" w:color="auto" w:fill="FFFFFF"/>
        </w:rPr>
        <w:t>that</w:t>
      </w:r>
      <w:r w:rsidR="00341E2D" w:rsidRPr="003A204C">
        <w:rPr>
          <w:rFonts w:cstheme="minorHAnsi"/>
          <w:sz w:val="24"/>
          <w:szCs w:val="24"/>
          <w:shd w:val="clear" w:color="auto" w:fill="FFFFFF"/>
        </w:rPr>
        <w:t xml:space="preserve"> wishes to operate a plastic recycling plant must contact the Plastic Regulatory Authority and apply for the license. The Environmental Protection Act stipulates that all applications made for a license must be displayed at the proposed site itself, online</w:t>
      </w:r>
      <w:r w:rsidR="00714ACD" w:rsidRPr="003A204C">
        <w:rPr>
          <w:rFonts w:cstheme="minorHAnsi"/>
          <w:sz w:val="24"/>
          <w:szCs w:val="24"/>
          <w:shd w:val="clear" w:color="auto" w:fill="FFFFFF"/>
        </w:rPr>
        <w:t>,</w:t>
      </w:r>
      <w:r w:rsidR="00341E2D" w:rsidRPr="003A204C">
        <w:rPr>
          <w:rFonts w:cstheme="minorHAnsi"/>
          <w:sz w:val="24"/>
          <w:szCs w:val="24"/>
          <w:shd w:val="clear" w:color="auto" w:fill="FFFFFF"/>
        </w:rPr>
        <w:t xml:space="preserve"> and in the local newspaper</w:t>
      </w:r>
      <w:r w:rsidR="00797E7F" w:rsidRPr="003A204C">
        <w:rPr>
          <w:rFonts w:cstheme="minorHAnsi"/>
          <w:sz w:val="24"/>
          <w:szCs w:val="24"/>
          <w:shd w:val="clear" w:color="auto" w:fill="FFFFFF"/>
        </w:rPr>
        <w:t xml:space="preserve"> (Dryzek</w:t>
      </w:r>
      <w:r w:rsidR="00DB30F0" w:rsidRPr="003A204C">
        <w:rPr>
          <w:rFonts w:cstheme="minorHAnsi"/>
          <w:sz w:val="24"/>
          <w:szCs w:val="24"/>
          <w:shd w:val="clear" w:color="auto" w:fill="FFFFFF"/>
        </w:rPr>
        <w:t>, et al.,</w:t>
      </w:r>
      <w:r w:rsidR="00797E7F" w:rsidRPr="003A204C">
        <w:rPr>
          <w:rFonts w:cstheme="minorHAnsi"/>
          <w:sz w:val="24"/>
          <w:szCs w:val="24"/>
          <w:shd w:val="clear" w:color="auto" w:fill="FFFFFF"/>
        </w:rPr>
        <w:t xml:space="preserve"> 2003)</w:t>
      </w:r>
      <w:r w:rsidR="00341E2D" w:rsidRPr="003A204C">
        <w:rPr>
          <w:rFonts w:cstheme="minorHAnsi"/>
          <w:sz w:val="24"/>
          <w:szCs w:val="24"/>
          <w:shd w:val="clear" w:color="auto" w:fill="FFFFFF"/>
        </w:rPr>
        <w:t>. 'Norton Solutions plc' as of late applied to the PRA for a permit to open another reusing plant in The Mumbles, Swansea. A week ago the 'Norton Solutions plc' permit was declined based on the PRA strategy to just concede a permit for one reusing plant inside one territory. Another organiz</w:t>
      </w:r>
      <w:r w:rsidR="00D733BF" w:rsidRPr="003A204C">
        <w:rPr>
          <w:rFonts w:cstheme="minorHAnsi"/>
          <w:sz w:val="24"/>
          <w:szCs w:val="24"/>
          <w:shd w:val="clear" w:color="auto" w:fill="FFFFFF"/>
        </w:rPr>
        <w:t>ation in Swansea, 'Westcross Plc</w:t>
      </w:r>
      <w:r w:rsidR="00341E2D" w:rsidRPr="003A204C">
        <w:rPr>
          <w:rFonts w:cstheme="minorHAnsi"/>
          <w:sz w:val="24"/>
          <w:szCs w:val="24"/>
          <w:shd w:val="clear" w:color="auto" w:fill="FFFFFF"/>
        </w:rPr>
        <w:t xml:space="preserve">' has just been allowed the permit for the Swansea </w:t>
      </w:r>
      <w:r w:rsidR="007753FA" w:rsidRPr="003A204C">
        <w:rPr>
          <w:rFonts w:cstheme="minorHAnsi"/>
          <w:sz w:val="24"/>
          <w:szCs w:val="24"/>
          <w:shd w:val="clear" w:color="auto" w:fill="FFFFFF"/>
        </w:rPr>
        <w:t>zone. Anyway 'Norton Solutions P</w:t>
      </w:r>
      <w:r w:rsidR="00341E2D" w:rsidRPr="003A204C">
        <w:rPr>
          <w:rFonts w:cstheme="minorHAnsi"/>
          <w:sz w:val="24"/>
          <w:szCs w:val="24"/>
          <w:shd w:val="clear" w:color="auto" w:fill="FFFFFF"/>
        </w:rPr>
        <w:t>lc' has proof recommen</w:t>
      </w:r>
      <w:r w:rsidR="00D733BF" w:rsidRPr="003A204C">
        <w:rPr>
          <w:rFonts w:cstheme="minorHAnsi"/>
          <w:sz w:val="24"/>
          <w:szCs w:val="24"/>
          <w:shd w:val="clear" w:color="auto" w:fill="FFFFFF"/>
        </w:rPr>
        <w:t>ding 'Westcross Plc</w:t>
      </w:r>
      <w:r w:rsidR="00714ACD" w:rsidRPr="003A204C">
        <w:rPr>
          <w:rFonts w:cstheme="minorHAnsi"/>
          <w:sz w:val="24"/>
          <w:szCs w:val="24"/>
          <w:shd w:val="clear" w:color="auto" w:fill="FFFFFF"/>
        </w:rPr>
        <w:t>’</w:t>
      </w:r>
      <w:r w:rsidR="00341E2D" w:rsidRPr="003A204C">
        <w:rPr>
          <w:rFonts w:cstheme="minorHAnsi"/>
          <w:sz w:val="24"/>
          <w:szCs w:val="24"/>
          <w:shd w:val="clear" w:color="auto" w:fill="FFFFFF"/>
        </w:rPr>
        <w:t xml:space="preserve"> won't have the option to satisfy the nearby need for plastics r</w:t>
      </w:r>
      <w:r w:rsidR="00994088" w:rsidRPr="003A204C">
        <w:rPr>
          <w:rFonts w:cstheme="minorHAnsi"/>
          <w:sz w:val="24"/>
          <w:szCs w:val="24"/>
          <w:shd w:val="clear" w:color="auto" w:fill="FFFFFF"/>
        </w:rPr>
        <w:t>eusing. Three months ago</w:t>
      </w:r>
      <w:r w:rsidR="00341E2D" w:rsidRPr="003A204C">
        <w:rPr>
          <w:rFonts w:cstheme="minorHAnsi"/>
          <w:sz w:val="24"/>
          <w:szCs w:val="24"/>
          <w:shd w:val="clear" w:color="auto" w:fill="FFFFFF"/>
        </w:rPr>
        <w:t xml:space="preserve">, the PRA likewise allowed a permit to LakeRec Ltd for another plastic reusing plant a nature hold in Swansea. The PRA supported its choice expressing </w:t>
      </w:r>
      <w:r w:rsidR="00714ACD" w:rsidRPr="003A204C">
        <w:rPr>
          <w:rFonts w:cstheme="minorHAnsi"/>
          <w:sz w:val="24"/>
          <w:szCs w:val="24"/>
          <w:shd w:val="clear" w:color="auto" w:fill="FFFFFF"/>
        </w:rPr>
        <w:t xml:space="preserve">that </w:t>
      </w:r>
      <w:r w:rsidR="00341E2D" w:rsidRPr="003A204C">
        <w:rPr>
          <w:rFonts w:cstheme="minorHAnsi"/>
          <w:sz w:val="24"/>
          <w:szCs w:val="24"/>
          <w:shd w:val="clear" w:color="auto" w:fill="FFFFFF"/>
        </w:rPr>
        <w:t>LakeRec Ltd had demonstrated how the new reusing plant would help animate financial development in the denied territory</w:t>
      </w:r>
      <w:r w:rsidR="00994088" w:rsidRPr="003A204C">
        <w:rPr>
          <w:rFonts w:cstheme="minorHAnsi"/>
          <w:sz w:val="24"/>
          <w:szCs w:val="24"/>
          <w:shd w:val="clear" w:color="auto" w:fill="FFFFFF"/>
        </w:rPr>
        <w:t xml:space="preserve">. The Nature Reserve Trust ('NRT'), a group </w:t>
      </w:r>
      <w:r w:rsidR="00714ACD" w:rsidRPr="003A204C">
        <w:rPr>
          <w:rFonts w:cstheme="minorHAnsi"/>
          <w:sz w:val="24"/>
          <w:szCs w:val="24"/>
          <w:shd w:val="clear" w:color="auto" w:fill="FFFFFF"/>
        </w:rPr>
        <w:t>that</w:t>
      </w:r>
      <w:r w:rsidR="00994088" w:rsidRPr="003A204C">
        <w:rPr>
          <w:rFonts w:cstheme="minorHAnsi"/>
          <w:sz w:val="24"/>
          <w:szCs w:val="24"/>
          <w:shd w:val="clear" w:color="auto" w:fill="FFFFFF"/>
        </w:rPr>
        <w:t xml:space="preserve"> campaigns nationwide on ecological issues, is worried that </w:t>
      </w:r>
      <w:r w:rsidR="00714ACD" w:rsidRPr="003A204C">
        <w:rPr>
          <w:rFonts w:cstheme="minorHAnsi"/>
          <w:sz w:val="24"/>
          <w:szCs w:val="24"/>
          <w:shd w:val="clear" w:color="auto" w:fill="FFFFFF"/>
        </w:rPr>
        <w:t>even though</w:t>
      </w:r>
      <w:r w:rsidR="00994088" w:rsidRPr="003A204C">
        <w:rPr>
          <w:rFonts w:cstheme="minorHAnsi"/>
          <w:sz w:val="24"/>
          <w:szCs w:val="24"/>
          <w:shd w:val="clear" w:color="auto" w:fill="FFFFFF"/>
        </w:rPr>
        <w:t xml:space="preserve"> the notification about the permit application w</w:t>
      </w:r>
      <w:r w:rsidR="00256EE7" w:rsidRPr="003A204C">
        <w:rPr>
          <w:rFonts w:cstheme="minorHAnsi"/>
          <w:sz w:val="24"/>
          <w:szCs w:val="24"/>
          <w:shd w:val="clear" w:color="auto" w:fill="FFFFFF"/>
        </w:rPr>
        <w:t>as distributed in a local</w:t>
      </w:r>
      <w:r w:rsidR="00994088" w:rsidRPr="003A204C">
        <w:rPr>
          <w:rFonts w:cstheme="minorHAnsi"/>
          <w:sz w:val="24"/>
          <w:szCs w:val="24"/>
          <w:shd w:val="clear" w:color="auto" w:fill="FFFFFF"/>
        </w:rPr>
        <w:t xml:space="preserve"> </w:t>
      </w:r>
      <w:r w:rsidR="00256EE7" w:rsidRPr="003A204C">
        <w:rPr>
          <w:rFonts w:cstheme="minorHAnsi"/>
          <w:sz w:val="24"/>
          <w:szCs w:val="24"/>
          <w:shd w:val="clear" w:color="auto" w:fill="FFFFFF"/>
        </w:rPr>
        <w:t>newspaper;</w:t>
      </w:r>
      <w:r w:rsidR="00994088" w:rsidRPr="003A204C">
        <w:rPr>
          <w:rFonts w:cstheme="minorHAnsi"/>
          <w:sz w:val="24"/>
          <w:szCs w:val="24"/>
          <w:shd w:val="clear" w:color="auto" w:fill="FFFFFF"/>
        </w:rPr>
        <w:t xml:space="preserve"> it was not distributed on the web or at the website itself. This implied that most clients of nature save were unconscious of the proposed reusing plant and couldn't advance their interests </w:t>
      </w:r>
      <w:r w:rsidR="00714ACD" w:rsidRPr="003A204C">
        <w:rPr>
          <w:rFonts w:cstheme="minorHAnsi"/>
          <w:sz w:val="24"/>
          <w:szCs w:val="24"/>
          <w:shd w:val="clear" w:color="auto" w:fill="FFFFFF"/>
        </w:rPr>
        <w:t>concerning</w:t>
      </w:r>
      <w:r w:rsidR="00994088" w:rsidRPr="003A204C">
        <w:rPr>
          <w:rFonts w:cstheme="minorHAnsi"/>
          <w:sz w:val="24"/>
          <w:szCs w:val="24"/>
          <w:shd w:val="clear" w:color="auto" w:fill="FFFFFF"/>
        </w:rPr>
        <w:t xml:space="preserve"> its ecological effect. Because of the restricted exposure </w:t>
      </w:r>
      <w:r w:rsidR="00714ACD" w:rsidRPr="003A204C">
        <w:rPr>
          <w:rFonts w:cstheme="minorHAnsi"/>
          <w:sz w:val="24"/>
          <w:szCs w:val="24"/>
          <w:shd w:val="clear" w:color="auto" w:fill="FFFFFF"/>
        </w:rPr>
        <w:t>for</w:t>
      </w:r>
      <w:r w:rsidR="00994088" w:rsidRPr="003A204C">
        <w:rPr>
          <w:rFonts w:cstheme="minorHAnsi"/>
          <w:sz w:val="24"/>
          <w:szCs w:val="24"/>
          <w:shd w:val="clear" w:color="auto" w:fill="FFFFFF"/>
        </w:rPr>
        <w:t xml:space="preserve"> the proposition, the NRT just found out about the choice to give 'LakeRec Ltd' a couple of days prior</w:t>
      </w:r>
      <w:r w:rsidR="00413E56" w:rsidRPr="003A204C">
        <w:rPr>
          <w:rFonts w:cstheme="minorHAnsi"/>
          <w:sz w:val="24"/>
          <w:szCs w:val="24"/>
          <w:shd w:val="clear" w:color="auto" w:fill="FFFFFF"/>
        </w:rPr>
        <w:t xml:space="preserve"> (Sax, and Conner, 1972)</w:t>
      </w:r>
      <w:r w:rsidR="00994088" w:rsidRPr="003A204C">
        <w:rPr>
          <w:rFonts w:cstheme="minorHAnsi"/>
          <w:sz w:val="24"/>
          <w:szCs w:val="24"/>
          <w:shd w:val="clear" w:color="auto" w:fill="FFFFFF"/>
        </w:rPr>
        <w:t>.</w:t>
      </w:r>
    </w:p>
    <w:p w:rsidR="00264BFA" w:rsidRPr="003A204C" w:rsidRDefault="00264BFA" w:rsidP="00906470">
      <w:pPr>
        <w:spacing w:after="240" w:line="360" w:lineRule="auto"/>
        <w:jc w:val="both"/>
        <w:rPr>
          <w:rFonts w:cstheme="minorHAnsi"/>
          <w:sz w:val="24"/>
          <w:szCs w:val="24"/>
          <w:shd w:val="clear" w:color="auto" w:fill="FFFFFF"/>
        </w:rPr>
      </w:pPr>
      <w:r w:rsidRPr="003A204C">
        <w:rPr>
          <w:rFonts w:cstheme="minorHAnsi"/>
          <w:sz w:val="24"/>
          <w:szCs w:val="24"/>
          <w:shd w:val="clear" w:color="auto" w:fill="FFFFFF"/>
        </w:rPr>
        <w:t>Norton Solutions Plc with following all the rules and regulations proposed by the Environmental Protection Act can apply for the license to operate a plastic recycling plant</w:t>
      </w:r>
      <w:r w:rsidR="007D31B0" w:rsidRPr="003A204C">
        <w:rPr>
          <w:rFonts w:cstheme="minorHAnsi"/>
          <w:sz w:val="24"/>
          <w:szCs w:val="24"/>
          <w:shd w:val="clear" w:color="auto" w:fill="FFFFFF"/>
        </w:rPr>
        <w:t>. H</w:t>
      </w:r>
      <w:r w:rsidRPr="003A204C">
        <w:rPr>
          <w:rFonts w:cstheme="minorHAnsi"/>
          <w:sz w:val="24"/>
          <w:szCs w:val="24"/>
          <w:shd w:val="clear" w:color="auto" w:fill="FFFFFF"/>
        </w:rPr>
        <w:t xml:space="preserve">owever, as per </w:t>
      </w:r>
      <w:r w:rsidR="00714ACD" w:rsidRPr="003A204C">
        <w:rPr>
          <w:rFonts w:cstheme="minorHAnsi"/>
          <w:sz w:val="24"/>
          <w:szCs w:val="24"/>
          <w:shd w:val="clear" w:color="auto" w:fill="FFFFFF"/>
        </w:rPr>
        <w:t xml:space="preserve">the </w:t>
      </w:r>
      <w:r w:rsidRPr="003A204C">
        <w:rPr>
          <w:rFonts w:cstheme="minorHAnsi"/>
          <w:sz w:val="24"/>
          <w:szCs w:val="24"/>
          <w:shd w:val="clear" w:color="auto" w:fill="FFFFFF"/>
        </w:rPr>
        <w:t xml:space="preserve">policy of </w:t>
      </w:r>
      <w:r w:rsidR="00714ACD" w:rsidRPr="003A204C">
        <w:rPr>
          <w:rFonts w:cstheme="minorHAnsi"/>
          <w:sz w:val="24"/>
          <w:szCs w:val="24"/>
          <w:shd w:val="clear" w:color="auto" w:fill="FFFFFF"/>
        </w:rPr>
        <w:t xml:space="preserve">the </w:t>
      </w:r>
      <w:r w:rsidRPr="003A204C">
        <w:rPr>
          <w:rFonts w:cstheme="minorHAnsi"/>
          <w:sz w:val="24"/>
          <w:szCs w:val="24"/>
          <w:shd w:val="clear" w:color="auto" w:fill="FFFFFF"/>
        </w:rPr>
        <w:t>Plastic Regulatory Authority</w:t>
      </w:r>
      <w:r w:rsidR="00714ACD" w:rsidRPr="003A204C">
        <w:rPr>
          <w:rFonts w:cstheme="minorHAnsi"/>
          <w:sz w:val="24"/>
          <w:szCs w:val="24"/>
          <w:shd w:val="clear" w:color="auto" w:fill="FFFFFF"/>
        </w:rPr>
        <w:t>,</w:t>
      </w:r>
      <w:r w:rsidRPr="003A204C">
        <w:rPr>
          <w:rFonts w:cstheme="minorHAnsi"/>
          <w:sz w:val="24"/>
          <w:szCs w:val="24"/>
          <w:shd w:val="clear" w:color="auto" w:fill="FFFFFF"/>
        </w:rPr>
        <w:t xml:space="preserve"> only one company can be </w:t>
      </w:r>
      <w:r w:rsidR="00F607A4" w:rsidRPr="003A204C">
        <w:rPr>
          <w:rFonts w:cstheme="minorHAnsi"/>
          <w:sz w:val="24"/>
          <w:szCs w:val="24"/>
          <w:shd w:val="clear" w:color="auto" w:fill="FFFFFF"/>
        </w:rPr>
        <w:t>established in the area. Norton Solutions Plc wants to op</w:t>
      </w:r>
      <w:r w:rsidR="006A3807" w:rsidRPr="003A204C">
        <w:rPr>
          <w:rFonts w:cstheme="minorHAnsi"/>
          <w:sz w:val="24"/>
          <w:szCs w:val="24"/>
          <w:shd w:val="clear" w:color="auto" w:fill="FFFFFF"/>
        </w:rPr>
        <w:t>en the recycling plant in the Mu</w:t>
      </w:r>
      <w:r w:rsidR="00F607A4" w:rsidRPr="003A204C">
        <w:rPr>
          <w:rFonts w:cstheme="minorHAnsi"/>
          <w:sz w:val="24"/>
          <w:szCs w:val="24"/>
          <w:shd w:val="clear" w:color="auto" w:fill="FFFFFF"/>
        </w:rPr>
        <w:t>m</w:t>
      </w:r>
      <w:r w:rsidR="006A3807" w:rsidRPr="003A204C">
        <w:rPr>
          <w:rFonts w:cstheme="minorHAnsi"/>
          <w:sz w:val="24"/>
          <w:szCs w:val="24"/>
          <w:shd w:val="clear" w:color="auto" w:fill="FFFFFF"/>
        </w:rPr>
        <w:t>b</w:t>
      </w:r>
      <w:r w:rsidR="00F607A4" w:rsidRPr="003A204C">
        <w:rPr>
          <w:rFonts w:cstheme="minorHAnsi"/>
          <w:sz w:val="24"/>
          <w:szCs w:val="24"/>
          <w:shd w:val="clear" w:color="auto" w:fill="FFFFFF"/>
        </w:rPr>
        <w:t>les, Swansea area</w:t>
      </w:r>
      <w:r w:rsidR="007D31B0" w:rsidRPr="003A204C">
        <w:rPr>
          <w:rFonts w:cstheme="minorHAnsi"/>
          <w:sz w:val="24"/>
          <w:szCs w:val="24"/>
          <w:shd w:val="clear" w:color="auto" w:fill="FFFFFF"/>
        </w:rPr>
        <w:t>,</w:t>
      </w:r>
      <w:r w:rsidR="00F607A4" w:rsidRPr="003A204C">
        <w:rPr>
          <w:rFonts w:cstheme="minorHAnsi"/>
          <w:sz w:val="24"/>
          <w:szCs w:val="24"/>
          <w:shd w:val="clear" w:color="auto" w:fill="FFFFFF"/>
        </w:rPr>
        <w:t xml:space="preserve"> however</w:t>
      </w:r>
      <w:r w:rsidR="007D31B0" w:rsidRPr="003A204C">
        <w:rPr>
          <w:rFonts w:cstheme="minorHAnsi"/>
          <w:sz w:val="24"/>
          <w:szCs w:val="24"/>
          <w:shd w:val="clear" w:color="auto" w:fill="FFFFFF"/>
        </w:rPr>
        <w:t>,</w:t>
      </w:r>
      <w:r w:rsidR="00F607A4" w:rsidRPr="003A204C">
        <w:rPr>
          <w:rFonts w:cstheme="minorHAnsi"/>
          <w:sz w:val="24"/>
          <w:szCs w:val="24"/>
          <w:shd w:val="clear" w:color="auto" w:fill="FFFFFF"/>
        </w:rPr>
        <w:t xml:space="preserve"> another company Westcross Plc has already been granted the license in the Swansea area. </w:t>
      </w:r>
      <w:r w:rsidR="007D31B0" w:rsidRPr="003A204C">
        <w:rPr>
          <w:rFonts w:cstheme="minorHAnsi"/>
          <w:sz w:val="24"/>
          <w:szCs w:val="24"/>
          <w:shd w:val="clear" w:color="auto" w:fill="FFFFFF"/>
        </w:rPr>
        <w:t>The Norton Solutions P</w:t>
      </w:r>
      <w:r w:rsidR="006A3807" w:rsidRPr="003A204C">
        <w:rPr>
          <w:rFonts w:cstheme="minorHAnsi"/>
          <w:sz w:val="24"/>
          <w:szCs w:val="24"/>
          <w:shd w:val="clear" w:color="auto" w:fill="FFFFFF"/>
        </w:rPr>
        <w:t>lc claims for the Westcross</w:t>
      </w:r>
      <w:r w:rsidR="007D31B0" w:rsidRPr="003A204C">
        <w:rPr>
          <w:rFonts w:cstheme="minorHAnsi"/>
          <w:sz w:val="24"/>
          <w:szCs w:val="24"/>
          <w:shd w:val="clear" w:color="auto" w:fill="FFFFFF"/>
        </w:rPr>
        <w:t xml:space="preserve"> P</w:t>
      </w:r>
      <w:r w:rsidR="006A3807" w:rsidRPr="003A204C">
        <w:rPr>
          <w:rFonts w:cstheme="minorHAnsi"/>
          <w:sz w:val="24"/>
          <w:szCs w:val="24"/>
          <w:shd w:val="clear" w:color="auto" w:fill="FFFFFF"/>
        </w:rPr>
        <w:t xml:space="preserve">lc for not meeting the local demands for </w:t>
      </w:r>
      <w:r w:rsidR="006A3807" w:rsidRPr="003A204C">
        <w:rPr>
          <w:rFonts w:cstheme="minorHAnsi"/>
          <w:sz w:val="24"/>
          <w:szCs w:val="24"/>
          <w:shd w:val="clear" w:color="auto" w:fill="FFFFFF"/>
        </w:rPr>
        <w:lastRenderedPageBreak/>
        <w:t xml:space="preserve">recycling of the plastics and has appropriate evidence. </w:t>
      </w:r>
      <w:r w:rsidR="00020716" w:rsidRPr="003A204C">
        <w:rPr>
          <w:rFonts w:cstheme="minorHAnsi"/>
          <w:sz w:val="24"/>
          <w:szCs w:val="24"/>
          <w:shd w:val="clear" w:color="auto" w:fill="FFFFFF"/>
        </w:rPr>
        <w:t>The Plastic Regulatory Authority has also provided the license to LakeRec Ltd three months ago for the plastic recycling plant in the same area of Swansea. This has been changed and the new license</w:t>
      </w:r>
      <w:r w:rsidR="00CC6946" w:rsidRPr="003A204C">
        <w:rPr>
          <w:rFonts w:cstheme="minorHAnsi"/>
          <w:sz w:val="24"/>
          <w:szCs w:val="24"/>
          <w:shd w:val="clear" w:color="auto" w:fill="FFFFFF"/>
        </w:rPr>
        <w:t xml:space="preserve"> was provided to the West</w:t>
      </w:r>
      <w:r w:rsidR="00714ACD" w:rsidRPr="003A204C">
        <w:rPr>
          <w:rFonts w:cstheme="minorHAnsi"/>
          <w:sz w:val="24"/>
          <w:szCs w:val="24"/>
          <w:shd w:val="clear" w:color="auto" w:fill="FFFFFF"/>
        </w:rPr>
        <w:t xml:space="preserve"> </w:t>
      </w:r>
      <w:r w:rsidR="00CC6946" w:rsidRPr="003A204C">
        <w:rPr>
          <w:rFonts w:cstheme="minorHAnsi"/>
          <w:sz w:val="24"/>
          <w:szCs w:val="24"/>
          <w:shd w:val="clear" w:color="auto" w:fill="FFFFFF"/>
        </w:rPr>
        <w:t>cross P</w:t>
      </w:r>
      <w:r w:rsidR="00020716" w:rsidRPr="003A204C">
        <w:rPr>
          <w:rFonts w:cstheme="minorHAnsi"/>
          <w:sz w:val="24"/>
          <w:szCs w:val="24"/>
          <w:shd w:val="clear" w:color="auto" w:fill="FFFFFF"/>
        </w:rPr>
        <w:t>lc and if the Westcross can be found guilty for not meeting the local demand</w:t>
      </w:r>
      <w:r w:rsidR="00CC6946" w:rsidRPr="003A204C">
        <w:rPr>
          <w:rFonts w:cstheme="minorHAnsi"/>
          <w:sz w:val="24"/>
          <w:szCs w:val="24"/>
          <w:shd w:val="clear" w:color="auto" w:fill="FFFFFF"/>
        </w:rPr>
        <w:t>,</w:t>
      </w:r>
      <w:r w:rsidR="00020716" w:rsidRPr="003A204C">
        <w:rPr>
          <w:rFonts w:cstheme="minorHAnsi"/>
          <w:sz w:val="24"/>
          <w:szCs w:val="24"/>
          <w:shd w:val="clear" w:color="auto" w:fill="FFFFFF"/>
        </w:rPr>
        <w:t xml:space="preserve"> the Plastic Regulatory Authority and Environmental Protection Act needs to checks for the business of </w:t>
      </w:r>
      <w:r w:rsidR="00CC6946" w:rsidRPr="003A204C">
        <w:rPr>
          <w:rFonts w:cstheme="minorHAnsi"/>
          <w:sz w:val="24"/>
          <w:szCs w:val="24"/>
          <w:shd w:val="clear" w:color="auto" w:fill="FFFFFF"/>
        </w:rPr>
        <w:t>the West</w:t>
      </w:r>
      <w:r w:rsidR="00714ACD" w:rsidRPr="003A204C">
        <w:rPr>
          <w:rFonts w:cstheme="minorHAnsi"/>
          <w:sz w:val="24"/>
          <w:szCs w:val="24"/>
          <w:shd w:val="clear" w:color="auto" w:fill="FFFFFF"/>
        </w:rPr>
        <w:t xml:space="preserve"> </w:t>
      </w:r>
      <w:r w:rsidR="00CC6946" w:rsidRPr="003A204C">
        <w:rPr>
          <w:rFonts w:cstheme="minorHAnsi"/>
          <w:sz w:val="24"/>
          <w:szCs w:val="24"/>
          <w:shd w:val="clear" w:color="auto" w:fill="FFFFFF"/>
        </w:rPr>
        <w:t>cross P</w:t>
      </w:r>
      <w:r w:rsidR="0098000B" w:rsidRPr="003A204C">
        <w:rPr>
          <w:rFonts w:cstheme="minorHAnsi"/>
          <w:sz w:val="24"/>
          <w:szCs w:val="24"/>
          <w:shd w:val="clear" w:color="auto" w:fill="FFFFFF"/>
        </w:rPr>
        <w:t xml:space="preserve">lc and should provide the license to </w:t>
      </w:r>
      <w:r w:rsidR="00714ACD" w:rsidRPr="003A204C">
        <w:rPr>
          <w:rFonts w:cstheme="minorHAnsi"/>
          <w:sz w:val="24"/>
          <w:szCs w:val="24"/>
          <w:shd w:val="clear" w:color="auto" w:fill="FFFFFF"/>
        </w:rPr>
        <w:t xml:space="preserve">the </w:t>
      </w:r>
      <w:r w:rsidR="0098000B" w:rsidRPr="003A204C">
        <w:rPr>
          <w:rFonts w:cstheme="minorHAnsi"/>
          <w:sz w:val="24"/>
          <w:szCs w:val="24"/>
          <w:shd w:val="clear" w:color="auto" w:fill="FFFFFF"/>
        </w:rPr>
        <w:t xml:space="preserve">new company. </w:t>
      </w:r>
      <w:r w:rsidR="003A371B" w:rsidRPr="003A204C">
        <w:rPr>
          <w:rFonts w:cstheme="minorHAnsi"/>
          <w:sz w:val="24"/>
          <w:szCs w:val="24"/>
          <w:shd w:val="clear" w:color="auto" w:fill="FFFFFF"/>
        </w:rPr>
        <w:t xml:space="preserve">The timely checks need to be conducted and the relevant clauses are to be determined with what they are doing in the business process. </w:t>
      </w:r>
      <w:r w:rsidR="00F03F57" w:rsidRPr="003A204C">
        <w:rPr>
          <w:rFonts w:cstheme="minorHAnsi"/>
          <w:sz w:val="24"/>
          <w:szCs w:val="24"/>
          <w:shd w:val="clear" w:color="auto" w:fill="FFFFFF"/>
        </w:rPr>
        <w:t>All the regulatory act</w:t>
      </w:r>
      <w:r w:rsidR="00714ACD" w:rsidRPr="003A204C">
        <w:rPr>
          <w:rFonts w:cstheme="minorHAnsi"/>
          <w:sz w:val="24"/>
          <w:szCs w:val="24"/>
          <w:shd w:val="clear" w:color="auto" w:fill="FFFFFF"/>
        </w:rPr>
        <w:t>s</w:t>
      </w:r>
      <w:r w:rsidR="00F03F57" w:rsidRPr="003A204C">
        <w:rPr>
          <w:rFonts w:cstheme="minorHAnsi"/>
          <w:sz w:val="24"/>
          <w:szCs w:val="24"/>
          <w:shd w:val="clear" w:color="auto" w:fill="FFFFFF"/>
        </w:rPr>
        <w:t xml:space="preserve"> and the c</w:t>
      </w:r>
      <w:r w:rsidR="00196AE8" w:rsidRPr="003A204C">
        <w:rPr>
          <w:rFonts w:cstheme="minorHAnsi"/>
          <w:sz w:val="24"/>
          <w:szCs w:val="24"/>
          <w:shd w:val="clear" w:color="auto" w:fill="FFFFFF"/>
        </w:rPr>
        <w:t xml:space="preserve">lauses are to be cross verified, </w:t>
      </w:r>
      <w:r w:rsidR="00F03F57" w:rsidRPr="003A204C">
        <w:rPr>
          <w:rFonts w:cstheme="minorHAnsi"/>
          <w:sz w:val="24"/>
          <w:szCs w:val="24"/>
          <w:shd w:val="clear" w:color="auto" w:fill="FFFFFF"/>
        </w:rPr>
        <w:t xml:space="preserve">established companies and new companies are to be given authority for the same work when they are found to be misconduct. </w:t>
      </w:r>
      <w:r w:rsidR="00196AE8" w:rsidRPr="003A204C">
        <w:rPr>
          <w:rFonts w:cstheme="minorHAnsi"/>
          <w:sz w:val="24"/>
          <w:szCs w:val="24"/>
          <w:shd w:val="clear" w:color="auto" w:fill="FFFFFF"/>
        </w:rPr>
        <w:t xml:space="preserve">Norton Solutions Plc </w:t>
      </w:r>
      <w:r w:rsidR="001D1F8D" w:rsidRPr="003A204C">
        <w:rPr>
          <w:rFonts w:cstheme="minorHAnsi"/>
          <w:sz w:val="24"/>
          <w:szCs w:val="24"/>
          <w:shd w:val="clear" w:color="auto" w:fill="FFFFFF"/>
        </w:rPr>
        <w:t xml:space="preserve">can </w:t>
      </w:r>
      <w:r w:rsidR="00714ACD" w:rsidRPr="003A204C">
        <w:rPr>
          <w:rFonts w:cstheme="minorHAnsi"/>
          <w:sz w:val="24"/>
          <w:szCs w:val="24"/>
          <w:shd w:val="clear" w:color="auto" w:fill="FFFFFF"/>
        </w:rPr>
        <w:t>claim</w:t>
      </w:r>
      <w:r w:rsidR="001D1F8D" w:rsidRPr="003A204C">
        <w:rPr>
          <w:rFonts w:cstheme="minorHAnsi"/>
          <w:sz w:val="24"/>
          <w:szCs w:val="24"/>
          <w:shd w:val="clear" w:color="auto" w:fill="FFFFFF"/>
        </w:rPr>
        <w:t xml:space="preserve"> the judicial review of the decisions affecting it and </w:t>
      </w:r>
      <w:r w:rsidR="00196AE8" w:rsidRPr="003A204C">
        <w:rPr>
          <w:rFonts w:cstheme="minorHAnsi"/>
          <w:sz w:val="24"/>
          <w:szCs w:val="24"/>
          <w:shd w:val="clear" w:color="auto" w:fill="FFFFFF"/>
        </w:rPr>
        <w:t>succeed</w:t>
      </w:r>
      <w:r w:rsidR="001D1F8D" w:rsidRPr="003A204C">
        <w:rPr>
          <w:rFonts w:cstheme="minorHAnsi"/>
          <w:sz w:val="24"/>
          <w:szCs w:val="24"/>
          <w:shd w:val="clear" w:color="auto" w:fill="FFFFFF"/>
        </w:rPr>
        <w:t xml:space="preserve"> with showing</w:t>
      </w:r>
      <w:r w:rsidR="005B1025" w:rsidRPr="003A204C">
        <w:rPr>
          <w:rFonts w:cstheme="minorHAnsi"/>
          <w:sz w:val="24"/>
          <w:szCs w:val="24"/>
          <w:shd w:val="clear" w:color="auto" w:fill="FFFFFF"/>
        </w:rPr>
        <w:t xml:space="preserve"> the evidence of how Westcross P</w:t>
      </w:r>
      <w:r w:rsidR="001D1F8D" w:rsidRPr="003A204C">
        <w:rPr>
          <w:rFonts w:cstheme="minorHAnsi"/>
          <w:sz w:val="24"/>
          <w:szCs w:val="24"/>
          <w:shd w:val="clear" w:color="auto" w:fill="FFFFFF"/>
        </w:rPr>
        <w:t xml:space="preserve">lc is not able to meet the local demand of the recycling </w:t>
      </w:r>
      <w:r w:rsidR="00F62D85" w:rsidRPr="003A204C">
        <w:rPr>
          <w:rFonts w:cstheme="minorHAnsi"/>
          <w:sz w:val="24"/>
          <w:szCs w:val="24"/>
          <w:shd w:val="clear" w:color="auto" w:fill="FFFFFF"/>
        </w:rPr>
        <w:t>process</w:t>
      </w:r>
      <w:r w:rsidR="00DB6DCE" w:rsidRPr="003A204C">
        <w:rPr>
          <w:rFonts w:cstheme="minorHAnsi"/>
          <w:sz w:val="24"/>
          <w:szCs w:val="24"/>
          <w:shd w:val="clear" w:color="auto" w:fill="FFFFFF"/>
        </w:rPr>
        <w:t xml:space="preserve"> </w:t>
      </w:r>
      <w:r w:rsidR="00714ACD" w:rsidRPr="003A204C">
        <w:rPr>
          <w:rFonts w:cstheme="minorHAnsi"/>
          <w:sz w:val="24"/>
          <w:szCs w:val="24"/>
          <w:shd w:val="clear" w:color="auto" w:fill="FFFFFF"/>
        </w:rPr>
        <w:t>(Meek, et</w:t>
      </w:r>
      <w:r w:rsidR="00B42E57" w:rsidRPr="003A204C">
        <w:rPr>
          <w:rFonts w:cstheme="minorHAnsi"/>
          <w:sz w:val="24"/>
          <w:szCs w:val="24"/>
          <w:shd w:val="clear" w:color="auto" w:fill="FFFFFF"/>
        </w:rPr>
        <w:t xml:space="preserve"> al</w:t>
      </w:r>
      <w:r w:rsidR="00714ACD" w:rsidRPr="003A204C">
        <w:rPr>
          <w:rFonts w:cstheme="minorHAnsi"/>
          <w:sz w:val="24"/>
          <w:szCs w:val="24"/>
          <w:shd w:val="clear" w:color="auto" w:fill="FFFFFF"/>
        </w:rPr>
        <w:t xml:space="preserve">., </w:t>
      </w:r>
      <w:r w:rsidR="00B42E57" w:rsidRPr="003A204C">
        <w:rPr>
          <w:rFonts w:cstheme="minorHAnsi"/>
          <w:sz w:val="24"/>
          <w:szCs w:val="24"/>
          <w:shd w:val="clear" w:color="auto" w:fill="FFFFFF"/>
        </w:rPr>
        <w:t>1994)</w:t>
      </w:r>
      <w:r w:rsidR="001D1F8D" w:rsidRPr="003A204C">
        <w:rPr>
          <w:rFonts w:cstheme="minorHAnsi"/>
          <w:sz w:val="24"/>
          <w:szCs w:val="24"/>
          <w:shd w:val="clear" w:color="auto" w:fill="FFFFFF"/>
        </w:rPr>
        <w:t xml:space="preserve">. </w:t>
      </w:r>
    </w:p>
    <w:p w:rsidR="00441066" w:rsidRPr="003A204C" w:rsidRDefault="00F62D85" w:rsidP="00906470">
      <w:pPr>
        <w:spacing w:after="240" w:line="360" w:lineRule="auto"/>
        <w:jc w:val="both"/>
        <w:rPr>
          <w:rFonts w:cstheme="minorHAnsi"/>
          <w:sz w:val="24"/>
          <w:szCs w:val="24"/>
          <w:shd w:val="clear" w:color="auto" w:fill="FFFFFF"/>
        </w:rPr>
      </w:pPr>
      <w:r w:rsidRPr="003A204C">
        <w:rPr>
          <w:rFonts w:cstheme="minorHAnsi"/>
          <w:sz w:val="24"/>
          <w:szCs w:val="24"/>
          <w:shd w:val="clear" w:color="auto" w:fill="FFFFFF"/>
        </w:rPr>
        <w:t>Likewise</w:t>
      </w:r>
      <w:r w:rsidR="000378B2" w:rsidRPr="003A204C">
        <w:rPr>
          <w:rFonts w:cstheme="minorHAnsi"/>
          <w:sz w:val="24"/>
          <w:szCs w:val="24"/>
          <w:shd w:val="clear" w:color="auto" w:fill="FFFFFF"/>
        </w:rPr>
        <w:t xml:space="preserve">, the issues regarding the </w:t>
      </w:r>
      <w:r w:rsidRPr="003A204C">
        <w:rPr>
          <w:rFonts w:cstheme="minorHAnsi"/>
          <w:sz w:val="24"/>
          <w:szCs w:val="24"/>
          <w:shd w:val="clear" w:color="auto" w:fill="FFFFFF"/>
        </w:rPr>
        <w:t>publi</w:t>
      </w:r>
      <w:r w:rsidR="00714ACD" w:rsidRPr="003A204C">
        <w:rPr>
          <w:rFonts w:cstheme="minorHAnsi"/>
          <w:sz w:val="24"/>
          <w:szCs w:val="24"/>
          <w:shd w:val="clear" w:color="auto" w:fill="FFFFFF"/>
        </w:rPr>
        <w:t>cation</w:t>
      </w:r>
      <w:r w:rsidRPr="003A204C">
        <w:rPr>
          <w:rFonts w:cstheme="minorHAnsi"/>
          <w:sz w:val="24"/>
          <w:szCs w:val="24"/>
          <w:shd w:val="clear" w:color="auto" w:fill="FFFFFF"/>
        </w:rPr>
        <w:t xml:space="preserve"> of the notice regarding the license </w:t>
      </w:r>
      <w:r w:rsidR="00714ACD" w:rsidRPr="003A204C">
        <w:rPr>
          <w:rFonts w:cstheme="minorHAnsi"/>
          <w:sz w:val="24"/>
          <w:szCs w:val="24"/>
          <w:shd w:val="clear" w:color="auto" w:fill="FFFFFF"/>
        </w:rPr>
        <w:t>are</w:t>
      </w:r>
      <w:r w:rsidRPr="003A204C">
        <w:rPr>
          <w:rFonts w:cstheme="minorHAnsi"/>
          <w:sz w:val="24"/>
          <w:szCs w:val="24"/>
          <w:shd w:val="clear" w:color="auto" w:fill="FFFFFF"/>
        </w:rPr>
        <w:t xml:space="preserve"> to be done in </w:t>
      </w:r>
      <w:r w:rsidR="00714ACD" w:rsidRPr="003A204C">
        <w:rPr>
          <w:rFonts w:cstheme="minorHAnsi"/>
          <w:sz w:val="24"/>
          <w:szCs w:val="24"/>
          <w:shd w:val="clear" w:color="auto" w:fill="FFFFFF"/>
        </w:rPr>
        <w:t xml:space="preserve">a </w:t>
      </w:r>
      <w:r w:rsidRPr="003A204C">
        <w:rPr>
          <w:rFonts w:cstheme="minorHAnsi"/>
          <w:sz w:val="24"/>
          <w:szCs w:val="24"/>
          <w:shd w:val="clear" w:color="auto" w:fill="FFFFFF"/>
        </w:rPr>
        <w:t xml:space="preserve">newspaper as well as </w:t>
      </w:r>
      <w:r w:rsidR="00714ACD" w:rsidRPr="003A204C">
        <w:rPr>
          <w:rFonts w:cstheme="minorHAnsi"/>
          <w:sz w:val="24"/>
          <w:szCs w:val="24"/>
          <w:shd w:val="clear" w:color="auto" w:fill="FFFFFF"/>
        </w:rPr>
        <w:t>o</w:t>
      </w:r>
      <w:r w:rsidRPr="003A204C">
        <w:rPr>
          <w:rFonts w:cstheme="minorHAnsi"/>
          <w:sz w:val="24"/>
          <w:szCs w:val="24"/>
          <w:shd w:val="clear" w:color="auto" w:fill="FFFFFF"/>
        </w:rPr>
        <w:t xml:space="preserve">n </w:t>
      </w:r>
      <w:r w:rsidR="00714ACD" w:rsidRPr="003A204C">
        <w:rPr>
          <w:rFonts w:cstheme="minorHAnsi"/>
          <w:sz w:val="24"/>
          <w:szCs w:val="24"/>
          <w:shd w:val="clear" w:color="auto" w:fill="FFFFFF"/>
        </w:rPr>
        <w:t xml:space="preserve">the </w:t>
      </w:r>
      <w:r w:rsidRPr="003A204C">
        <w:rPr>
          <w:rFonts w:cstheme="minorHAnsi"/>
          <w:sz w:val="24"/>
          <w:szCs w:val="24"/>
          <w:shd w:val="clear" w:color="auto" w:fill="FFFFFF"/>
        </w:rPr>
        <w:t xml:space="preserve">website </w:t>
      </w:r>
      <w:r w:rsidR="00313BB2" w:rsidRPr="003A204C">
        <w:rPr>
          <w:rFonts w:cstheme="minorHAnsi"/>
          <w:sz w:val="24"/>
          <w:szCs w:val="24"/>
          <w:shd w:val="clear" w:color="auto" w:fill="FFFFFF"/>
        </w:rPr>
        <w:t>of Nature Reserve Trust</w:t>
      </w:r>
      <w:r w:rsidRPr="003A204C">
        <w:rPr>
          <w:rFonts w:cstheme="minorHAnsi"/>
          <w:sz w:val="24"/>
          <w:szCs w:val="24"/>
          <w:shd w:val="clear" w:color="auto" w:fill="FFFFFF"/>
        </w:rPr>
        <w:t>. NRT runs a campaign all over the nation in issues regarding environmental issues and has found that the application of license was published in a local newspaper</w:t>
      </w:r>
      <w:r w:rsidR="00313BB2" w:rsidRPr="003A204C">
        <w:rPr>
          <w:rFonts w:cstheme="minorHAnsi"/>
          <w:sz w:val="24"/>
          <w:szCs w:val="24"/>
          <w:shd w:val="clear" w:color="auto" w:fill="FFFFFF"/>
        </w:rPr>
        <w:t>,</w:t>
      </w:r>
      <w:r w:rsidRPr="003A204C">
        <w:rPr>
          <w:rFonts w:cstheme="minorHAnsi"/>
          <w:sz w:val="24"/>
          <w:szCs w:val="24"/>
          <w:shd w:val="clear" w:color="auto" w:fill="FFFFFF"/>
        </w:rPr>
        <w:t xml:space="preserve"> but not published online </w:t>
      </w:r>
      <w:r w:rsidR="00714ACD" w:rsidRPr="003A204C">
        <w:rPr>
          <w:rFonts w:cstheme="minorHAnsi"/>
          <w:sz w:val="24"/>
          <w:szCs w:val="24"/>
          <w:shd w:val="clear" w:color="auto" w:fill="FFFFFF"/>
        </w:rPr>
        <w:t>o</w:t>
      </w:r>
      <w:r w:rsidRPr="003A204C">
        <w:rPr>
          <w:rFonts w:cstheme="minorHAnsi"/>
          <w:sz w:val="24"/>
          <w:szCs w:val="24"/>
          <w:shd w:val="clear" w:color="auto" w:fill="FFFFFF"/>
        </w:rPr>
        <w:t xml:space="preserve">n the website. </w:t>
      </w:r>
      <w:r w:rsidR="00136A0B" w:rsidRPr="003A204C">
        <w:rPr>
          <w:rFonts w:cstheme="minorHAnsi"/>
          <w:sz w:val="24"/>
          <w:szCs w:val="24"/>
          <w:shd w:val="clear" w:color="auto" w:fill="FFFFFF"/>
        </w:rPr>
        <w:t xml:space="preserve">Most of the users of the nature reserve were unaware of the proposed recycling plant and could not put forward their concerns regarding the environmental impact so the NRT has found that only LakeRec Ltd was found to be provided with a license to operate a recycling plant. So NRT can also </w:t>
      </w:r>
      <w:r w:rsidR="00714ACD" w:rsidRPr="003A204C">
        <w:rPr>
          <w:rFonts w:cstheme="minorHAnsi"/>
          <w:sz w:val="24"/>
          <w:szCs w:val="24"/>
          <w:shd w:val="clear" w:color="auto" w:fill="FFFFFF"/>
        </w:rPr>
        <w:t>claim</w:t>
      </w:r>
      <w:r w:rsidR="00136A0B" w:rsidRPr="003A204C">
        <w:rPr>
          <w:rFonts w:cstheme="minorHAnsi"/>
          <w:sz w:val="24"/>
          <w:szCs w:val="24"/>
          <w:shd w:val="clear" w:color="auto" w:fill="FFFFFF"/>
        </w:rPr>
        <w:t xml:space="preserve"> the judicial review of the decisions and the claim can be succeeded. The claim can be made with the regulatory authority </w:t>
      </w:r>
      <w:r w:rsidR="00714ACD" w:rsidRPr="003A204C">
        <w:rPr>
          <w:rFonts w:cstheme="minorHAnsi"/>
          <w:sz w:val="24"/>
          <w:szCs w:val="24"/>
          <w:shd w:val="clear" w:color="auto" w:fill="FFFFFF"/>
        </w:rPr>
        <w:t>concerning</w:t>
      </w:r>
      <w:r w:rsidR="00136A0B" w:rsidRPr="003A204C">
        <w:rPr>
          <w:rFonts w:cstheme="minorHAnsi"/>
          <w:sz w:val="24"/>
          <w:szCs w:val="24"/>
          <w:shd w:val="clear" w:color="auto" w:fill="FFFFFF"/>
        </w:rPr>
        <w:t xml:space="preserve"> the Environmental Protection Act and Plastic Regulatory Authority. </w:t>
      </w:r>
    </w:p>
    <w:p w:rsidR="000E58A3" w:rsidRPr="003A204C" w:rsidRDefault="0003195D" w:rsidP="00906470">
      <w:pPr>
        <w:spacing w:after="240" w:line="360" w:lineRule="auto"/>
        <w:jc w:val="both"/>
        <w:rPr>
          <w:rFonts w:cstheme="minorHAnsi"/>
          <w:sz w:val="24"/>
          <w:szCs w:val="24"/>
          <w:shd w:val="clear" w:color="auto" w:fill="FFFFFF"/>
        </w:rPr>
      </w:pPr>
      <w:r w:rsidRPr="003A204C">
        <w:rPr>
          <w:rFonts w:cstheme="minorHAnsi"/>
          <w:sz w:val="24"/>
          <w:szCs w:val="24"/>
          <w:shd w:val="clear" w:color="auto" w:fill="FFFFFF"/>
        </w:rPr>
        <w:t xml:space="preserve">The environmental protection act was established and is working for the management of pollution from the industries. </w:t>
      </w:r>
      <w:r w:rsidR="00CB403C" w:rsidRPr="003A204C">
        <w:rPr>
          <w:rFonts w:cstheme="minorHAnsi"/>
          <w:sz w:val="24"/>
          <w:szCs w:val="24"/>
          <w:shd w:val="clear" w:color="auto" w:fill="FFFFFF"/>
        </w:rPr>
        <w:t>It addresses concerns relating to land-based waste, identifies facets of waste management</w:t>
      </w:r>
      <w:r w:rsidR="00714ACD" w:rsidRPr="003A204C">
        <w:rPr>
          <w:rFonts w:cstheme="minorHAnsi"/>
          <w:sz w:val="24"/>
          <w:szCs w:val="24"/>
          <w:shd w:val="clear" w:color="auto" w:fill="FFFFFF"/>
        </w:rPr>
        <w:t>,</w:t>
      </w:r>
      <w:r w:rsidR="00CB403C" w:rsidRPr="003A204C">
        <w:rPr>
          <w:rFonts w:cstheme="minorHAnsi"/>
          <w:sz w:val="24"/>
          <w:szCs w:val="24"/>
          <w:shd w:val="clear" w:color="auto" w:fill="FFFFFF"/>
        </w:rPr>
        <w:t xml:space="preserve"> and provides local authorities with guidance on managing such pollution. </w:t>
      </w:r>
      <w:r w:rsidR="00B35507" w:rsidRPr="003A204C">
        <w:rPr>
          <w:rFonts w:cstheme="minorHAnsi"/>
          <w:sz w:val="24"/>
          <w:szCs w:val="24"/>
          <w:shd w:val="clear" w:color="auto" w:fill="FFFFFF"/>
        </w:rPr>
        <w:t xml:space="preserve">So when the Environmental Protection Act and the Plastic Regulatory Authority are protested, they should work </w:t>
      </w:r>
      <w:r w:rsidR="00714ACD" w:rsidRPr="003A204C">
        <w:rPr>
          <w:rFonts w:cstheme="minorHAnsi"/>
          <w:sz w:val="24"/>
          <w:szCs w:val="24"/>
          <w:shd w:val="clear" w:color="auto" w:fill="FFFFFF"/>
        </w:rPr>
        <w:t>following</w:t>
      </w:r>
      <w:r w:rsidR="00B35507" w:rsidRPr="003A204C">
        <w:rPr>
          <w:rFonts w:cstheme="minorHAnsi"/>
          <w:sz w:val="24"/>
          <w:szCs w:val="24"/>
          <w:shd w:val="clear" w:color="auto" w:fill="FFFFFF"/>
        </w:rPr>
        <w:t xml:space="preserve"> their aims and mission.</w:t>
      </w:r>
    </w:p>
    <w:p w:rsidR="009F706F" w:rsidRPr="003A204C" w:rsidRDefault="00136A0B" w:rsidP="00906470">
      <w:pPr>
        <w:spacing w:after="240" w:line="360" w:lineRule="auto"/>
        <w:jc w:val="both"/>
        <w:rPr>
          <w:rFonts w:cstheme="minorHAnsi"/>
          <w:sz w:val="24"/>
          <w:szCs w:val="24"/>
          <w:shd w:val="clear" w:color="auto" w:fill="FFFFFF"/>
        </w:rPr>
      </w:pPr>
      <w:r w:rsidRPr="003A204C">
        <w:rPr>
          <w:rFonts w:cstheme="minorHAnsi"/>
          <w:sz w:val="24"/>
          <w:szCs w:val="24"/>
          <w:shd w:val="clear" w:color="auto" w:fill="FFFFFF"/>
        </w:rPr>
        <w:t xml:space="preserve"> </w:t>
      </w:r>
    </w:p>
    <w:p w:rsidR="000378B2" w:rsidRPr="003A204C" w:rsidRDefault="009F706F" w:rsidP="003A204C">
      <w:pPr>
        <w:pStyle w:val="Heading1"/>
        <w:rPr>
          <w:shd w:val="clear" w:color="auto" w:fill="FFFFFF"/>
        </w:rPr>
      </w:pPr>
      <w:bookmarkStart w:id="6" w:name="_Toc60751898"/>
      <w:r w:rsidRPr="003A204C">
        <w:rPr>
          <w:shd w:val="clear" w:color="auto" w:fill="FFFFFF"/>
        </w:rPr>
        <w:lastRenderedPageBreak/>
        <w:t>References</w:t>
      </w:r>
      <w:bookmarkEnd w:id="6"/>
      <w:r w:rsidRPr="003A204C">
        <w:rPr>
          <w:shd w:val="clear" w:color="auto" w:fill="FFFFFF"/>
        </w:rPr>
        <w:t xml:space="preserve"> </w:t>
      </w:r>
    </w:p>
    <w:p w:rsidR="00470E65" w:rsidRPr="003A204C" w:rsidRDefault="00470E65" w:rsidP="00D77654">
      <w:pPr>
        <w:spacing w:line="360" w:lineRule="auto"/>
        <w:jc w:val="both"/>
        <w:rPr>
          <w:rFonts w:cstheme="minorHAnsi"/>
          <w:sz w:val="24"/>
          <w:szCs w:val="24"/>
          <w:shd w:val="clear" w:color="auto" w:fill="FFFFFF"/>
        </w:rPr>
      </w:pPr>
      <w:r w:rsidRPr="003A204C">
        <w:rPr>
          <w:rFonts w:cstheme="minorHAnsi"/>
          <w:sz w:val="24"/>
          <w:szCs w:val="24"/>
          <w:shd w:val="clear" w:color="auto" w:fill="FFFFFF"/>
        </w:rPr>
        <w:t>Barendt, E., 2009. Freedom of expression in the United Kingdom under the Human Rights Act 1998. </w:t>
      </w:r>
      <w:r w:rsidRPr="003A204C">
        <w:rPr>
          <w:rFonts w:cstheme="minorHAnsi"/>
          <w:i/>
          <w:iCs/>
          <w:sz w:val="24"/>
          <w:szCs w:val="24"/>
          <w:shd w:val="clear" w:color="auto" w:fill="FFFFFF"/>
        </w:rPr>
        <w:t>Ind. LJ</w:t>
      </w:r>
      <w:r w:rsidRPr="003A204C">
        <w:rPr>
          <w:rFonts w:cstheme="minorHAnsi"/>
          <w:sz w:val="24"/>
          <w:szCs w:val="24"/>
          <w:shd w:val="clear" w:color="auto" w:fill="FFFFFF"/>
        </w:rPr>
        <w:t>, </w:t>
      </w:r>
      <w:r w:rsidRPr="003A204C">
        <w:rPr>
          <w:rFonts w:cstheme="minorHAnsi"/>
          <w:i/>
          <w:iCs/>
          <w:sz w:val="24"/>
          <w:szCs w:val="24"/>
          <w:shd w:val="clear" w:color="auto" w:fill="FFFFFF"/>
        </w:rPr>
        <w:t>84</w:t>
      </w:r>
      <w:r w:rsidRPr="003A204C">
        <w:rPr>
          <w:rFonts w:cstheme="minorHAnsi"/>
          <w:sz w:val="24"/>
          <w:szCs w:val="24"/>
          <w:shd w:val="clear" w:color="auto" w:fill="FFFFFF"/>
        </w:rPr>
        <w:t>, p.851.</w:t>
      </w:r>
    </w:p>
    <w:p w:rsidR="00470E65" w:rsidRPr="003A204C" w:rsidRDefault="00470E65" w:rsidP="00D77654">
      <w:pPr>
        <w:spacing w:line="360" w:lineRule="auto"/>
        <w:jc w:val="both"/>
        <w:rPr>
          <w:rFonts w:cstheme="minorHAnsi"/>
          <w:sz w:val="24"/>
          <w:szCs w:val="24"/>
          <w:shd w:val="clear" w:color="auto" w:fill="FFFFFF"/>
        </w:rPr>
      </w:pPr>
      <w:r w:rsidRPr="003A204C">
        <w:rPr>
          <w:rFonts w:cstheme="minorHAnsi"/>
          <w:sz w:val="24"/>
          <w:szCs w:val="24"/>
          <w:shd w:val="clear" w:color="auto" w:fill="FFFFFF"/>
        </w:rPr>
        <w:t>Braithwaite, N., 1997. The United Kingdom Defamation Act 1996. </w:t>
      </w:r>
      <w:r w:rsidRPr="003A204C">
        <w:rPr>
          <w:rFonts w:cstheme="minorHAnsi"/>
          <w:i/>
          <w:iCs/>
          <w:sz w:val="24"/>
          <w:szCs w:val="24"/>
          <w:shd w:val="clear" w:color="auto" w:fill="FFFFFF"/>
        </w:rPr>
        <w:t>Comm. Law.</w:t>
      </w:r>
      <w:r w:rsidRPr="003A204C">
        <w:rPr>
          <w:rFonts w:cstheme="minorHAnsi"/>
          <w:sz w:val="24"/>
          <w:szCs w:val="24"/>
          <w:shd w:val="clear" w:color="auto" w:fill="FFFFFF"/>
        </w:rPr>
        <w:t>, </w:t>
      </w:r>
      <w:r w:rsidRPr="003A204C">
        <w:rPr>
          <w:rFonts w:cstheme="minorHAnsi"/>
          <w:i/>
          <w:iCs/>
          <w:sz w:val="24"/>
          <w:szCs w:val="24"/>
          <w:shd w:val="clear" w:color="auto" w:fill="FFFFFF"/>
        </w:rPr>
        <w:t>15</w:t>
      </w:r>
      <w:r w:rsidRPr="003A204C">
        <w:rPr>
          <w:rFonts w:cstheme="minorHAnsi"/>
          <w:sz w:val="24"/>
          <w:szCs w:val="24"/>
          <w:shd w:val="clear" w:color="auto" w:fill="FFFFFF"/>
        </w:rPr>
        <w:t>, p.12.</w:t>
      </w:r>
    </w:p>
    <w:p w:rsidR="00470E65" w:rsidRPr="003A204C" w:rsidRDefault="00470E65" w:rsidP="00026D3E">
      <w:pPr>
        <w:spacing w:line="360" w:lineRule="auto"/>
        <w:jc w:val="both"/>
        <w:rPr>
          <w:rFonts w:cstheme="minorHAnsi"/>
          <w:sz w:val="24"/>
          <w:szCs w:val="24"/>
          <w:shd w:val="clear" w:color="auto" w:fill="FFFFFF"/>
        </w:rPr>
      </w:pPr>
      <w:r w:rsidRPr="003A204C">
        <w:rPr>
          <w:rFonts w:cstheme="minorHAnsi"/>
          <w:sz w:val="24"/>
          <w:szCs w:val="24"/>
          <w:shd w:val="clear" w:color="auto" w:fill="FFFFFF"/>
        </w:rPr>
        <w:t>Connolly, U., 2012. Multiple Publication and Online Defamation-Recent Reforms in Ireland and the United Kingdom. </w:t>
      </w:r>
      <w:r w:rsidRPr="003A204C">
        <w:rPr>
          <w:rFonts w:cstheme="minorHAnsi"/>
          <w:i/>
          <w:iCs/>
          <w:sz w:val="24"/>
          <w:szCs w:val="24"/>
          <w:shd w:val="clear" w:color="auto" w:fill="FFFFFF"/>
        </w:rPr>
        <w:t>Masaryk UJL &amp; Tech.</w:t>
      </w:r>
      <w:r w:rsidRPr="003A204C">
        <w:rPr>
          <w:rFonts w:cstheme="minorHAnsi"/>
          <w:sz w:val="24"/>
          <w:szCs w:val="24"/>
          <w:shd w:val="clear" w:color="auto" w:fill="FFFFFF"/>
        </w:rPr>
        <w:t>, </w:t>
      </w:r>
      <w:r w:rsidRPr="003A204C">
        <w:rPr>
          <w:rFonts w:cstheme="minorHAnsi"/>
          <w:i/>
          <w:iCs/>
          <w:sz w:val="24"/>
          <w:szCs w:val="24"/>
          <w:shd w:val="clear" w:color="auto" w:fill="FFFFFF"/>
        </w:rPr>
        <w:t>6</w:t>
      </w:r>
      <w:r w:rsidRPr="003A204C">
        <w:rPr>
          <w:rFonts w:cstheme="minorHAnsi"/>
          <w:sz w:val="24"/>
          <w:szCs w:val="24"/>
          <w:shd w:val="clear" w:color="auto" w:fill="FFFFFF"/>
        </w:rPr>
        <w:t>, p.35.</w:t>
      </w:r>
    </w:p>
    <w:p w:rsidR="00470E65" w:rsidRPr="003A204C" w:rsidRDefault="00470E65" w:rsidP="00026D3E">
      <w:pPr>
        <w:spacing w:line="360" w:lineRule="auto"/>
        <w:jc w:val="both"/>
        <w:rPr>
          <w:rFonts w:cstheme="minorHAnsi"/>
          <w:sz w:val="24"/>
          <w:szCs w:val="24"/>
          <w:shd w:val="clear" w:color="auto" w:fill="FFFFFF"/>
        </w:rPr>
      </w:pPr>
      <w:r w:rsidRPr="003A204C">
        <w:rPr>
          <w:rFonts w:cstheme="minorHAnsi"/>
          <w:sz w:val="24"/>
          <w:szCs w:val="24"/>
          <w:shd w:val="clear" w:color="auto" w:fill="FFFFFF"/>
        </w:rPr>
        <w:t>Dryzek, J.S., Downes, D., Hunold, C., Schlosberg, D. and Hernes, H.K., 2003. </w:t>
      </w:r>
      <w:r w:rsidRPr="003A204C">
        <w:rPr>
          <w:rFonts w:cstheme="minorHAnsi"/>
          <w:i/>
          <w:iCs/>
          <w:sz w:val="24"/>
          <w:szCs w:val="24"/>
          <w:shd w:val="clear" w:color="auto" w:fill="FFFFFF"/>
        </w:rPr>
        <w:t>Green states and social movements: environmentalism in the United States, United Kingdom, Germany, and Norway</w:t>
      </w:r>
      <w:r w:rsidRPr="003A204C">
        <w:rPr>
          <w:rFonts w:cstheme="minorHAnsi"/>
          <w:sz w:val="24"/>
          <w:szCs w:val="24"/>
          <w:shd w:val="clear" w:color="auto" w:fill="FFFFFF"/>
        </w:rPr>
        <w:t>. OUP Oxford.</w:t>
      </w:r>
    </w:p>
    <w:p w:rsidR="00470E65" w:rsidRPr="003A204C" w:rsidRDefault="00470E65" w:rsidP="00026D3E">
      <w:pPr>
        <w:spacing w:line="360" w:lineRule="auto"/>
        <w:jc w:val="both"/>
        <w:rPr>
          <w:rFonts w:cstheme="minorHAnsi"/>
          <w:sz w:val="24"/>
          <w:szCs w:val="24"/>
          <w:shd w:val="clear" w:color="auto" w:fill="FFFFFF"/>
        </w:rPr>
      </w:pPr>
      <w:r w:rsidRPr="003A204C">
        <w:rPr>
          <w:rFonts w:cstheme="minorHAnsi"/>
          <w:sz w:val="24"/>
          <w:szCs w:val="24"/>
          <w:shd w:val="clear" w:color="auto" w:fill="FFFFFF"/>
        </w:rPr>
        <w:t>Gale, S.E., 2015. Qualified privilege in defamation and the evolution of the doctrine of reportage. </w:t>
      </w:r>
      <w:r w:rsidRPr="003A204C">
        <w:rPr>
          <w:rFonts w:cstheme="minorHAnsi"/>
          <w:i/>
          <w:iCs/>
          <w:sz w:val="24"/>
          <w:szCs w:val="24"/>
          <w:shd w:val="clear" w:color="auto" w:fill="FFFFFF"/>
        </w:rPr>
        <w:t>The Tort Law Review</w:t>
      </w:r>
      <w:r w:rsidRPr="003A204C">
        <w:rPr>
          <w:rFonts w:cstheme="minorHAnsi"/>
          <w:sz w:val="24"/>
          <w:szCs w:val="24"/>
          <w:shd w:val="clear" w:color="auto" w:fill="FFFFFF"/>
        </w:rPr>
        <w:t>, </w:t>
      </w:r>
      <w:r w:rsidRPr="003A204C">
        <w:rPr>
          <w:rFonts w:cstheme="minorHAnsi"/>
          <w:i/>
          <w:iCs/>
          <w:sz w:val="24"/>
          <w:szCs w:val="24"/>
          <w:shd w:val="clear" w:color="auto" w:fill="FFFFFF"/>
        </w:rPr>
        <w:t>23</w:t>
      </w:r>
      <w:r w:rsidRPr="003A204C">
        <w:rPr>
          <w:rFonts w:cstheme="minorHAnsi"/>
          <w:sz w:val="24"/>
          <w:szCs w:val="24"/>
          <w:shd w:val="clear" w:color="auto" w:fill="FFFFFF"/>
        </w:rPr>
        <w:t>(1), pp.16-31.</w:t>
      </w:r>
    </w:p>
    <w:p w:rsidR="00470E65" w:rsidRPr="003A204C" w:rsidRDefault="00470E65" w:rsidP="00D77654">
      <w:pPr>
        <w:spacing w:line="360" w:lineRule="auto"/>
        <w:jc w:val="both"/>
        <w:rPr>
          <w:rFonts w:cstheme="minorHAnsi"/>
          <w:sz w:val="24"/>
          <w:szCs w:val="24"/>
          <w:shd w:val="clear" w:color="auto" w:fill="FFFFFF"/>
        </w:rPr>
      </w:pPr>
      <w:r w:rsidRPr="003A204C">
        <w:rPr>
          <w:rFonts w:cstheme="minorHAnsi"/>
          <w:sz w:val="24"/>
          <w:szCs w:val="24"/>
          <w:shd w:val="clear" w:color="auto" w:fill="FFFFFF"/>
        </w:rPr>
        <w:t>Hilser, M.E., 2020. England and Wales' Defamation Act 2013 and the Public Interest Defense: An Emphasis toward" Is It True" over" Will They Sue?</w:t>
      </w:r>
      <w:proofErr w:type="gramStart"/>
      <w:r w:rsidRPr="003A204C">
        <w:rPr>
          <w:rFonts w:cstheme="minorHAnsi"/>
          <w:sz w:val="24"/>
          <w:szCs w:val="24"/>
          <w:shd w:val="clear" w:color="auto" w:fill="FFFFFF"/>
        </w:rPr>
        <w:t>".</w:t>
      </w:r>
      <w:proofErr w:type="gramEnd"/>
      <w:r w:rsidRPr="003A204C">
        <w:rPr>
          <w:rFonts w:cstheme="minorHAnsi"/>
          <w:sz w:val="24"/>
          <w:szCs w:val="24"/>
          <w:shd w:val="clear" w:color="auto" w:fill="FFFFFF"/>
        </w:rPr>
        <w:t> </w:t>
      </w:r>
      <w:r w:rsidRPr="003A204C">
        <w:rPr>
          <w:rFonts w:cstheme="minorHAnsi"/>
          <w:i/>
          <w:iCs/>
          <w:sz w:val="24"/>
          <w:szCs w:val="24"/>
          <w:shd w:val="clear" w:color="auto" w:fill="FFFFFF"/>
        </w:rPr>
        <w:t>Ariz. J. Int'l &amp; Comp. L.</w:t>
      </w:r>
      <w:r w:rsidRPr="003A204C">
        <w:rPr>
          <w:rFonts w:cstheme="minorHAnsi"/>
          <w:sz w:val="24"/>
          <w:szCs w:val="24"/>
          <w:shd w:val="clear" w:color="auto" w:fill="FFFFFF"/>
        </w:rPr>
        <w:t>, </w:t>
      </w:r>
      <w:r w:rsidRPr="003A204C">
        <w:rPr>
          <w:rFonts w:cstheme="minorHAnsi"/>
          <w:i/>
          <w:iCs/>
          <w:sz w:val="24"/>
          <w:szCs w:val="24"/>
          <w:shd w:val="clear" w:color="auto" w:fill="FFFFFF"/>
        </w:rPr>
        <w:t>37</w:t>
      </w:r>
      <w:r w:rsidRPr="003A204C">
        <w:rPr>
          <w:rFonts w:cstheme="minorHAnsi"/>
          <w:sz w:val="24"/>
          <w:szCs w:val="24"/>
          <w:shd w:val="clear" w:color="auto" w:fill="FFFFFF"/>
        </w:rPr>
        <w:t>, p.249.</w:t>
      </w:r>
    </w:p>
    <w:p w:rsidR="00470E65" w:rsidRPr="003A204C" w:rsidRDefault="00470E65" w:rsidP="00026D3E">
      <w:pPr>
        <w:spacing w:line="360" w:lineRule="auto"/>
        <w:jc w:val="both"/>
        <w:rPr>
          <w:rFonts w:cstheme="minorHAnsi"/>
          <w:sz w:val="24"/>
          <w:szCs w:val="24"/>
          <w:shd w:val="clear" w:color="auto" w:fill="FFFFFF"/>
        </w:rPr>
      </w:pPr>
      <w:r w:rsidRPr="003A204C">
        <w:rPr>
          <w:rFonts w:cstheme="minorHAnsi"/>
          <w:sz w:val="24"/>
          <w:szCs w:val="24"/>
          <w:shd w:val="clear" w:color="auto" w:fill="FFFFFF"/>
        </w:rPr>
        <w:t>Meek, M.E., Newhook, R., Liteplo, R.G. and Armstrong, V.C., 1994. Approach to assessment of risk to human health for priority substances under the Canadian Environmental Protection Act. </w:t>
      </w:r>
      <w:r w:rsidRPr="003A204C">
        <w:rPr>
          <w:rFonts w:cstheme="minorHAnsi"/>
          <w:i/>
          <w:iCs/>
          <w:sz w:val="24"/>
          <w:szCs w:val="24"/>
          <w:shd w:val="clear" w:color="auto" w:fill="FFFFFF"/>
        </w:rPr>
        <w:t>Journal of Environmental Science &amp; Health Part C</w:t>
      </w:r>
      <w:r w:rsidRPr="003A204C">
        <w:rPr>
          <w:rFonts w:cstheme="minorHAnsi"/>
          <w:sz w:val="24"/>
          <w:szCs w:val="24"/>
          <w:shd w:val="clear" w:color="auto" w:fill="FFFFFF"/>
        </w:rPr>
        <w:t>, </w:t>
      </w:r>
      <w:r w:rsidRPr="003A204C">
        <w:rPr>
          <w:rFonts w:cstheme="minorHAnsi"/>
          <w:i/>
          <w:iCs/>
          <w:sz w:val="24"/>
          <w:szCs w:val="24"/>
          <w:shd w:val="clear" w:color="auto" w:fill="FFFFFF"/>
        </w:rPr>
        <w:t>12</w:t>
      </w:r>
      <w:r w:rsidRPr="003A204C">
        <w:rPr>
          <w:rFonts w:cstheme="minorHAnsi"/>
          <w:sz w:val="24"/>
          <w:szCs w:val="24"/>
          <w:shd w:val="clear" w:color="auto" w:fill="FFFFFF"/>
        </w:rPr>
        <w:t>(2), pp.105-134.</w:t>
      </w:r>
    </w:p>
    <w:p w:rsidR="00470E65" w:rsidRPr="003A204C" w:rsidRDefault="00470E65" w:rsidP="00026D3E">
      <w:pPr>
        <w:spacing w:line="360" w:lineRule="auto"/>
        <w:jc w:val="both"/>
        <w:rPr>
          <w:rFonts w:cstheme="minorHAnsi"/>
          <w:sz w:val="24"/>
          <w:szCs w:val="24"/>
          <w:shd w:val="clear" w:color="auto" w:fill="FFFFFF"/>
        </w:rPr>
      </w:pPr>
      <w:r w:rsidRPr="003A204C">
        <w:rPr>
          <w:rFonts w:cstheme="minorHAnsi"/>
          <w:sz w:val="24"/>
          <w:szCs w:val="24"/>
          <w:shd w:val="clear" w:color="auto" w:fill="FFFFFF"/>
        </w:rPr>
        <w:t>Sax, J.L. and Conner, R.L., 1972. Michigan's Environmental Protection Act of 1970: A Progress Report. </w:t>
      </w:r>
      <w:r w:rsidRPr="003A204C">
        <w:rPr>
          <w:rFonts w:cstheme="minorHAnsi"/>
          <w:i/>
          <w:iCs/>
          <w:sz w:val="24"/>
          <w:szCs w:val="24"/>
          <w:shd w:val="clear" w:color="auto" w:fill="FFFFFF"/>
        </w:rPr>
        <w:t>Michigan Law Review</w:t>
      </w:r>
      <w:r w:rsidRPr="003A204C">
        <w:rPr>
          <w:rFonts w:cstheme="minorHAnsi"/>
          <w:sz w:val="24"/>
          <w:szCs w:val="24"/>
          <w:shd w:val="clear" w:color="auto" w:fill="FFFFFF"/>
        </w:rPr>
        <w:t>, </w:t>
      </w:r>
      <w:r w:rsidRPr="003A204C">
        <w:rPr>
          <w:rFonts w:cstheme="minorHAnsi"/>
          <w:i/>
          <w:iCs/>
          <w:sz w:val="24"/>
          <w:szCs w:val="24"/>
          <w:shd w:val="clear" w:color="auto" w:fill="FFFFFF"/>
        </w:rPr>
        <w:t>70</w:t>
      </w:r>
      <w:r w:rsidRPr="003A204C">
        <w:rPr>
          <w:rFonts w:cstheme="minorHAnsi"/>
          <w:sz w:val="24"/>
          <w:szCs w:val="24"/>
          <w:shd w:val="clear" w:color="auto" w:fill="FFFFFF"/>
        </w:rPr>
        <w:t>(6), pp.1003-1106.</w:t>
      </w:r>
    </w:p>
    <w:p w:rsidR="00470E65" w:rsidRPr="003A204C" w:rsidRDefault="00470E65" w:rsidP="00D77654">
      <w:pPr>
        <w:spacing w:line="360" w:lineRule="auto"/>
        <w:jc w:val="both"/>
        <w:rPr>
          <w:rFonts w:cstheme="minorHAnsi"/>
          <w:sz w:val="24"/>
          <w:szCs w:val="24"/>
          <w:shd w:val="clear" w:color="auto" w:fill="FFFFFF"/>
        </w:rPr>
      </w:pPr>
      <w:r w:rsidRPr="003A204C">
        <w:rPr>
          <w:rFonts w:cstheme="minorHAnsi"/>
          <w:sz w:val="24"/>
          <w:szCs w:val="24"/>
          <w:shd w:val="clear" w:color="auto" w:fill="FFFFFF"/>
        </w:rPr>
        <w:t>Stallard, H., 1997. The right of publicity in the United Kingdom. </w:t>
      </w:r>
      <w:r w:rsidRPr="003A204C">
        <w:rPr>
          <w:rFonts w:cstheme="minorHAnsi"/>
          <w:i/>
          <w:iCs/>
          <w:sz w:val="24"/>
          <w:szCs w:val="24"/>
          <w:shd w:val="clear" w:color="auto" w:fill="FFFFFF"/>
        </w:rPr>
        <w:t xml:space="preserve">Loy. LA </w:t>
      </w:r>
      <w:proofErr w:type="gramStart"/>
      <w:r w:rsidRPr="003A204C">
        <w:rPr>
          <w:rFonts w:cstheme="minorHAnsi"/>
          <w:i/>
          <w:iCs/>
          <w:sz w:val="24"/>
          <w:szCs w:val="24"/>
          <w:shd w:val="clear" w:color="auto" w:fill="FFFFFF"/>
        </w:rPr>
        <w:t>Ent</w:t>
      </w:r>
      <w:proofErr w:type="gramEnd"/>
      <w:r w:rsidRPr="003A204C">
        <w:rPr>
          <w:rFonts w:cstheme="minorHAnsi"/>
          <w:i/>
          <w:iCs/>
          <w:sz w:val="24"/>
          <w:szCs w:val="24"/>
          <w:shd w:val="clear" w:color="auto" w:fill="FFFFFF"/>
        </w:rPr>
        <w:t>. LJ</w:t>
      </w:r>
      <w:r w:rsidRPr="003A204C">
        <w:rPr>
          <w:rFonts w:cstheme="minorHAnsi"/>
          <w:sz w:val="24"/>
          <w:szCs w:val="24"/>
          <w:shd w:val="clear" w:color="auto" w:fill="FFFFFF"/>
        </w:rPr>
        <w:t>, </w:t>
      </w:r>
      <w:r w:rsidRPr="003A204C">
        <w:rPr>
          <w:rFonts w:cstheme="minorHAnsi"/>
          <w:i/>
          <w:iCs/>
          <w:sz w:val="24"/>
          <w:szCs w:val="24"/>
          <w:shd w:val="clear" w:color="auto" w:fill="FFFFFF"/>
        </w:rPr>
        <w:t>18</w:t>
      </w:r>
      <w:r w:rsidRPr="003A204C">
        <w:rPr>
          <w:rFonts w:cstheme="minorHAnsi"/>
          <w:sz w:val="24"/>
          <w:szCs w:val="24"/>
          <w:shd w:val="clear" w:color="auto" w:fill="FFFFFF"/>
        </w:rPr>
        <w:t>, p.565.</w:t>
      </w:r>
    </w:p>
    <w:p w:rsidR="00470E65" w:rsidRPr="003A204C" w:rsidRDefault="00470E65" w:rsidP="00D77654">
      <w:pPr>
        <w:spacing w:line="360" w:lineRule="auto"/>
        <w:jc w:val="both"/>
        <w:rPr>
          <w:rFonts w:cstheme="minorHAnsi"/>
          <w:sz w:val="24"/>
          <w:szCs w:val="24"/>
          <w:shd w:val="clear" w:color="auto" w:fill="FFFFFF"/>
        </w:rPr>
      </w:pPr>
      <w:r w:rsidRPr="003A204C">
        <w:rPr>
          <w:rFonts w:cstheme="minorHAnsi"/>
          <w:sz w:val="24"/>
          <w:szCs w:val="24"/>
          <w:shd w:val="clear" w:color="auto" w:fill="FFFFFF"/>
        </w:rPr>
        <w:t>Weaver, R.L., Kenyon, A.T., Partlett, D.F. and Walker, C.P., 2004. Defamation law and free speech: Reynolds v. Times Newspapers and the English media. </w:t>
      </w:r>
      <w:r w:rsidRPr="003A204C">
        <w:rPr>
          <w:rFonts w:cstheme="minorHAnsi"/>
          <w:i/>
          <w:iCs/>
          <w:sz w:val="24"/>
          <w:szCs w:val="24"/>
          <w:shd w:val="clear" w:color="auto" w:fill="FFFFFF"/>
        </w:rPr>
        <w:t>Vand. J. Transnat'l L.</w:t>
      </w:r>
      <w:r w:rsidRPr="003A204C">
        <w:rPr>
          <w:rFonts w:cstheme="minorHAnsi"/>
          <w:sz w:val="24"/>
          <w:szCs w:val="24"/>
          <w:shd w:val="clear" w:color="auto" w:fill="FFFFFF"/>
        </w:rPr>
        <w:t>, </w:t>
      </w:r>
      <w:r w:rsidRPr="003A204C">
        <w:rPr>
          <w:rFonts w:cstheme="minorHAnsi"/>
          <w:i/>
          <w:iCs/>
          <w:sz w:val="24"/>
          <w:szCs w:val="24"/>
          <w:shd w:val="clear" w:color="auto" w:fill="FFFFFF"/>
        </w:rPr>
        <w:t>37</w:t>
      </w:r>
      <w:r w:rsidRPr="003A204C">
        <w:rPr>
          <w:rFonts w:cstheme="minorHAnsi"/>
          <w:sz w:val="24"/>
          <w:szCs w:val="24"/>
          <w:shd w:val="clear" w:color="auto" w:fill="FFFFFF"/>
        </w:rPr>
        <w:t>, p.1255.</w:t>
      </w:r>
    </w:p>
    <w:p w:rsidR="00470E65" w:rsidRPr="003A204C" w:rsidRDefault="00470E65" w:rsidP="00D77654">
      <w:pPr>
        <w:spacing w:line="360" w:lineRule="auto"/>
        <w:jc w:val="both"/>
        <w:rPr>
          <w:rFonts w:cstheme="minorHAnsi"/>
          <w:sz w:val="24"/>
          <w:szCs w:val="24"/>
          <w:shd w:val="clear" w:color="auto" w:fill="FFFFFF"/>
        </w:rPr>
      </w:pPr>
      <w:r w:rsidRPr="003A204C">
        <w:rPr>
          <w:rFonts w:cstheme="minorHAnsi"/>
          <w:sz w:val="24"/>
          <w:szCs w:val="24"/>
          <w:shd w:val="clear" w:color="auto" w:fill="FFFFFF"/>
        </w:rPr>
        <w:t>Yang, L.K., 2014. UK Defamation Act 2013: Key Changes. </w:t>
      </w:r>
      <w:r w:rsidRPr="003A204C">
        <w:rPr>
          <w:rFonts w:cstheme="minorHAnsi"/>
          <w:i/>
          <w:iCs/>
          <w:sz w:val="24"/>
          <w:szCs w:val="24"/>
          <w:shd w:val="clear" w:color="auto" w:fill="FFFFFF"/>
        </w:rPr>
        <w:t>SAcLJ</w:t>
      </w:r>
      <w:r w:rsidRPr="003A204C">
        <w:rPr>
          <w:rFonts w:cstheme="minorHAnsi"/>
          <w:sz w:val="24"/>
          <w:szCs w:val="24"/>
          <w:shd w:val="clear" w:color="auto" w:fill="FFFFFF"/>
        </w:rPr>
        <w:t>, </w:t>
      </w:r>
      <w:r w:rsidRPr="003A204C">
        <w:rPr>
          <w:rFonts w:cstheme="minorHAnsi"/>
          <w:i/>
          <w:iCs/>
          <w:sz w:val="24"/>
          <w:szCs w:val="24"/>
          <w:shd w:val="clear" w:color="auto" w:fill="FFFFFF"/>
        </w:rPr>
        <w:t>26</w:t>
      </w:r>
      <w:r w:rsidRPr="003A204C">
        <w:rPr>
          <w:rFonts w:cstheme="minorHAnsi"/>
          <w:sz w:val="24"/>
          <w:szCs w:val="24"/>
          <w:shd w:val="clear" w:color="auto" w:fill="FFFFFF"/>
        </w:rPr>
        <w:t>, p.98.</w:t>
      </w:r>
    </w:p>
    <w:sectPr w:rsidR="00470E65" w:rsidRPr="003A204C" w:rsidSect="001C50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2"/>
  </w:compat>
  <w:docVars>
    <w:docVar w:name="__Grammarly_42____i" w:val="H4sIAAAAAAAEAKtWckksSQxILCpxzi/NK1GyMqwFAAEhoTITAAAA"/>
    <w:docVar w:name="__Grammarly_42___1" w:val="H4sIAAAAAAAEAKtWcslP9kxRslIyNDYyNTE2MDU1sjC2NDezNLFQ0lEKTi0uzszPAykwqgUA//kDBywAAAA="/>
  </w:docVars>
  <w:rsids>
    <w:rsidRoot w:val="003A536D"/>
    <w:rsid w:val="00020716"/>
    <w:rsid w:val="00026D3E"/>
    <w:rsid w:val="0003195D"/>
    <w:rsid w:val="0003370A"/>
    <w:rsid w:val="000378B2"/>
    <w:rsid w:val="000A2002"/>
    <w:rsid w:val="000E58A3"/>
    <w:rsid w:val="00136A0B"/>
    <w:rsid w:val="001454A3"/>
    <w:rsid w:val="0015736A"/>
    <w:rsid w:val="00171F52"/>
    <w:rsid w:val="00195AC4"/>
    <w:rsid w:val="00196AE8"/>
    <w:rsid w:val="001C4287"/>
    <w:rsid w:val="001C42FC"/>
    <w:rsid w:val="001C509A"/>
    <w:rsid w:val="001D1F8D"/>
    <w:rsid w:val="00202653"/>
    <w:rsid w:val="00256EE7"/>
    <w:rsid w:val="00264BFA"/>
    <w:rsid w:val="00290446"/>
    <w:rsid w:val="002A3673"/>
    <w:rsid w:val="002B1F04"/>
    <w:rsid w:val="002C4235"/>
    <w:rsid w:val="002C54D8"/>
    <w:rsid w:val="00305A5A"/>
    <w:rsid w:val="00313BB2"/>
    <w:rsid w:val="003156FE"/>
    <w:rsid w:val="00341E2D"/>
    <w:rsid w:val="003A204C"/>
    <w:rsid w:val="003A371B"/>
    <w:rsid w:val="003A536D"/>
    <w:rsid w:val="003C2E35"/>
    <w:rsid w:val="003E19AC"/>
    <w:rsid w:val="00404ECF"/>
    <w:rsid w:val="00413E56"/>
    <w:rsid w:val="00441066"/>
    <w:rsid w:val="00470E65"/>
    <w:rsid w:val="00483451"/>
    <w:rsid w:val="004B3DF3"/>
    <w:rsid w:val="004D7919"/>
    <w:rsid w:val="004E0D3B"/>
    <w:rsid w:val="004F54D0"/>
    <w:rsid w:val="00516F9E"/>
    <w:rsid w:val="0059167A"/>
    <w:rsid w:val="005B1025"/>
    <w:rsid w:val="005B3F4C"/>
    <w:rsid w:val="005C193E"/>
    <w:rsid w:val="005E5493"/>
    <w:rsid w:val="00630236"/>
    <w:rsid w:val="00661784"/>
    <w:rsid w:val="006A3807"/>
    <w:rsid w:val="006B2405"/>
    <w:rsid w:val="006F7A15"/>
    <w:rsid w:val="00714AA7"/>
    <w:rsid w:val="00714ACD"/>
    <w:rsid w:val="0073106B"/>
    <w:rsid w:val="0073479B"/>
    <w:rsid w:val="007753FA"/>
    <w:rsid w:val="00787791"/>
    <w:rsid w:val="00797E7F"/>
    <w:rsid w:val="007B0BDD"/>
    <w:rsid w:val="007B5A13"/>
    <w:rsid w:val="007D31B0"/>
    <w:rsid w:val="00870A96"/>
    <w:rsid w:val="008B5C0A"/>
    <w:rsid w:val="008D04E1"/>
    <w:rsid w:val="00905995"/>
    <w:rsid w:val="00906470"/>
    <w:rsid w:val="0098000B"/>
    <w:rsid w:val="00982220"/>
    <w:rsid w:val="00993931"/>
    <w:rsid w:val="00994088"/>
    <w:rsid w:val="009F706F"/>
    <w:rsid w:val="00A37354"/>
    <w:rsid w:val="00A73F08"/>
    <w:rsid w:val="00A769F5"/>
    <w:rsid w:val="00A854CF"/>
    <w:rsid w:val="00A97869"/>
    <w:rsid w:val="00AD21FA"/>
    <w:rsid w:val="00B15487"/>
    <w:rsid w:val="00B35507"/>
    <w:rsid w:val="00B42E57"/>
    <w:rsid w:val="00B54983"/>
    <w:rsid w:val="00B87082"/>
    <w:rsid w:val="00BB304E"/>
    <w:rsid w:val="00BB559E"/>
    <w:rsid w:val="00BC1E85"/>
    <w:rsid w:val="00BC60CE"/>
    <w:rsid w:val="00BC64E2"/>
    <w:rsid w:val="00BE243E"/>
    <w:rsid w:val="00C31646"/>
    <w:rsid w:val="00C46E44"/>
    <w:rsid w:val="00C923EC"/>
    <w:rsid w:val="00CA3B96"/>
    <w:rsid w:val="00CA416D"/>
    <w:rsid w:val="00CB403C"/>
    <w:rsid w:val="00CC6946"/>
    <w:rsid w:val="00D05F48"/>
    <w:rsid w:val="00D151C5"/>
    <w:rsid w:val="00D22C26"/>
    <w:rsid w:val="00D30FC7"/>
    <w:rsid w:val="00D63D69"/>
    <w:rsid w:val="00D707C5"/>
    <w:rsid w:val="00D733BF"/>
    <w:rsid w:val="00D77654"/>
    <w:rsid w:val="00DA0D5B"/>
    <w:rsid w:val="00DB30F0"/>
    <w:rsid w:val="00DB6DCE"/>
    <w:rsid w:val="00E12BC9"/>
    <w:rsid w:val="00E15B6D"/>
    <w:rsid w:val="00E4444C"/>
    <w:rsid w:val="00E67A1B"/>
    <w:rsid w:val="00E91E70"/>
    <w:rsid w:val="00EA6443"/>
    <w:rsid w:val="00EB61AA"/>
    <w:rsid w:val="00EC3CE6"/>
    <w:rsid w:val="00ED4CCC"/>
    <w:rsid w:val="00EE42F7"/>
    <w:rsid w:val="00F03F57"/>
    <w:rsid w:val="00F509FE"/>
    <w:rsid w:val="00F607A4"/>
    <w:rsid w:val="00F62D85"/>
    <w:rsid w:val="00FA0CC7"/>
    <w:rsid w:val="00FA50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4E59B6-B529-46D7-B582-A087CAFE7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09A"/>
  </w:style>
  <w:style w:type="paragraph" w:styleId="Heading1">
    <w:name w:val="heading 1"/>
    <w:basedOn w:val="Normal"/>
    <w:next w:val="Normal"/>
    <w:link w:val="Heading1Char"/>
    <w:uiPriority w:val="9"/>
    <w:qFormat/>
    <w:rsid w:val="0090647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A204C"/>
    <w:pPr>
      <w:keepNext/>
      <w:keepLines/>
      <w:shd w:val="clear" w:color="auto" w:fill="DBE5F1" w:themeFill="accent1" w:themeFillTint="33"/>
      <w:spacing w:before="200" w:after="0"/>
      <w:outlineLvl w:val="1"/>
    </w:pPr>
    <w:rPr>
      <w:rFonts w:ascii="Times New Roman" w:eastAsiaTheme="majorEastAsia" w:hAnsi="Times New Roman" w:cstheme="majorBidi"/>
      <w:b/>
      <w:bCs/>
      <w:color w:val="C0504D" w:themeColor="accent2"/>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647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A204C"/>
    <w:rPr>
      <w:rFonts w:ascii="Times New Roman" w:eastAsiaTheme="majorEastAsia" w:hAnsi="Times New Roman" w:cstheme="majorBidi"/>
      <w:b/>
      <w:bCs/>
      <w:color w:val="C0504D" w:themeColor="accent2"/>
      <w:sz w:val="26"/>
      <w:szCs w:val="26"/>
      <w:shd w:val="clear" w:color="auto" w:fill="DBE5F1" w:themeFill="accent1" w:themeFillTint="33"/>
    </w:rPr>
  </w:style>
  <w:style w:type="paragraph" w:styleId="TOCHeading">
    <w:name w:val="TOC Heading"/>
    <w:basedOn w:val="Heading1"/>
    <w:next w:val="Normal"/>
    <w:uiPriority w:val="39"/>
    <w:semiHidden/>
    <w:unhideWhenUsed/>
    <w:qFormat/>
    <w:rsid w:val="00470E65"/>
    <w:pPr>
      <w:outlineLvl w:val="9"/>
    </w:pPr>
    <w:rPr>
      <w:lang w:eastAsia="en-US"/>
    </w:rPr>
  </w:style>
  <w:style w:type="paragraph" w:styleId="TOC1">
    <w:name w:val="toc 1"/>
    <w:basedOn w:val="Normal"/>
    <w:next w:val="Normal"/>
    <w:autoRedefine/>
    <w:uiPriority w:val="39"/>
    <w:unhideWhenUsed/>
    <w:rsid w:val="00470E65"/>
    <w:pPr>
      <w:spacing w:after="100"/>
    </w:pPr>
  </w:style>
  <w:style w:type="paragraph" w:styleId="TOC2">
    <w:name w:val="toc 2"/>
    <w:basedOn w:val="Normal"/>
    <w:next w:val="Normal"/>
    <w:autoRedefine/>
    <w:uiPriority w:val="39"/>
    <w:unhideWhenUsed/>
    <w:rsid w:val="00470E65"/>
    <w:pPr>
      <w:spacing w:after="100"/>
      <w:ind w:left="220"/>
    </w:pPr>
  </w:style>
  <w:style w:type="character" w:styleId="Hyperlink">
    <w:name w:val="Hyperlink"/>
    <w:basedOn w:val="DefaultParagraphFont"/>
    <w:uiPriority w:val="99"/>
    <w:unhideWhenUsed/>
    <w:rsid w:val="00470E65"/>
    <w:rPr>
      <w:color w:val="0000FF" w:themeColor="hyperlink"/>
      <w:u w:val="single"/>
    </w:rPr>
  </w:style>
  <w:style w:type="paragraph" w:styleId="BalloonText">
    <w:name w:val="Balloon Text"/>
    <w:basedOn w:val="Normal"/>
    <w:link w:val="BalloonTextChar"/>
    <w:uiPriority w:val="99"/>
    <w:semiHidden/>
    <w:unhideWhenUsed/>
    <w:rsid w:val="00470E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0E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C2C8AC-C75F-4289-A14C-EF37351C0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7</Pages>
  <Words>2093</Words>
  <Characters>11933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Rakesh</dc:creator>
  <cp:lastModifiedBy>abcd</cp:lastModifiedBy>
  <cp:revision>243</cp:revision>
  <dcterms:created xsi:type="dcterms:W3CDTF">2021-01-04T02:11:00Z</dcterms:created>
  <dcterms:modified xsi:type="dcterms:W3CDTF">2021-01-05T10:36:00Z</dcterms:modified>
</cp:coreProperties>
</file>