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ECDC97" w14:textId="77777777" w:rsidR="003970B1" w:rsidRDefault="003970B1" w:rsidP="003970B1">
      <w:pPr>
        <w:rPr>
          <w:rFonts w:eastAsia="Calibri"/>
        </w:rPr>
      </w:pPr>
      <w:r>
        <w:rPr>
          <w:rFonts w:eastAsia="Calibri"/>
        </w:rPr>
        <w:t xml:space="preserve">Andrea. G., &amp; Parker-Rees. (1999). </w:t>
      </w:r>
      <w:r w:rsidRPr="000D24EA">
        <w:rPr>
          <w:rFonts w:eastAsia="Calibri"/>
          <w:i/>
          <w:iCs/>
        </w:rPr>
        <w:t>Giraffes Can’t Dance</w:t>
      </w:r>
      <w:r>
        <w:rPr>
          <w:rFonts w:eastAsia="Calibri"/>
        </w:rPr>
        <w:t xml:space="preserve">. London: Orchard Books. </w:t>
      </w:r>
    </w:p>
    <w:p w14:paraId="5DD74114" w14:textId="6B9BEA7E" w:rsidR="003970B1" w:rsidRDefault="003970B1" w:rsidP="003970B1">
      <w:r>
        <w:rPr>
          <w:rFonts w:ascii="Calibri" w:eastAsia="Calibri" w:hAnsi="Calibri" w:cs="Calibri"/>
        </w:rPr>
        <w:t xml:space="preserve">Bartoli, J. A. (2018). </w:t>
      </w:r>
      <w:r w:rsidRPr="00930B8D">
        <w:rPr>
          <w:i/>
          <w:iCs/>
        </w:rPr>
        <w:t>Using storytelling to promote literacy, communication and socio-emotional development in the early years.</w:t>
      </w:r>
      <w:r>
        <w:t xml:space="preserve"> Available at: </w:t>
      </w:r>
      <w:r w:rsidRPr="003970B1">
        <w:t>http://talestoolkit.com/wp-content/uploads/2018/11/Goldsmiths-research-2018.pdf</w:t>
      </w:r>
      <w:r>
        <w:t xml:space="preserve"> (Accessed: 23 November 2020). </w:t>
      </w:r>
    </w:p>
    <w:p w14:paraId="25E88D42" w14:textId="77777777" w:rsidR="003970B1" w:rsidRPr="0004228E" w:rsidRDefault="003970B1" w:rsidP="003970B1">
      <w:pPr>
        <w:rPr>
          <w:rFonts w:ascii="Calibri" w:eastAsia="Calibri" w:hAnsi="Calibri" w:cs="Calibri"/>
        </w:rPr>
      </w:pPr>
      <w:r w:rsidRPr="0004228E">
        <w:rPr>
          <w:rFonts w:ascii="Calibri" w:eastAsia="Calibri" w:hAnsi="Calibri" w:cs="Calibri"/>
        </w:rPr>
        <w:t xml:space="preserve">Miller, S., &amp; Pennycuff, L. (2008). ‘The Power of Story: Using Storytelling to Improve Literacy Learning’. </w:t>
      </w:r>
      <w:r w:rsidRPr="0004228E">
        <w:rPr>
          <w:rFonts w:ascii="Calibri" w:eastAsia="Calibri" w:hAnsi="Calibri" w:cs="Calibri"/>
          <w:i/>
          <w:iCs/>
        </w:rPr>
        <w:t>Journal of Cross-Disciplinary Perspectives in Education, 1(1). pp. 36 - 43</w:t>
      </w:r>
    </w:p>
    <w:p w14:paraId="657FF384" w14:textId="60B2DBA2" w:rsidR="003970B1" w:rsidRDefault="003970B1" w:rsidP="003970B1">
      <w:pPr>
        <w:pStyle w:val="dx-doi"/>
        <w:spacing w:before="0" w:after="0"/>
        <w:rPr>
          <w:rStyle w:val="Hyperlink"/>
          <w:rFonts w:asciiTheme="minorHAnsi" w:hAnsiTheme="minorHAnsi" w:cstheme="minorHAnsi"/>
          <w:color w:val="006DB4"/>
          <w:sz w:val="22"/>
          <w:szCs w:val="22"/>
        </w:rPr>
      </w:pPr>
      <w:r w:rsidRPr="0004228E">
        <w:rPr>
          <w:rFonts w:asciiTheme="minorHAnsi" w:hAnsiTheme="minorHAnsi" w:cstheme="minorHAnsi"/>
          <w:sz w:val="22"/>
          <w:szCs w:val="22"/>
        </w:rPr>
        <w:t>Hibbin, R. (2016). ‘</w:t>
      </w:r>
      <w:r w:rsidRPr="0004228E">
        <w:rPr>
          <w:rFonts w:asciiTheme="minorHAnsi" w:hAnsiTheme="minorHAnsi" w:cstheme="minorHAnsi"/>
          <w:color w:val="333333"/>
          <w:sz w:val="22"/>
          <w:szCs w:val="22"/>
        </w:rPr>
        <w:t xml:space="preserve">Oral Storytelling, Speaking and Listening and the Hegemony of Literacy: Non-Instrumental Language Use and Transactional Talk in the Primary Classroom.’ </w:t>
      </w:r>
      <w:r w:rsidRPr="0004228E">
        <w:rPr>
          <w:rFonts w:asciiTheme="minorHAnsi" w:hAnsiTheme="minorHAnsi" w:cstheme="minorHAnsi"/>
          <w:i/>
          <w:iCs/>
          <w:color w:val="333333"/>
          <w:sz w:val="22"/>
          <w:szCs w:val="22"/>
        </w:rPr>
        <w:t xml:space="preserve">Changing English: Studies in Culture and Education. </w:t>
      </w:r>
      <w:r w:rsidRPr="0004228E">
        <w:rPr>
          <w:rFonts w:asciiTheme="minorHAnsi" w:hAnsiTheme="minorHAnsi" w:cstheme="minorHAnsi"/>
          <w:color w:val="333333"/>
          <w:sz w:val="22"/>
          <w:szCs w:val="22"/>
        </w:rPr>
        <w:t xml:space="preserve">23(1), pp. 52-64. Doi: </w:t>
      </w:r>
      <w:r w:rsidRPr="003970B1">
        <w:rPr>
          <w:rFonts w:asciiTheme="minorHAnsi" w:hAnsiTheme="minorHAnsi" w:cstheme="minorHAnsi"/>
          <w:sz w:val="22"/>
          <w:szCs w:val="22"/>
        </w:rPr>
        <w:t>https://doi.org/10.1080/1358684X.2015.1121774</w:t>
      </w:r>
    </w:p>
    <w:p w14:paraId="78AE0749" w14:textId="59500F7C" w:rsidR="003970B1" w:rsidRDefault="003970B1" w:rsidP="003970B1">
      <w:r>
        <w:t xml:space="preserve">Peck, J. (1989).’ Using storytelling to promote language and literacy development.’ </w:t>
      </w:r>
      <w:r w:rsidRPr="00FB7B50">
        <w:rPr>
          <w:i/>
          <w:iCs/>
        </w:rPr>
        <w:t>The Reading Teacher</w:t>
      </w:r>
      <w:r>
        <w:t xml:space="preserve"> 43 (2). pp, 138–41</w:t>
      </w:r>
    </w:p>
    <w:p w14:paraId="41094B8A" w14:textId="77777777" w:rsidR="003970B1" w:rsidRDefault="003970B1" w:rsidP="003970B1">
      <w:r>
        <w:t xml:space="preserve">Livo, N., &amp; Reitz, S. (1986). </w:t>
      </w:r>
      <w:r w:rsidRPr="003B7F64">
        <w:rPr>
          <w:i/>
          <w:iCs/>
        </w:rPr>
        <w:t>Storytelling: Process and practice</w:t>
      </w:r>
      <w:r>
        <w:t>. Littleton: Libraries Unlimited</w:t>
      </w:r>
    </w:p>
    <w:p w14:paraId="1CA3C999" w14:textId="77777777" w:rsidR="003970B1" w:rsidRDefault="003970B1" w:rsidP="003970B1">
      <w:r>
        <w:t xml:space="preserve">Strickland, D.S., &amp; L.M. Morrow. (1989). ‘Oral language development: Children as storytellers.’ </w:t>
      </w:r>
      <w:r w:rsidRPr="00771156">
        <w:rPr>
          <w:i/>
          <w:iCs/>
        </w:rPr>
        <w:t xml:space="preserve">The Reading Teacher </w:t>
      </w:r>
      <w:r>
        <w:t>44 (3), pp. 260–61.</w:t>
      </w:r>
    </w:p>
    <w:p w14:paraId="5279AB9A" w14:textId="05F2279F" w:rsidR="003970B1" w:rsidRDefault="003970B1" w:rsidP="003970B1">
      <w:r>
        <w:t xml:space="preserve">Isabelle, T. R. (2002). </w:t>
      </w:r>
      <w:r w:rsidRPr="00771156">
        <w:rPr>
          <w:i/>
          <w:iCs/>
        </w:rPr>
        <w:t>Telling and Retelling Stories: Learning Language and Literacy</w:t>
      </w:r>
      <w:r>
        <w:t xml:space="preserve">. Available at: </w:t>
      </w:r>
      <w:r w:rsidRPr="003970B1">
        <w:t>https://www.naeyc.org/sites/default/files/globally-shared/downloads/PDFs/resources/pubs/isbell_article_march_2002.pdf</w:t>
      </w:r>
      <w:r>
        <w:t xml:space="preserve"> (Accessed: 23 November 2020). </w:t>
      </w:r>
    </w:p>
    <w:p w14:paraId="03532B67" w14:textId="77777777" w:rsidR="003970B1" w:rsidRPr="00801E77" w:rsidRDefault="003970B1" w:rsidP="003970B1">
      <w:r w:rsidRPr="00801E77">
        <w:t>Is</w:t>
      </w:r>
      <w:r>
        <w:t>a</w:t>
      </w:r>
      <w:r w:rsidRPr="00801E77">
        <w:t>bell, R., Sobol, J., Lindauer, L., &amp; Lowrance, A.</w:t>
      </w:r>
      <w:r>
        <w:t xml:space="preserve"> </w:t>
      </w:r>
      <w:r w:rsidRPr="00801E77">
        <w:t xml:space="preserve">(2004). </w:t>
      </w:r>
      <w:r>
        <w:t>‘</w:t>
      </w:r>
      <w:r w:rsidRPr="00801E77">
        <w:t>The effects of storytelling and story</w:t>
      </w:r>
      <w:r>
        <w:t xml:space="preserve"> </w:t>
      </w:r>
      <w:r w:rsidRPr="00801E77">
        <w:t>reading on the oral language complexity and</w:t>
      </w:r>
      <w:r>
        <w:t xml:space="preserve"> </w:t>
      </w:r>
      <w:r w:rsidRPr="00801E77">
        <w:t>story comprehension of young children.</w:t>
      </w:r>
      <w:r w:rsidRPr="00801E77">
        <w:rPr>
          <w:i/>
          <w:iCs/>
        </w:rPr>
        <w:t> Early</w:t>
      </w:r>
      <w:r>
        <w:rPr>
          <w:i/>
          <w:iCs/>
        </w:rPr>
        <w:t xml:space="preserve"> </w:t>
      </w:r>
      <w:r w:rsidRPr="00801E77">
        <w:rPr>
          <w:i/>
          <w:iCs/>
        </w:rPr>
        <w:t>Childhood Education Journal</w:t>
      </w:r>
      <w:r>
        <w:rPr>
          <w:i/>
          <w:iCs/>
        </w:rPr>
        <w:t xml:space="preserve">, </w:t>
      </w:r>
      <w:r w:rsidRPr="00801E77">
        <w:t>32</w:t>
      </w:r>
      <w:r>
        <w:t>(</w:t>
      </w:r>
      <w:r w:rsidRPr="00801E77">
        <w:t>3</w:t>
      </w:r>
      <w:r>
        <w:t xml:space="preserve">). </w:t>
      </w:r>
    </w:p>
    <w:p w14:paraId="3AF7E5EC" w14:textId="77777777" w:rsidR="003970B1" w:rsidRPr="00801E77" w:rsidRDefault="003970B1" w:rsidP="003970B1">
      <w:r w:rsidRPr="00801E77">
        <w:t xml:space="preserve">Mello, R. (2001). </w:t>
      </w:r>
      <w:r>
        <w:t>‘</w:t>
      </w:r>
      <w:r w:rsidRPr="00801E77">
        <w:t>Building bridges: How</w:t>
      </w:r>
      <w:r>
        <w:t xml:space="preserve"> </w:t>
      </w:r>
      <w:r w:rsidRPr="00801E77">
        <w:t xml:space="preserve">storytelling influences teacher and </w:t>
      </w:r>
      <w:r>
        <w:t xml:space="preserve">student </w:t>
      </w:r>
      <w:r w:rsidRPr="00801E77">
        <w:t>relationships.</w:t>
      </w:r>
      <w:r>
        <w:t>’</w:t>
      </w:r>
      <w:r w:rsidRPr="00801E77">
        <w:t xml:space="preserve"> </w:t>
      </w:r>
      <w:r w:rsidRPr="00801E77">
        <w:rPr>
          <w:i/>
          <w:iCs/>
        </w:rPr>
        <w:t>Proceedings, storytelling in</w:t>
      </w:r>
      <w:r>
        <w:rPr>
          <w:i/>
          <w:iCs/>
        </w:rPr>
        <w:t xml:space="preserve"> </w:t>
      </w:r>
      <w:r w:rsidRPr="00801E77">
        <w:rPr>
          <w:i/>
          <w:iCs/>
        </w:rPr>
        <w:t>the Americas conference.</w:t>
      </w:r>
      <w:r>
        <w:rPr>
          <w:i/>
          <w:iCs/>
        </w:rPr>
        <w:t xml:space="preserve"> </w:t>
      </w:r>
      <w:r w:rsidRPr="00801E77">
        <w:t>St. Catherine, ON:</w:t>
      </w:r>
      <w:r>
        <w:t xml:space="preserve"> </w:t>
      </w:r>
      <w:r w:rsidRPr="00801E77">
        <w:t>Brooks University Press</w:t>
      </w:r>
      <w:r>
        <w:t xml:space="preserve">. </w:t>
      </w:r>
    </w:p>
    <w:p w14:paraId="4FEBC889" w14:textId="77777777" w:rsidR="003970B1" w:rsidRPr="00490A4D" w:rsidRDefault="003970B1" w:rsidP="003970B1">
      <w:pPr>
        <w:rPr>
          <w:color w:val="000000" w:themeColor="text1"/>
        </w:rPr>
      </w:pPr>
      <w:r>
        <w:t>Hindman, A., Connor, M. C., Jewkes,M. A., &amp; Morrison, J. F. (2008). ‘</w:t>
      </w:r>
      <w:r w:rsidRPr="00490A4D">
        <w:t xml:space="preserve">Untangling the effects of shared book reading: Multiple factors and their associations </w:t>
      </w:r>
      <w:r w:rsidRPr="001050A4">
        <w:rPr>
          <w:color w:val="000000" w:themeColor="text1"/>
        </w:rPr>
        <w:t>with preschool literacy outcomes.</w:t>
      </w:r>
      <w:r>
        <w:rPr>
          <w:color w:val="000000" w:themeColor="text1"/>
        </w:rPr>
        <w:t>’</w:t>
      </w:r>
      <w:r w:rsidRPr="001050A4">
        <w:rPr>
          <w:color w:val="000000" w:themeColor="text1"/>
        </w:rPr>
        <w:t xml:space="preserve"> </w:t>
      </w:r>
      <w:hyperlink r:id="rId7" w:history="1">
        <w:r w:rsidRPr="00490A4D">
          <w:rPr>
            <w:rStyle w:val="Hyperlink"/>
            <w:i/>
            <w:iCs/>
            <w:color w:val="000000" w:themeColor="text1"/>
            <w:u w:val="none"/>
          </w:rPr>
          <w:t>Early Childhood Research Quarterly</w:t>
        </w:r>
      </w:hyperlink>
      <w:r w:rsidRPr="001050A4">
        <w:rPr>
          <w:i/>
          <w:iCs/>
          <w:color w:val="000000" w:themeColor="text1"/>
        </w:rPr>
        <w:t xml:space="preserve">, </w:t>
      </w:r>
      <w:r w:rsidRPr="00490A4D">
        <w:rPr>
          <w:color w:val="000000" w:themeColor="text1"/>
        </w:rPr>
        <w:t>23(3)</w:t>
      </w:r>
      <w:r w:rsidRPr="001050A4">
        <w:rPr>
          <w:color w:val="000000" w:themeColor="text1"/>
        </w:rPr>
        <w:t xml:space="preserve">, pp. </w:t>
      </w:r>
      <w:r w:rsidRPr="00490A4D">
        <w:rPr>
          <w:color w:val="000000" w:themeColor="text1"/>
        </w:rPr>
        <w:t>330-350</w:t>
      </w:r>
      <w:r w:rsidRPr="001050A4">
        <w:rPr>
          <w:color w:val="000000" w:themeColor="text1"/>
        </w:rPr>
        <w:t xml:space="preserve">. </w:t>
      </w:r>
      <w:r w:rsidRPr="00490A4D">
        <w:rPr>
          <w:color w:val="000000" w:themeColor="text1"/>
        </w:rPr>
        <w:t>D</w:t>
      </w:r>
      <w:r w:rsidRPr="001050A4">
        <w:rPr>
          <w:color w:val="000000" w:themeColor="text1"/>
        </w:rPr>
        <w:t>oi</w:t>
      </w:r>
      <w:r w:rsidRPr="00490A4D">
        <w:rPr>
          <w:color w:val="000000" w:themeColor="text1"/>
        </w:rPr>
        <w:t>: </w:t>
      </w:r>
      <w:hyperlink r:id="rId8" w:tgtFrame="_blank" w:history="1">
        <w:r w:rsidRPr="00490A4D">
          <w:rPr>
            <w:rStyle w:val="Hyperlink"/>
            <w:color w:val="000000" w:themeColor="text1"/>
            <w:u w:val="none"/>
          </w:rPr>
          <w:t>10.1016/j.ecresq.2008.01.005</w:t>
        </w:r>
      </w:hyperlink>
    </w:p>
    <w:p w14:paraId="23790B8F" w14:textId="77777777" w:rsidR="003970B1" w:rsidRDefault="003970B1" w:rsidP="003970B1">
      <w:r>
        <w:t>Nowak, N. S., &amp; Evans, A. M. (2012). ‘</w:t>
      </w:r>
      <w:r w:rsidRPr="003B7F64">
        <w:t>Parents’ goals for and perceptions of alphabet books</w:t>
      </w:r>
      <w:r>
        <w:t xml:space="preserve">.’ </w:t>
      </w:r>
      <w:r w:rsidRPr="00490A4D">
        <w:rPr>
          <w:i/>
          <w:iCs/>
        </w:rPr>
        <w:t>Read Write</w:t>
      </w:r>
      <w:r>
        <w:t xml:space="preserve">, </w:t>
      </w:r>
      <w:r w:rsidRPr="00490A4D">
        <w:t>26</w:t>
      </w:r>
      <w:r>
        <w:t xml:space="preserve">, pp. </w:t>
      </w:r>
      <w:r w:rsidRPr="00490A4D">
        <w:t>1265–1287</w:t>
      </w:r>
      <w:r>
        <w:t>.</w:t>
      </w:r>
      <w:r w:rsidRPr="00490A4D">
        <w:t xml:space="preserve"> D</w:t>
      </w:r>
      <w:r>
        <w:t>oi:</w:t>
      </w:r>
      <w:r w:rsidRPr="00490A4D">
        <w:t xml:space="preserve"> 10.1007/s11145-012-9417-0</w:t>
      </w:r>
    </w:p>
    <w:p w14:paraId="75BD33FA" w14:textId="76800583" w:rsidR="003970B1" w:rsidRDefault="003970B1" w:rsidP="003970B1">
      <w:r>
        <w:t xml:space="preserve">Stadler, M. A., &amp; McEvoy, M. A. (2003). ‘The effect of text genre on parent use of joint book reading strategies to promote phonological awareness’. </w:t>
      </w:r>
      <w:r w:rsidRPr="00490A4D">
        <w:rPr>
          <w:i/>
          <w:iCs/>
        </w:rPr>
        <w:t>Early Childhood Research Quarterly</w:t>
      </w:r>
      <w:r>
        <w:t>, 18, pp. 502–512. doi:10.1016/j.ecreq.2003.09.008</w:t>
      </w:r>
    </w:p>
    <w:p w14:paraId="1059D2C7" w14:textId="77777777" w:rsidR="003970B1" w:rsidRDefault="003970B1" w:rsidP="003970B1">
      <w:r>
        <w:t xml:space="preserve">Bradley, L., &amp; Bryant, P. E. (1983). ‘Categorizing sounds and learning to read—A causal connection.’ </w:t>
      </w:r>
      <w:r w:rsidRPr="001050A4">
        <w:rPr>
          <w:i/>
          <w:iCs/>
        </w:rPr>
        <w:t>Nature</w:t>
      </w:r>
      <w:r>
        <w:t>, 301, pp. 419-421.</w:t>
      </w:r>
    </w:p>
    <w:p w14:paraId="60F7E08D" w14:textId="77777777" w:rsidR="003970B1" w:rsidRDefault="003970B1" w:rsidP="003970B1">
      <w:pPr>
        <w:rPr>
          <w:rFonts w:ascii="Calibri" w:eastAsia="Calibri" w:hAnsi="Calibri" w:cs="Calibri"/>
        </w:rPr>
      </w:pPr>
      <w:r w:rsidRPr="001050A4">
        <w:rPr>
          <w:rFonts w:ascii="Calibri" w:eastAsia="Calibri" w:hAnsi="Calibri" w:cs="Calibri"/>
        </w:rPr>
        <w:t xml:space="preserve">MacLean, M., Bryant, P. E., &amp; Bradley, L. (1987). </w:t>
      </w:r>
      <w:r>
        <w:rPr>
          <w:rFonts w:ascii="Calibri" w:eastAsia="Calibri" w:hAnsi="Calibri" w:cs="Calibri"/>
        </w:rPr>
        <w:t>‘</w:t>
      </w:r>
      <w:r w:rsidRPr="001050A4">
        <w:rPr>
          <w:rFonts w:ascii="Calibri" w:eastAsia="Calibri" w:hAnsi="Calibri" w:cs="Calibri"/>
        </w:rPr>
        <w:t>Rhymes, nursery</w:t>
      </w:r>
      <w:r>
        <w:rPr>
          <w:rFonts w:ascii="Calibri" w:eastAsia="Calibri" w:hAnsi="Calibri" w:cs="Calibri"/>
        </w:rPr>
        <w:t xml:space="preserve"> </w:t>
      </w:r>
      <w:r w:rsidRPr="001050A4">
        <w:rPr>
          <w:rFonts w:ascii="Calibri" w:eastAsia="Calibri" w:hAnsi="Calibri" w:cs="Calibri"/>
        </w:rPr>
        <w:t>rhymes and reading in early childhood.</w:t>
      </w:r>
      <w:r>
        <w:rPr>
          <w:rFonts w:ascii="Calibri" w:eastAsia="Calibri" w:hAnsi="Calibri" w:cs="Calibri"/>
        </w:rPr>
        <w:t>’</w:t>
      </w:r>
      <w:r w:rsidRPr="001050A4">
        <w:rPr>
          <w:rFonts w:ascii="Calibri" w:eastAsia="Calibri" w:hAnsi="Calibri" w:cs="Calibri"/>
        </w:rPr>
        <w:t xml:space="preserve"> </w:t>
      </w:r>
      <w:r w:rsidRPr="001050A4">
        <w:rPr>
          <w:rFonts w:ascii="Calibri" w:eastAsia="Calibri" w:hAnsi="Calibri" w:cs="Calibri"/>
          <w:i/>
          <w:iCs/>
        </w:rPr>
        <w:t>Merrill-Palmer Quarterly,</w:t>
      </w:r>
      <w:r w:rsidRPr="001050A4">
        <w:rPr>
          <w:rFonts w:ascii="Calibri" w:eastAsia="Calibri" w:hAnsi="Calibri" w:cs="Calibri"/>
        </w:rPr>
        <w:t xml:space="preserve"> 33,</w:t>
      </w:r>
      <w:r>
        <w:rPr>
          <w:rFonts w:ascii="Calibri" w:eastAsia="Calibri" w:hAnsi="Calibri" w:cs="Calibri"/>
        </w:rPr>
        <w:t xml:space="preserve"> pp. </w:t>
      </w:r>
      <w:r w:rsidRPr="001050A4">
        <w:rPr>
          <w:rFonts w:ascii="Calibri" w:eastAsia="Calibri" w:hAnsi="Calibri" w:cs="Calibri"/>
        </w:rPr>
        <w:t>255-282</w:t>
      </w:r>
      <w:r>
        <w:rPr>
          <w:rFonts w:ascii="Calibri" w:eastAsia="Calibri" w:hAnsi="Calibri" w:cs="Calibri"/>
        </w:rPr>
        <w:t xml:space="preserve">. </w:t>
      </w:r>
    </w:p>
    <w:p w14:paraId="206E6D46" w14:textId="337B5FDE" w:rsidR="003970B1" w:rsidRDefault="003970B1" w:rsidP="003970B1">
      <w:pPr>
        <w:rPr>
          <w:rFonts w:ascii="Calibri" w:eastAsia="Calibri" w:hAnsi="Calibri" w:cs="Calibri"/>
        </w:rPr>
      </w:pPr>
      <w:r w:rsidRPr="001050A4">
        <w:rPr>
          <w:rFonts w:ascii="Calibri" w:eastAsia="Calibri" w:hAnsi="Calibri" w:cs="Calibri"/>
        </w:rPr>
        <w:t xml:space="preserve">Bryant, </w:t>
      </w:r>
      <w:r>
        <w:rPr>
          <w:rFonts w:ascii="Calibri" w:eastAsia="Calibri" w:hAnsi="Calibri" w:cs="Calibri"/>
        </w:rPr>
        <w:t xml:space="preserve">E.P., </w:t>
      </w:r>
      <w:r w:rsidRPr="001050A4">
        <w:rPr>
          <w:rFonts w:ascii="Calibri" w:eastAsia="Calibri" w:hAnsi="Calibri" w:cs="Calibri"/>
        </w:rPr>
        <w:t xml:space="preserve">MacLean, </w:t>
      </w:r>
      <w:r>
        <w:rPr>
          <w:rFonts w:ascii="Calibri" w:eastAsia="Calibri" w:hAnsi="Calibri" w:cs="Calibri"/>
        </w:rPr>
        <w:t>M., &amp;</w:t>
      </w:r>
      <w:r w:rsidRPr="001050A4">
        <w:rPr>
          <w:rFonts w:ascii="Calibri" w:eastAsia="Calibri" w:hAnsi="Calibri" w:cs="Calibri"/>
        </w:rPr>
        <w:t xml:space="preserve"> Bradley,</w:t>
      </w:r>
      <w:r>
        <w:rPr>
          <w:rFonts w:ascii="Calibri" w:eastAsia="Calibri" w:hAnsi="Calibri" w:cs="Calibri"/>
        </w:rPr>
        <w:t xml:space="preserve"> L.L.,</w:t>
      </w:r>
      <w:r w:rsidRPr="001050A4"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</w:rPr>
        <w:t>&amp;</w:t>
      </w:r>
      <w:r w:rsidRPr="001050A4">
        <w:rPr>
          <w:rFonts w:ascii="Calibri" w:eastAsia="Calibri" w:hAnsi="Calibri" w:cs="Calibri"/>
        </w:rPr>
        <w:t xml:space="preserve"> Crossland</w:t>
      </w:r>
      <w:r>
        <w:rPr>
          <w:rFonts w:ascii="Calibri" w:eastAsia="Calibri" w:hAnsi="Calibri" w:cs="Calibri"/>
        </w:rPr>
        <w:t>. J. (1990). ‘</w:t>
      </w:r>
      <w:r w:rsidRPr="001050A4">
        <w:rPr>
          <w:rFonts w:ascii="Calibri" w:eastAsia="Calibri" w:hAnsi="Calibri" w:cs="Calibri"/>
        </w:rPr>
        <w:t>Rhyme and Alliteration, Phoneme Detection, and Learning to Read</w:t>
      </w:r>
      <w:r>
        <w:rPr>
          <w:rFonts w:ascii="Calibri" w:eastAsia="Calibri" w:hAnsi="Calibri" w:cs="Calibri"/>
        </w:rPr>
        <w:t xml:space="preserve">.’ </w:t>
      </w:r>
      <w:r w:rsidRPr="001050A4">
        <w:rPr>
          <w:rFonts w:ascii="Calibri" w:eastAsia="Calibri" w:hAnsi="Calibri" w:cs="Calibri"/>
          <w:i/>
          <w:iCs/>
        </w:rPr>
        <w:t>Developmental Psychology</w:t>
      </w:r>
      <w:r>
        <w:rPr>
          <w:rFonts w:ascii="Calibri" w:eastAsia="Calibri" w:hAnsi="Calibri" w:cs="Calibri"/>
        </w:rPr>
        <w:t xml:space="preserve">, </w:t>
      </w:r>
      <w:r w:rsidRPr="001050A4">
        <w:rPr>
          <w:rFonts w:ascii="Calibri" w:eastAsia="Calibri" w:hAnsi="Calibri" w:cs="Calibri"/>
        </w:rPr>
        <w:t>26</w:t>
      </w:r>
      <w:r>
        <w:rPr>
          <w:rFonts w:ascii="Calibri" w:eastAsia="Calibri" w:hAnsi="Calibri" w:cs="Calibri"/>
        </w:rPr>
        <w:t>(</w:t>
      </w:r>
      <w:r w:rsidRPr="001050A4">
        <w:rPr>
          <w:rFonts w:ascii="Calibri" w:eastAsia="Calibri" w:hAnsi="Calibri" w:cs="Calibri"/>
        </w:rPr>
        <w:t>3</w:t>
      </w:r>
      <w:r>
        <w:rPr>
          <w:rFonts w:ascii="Calibri" w:eastAsia="Calibri" w:hAnsi="Calibri" w:cs="Calibri"/>
        </w:rPr>
        <w:t xml:space="preserve">), pp. </w:t>
      </w:r>
      <w:r w:rsidRPr="001050A4">
        <w:rPr>
          <w:rFonts w:ascii="Calibri" w:eastAsia="Calibri" w:hAnsi="Calibri" w:cs="Calibri"/>
        </w:rPr>
        <w:t>429-438</w:t>
      </w:r>
      <w:r>
        <w:rPr>
          <w:rFonts w:ascii="Calibri" w:eastAsia="Calibri" w:hAnsi="Calibri" w:cs="Calibri"/>
        </w:rPr>
        <w:t xml:space="preserve">. Doi: </w:t>
      </w:r>
      <w:r w:rsidRPr="001050A4">
        <w:rPr>
          <w:rFonts w:ascii="Calibri" w:eastAsia="Calibri" w:hAnsi="Calibri" w:cs="Calibri"/>
        </w:rPr>
        <w:t>0012-1649/90/100.75</w:t>
      </w:r>
      <w:r>
        <w:rPr>
          <w:rFonts w:ascii="Calibri" w:eastAsia="Calibri" w:hAnsi="Calibri" w:cs="Calibri"/>
        </w:rPr>
        <w:t xml:space="preserve"> .</w:t>
      </w:r>
    </w:p>
    <w:p w14:paraId="68F8BA08" w14:textId="5C7B9BAC" w:rsidR="003970B1" w:rsidRDefault="003970B1" w:rsidP="003970B1">
      <w:bookmarkStart w:id="0" w:name="_Hlk57988291"/>
      <w:r>
        <w:lastRenderedPageBreak/>
        <w:t xml:space="preserve">Asmaa, B. (2017). The Use of Onomatopoeia in Child Language Learning. It is Useful or Just for Fun? Available at: </w:t>
      </w:r>
      <w:r w:rsidRPr="003970B1">
        <w:t>http://e-biblio.univ-mosta.dz/bitstream/handle/123456789/5710/Memeoire%20final.pdf?sequence=1&amp;isAllowed=y</w:t>
      </w:r>
      <w:r>
        <w:t xml:space="preserve"> (Accessed: 23/November 2020).</w:t>
      </w:r>
    </w:p>
    <w:p w14:paraId="2905AA5C" w14:textId="77777777" w:rsidR="003970B1" w:rsidRDefault="003970B1" w:rsidP="003970B1">
      <w:r>
        <w:t xml:space="preserve">Imai, M., &amp; Kita, S. (2014). ‘The sound symbolism bootstrapping hypothesis for language acquisition and language evolution.’ </w:t>
      </w:r>
      <w:r w:rsidRPr="00DB5D9A">
        <w:rPr>
          <w:i/>
          <w:iCs/>
        </w:rPr>
        <w:t>Biological Sciences,</w:t>
      </w:r>
      <w:r>
        <w:t xml:space="preserve"> 369. </w:t>
      </w:r>
    </w:p>
    <w:p w14:paraId="59656303" w14:textId="77777777" w:rsidR="003970B1" w:rsidRDefault="003970B1" w:rsidP="003970B1">
      <w:r>
        <w:t xml:space="preserve">Laing, C. E. (2017). ‘A perceptual advantage for onomatopoeia in early word learning: Evidence from eye-tracking.’ </w:t>
      </w:r>
      <w:r w:rsidRPr="00DB5D9A">
        <w:rPr>
          <w:i/>
          <w:iCs/>
        </w:rPr>
        <w:t>Journal of Experimental Child Psychology</w:t>
      </w:r>
      <w:r>
        <w:t xml:space="preserve">, 161, pp. 32-45. </w:t>
      </w:r>
    </w:p>
    <w:bookmarkEnd w:id="0"/>
    <w:p w14:paraId="712610D6" w14:textId="77777777" w:rsidR="003970B1" w:rsidRPr="002360AA" w:rsidRDefault="003970B1" w:rsidP="003970B1">
      <w:r>
        <w:t>Trieman, R. (1991). ‘</w:t>
      </w:r>
      <w:r w:rsidRPr="00BF381B">
        <w:t>Phonological Awareness and Its Roles in Learning to Read and Spell</w:t>
      </w:r>
      <w:r>
        <w:t xml:space="preserve">’ In Sawyer, J. D., &amp; Fox, J. B. (ed.). </w:t>
      </w:r>
      <w:r w:rsidRPr="002360AA">
        <w:rPr>
          <w:i/>
          <w:iCs/>
        </w:rPr>
        <w:t>Phonological Awareness in Reading</w:t>
      </w:r>
      <w:r>
        <w:rPr>
          <w:i/>
          <w:iCs/>
        </w:rPr>
        <w:t xml:space="preserve">. </w:t>
      </w:r>
      <w:r>
        <w:t xml:space="preserve">New York: Springer. </w:t>
      </w:r>
    </w:p>
    <w:p w14:paraId="5C60D727" w14:textId="77777777" w:rsidR="003970B1" w:rsidRDefault="003970B1" w:rsidP="003970B1">
      <w:r>
        <w:t>Goswami, U., &amp; Bryant, P. (1992). Rhyme, analogy, and children's reading. In P. B. Gough, L.C. Ehri, &amp; R. Treiman (ed.). Hillsdale, NJ: Erlbaum</w:t>
      </w:r>
    </w:p>
    <w:p w14:paraId="0A2AE54A" w14:textId="77777777" w:rsidR="003970B1" w:rsidRDefault="003970B1" w:rsidP="003970B1">
      <w:r>
        <w:t xml:space="preserve">MacLean, L., Bryant, P., &amp; Bradley, L. (1987). ‘Rhymes, nursery rhymes, and reading in early childhood.’ </w:t>
      </w:r>
      <w:r w:rsidRPr="002360AA">
        <w:rPr>
          <w:i/>
          <w:iCs/>
        </w:rPr>
        <w:t>Merrill-Palmer Quarterly</w:t>
      </w:r>
      <w:r>
        <w:t>, 33 (3), pp. 255-28</w:t>
      </w:r>
    </w:p>
    <w:p w14:paraId="2AAAED80" w14:textId="77777777" w:rsidR="003970B1" w:rsidRDefault="003970B1" w:rsidP="003970B1">
      <w:r>
        <w:t xml:space="preserve">Fernandez-Fein, S., &amp; Baker. L. (1997). Rhyme and Alliteration Sensitivity and Relevant Experiences Among Preschoolers From Diverse Backgrounds. </w:t>
      </w:r>
      <w:r w:rsidRPr="002360AA">
        <w:rPr>
          <w:i/>
          <w:iCs/>
        </w:rPr>
        <w:t>Journal of Literacy Resear</w:t>
      </w:r>
      <w:r>
        <w:rPr>
          <w:i/>
          <w:iCs/>
        </w:rPr>
        <w:t xml:space="preserve">ch, </w:t>
      </w:r>
      <w:r>
        <w:t>29(3), pp. 433-4</w:t>
      </w:r>
    </w:p>
    <w:p w14:paraId="50C11735" w14:textId="0783A6F9" w:rsidR="00DC51B4" w:rsidRDefault="003D61BD" w:rsidP="003970B1">
      <w:pPr>
        <w:rPr>
          <w:color w:val="000000" w:themeColor="text1"/>
        </w:rPr>
      </w:pPr>
      <w:r>
        <w:t>Wheeler, S (2020)’</w:t>
      </w:r>
      <w:r w:rsidRPr="003D61BD">
        <w:t xml:space="preserve"> </w:t>
      </w:r>
      <w:r>
        <w:t>Learning Theories:</w:t>
      </w:r>
      <w:r w:rsidRPr="003D61BD">
        <w:t xml:space="preserve"> </w:t>
      </w:r>
      <w:r>
        <w:t xml:space="preserve">Jerome Bruner on the scaffolding of  learning’. Available at </w:t>
      </w:r>
      <w:r w:rsidRPr="003D61BD">
        <w:rPr>
          <w:color w:val="000000" w:themeColor="text1"/>
        </w:rPr>
        <w:t>:</w:t>
      </w:r>
      <w:hyperlink r:id="rId9" w:history="1">
        <w:r w:rsidR="00DC51B4" w:rsidRPr="003D61BD">
          <w:rPr>
            <w:color w:val="000000" w:themeColor="text1"/>
          </w:rPr>
          <w:t>Jerome Bruner On The Scaffolding Of Learning (teachthought.com)</w:t>
        </w:r>
      </w:hyperlink>
      <w:r w:rsidR="00602B33" w:rsidRPr="003D61BD">
        <w:rPr>
          <w:color w:val="000000" w:themeColor="text1"/>
        </w:rPr>
        <w:t xml:space="preserve"> </w:t>
      </w:r>
      <w:r>
        <w:rPr>
          <w:color w:val="000000" w:themeColor="text1"/>
        </w:rPr>
        <w:t>(Accessed: 23/ November 2020).</w:t>
      </w:r>
    </w:p>
    <w:p w14:paraId="3A3E3556" w14:textId="3C448EE2" w:rsidR="00703697" w:rsidRDefault="00703697" w:rsidP="003970B1">
      <w:r>
        <w:t>Belaouedj, H(2018)The Effectiveness of using mass media in teaching English language for EFL students .’</w:t>
      </w:r>
      <w:r w:rsidRPr="00703697">
        <w:t xml:space="preserve"> </w:t>
      </w:r>
      <w:r w:rsidRPr="00703697">
        <w:rPr>
          <w:i/>
          <w:iCs/>
        </w:rPr>
        <w:t>People democratic republic of Algeria ministry of higher education and research facultry of foreign languages department of English</w:t>
      </w:r>
      <w:r>
        <w:rPr>
          <w:i/>
          <w:iCs/>
        </w:rPr>
        <w:t>’.</w:t>
      </w:r>
      <w:r>
        <w:t>pp.12-17.</w:t>
      </w:r>
    </w:p>
    <w:p w14:paraId="4678089A" w14:textId="11BCFD9E" w:rsidR="00602B33" w:rsidRDefault="00F2590C" w:rsidP="003970B1">
      <w:r>
        <w:t>Welsh government (2015) Foundation Phase framework. Available at: ‘</w:t>
      </w:r>
      <w:hyperlink r:id="rId10" w:history="1">
        <w:r w:rsidR="00602B33" w:rsidRPr="00F2590C">
          <w:rPr>
            <w:rStyle w:val="Hyperlink"/>
            <w:color w:val="000000" w:themeColor="text1"/>
            <w:u w:val="none"/>
          </w:rPr>
          <w:t>foundation-phase-framework-revised-2015.pdf (gov.wales)</w:t>
        </w:r>
      </w:hyperlink>
      <w:r>
        <w:rPr>
          <w:color w:val="000000" w:themeColor="text1"/>
        </w:rPr>
        <w:t>’. (Accessed 03/December 2020).</w:t>
      </w:r>
    </w:p>
    <w:p w14:paraId="40A8DC63" w14:textId="77777777" w:rsidR="00CD7137" w:rsidRDefault="00CD7137" w:rsidP="003970B1"/>
    <w:p w14:paraId="282DB425" w14:textId="77777777" w:rsidR="00DC51B4" w:rsidRDefault="00DC51B4" w:rsidP="003970B1"/>
    <w:p w14:paraId="2AFBFE0A" w14:textId="77777777" w:rsidR="003970B1" w:rsidRDefault="003970B1" w:rsidP="003970B1">
      <w:pPr>
        <w:rPr>
          <w:rFonts w:ascii="Calibri" w:eastAsia="Calibri" w:hAnsi="Calibri" w:cs="Calibri"/>
        </w:rPr>
      </w:pPr>
    </w:p>
    <w:p w14:paraId="286070FF" w14:textId="77777777" w:rsidR="003970B1" w:rsidRPr="00F71854" w:rsidRDefault="003970B1" w:rsidP="003970B1"/>
    <w:p w14:paraId="777C9D8F" w14:textId="77777777" w:rsidR="003970B1" w:rsidRPr="00857A28" w:rsidRDefault="003970B1" w:rsidP="003970B1"/>
    <w:p w14:paraId="1EEF15F2" w14:textId="77777777" w:rsidR="00306A71" w:rsidRDefault="00306A71"/>
    <w:sectPr w:rsidR="00306A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70B1"/>
    <w:rsid w:val="00306A71"/>
    <w:rsid w:val="003970B1"/>
    <w:rsid w:val="003D61BD"/>
    <w:rsid w:val="005E3783"/>
    <w:rsid w:val="00602B33"/>
    <w:rsid w:val="006348B2"/>
    <w:rsid w:val="00703697"/>
    <w:rsid w:val="00CD7137"/>
    <w:rsid w:val="00DC2A6D"/>
    <w:rsid w:val="00DC51B4"/>
    <w:rsid w:val="00F259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06EC23"/>
  <w15:chartTrackingRefBased/>
  <w15:docId w15:val="{FF57E1C7-98E5-4471-8709-C294F63EBA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70B1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970B1"/>
    <w:rPr>
      <w:color w:val="0563C1" w:themeColor="hyperlink"/>
      <w:u w:val="single"/>
    </w:rPr>
  </w:style>
  <w:style w:type="paragraph" w:customStyle="1" w:styleId="dx-doi">
    <w:name w:val="dx-doi"/>
    <w:basedOn w:val="Normal"/>
    <w:rsid w:val="003970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9139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deref/http%3A%2F%2Fdx.doi.org%2F10.1016%2Fj.ecresq.2008.01.005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researchgate.net/journal/0885-2006_Early_Childhood_Research_Quarterly" TargetMode="Externa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gov.wales/sites/default/files/publications/2018-02/foundation-phase-framework-revised-2015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teachthought.com/learning/learning-theories-jerome-bruner-scaffolding-learn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E97E92EE9F184B86E07AF056B201E3" ma:contentTypeVersion="4" ma:contentTypeDescription="Create a new document." ma:contentTypeScope="" ma:versionID="c90bc7df1907527c5f2fd06370695cc1">
  <xsd:schema xmlns:xsd="http://www.w3.org/2001/XMLSchema" xmlns:xs="http://www.w3.org/2001/XMLSchema" xmlns:p="http://schemas.microsoft.com/office/2006/metadata/properties" xmlns:ns3="28bc52eb-7ba0-4738-a312-c7a8d9f935af" targetNamespace="http://schemas.microsoft.com/office/2006/metadata/properties" ma:root="true" ma:fieldsID="121e042e4cc6ac7022ff39c46a2baad1" ns3:_="">
    <xsd:import namespace="28bc52eb-7ba0-4738-a312-c7a8d9f935a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bc52eb-7ba0-4738-a312-c7a8d9f935a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E16DA8E-2801-4FF7-9207-8E34D3B88D6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445E2DD-C297-4F34-BA10-93672D4DFF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bc52eb-7ba0-4738-a312-c7a8d9f935a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CC54A38-1805-4C7E-936C-15CADD8A923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789</Words>
  <Characters>4502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Grocock (1801342)</dc:creator>
  <cp:keywords/>
  <dc:description/>
  <cp:lastModifiedBy>Amelia Grocock (1801342)</cp:lastModifiedBy>
  <cp:revision>2</cp:revision>
  <dcterms:created xsi:type="dcterms:W3CDTF">2020-12-05T10:49:00Z</dcterms:created>
  <dcterms:modified xsi:type="dcterms:W3CDTF">2020-12-05T10:49:00Z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0x0101002BE97E92EE9F184B86E07AF056B201E3</vt:lpwstr>
  </property>
</Properties>
</file>