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0BC2" w:rsidRDefault="00C00BC2" w:rsidP="00C00BC2">
      <w:pPr>
        <w:spacing w:line="360" w:lineRule="auto"/>
        <w:jc w:val="center"/>
        <w:rPr>
          <w:rFonts w:ascii="Arial" w:hAnsi="Arial" w:cs="Arial"/>
          <w:sz w:val="56"/>
          <w:szCs w:val="56"/>
        </w:rPr>
      </w:pPr>
    </w:p>
    <w:p w:rsidR="00C00BC2" w:rsidRDefault="00C00BC2" w:rsidP="00C00BC2">
      <w:pPr>
        <w:spacing w:line="360" w:lineRule="auto"/>
        <w:jc w:val="center"/>
        <w:rPr>
          <w:rFonts w:ascii="Arial" w:hAnsi="Arial" w:cs="Arial"/>
          <w:sz w:val="56"/>
          <w:szCs w:val="56"/>
        </w:rPr>
      </w:pPr>
    </w:p>
    <w:p w:rsidR="00C00BC2" w:rsidRDefault="00C00BC2" w:rsidP="00C00BC2">
      <w:pPr>
        <w:spacing w:line="360" w:lineRule="auto"/>
        <w:jc w:val="center"/>
        <w:rPr>
          <w:rFonts w:ascii="Arial" w:hAnsi="Arial" w:cs="Arial"/>
          <w:sz w:val="56"/>
          <w:szCs w:val="56"/>
        </w:rPr>
      </w:pPr>
    </w:p>
    <w:p w:rsidR="00C00BC2" w:rsidRDefault="00C00BC2" w:rsidP="00C00BC2">
      <w:pPr>
        <w:spacing w:line="360" w:lineRule="auto"/>
        <w:jc w:val="center"/>
        <w:rPr>
          <w:rFonts w:ascii="Arial" w:hAnsi="Arial" w:cs="Arial"/>
          <w:sz w:val="56"/>
          <w:szCs w:val="56"/>
        </w:rPr>
      </w:pPr>
      <w:r>
        <w:rPr>
          <w:rFonts w:ascii="Arial" w:hAnsi="Arial" w:cs="Arial"/>
          <w:sz w:val="56"/>
          <w:szCs w:val="56"/>
        </w:rPr>
        <w:t>Impact of current challenges on the human resource department</w:t>
      </w:r>
    </w:p>
    <w:p w:rsidR="00C00BC2" w:rsidRDefault="00C00BC2" w:rsidP="00C00BC2">
      <w:pPr>
        <w:spacing w:line="360" w:lineRule="auto"/>
        <w:jc w:val="center"/>
        <w:rPr>
          <w:rFonts w:ascii="Arial" w:hAnsi="Arial" w:cs="Arial"/>
          <w:sz w:val="56"/>
          <w:szCs w:val="56"/>
        </w:rPr>
      </w:pPr>
      <w:r>
        <w:rPr>
          <w:rFonts w:ascii="Arial" w:hAnsi="Arial" w:cs="Arial"/>
          <w:sz w:val="56"/>
          <w:szCs w:val="56"/>
        </w:rPr>
        <w:t xml:space="preserve"> </w:t>
      </w:r>
      <w:proofErr w:type="gramStart"/>
      <w:r>
        <w:rPr>
          <w:rFonts w:ascii="Arial" w:hAnsi="Arial" w:cs="Arial"/>
          <w:sz w:val="56"/>
          <w:szCs w:val="56"/>
        </w:rPr>
        <w:t>relating</w:t>
      </w:r>
      <w:proofErr w:type="gramEnd"/>
      <w:r>
        <w:rPr>
          <w:rFonts w:ascii="Arial" w:hAnsi="Arial" w:cs="Arial"/>
          <w:sz w:val="56"/>
          <w:szCs w:val="56"/>
        </w:rPr>
        <w:t xml:space="preserve"> to recruitment and retention </w:t>
      </w:r>
    </w:p>
    <w:p w:rsidR="00C00BC2" w:rsidRDefault="001567AA" w:rsidP="00C00BC2">
      <w:pPr>
        <w:spacing w:line="360" w:lineRule="auto"/>
        <w:jc w:val="center"/>
        <w:rPr>
          <w:rFonts w:ascii="Arial" w:hAnsi="Arial" w:cs="Arial"/>
          <w:sz w:val="36"/>
          <w:szCs w:val="36"/>
        </w:rPr>
      </w:pPr>
      <w:r>
        <w:rPr>
          <w:rFonts w:ascii="Arial" w:hAnsi="Arial" w:cs="Arial"/>
          <w:sz w:val="36"/>
          <w:szCs w:val="36"/>
        </w:rPr>
        <w:t>1853</w:t>
      </w:r>
      <w:r w:rsidR="00C00BC2">
        <w:rPr>
          <w:rFonts w:ascii="Arial" w:hAnsi="Arial" w:cs="Arial"/>
          <w:sz w:val="36"/>
          <w:szCs w:val="36"/>
        </w:rPr>
        <w:t xml:space="preserve"> words</w:t>
      </w:r>
    </w:p>
    <w:p w:rsidR="00C00BC2" w:rsidRDefault="00C00BC2" w:rsidP="00C00BC2">
      <w:pPr>
        <w:spacing w:line="360" w:lineRule="auto"/>
        <w:jc w:val="center"/>
        <w:rPr>
          <w:rFonts w:ascii="Arial" w:hAnsi="Arial" w:cs="Arial"/>
          <w:sz w:val="36"/>
          <w:szCs w:val="36"/>
        </w:rPr>
      </w:pPr>
    </w:p>
    <w:p w:rsidR="00C00BC2" w:rsidRDefault="00C00BC2" w:rsidP="00C00BC2">
      <w:pPr>
        <w:spacing w:line="360" w:lineRule="auto"/>
        <w:jc w:val="center"/>
        <w:rPr>
          <w:rFonts w:ascii="Arial" w:hAnsi="Arial" w:cs="Arial"/>
          <w:sz w:val="36"/>
          <w:szCs w:val="36"/>
        </w:rPr>
      </w:pPr>
    </w:p>
    <w:p w:rsidR="00C00BC2" w:rsidRDefault="00C00BC2" w:rsidP="00C00BC2">
      <w:pPr>
        <w:spacing w:line="360" w:lineRule="auto"/>
        <w:jc w:val="center"/>
        <w:rPr>
          <w:rFonts w:ascii="Arial" w:hAnsi="Arial" w:cs="Arial"/>
          <w:sz w:val="36"/>
          <w:szCs w:val="36"/>
        </w:rPr>
      </w:pPr>
    </w:p>
    <w:p w:rsidR="00C00BC2" w:rsidRDefault="00C00BC2" w:rsidP="00C00BC2">
      <w:pPr>
        <w:spacing w:line="360" w:lineRule="auto"/>
        <w:ind w:left="-360" w:right="-720"/>
        <w:rPr>
          <w:rFonts w:ascii="Arial" w:hAnsi="Arial" w:cs="Arial"/>
          <w:sz w:val="32"/>
          <w:szCs w:val="32"/>
        </w:rPr>
      </w:pPr>
      <w:r>
        <w:rPr>
          <w:rFonts w:ascii="Arial" w:hAnsi="Arial" w:cs="Arial"/>
          <w:sz w:val="32"/>
          <w:szCs w:val="32"/>
        </w:rPr>
        <w:t xml:space="preserve">Student name: </w:t>
      </w:r>
      <w:proofErr w:type="spellStart"/>
      <w:r>
        <w:rPr>
          <w:rFonts w:ascii="Arial" w:hAnsi="Arial" w:cs="Arial"/>
          <w:sz w:val="32"/>
          <w:szCs w:val="32"/>
        </w:rPr>
        <w:t>Ovidiu</w:t>
      </w:r>
      <w:proofErr w:type="spellEnd"/>
      <w:r>
        <w:rPr>
          <w:rFonts w:ascii="Arial" w:hAnsi="Arial" w:cs="Arial"/>
          <w:sz w:val="32"/>
          <w:szCs w:val="32"/>
        </w:rPr>
        <w:t xml:space="preserve"> </w:t>
      </w:r>
      <w:proofErr w:type="spellStart"/>
      <w:r>
        <w:rPr>
          <w:rFonts w:ascii="Arial" w:hAnsi="Arial" w:cs="Arial"/>
          <w:sz w:val="32"/>
          <w:szCs w:val="32"/>
        </w:rPr>
        <w:t>Trasc</w:t>
      </w:r>
      <w:proofErr w:type="spellEnd"/>
    </w:p>
    <w:p w:rsidR="00C00BC2" w:rsidRDefault="00C00BC2" w:rsidP="00C00BC2">
      <w:pPr>
        <w:spacing w:line="360" w:lineRule="auto"/>
        <w:ind w:left="-360" w:right="-720"/>
        <w:rPr>
          <w:rFonts w:ascii="Arial" w:hAnsi="Arial" w:cs="Arial"/>
          <w:sz w:val="32"/>
          <w:szCs w:val="32"/>
        </w:rPr>
      </w:pPr>
      <w:r>
        <w:rPr>
          <w:rFonts w:ascii="Arial" w:hAnsi="Arial" w:cs="Arial"/>
          <w:sz w:val="32"/>
          <w:szCs w:val="32"/>
        </w:rPr>
        <w:t xml:space="preserve">ID Number: </w:t>
      </w:r>
      <w:r>
        <w:rPr>
          <w:rFonts w:ascii="Arial" w:hAnsi="Arial" w:cs="Arial"/>
          <w:color w:val="222222"/>
          <w:sz w:val="32"/>
          <w:szCs w:val="32"/>
          <w:shd w:val="clear" w:color="auto" w:fill="FFFFFF"/>
        </w:rPr>
        <w:t>2206244</w:t>
      </w:r>
    </w:p>
    <w:p w:rsidR="00C00BC2" w:rsidRDefault="00C00BC2" w:rsidP="00C00BC2">
      <w:pPr>
        <w:spacing w:line="360" w:lineRule="auto"/>
        <w:ind w:left="-360" w:right="-720"/>
        <w:rPr>
          <w:rFonts w:ascii="Arial" w:hAnsi="Arial" w:cs="Arial"/>
          <w:sz w:val="32"/>
          <w:szCs w:val="32"/>
        </w:rPr>
      </w:pPr>
      <w:r>
        <w:rPr>
          <w:rFonts w:ascii="Arial" w:hAnsi="Arial" w:cs="Arial"/>
          <w:sz w:val="32"/>
          <w:szCs w:val="32"/>
        </w:rPr>
        <w:t>Module title/code: Personnel Resourcing and Development / BMIH5005</w:t>
      </w:r>
      <w:bookmarkStart w:id="0" w:name="_GoBack"/>
      <w:bookmarkEnd w:id="0"/>
    </w:p>
    <w:p w:rsidR="00C00BC2" w:rsidRDefault="00C00BC2" w:rsidP="00C00BC2">
      <w:pPr>
        <w:spacing w:line="360" w:lineRule="auto"/>
        <w:ind w:left="-360" w:right="-720"/>
        <w:rPr>
          <w:rFonts w:ascii="Arial" w:hAnsi="Arial" w:cs="Arial"/>
          <w:sz w:val="32"/>
          <w:szCs w:val="32"/>
        </w:rPr>
      </w:pPr>
      <w:r>
        <w:rPr>
          <w:rFonts w:ascii="Arial" w:hAnsi="Arial" w:cs="Arial"/>
          <w:sz w:val="32"/>
          <w:szCs w:val="32"/>
        </w:rPr>
        <w:t>Lecturer name: Helen Lee</w:t>
      </w:r>
    </w:p>
    <w:p w:rsidR="00C00BC2" w:rsidRDefault="00C00BC2" w:rsidP="00C00BC2">
      <w:pPr>
        <w:spacing w:line="360" w:lineRule="auto"/>
        <w:ind w:left="-360" w:right="-720"/>
        <w:rPr>
          <w:rFonts w:ascii="Arial" w:hAnsi="Arial" w:cs="Arial"/>
          <w:sz w:val="32"/>
          <w:szCs w:val="32"/>
        </w:rPr>
      </w:pPr>
    </w:p>
    <w:p w:rsidR="00C00BC2" w:rsidRDefault="00C00BC2" w:rsidP="00C00BC2">
      <w:pPr>
        <w:spacing w:line="360" w:lineRule="auto"/>
        <w:ind w:left="-360" w:right="-720"/>
        <w:rPr>
          <w:rFonts w:ascii="Arial" w:hAnsi="Arial" w:cs="Arial"/>
          <w:sz w:val="32"/>
          <w:szCs w:val="32"/>
        </w:rPr>
      </w:pPr>
    </w:p>
    <w:p w:rsidR="00C00BC2" w:rsidRDefault="00C00BC2" w:rsidP="00C00BC2">
      <w:pPr>
        <w:pStyle w:val="TOCHeading"/>
        <w:spacing w:line="360" w:lineRule="auto"/>
        <w:ind w:right="-90"/>
        <w:jc w:val="both"/>
        <w:rPr>
          <w:rFonts w:ascii="Arial" w:eastAsiaTheme="minorHAnsi" w:hAnsi="Arial" w:cs="Arial"/>
          <w:color w:val="auto"/>
          <w:sz w:val="24"/>
          <w:szCs w:val="24"/>
        </w:rPr>
      </w:pPr>
      <w:r>
        <w:rPr>
          <w:rFonts w:ascii="Arial" w:eastAsiaTheme="minorHAnsi" w:hAnsi="Arial" w:cs="Arial"/>
          <w:color w:val="auto"/>
          <w:sz w:val="24"/>
          <w:szCs w:val="24"/>
        </w:rPr>
        <w:t>Executive Summary:</w:t>
      </w:r>
    </w:p>
    <w:p w:rsidR="00C00BC2" w:rsidRDefault="00C00BC2" w:rsidP="00C00BC2">
      <w:pPr>
        <w:spacing w:line="360" w:lineRule="auto"/>
        <w:jc w:val="both"/>
        <w:rPr>
          <w:rFonts w:ascii="Arial" w:hAnsi="Arial" w:cs="Arial"/>
          <w:sz w:val="24"/>
          <w:szCs w:val="24"/>
        </w:rPr>
      </w:pPr>
      <w:r>
        <w:rPr>
          <w:rFonts w:ascii="Arial" w:hAnsi="Arial" w:cs="Arial"/>
          <w:sz w:val="24"/>
          <w:szCs w:val="24"/>
        </w:rPr>
        <w:t>This report focus on the impact of current challenges on the human resource department relating to recruitment and retention of employees in hospitality industry. It is chosen for analysis a big hotel chain, InterContinental Hotels Group.</w:t>
      </w:r>
    </w:p>
    <w:p w:rsidR="00C00BC2" w:rsidRDefault="00C00BC2" w:rsidP="00C00BC2">
      <w:pPr>
        <w:pStyle w:val="TOCHeading"/>
        <w:spacing w:line="360" w:lineRule="auto"/>
        <w:jc w:val="both"/>
        <w:rPr>
          <w:rFonts w:ascii="Arial" w:eastAsiaTheme="minorHAnsi" w:hAnsi="Arial" w:cs="Arial"/>
          <w:color w:val="auto"/>
          <w:sz w:val="24"/>
          <w:szCs w:val="24"/>
        </w:rPr>
      </w:pPr>
    </w:p>
    <w:p w:rsidR="00C00BC2" w:rsidRDefault="00C00BC2" w:rsidP="00C00BC2">
      <w:pPr>
        <w:pStyle w:val="TOCHeading"/>
        <w:spacing w:line="360" w:lineRule="auto"/>
        <w:ind w:right="-90"/>
        <w:rPr>
          <w:rFonts w:ascii="Arial" w:hAnsi="Arial" w:cs="Arial"/>
          <w:sz w:val="24"/>
          <w:szCs w:val="24"/>
        </w:rPr>
      </w:pPr>
      <w:r>
        <w:rPr>
          <w:rFonts w:ascii="Arial" w:hAnsi="Arial" w:cs="Arial"/>
          <w:sz w:val="24"/>
          <w:szCs w:val="24"/>
        </w:rPr>
        <w:t>Table of Contents</w:t>
      </w:r>
    </w:p>
    <w:p w:rsidR="00C00BC2" w:rsidRDefault="00C00BC2" w:rsidP="00C00BC2">
      <w:pPr>
        <w:spacing w:line="360" w:lineRule="auto"/>
        <w:ind w:right="-90"/>
        <w:jc w:val="both"/>
      </w:pPr>
      <w:r>
        <w:rPr>
          <w:rFonts w:ascii="Arial" w:hAnsi="Arial" w:cs="Arial"/>
          <w:sz w:val="24"/>
          <w:szCs w:val="24"/>
        </w:rPr>
        <w:t>Executive Summary……………………………….…………………………...………….…2</w:t>
      </w:r>
    </w:p>
    <w:p w:rsidR="00C00BC2" w:rsidRDefault="00C00BC2" w:rsidP="00C00BC2">
      <w:pPr>
        <w:pStyle w:val="ListParagraph"/>
        <w:numPr>
          <w:ilvl w:val="0"/>
          <w:numId w:val="1"/>
        </w:numPr>
        <w:tabs>
          <w:tab w:val="left" w:pos="270"/>
        </w:tabs>
        <w:spacing w:line="360" w:lineRule="auto"/>
        <w:ind w:left="720" w:right="-90" w:hanging="720"/>
        <w:jc w:val="both"/>
        <w:rPr>
          <w:rFonts w:ascii="Arial" w:hAnsi="Arial" w:cs="Arial"/>
          <w:sz w:val="24"/>
          <w:szCs w:val="24"/>
        </w:rPr>
      </w:pPr>
      <w:r>
        <w:rPr>
          <w:rFonts w:ascii="Arial" w:hAnsi="Arial" w:cs="Arial"/>
          <w:sz w:val="24"/>
          <w:szCs w:val="24"/>
        </w:rPr>
        <w:t>Introduction………………………………………………………………………………...3</w:t>
      </w:r>
    </w:p>
    <w:p w:rsidR="00C00BC2" w:rsidRDefault="00C00BC2" w:rsidP="00C00BC2">
      <w:pPr>
        <w:pStyle w:val="ListParagraph"/>
        <w:numPr>
          <w:ilvl w:val="1"/>
          <w:numId w:val="1"/>
        </w:numPr>
        <w:spacing w:line="360" w:lineRule="auto"/>
        <w:ind w:right="-90"/>
        <w:jc w:val="both"/>
        <w:rPr>
          <w:rFonts w:ascii="Arial" w:hAnsi="Arial" w:cs="Arial"/>
          <w:sz w:val="24"/>
          <w:szCs w:val="24"/>
        </w:rPr>
      </w:pPr>
      <w:r>
        <w:rPr>
          <w:rFonts w:ascii="Arial" w:hAnsi="Arial" w:cs="Arial"/>
          <w:sz w:val="24"/>
          <w:szCs w:val="24"/>
        </w:rPr>
        <w:t>Current challenges regarding employment &amp; retention………………..3</w:t>
      </w:r>
    </w:p>
    <w:p w:rsidR="00C00BC2" w:rsidRDefault="00C00BC2" w:rsidP="00C00BC2">
      <w:pPr>
        <w:pStyle w:val="ListParagraph"/>
        <w:numPr>
          <w:ilvl w:val="1"/>
          <w:numId w:val="1"/>
        </w:numPr>
        <w:spacing w:line="360" w:lineRule="auto"/>
        <w:ind w:right="-90"/>
        <w:jc w:val="both"/>
        <w:rPr>
          <w:rFonts w:ascii="Arial" w:hAnsi="Arial" w:cs="Arial"/>
          <w:sz w:val="24"/>
          <w:szCs w:val="24"/>
        </w:rPr>
      </w:pPr>
      <w:r>
        <w:rPr>
          <w:rFonts w:ascii="Arial" w:hAnsi="Arial" w:cs="Arial"/>
          <w:sz w:val="24"/>
          <w:szCs w:val="24"/>
        </w:rPr>
        <w:t>IHG  …………………………………………………………………………3</w:t>
      </w:r>
    </w:p>
    <w:p w:rsidR="00C00BC2" w:rsidRDefault="00C00BC2" w:rsidP="00C00BC2">
      <w:pPr>
        <w:pStyle w:val="ListParagraph"/>
        <w:numPr>
          <w:ilvl w:val="1"/>
          <w:numId w:val="1"/>
        </w:numPr>
        <w:spacing w:line="360" w:lineRule="auto"/>
        <w:ind w:right="-90"/>
        <w:jc w:val="both"/>
        <w:rPr>
          <w:rFonts w:ascii="Arial" w:hAnsi="Arial" w:cs="Arial"/>
          <w:sz w:val="24"/>
          <w:szCs w:val="24"/>
        </w:rPr>
      </w:pPr>
      <w:r>
        <w:rPr>
          <w:rFonts w:ascii="Arial" w:hAnsi="Arial" w:cs="Arial"/>
          <w:sz w:val="24"/>
          <w:szCs w:val="24"/>
        </w:rPr>
        <w:t>SWOT analysis for IHG……………………………………………………4</w:t>
      </w:r>
    </w:p>
    <w:p w:rsidR="00C00BC2" w:rsidRDefault="00C00BC2" w:rsidP="00C00BC2">
      <w:pPr>
        <w:spacing w:line="360" w:lineRule="auto"/>
        <w:ind w:right="-90"/>
        <w:jc w:val="both"/>
        <w:rPr>
          <w:rFonts w:ascii="Arial" w:hAnsi="Arial" w:cs="Arial"/>
          <w:sz w:val="24"/>
          <w:szCs w:val="24"/>
        </w:rPr>
      </w:pPr>
      <w:r>
        <w:rPr>
          <w:rFonts w:ascii="Arial" w:hAnsi="Arial" w:cs="Arial"/>
          <w:sz w:val="24"/>
          <w:szCs w:val="24"/>
        </w:rPr>
        <w:t>2. Main body…………………………………………………….…………………………….5</w:t>
      </w:r>
    </w:p>
    <w:p w:rsidR="00C00BC2" w:rsidRDefault="00C00BC2" w:rsidP="00C00BC2">
      <w:pPr>
        <w:spacing w:line="360" w:lineRule="auto"/>
        <w:jc w:val="both"/>
        <w:rPr>
          <w:rFonts w:ascii="Arial" w:hAnsi="Arial" w:cs="Arial"/>
          <w:sz w:val="24"/>
          <w:szCs w:val="24"/>
        </w:rPr>
      </w:pPr>
      <w:r>
        <w:rPr>
          <w:rFonts w:ascii="Arial" w:hAnsi="Arial" w:cs="Arial"/>
          <w:sz w:val="24"/>
          <w:szCs w:val="24"/>
        </w:rPr>
        <w:t xml:space="preserve">                  2.1 Retention employee strategies at IHG…….…………………….……….5 </w:t>
      </w:r>
    </w:p>
    <w:p w:rsidR="00C00BC2" w:rsidRDefault="00C00BC2" w:rsidP="00C00BC2">
      <w:pPr>
        <w:spacing w:line="360" w:lineRule="auto"/>
        <w:ind w:right="-90" w:firstLine="1080"/>
        <w:jc w:val="both"/>
        <w:rPr>
          <w:rFonts w:ascii="Arial" w:hAnsi="Arial" w:cs="Arial"/>
          <w:sz w:val="24"/>
          <w:szCs w:val="24"/>
        </w:rPr>
      </w:pPr>
      <w:r>
        <w:rPr>
          <w:rFonts w:ascii="Arial" w:hAnsi="Arial" w:cs="Arial"/>
          <w:sz w:val="24"/>
          <w:szCs w:val="24"/>
        </w:rPr>
        <w:t xml:space="preserve">  2.2 How IHG manage external challenges…………………………..………6</w:t>
      </w:r>
    </w:p>
    <w:p w:rsidR="00C00BC2" w:rsidRDefault="00C00BC2" w:rsidP="00C00BC2">
      <w:pPr>
        <w:spacing w:line="360" w:lineRule="auto"/>
        <w:ind w:right="-90" w:firstLine="990"/>
        <w:jc w:val="both"/>
        <w:rPr>
          <w:rFonts w:ascii="Arial" w:hAnsi="Arial" w:cs="Arial"/>
          <w:sz w:val="24"/>
          <w:szCs w:val="24"/>
        </w:rPr>
      </w:pPr>
      <w:r>
        <w:rPr>
          <w:rFonts w:ascii="Arial" w:hAnsi="Arial" w:cs="Arial"/>
          <w:sz w:val="24"/>
          <w:szCs w:val="24"/>
        </w:rPr>
        <w:t xml:space="preserve">    2.3 The impact of AI to retention…………………………..………………….6</w:t>
      </w:r>
    </w:p>
    <w:p w:rsidR="00C00BC2" w:rsidRDefault="00C00BC2" w:rsidP="00C00BC2">
      <w:pPr>
        <w:pStyle w:val="ListParagraph"/>
        <w:spacing w:line="360" w:lineRule="auto"/>
        <w:ind w:left="0" w:right="-90" w:firstLine="900"/>
        <w:jc w:val="both"/>
        <w:rPr>
          <w:rFonts w:ascii="Arial" w:hAnsi="Arial" w:cs="Arial"/>
          <w:sz w:val="24"/>
          <w:szCs w:val="24"/>
        </w:rPr>
      </w:pPr>
      <w:r>
        <w:rPr>
          <w:rFonts w:ascii="Arial" w:hAnsi="Arial" w:cs="Arial"/>
          <w:sz w:val="24"/>
          <w:szCs w:val="24"/>
        </w:rPr>
        <w:t xml:space="preserve">     2.4 How </w:t>
      </w:r>
      <w:proofErr w:type="spellStart"/>
      <w:r>
        <w:rPr>
          <w:rFonts w:ascii="Arial" w:hAnsi="Arial" w:cs="Arial"/>
          <w:sz w:val="24"/>
          <w:szCs w:val="24"/>
        </w:rPr>
        <w:t>Brexit</w:t>
      </w:r>
      <w:proofErr w:type="spellEnd"/>
      <w:r>
        <w:rPr>
          <w:rFonts w:ascii="Arial" w:hAnsi="Arial" w:cs="Arial"/>
          <w:sz w:val="24"/>
          <w:szCs w:val="24"/>
        </w:rPr>
        <w:t xml:space="preserve"> affecting retention……………………………………………..7</w:t>
      </w:r>
    </w:p>
    <w:p w:rsidR="00C00BC2" w:rsidRDefault="00C00BC2" w:rsidP="00C00BC2">
      <w:pPr>
        <w:pStyle w:val="ListParagraph"/>
        <w:spacing w:line="360" w:lineRule="auto"/>
        <w:ind w:left="0" w:right="-90" w:firstLine="720"/>
        <w:jc w:val="both"/>
        <w:rPr>
          <w:rFonts w:ascii="Arial" w:hAnsi="Arial" w:cs="Arial"/>
          <w:sz w:val="24"/>
          <w:szCs w:val="24"/>
        </w:rPr>
      </w:pPr>
      <w:r>
        <w:rPr>
          <w:rFonts w:ascii="Arial" w:hAnsi="Arial" w:cs="Arial"/>
          <w:sz w:val="24"/>
          <w:szCs w:val="24"/>
        </w:rPr>
        <w:t xml:space="preserve">        2.5 Solutions for recruitment and retention……..........................................8</w:t>
      </w:r>
    </w:p>
    <w:p w:rsidR="00C00BC2" w:rsidRDefault="00C00BC2" w:rsidP="00C00BC2">
      <w:pPr>
        <w:pStyle w:val="ListParagraph"/>
        <w:spacing w:line="360" w:lineRule="auto"/>
        <w:ind w:left="0" w:right="-90"/>
        <w:jc w:val="both"/>
        <w:rPr>
          <w:rFonts w:ascii="Arial" w:hAnsi="Arial" w:cs="Arial"/>
          <w:sz w:val="24"/>
          <w:szCs w:val="24"/>
        </w:rPr>
      </w:pPr>
      <w:r>
        <w:rPr>
          <w:rFonts w:ascii="Arial" w:hAnsi="Arial" w:cs="Arial"/>
          <w:sz w:val="24"/>
          <w:szCs w:val="24"/>
        </w:rPr>
        <w:t>3. Conclusion …………………………………………………………………………………9</w:t>
      </w:r>
    </w:p>
    <w:p w:rsidR="00C00BC2" w:rsidRDefault="00C00BC2" w:rsidP="00C00BC2">
      <w:pPr>
        <w:pStyle w:val="ListParagraph"/>
        <w:spacing w:line="360" w:lineRule="auto"/>
        <w:ind w:left="0" w:right="-90"/>
        <w:jc w:val="both"/>
        <w:rPr>
          <w:rFonts w:ascii="Arial" w:hAnsi="Arial" w:cs="Arial"/>
          <w:sz w:val="24"/>
          <w:szCs w:val="24"/>
        </w:rPr>
      </w:pPr>
      <w:r>
        <w:rPr>
          <w:rFonts w:ascii="Arial" w:hAnsi="Arial" w:cs="Arial"/>
          <w:sz w:val="24"/>
          <w:szCs w:val="24"/>
        </w:rPr>
        <w:t>References………………………..…………………………………………………………10</w:t>
      </w:r>
    </w:p>
    <w:p w:rsidR="00C00BC2" w:rsidRDefault="00C00BC2" w:rsidP="00C00BC2">
      <w:pPr>
        <w:pStyle w:val="ListParagraph"/>
        <w:tabs>
          <w:tab w:val="left" w:pos="270"/>
        </w:tabs>
        <w:spacing w:line="360" w:lineRule="auto"/>
        <w:ind w:right="-90"/>
        <w:jc w:val="both"/>
        <w:rPr>
          <w:rFonts w:ascii="Arial" w:hAnsi="Arial" w:cs="Arial"/>
          <w:sz w:val="24"/>
          <w:szCs w:val="24"/>
        </w:rPr>
      </w:pPr>
    </w:p>
    <w:p w:rsidR="00C00BC2" w:rsidRDefault="00C00BC2" w:rsidP="00C00BC2">
      <w:pPr>
        <w:spacing w:line="360" w:lineRule="auto"/>
        <w:ind w:left="-360" w:right="-720"/>
        <w:rPr>
          <w:rFonts w:ascii="Arial" w:hAnsi="Arial" w:cs="Arial"/>
          <w:sz w:val="32"/>
          <w:szCs w:val="32"/>
        </w:rPr>
      </w:pPr>
    </w:p>
    <w:p w:rsidR="00C00BC2" w:rsidRDefault="00C00BC2" w:rsidP="00C00BC2">
      <w:pPr>
        <w:spacing w:line="360" w:lineRule="auto"/>
        <w:ind w:left="-360" w:right="-720"/>
        <w:rPr>
          <w:rFonts w:ascii="Arial" w:hAnsi="Arial" w:cs="Arial"/>
          <w:sz w:val="32"/>
          <w:szCs w:val="32"/>
        </w:rPr>
      </w:pPr>
    </w:p>
    <w:p w:rsidR="00C00BC2" w:rsidRDefault="00C00BC2" w:rsidP="00C00BC2">
      <w:pPr>
        <w:spacing w:line="360" w:lineRule="auto"/>
        <w:ind w:left="-360" w:right="-720"/>
        <w:rPr>
          <w:rFonts w:ascii="Arial" w:hAnsi="Arial" w:cs="Arial"/>
          <w:sz w:val="32"/>
          <w:szCs w:val="32"/>
        </w:rPr>
      </w:pPr>
    </w:p>
    <w:p w:rsidR="00C00BC2" w:rsidRDefault="00C00BC2" w:rsidP="00C00BC2">
      <w:pPr>
        <w:spacing w:line="360" w:lineRule="auto"/>
        <w:ind w:left="-360" w:right="-720"/>
        <w:rPr>
          <w:rFonts w:ascii="Arial" w:hAnsi="Arial" w:cs="Arial"/>
          <w:sz w:val="32"/>
          <w:szCs w:val="32"/>
        </w:rPr>
      </w:pPr>
    </w:p>
    <w:p w:rsidR="00C00BC2" w:rsidRDefault="00C00BC2" w:rsidP="00C00BC2">
      <w:pPr>
        <w:spacing w:line="360" w:lineRule="auto"/>
        <w:ind w:left="-360" w:right="-720"/>
        <w:rPr>
          <w:rFonts w:ascii="Arial" w:hAnsi="Arial" w:cs="Arial"/>
          <w:sz w:val="32"/>
          <w:szCs w:val="32"/>
        </w:rPr>
      </w:pPr>
    </w:p>
    <w:p w:rsidR="00C00BC2" w:rsidRDefault="00C00BC2" w:rsidP="001567AA">
      <w:pPr>
        <w:spacing w:line="360" w:lineRule="auto"/>
        <w:ind w:right="-90" w:firstLine="720"/>
        <w:jc w:val="both"/>
        <w:rPr>
          <w:rFonts w:ascii="Arial" w:hAnsi="Arial" w:cs="Arial"/>
          <w:b/>
          <w:bCs/>
          <w:i/>
          <w:iCs/>
          <w:sz w:val="24"/>
          <w:szCs w:val="24"/>
        </w:rPr>
      </w:pPr>
      <w:r>
        <w:rPr>
          <w:rFonts w:ascii="Arial" w:hAnsi="Arial" w:cs="Arial"/>
          <w:b/>
          <w:bCs/>
          <w:i/>
          <w:iCs/>
          <w:sz w:val="24"/>
          <w:szCs w:val="24"/>
        </w:rPr>
        <w:lastRenderedPageBreak/>
        <w:t xml:space="preserve">1.1 Current challenges regarding employment &amp; retention </w:t>
      </w:r>
    </w:p>
    <w:p w:rsidR="00C00BC2" w:rsidRDefault="00C00BC2" w:rsidP="001567AA">
      <w:pPr>
        <w:spacing w:line="360" w:lineRule="auto"/>
        <w:ind w:right="-90" w:firstLine="720"/>
        <w:jc w:val="both"/>
        <w:rPr>
          <w:rFonts w:ascii="Arial" w:hAnsi="Arial" w:cs="Arial"/>
          <w:sz w:val="24"/>
          <w:szCs w:val="24"/>
        </w:rPr>
      </w:pPr>
      <w:r>
        <w:rPr>
          <w:rFonts w:ascii="Arial" w:hAnsi="Arial" w:cs="Arial"/>
          <w:sz w:val="24"/>
          <w:szCs w:val="24"/>
        </w:rPr>
        <w:t>In this report are presented the most used challenges and strategies for employment and employee’s engagement in hospitality. Employee retention refers to an organization's ability to keep its employees engaged, satisfied, and committed to remaining with the company over a specific period. It involves strategies and practices designed to prevent employee turnover, which is when employees leave a company for various reasons, such as seeking new opportunities, dissatisfaction, or personal circumstances. High employee retention is generally indicative of a healthy organizational culture, effective management practices, and a workplace that meets the needs and expectations of its employees.</w:t>
      </w:r>
    </w:p>
    <w:p w:rsidR="00C00BC2" w:rsidRDefault="00C00BC2" w:rsidP="001567AA">
      <w:pPr>
        <w:spacing w:line="360" w:lineRule="auto"/>
        <w:ind w:right="-90" w:firstLine="720"/>
        <w:jc w:val="both"/>
        <w:rPr>
          <w:rFonts w:ascii="Arial" w:hAnsi="Arial" w:cs="Arial"/>
          <w:sz w:val="24"/>
          <w:szCs w:val="24"/>
        </w:rPr>
      </w:pPr>
      <w:r>
        <w:rPr>
          <w:rFonts w:ascii="Arial" w:hAnsi="Arial" w:cs="Arial"/>
          <w:kern w:val="0"/>
          <w:sz w:val="24"/>
          <w:szCs w:val="24"/>
          <w14:ligatures w14:val="none"/>
        </w:rPr>
        <w:t>The challenges confronting Human Resources departments in the hospitality sector necessitate agile and innovative responses. There are a wide range of factors that influence the hiring process and employee retention, such as: economic uncertainties, talent shortages, burnout,</w:t>
      </w:r>
      <w:r w:rsidRPr="00C00BC2">
        <w:rPr>
          <w:rFonts w:ascii="Arial" w:hAnsi="Arial" w:cs="Arial"/>
          <w:sz w:val="24"/>
          <w:szCs w:val="24"/>
        </w:rPr>
        <w:t xml:space="preserve"> </w:t>
      </w:r>
      <w:r>
        <w:rPr>
          <w:rFonts w:ascii="Arial" w:hAnsi="Arial" w:cs="Arial"/>
          <w:sz w:val="24"/>
          <w:szCs w:val="24"/>
        </w:rPr>
        <w:t>technological shifts and others. By adopting flexible strategies, investing in employee well-being, and embracing technology, Human Resources professionals can navigate these challenges and contribute to the resilience and success of the hospitality industry.</w:t>
      </w:r>
    </w:p>
    <w:p w:rsidR="00C00BC2" w:rsidRDefault="00C00BC2" w:rsidP="001567AA">
      <w:pPr>
        <w:spacing w:line="360" w:lineRule="auto"/>
        <w:ind w:right="-90" w:firstLine="720"/>
        <w:jc w:val="both"/>
        <w:rPr>
          <w:rFonts w:ascii="Arial" w:hAnsi="Arial" w:cs="Arial"/>
          <w:sz w:val="24"/>
          <w:szCs w:val="24"/>
        </w:rPr>
      </w:pPr>
    </w:p>
    <w:p w:rsidR="00C00BC2" w:rsidRDefault="00C00BC2" w:rsidP="001567AA">
      <w:pPr>
        <w:spacing w:line="360" w:lineRule="auto"/>
        <w:ind w:right="-90" w:firstLine="720"/>
        <w:jc w:val="both"/>
        <w:rPr>
          <w:rFonts w:ascii="Arial" w:hAnsi="Arial" w:cs="Arial"/>
          <w:b/>
          <w:bCs/>
          <w:i/>
          <w:iCs/>
          <w:sz w:val="24"/>
          <w:szCs w:val="24"/>
        </w:rPr>
      </w:pPr>
      <w:r>
        <w:rPr>
          <w:rFonts w:ascii="Arial" w:hAnsi="Arial" w:cs="Arial"/>
          <w:b/>
          <w:bCs/>
          <w:i/>
          <w:iCs/>
          <w:sz w:val="24"/>
          <w:szCs w:val="24"/>
        </w:rPr>
        <w:t>1.2 IHG</w:t>
      </w:r>
    </w:p>
    <w:p w:rsidR="00C00BC2" w:rsidRDefault="00C00BC2" w:rsidP="001567AA">
      <w:pPr>
        <w:spacing w:line="360" w:lineRule="auto"/>
        <w:ind w:right="-90" w:firstLine="720"/>
        <w:jc w:val="both"/>
        <w:rPr>
          <w:rFonts w:ascii="Arial" w:hAnsi="Arial" w:cs="Arial"/>
          <w:sz w:val="24"/>
          <w:szCs w:val="24"/>
        </w:rPr>
      </w:pPr>
      <w:r>
        <w:rPr>
          <w:rFonts w:ascii="Arial" w:hAnsi="Arial" w:cs="Arial"/>
          <w:sz w:val="24"/>
          <w:szCs w:val="24"/>
        </w:rPr>
        <w:t>InterContinental Hotels Group (IHG) is a leading international hospitality company that operates a broad portfolio of hotel brands. Established in 2003, IHG has grown to become one of the world's largest hotel companies, with a presence in nearly 100 countries. The company's diverse range of brands caters to various market segments, from luxury to mainstream and extended stay. They developed 19 brands and over 6000 destinations, some of its well-known brands include InterContinental Hotels &amp; Resorts, Crowne Plaza, Holiday Inn, and avid hotels. (IHG, 2023)</w:t>
      </w:r>
    </w:p>
    <w:p w:rsidR="00C00BC2" w:rsidRDefault="00C00BC2" w:rsidP="001567AA">
      <w:pPr>
        <w:spacing w:line="360" w:lineRule="auto"/>
        <w:ind w:right="-90" w:firstLine="720"/>
        <w:jc w:val="both"/>
        <w:rPr>
          <w:rFonts w:ascii="Arial" w:hAnsi="Arial" w:cs="Arial"/>
          <w:sz w:val="24"/>
          <w:szCs w:val="24"/>
        </w:rPr>
      </w:pPr>
    </w:p>
    <w:p w:rsidR="00C00BC2" w:rsidRDefault="00C00BC2" w:rsidP="001567AA">
      <w:pPr>
        <w:spacing w:line="360" w:lineRule="auto"/>
        <w:ind w:right="-90" w:firstLine="720"/>
        <w:jc w:val="both"/>
        <w:rPr>
          <w:rFonts w:ascii="Arial" w:hAnsi="Arial" w:cs="Arial"/>
          <w:sz w:val="24"/>
          <w:szCs w:val="24"/>
        </w:rPr>
      </w:pPr>
    </w:p>
    <w:p w:rsidR="00C00BC2" w:rsidRDefault="00C00BC2" w:rsidP="001567AA">
      <w:pPr>
        <w:spacing w:line="360" w:lineRule="auto"/>
        <w:ind w:right="-90" w:firstLine="720"/>
        <w:jc w:val="both"/>
        <w:rPr>
          <w:rFonts w:ascii="Arial" w:hAnsi="Arial" w:cs="Arial"/>
          <w:sz w:val="24"/>
          <w:szCs w:val="24"/>
        </w:rPr>
      </w:pPr>
    </w:p>
    <w:p w:rsidR="00C00BC2" w:rsidRDefault="00C00BC2" w:rsidP="001567AA">
      <w:pPr>
        <w:spacing w:line="360" w:lineRule="auto"/>
        <w:ind w:right="-90" w:firstLine="720"/>
        <w:jc w:val="both"/>
        <w:rPr>
          <w:rFonts w:ascii="Arial" w:hAnsi="Arial" w:cs="Arial"/>
          <w:sz w:val="24"/>
          <w:szCs w:val="24"/>
        </w:rPr>
      </w:pPr>
    </w:p>
    <w:p w:rsidR="00C00BC2" w:rsidRDefault="00C00BC2" w:rsidP="001567AA">
      <w:pPr>
        <w:spacing w:line="360" w:lineRule="auto"/>
        <w:ind w:right="-90" w:firstLine="720"/>
        <w:jc w:val="both"/>
        <w:rPr>
          <w:rFonts w:ascii="Arial" w:hAnsi="Arial" w:cs="Arial"/>
          <w:b/>
          <w:bCs/>
          <w:i/>
          <w:iCs/>
          <w:sz w:val="24"/>
          <w:szCs w:val="24"/>
        </w:rPr>
      </w:pPr>
      <w:r>
        <w:rPr>
          <w:rFonts w:ascii="Arial" w:hAnsi="Arial" w:cs="Arial"/>
          <w:b/>
          <w:bCs/>
          <w:i/>
          <w:iCs/>
          <w:sz w:val="24"/>
          <w:szCs w:val="24"/>
        </w:rPr>
        <w:lastRenderedPageBreak/>
        <w:t>1.3 SWOT analysis for IHG</w:t>
      </w:r>
    </w:p>
    <w:tbl>
      <w:tblPr>
        <w:tblStyle w:val="TableGrid"/>
        <w:tblW w:w="9630" w:type="dxa"/>
        <w:tblInd w:w="-95" w:type="dxa"/>
        <w:tblLook w:val="04A0" w:firstRow="1" w:lastRow="0" w:firstColumn="1" w:lastColumn="0" w:noHBand="0" w:noVBand="1"/>
      </w:tblPr>
      <w:tblGrid>
        <w:gridCol w:w="4770"/>
        <w:gridCol w:w="4860"/>
      </w:tblGrid>
      <w:tr w:rsidR="00C00BC2" w:rsidTr="00C00BC2">
        <w:tc>
          <w:tcPr>
            <w:tcW w:w="4770" w:type="dxa"/>
            <w:tcBorders>
              <w:top w:val="single" w:sz="4" w:space="0" w:color="auto"/>
              <w:left w:val="single" w:sz="4" w:space="0" w:color="auto"/>
              <w:bottom w:val="single" w:sz="4" w:space="0" w:color="auto"/>
              <w:right w:val="single" w:sz="4" w:space="0" w:color="auto"/>
            </w:tcBorders>
            <w:shd w:val="clear" w:color="auto" w:fill="8EAADB" w:themeFill="accent5" w:themeFillTint="99"/>
            <w:hideMark/>
          </w:tcPr>
          <w:p w:rsidR="00C00BC2" w:rsidRDefault="00C00BC2" w:rsidP="001567AA">
            <w:pPr>
              <w:spacing w:line="360" w:lineRule="auto"/>
              <w:ind w:right="-90"/>
              <w:jc w:val="both"/>
              <w:rPr>
                <w:rFonts w:ascii="Arial" w:hAnsi="Arial" w:cs="Arial"/>
                <w:b/>
                <w:bCs/>
                <w:sz w:val="24"/>
                <w:szCs w:val="24"/>
              </w:rPr>
            </w:pPr>
            <w:r>
              <w:rPr>
                <w:rFonts w:ascii="Arial" w:hAnsi="Arial" w:cs="Arial"/>
                <w:b/>
                <w:bCs/>
                <w:sz w:val="24"/>
                <w:szCs w:val="24"/>
              </w:rPr>
              <w:t>Strengths</w:t>
            </w:r>
          </w:p>
        </w:tc>
        <w:tc>
          <w:tcPr>
            <w:tcW w:w="4860" w:type="dxa"/>
            <w:tcBorders>
              <w:top w:val="single" w:sz="4" w:space="0" w:color="auto"/>
              <w:left w:val="single" w:sz="4" w:space="0" w:color="auto"/>
              <w:bottom w:val="single" w:sz="4" w:space="0" w:color="auto"/>
              <w:right w:val="single" w:sz="4" w:space="0" w:color="auto"/>
            </w:tcBorders>
            <w:shd w:val="clear" w:color="auto" w:fill="8EAADB" w:themeFill="accent5" w:themeFillTint="99"/>
            <w:hideMark/>
          </w:tcPr>
          <w:p w:rsidR="00C00BC2" w:rsidRDefault="00C00BC2" w:rsidP="001567AA">
            <w:pPr>
              <w:spacing w:line="360" w:lineRule="auto"/>
              <w:ind w:right="-90"/>
              <w:jc w:val="both"/>
              <w:rPr>
                <w:rFonts w:ascii="Arial" w:hAnsi="Arial" w:cs="Arial"/>
                <w:b/>
                <w:bCs/>
                <w:sz w:val="24"/>
                <w:szCs w:val="24"/>
              </w:rPr>
            </w:pPr>
            <w:r>
              <w:rPr>
                <w:rFonts w:ascii="Arial" w:hAnsi="Arial" w:cs="Arial"/>
                <w:b/>
                <w:bCs/>
                <w:sz w:val="24"/>
                <w:szCs w:val="24"/>
              </w:rPr>
              <w:t>Weaknesses</w:t>
            </w:r>
          </w:p>
        </w:tc>
      </w:tr>
      <w:tr w:rsidR="00C00BC2" w:rsidTr="00C00BC2">
        <w:trPr>
          <w:trHeight w:val="1691"/>
        </w:trPr>
        <w:tc>
          <w:tcPr>
            <w:tcW w:w="4770" w:type="dxa"/>
            <w:tcBorders>
              <w:top w:val="single" w:sz="4" w:space="0" w:color="auto"/>
              <w:left w:val="single" w:sz="4" w:space="0" w:color="auto"/>
              <w:bottom w:val="single" w:sz="4" w:space="0" w:color="auto"/>
              <w:right w:val="single" w:sz="4" w:space="0" w:color="auto"/>
            </w:tcBorders>
            <w:hideMark/>
          </w:tcPr>
          <w:p w:rsidR="00C00BC2" w:rsidRDefault="00C00BC2" w:rsidP="001567AA">
            <w:pPr>
              <w:pStyle w:val="ListParagraph"/>
              <w:numPr>
                <w:ilvl w:val="0"/>
                <w:numId w:val="2"/>
              </w:numPr>
              <w:spacing w:line="360" w:lineRule="auto"/>
              <w:ind w:left="156" w:hanging="270"/>
              <w:jc w:val="both"/>
              <w:rPr>
                <w:rFonts w:ascii="Arial" w:hAnsi="Arial" w:cs="Arial"/>
                <w:sz w:val="24"/>
                <w:szCs w:val="24"/>
              </w:rPr>
            </w:pPr>
            <w:r>
              <w:rPr>
                <w:rFonts w:ascii="Arial" w:hAnsi="Arial" w:cs="Arial"/>
                <w:sz w:val="24"/>
                <w:szCs w:val="24"/>
              </w:rPr>
              <w:t>Global Presence and Brand Recognition</w:t>
            </w:r>
          </w:p>
          <w:p w:rsidR="00C00BC2" w:rsidRDefault="00C00BC2" w:rsidP="001567AA">
            <w:pPr>
              <w:spacing w:line="360" w:lineRule="auto"/>
              <w:ind w:left="156" w:hanging="90"/>
              <w:jc w:val="both"/>
              <w:rPr>
                <w:rFonts w:ascii="Arial" w:hAnsi="Arial" w:cs="Arial"/>
                <w:sz w:val="24"/>
                <w:szCs w:val="24"/>
              </w:rPr>
            </w:pPr>
            <w:r>
              <w:rPr>
                <w:rFonts w:ascii="Arial" w:hAnsi="Arial" w:cs="Arial"/>
                <w:sz w:val="24"/>
                <w:szCs w:val="24"/>
              </w:rPr>
              <w:t xml:space="preserve">  IHG's widespread global presence and strong brand recognition provide a competitive advantage in attracting a diverse pool of talent globally.</w:t>
            </w:r>
          </w:p>
          <w:p w:rsidR="00C00BC2" w:rsidRDefault="00C00BC2" w:rsidP="001567AA">
            <w:pPr>
              <w:pStyle w:val="ListParagraph"/>
              <w:numPr>
                <w:ilvl w:val="0"/>
                <w:numId w:val="2"/>
              </w:numPr>
              <w:spacing w:line="360" w:lineRule="auto"/>
              <w:ind w:left="156" w:hanging="270"/>
              <w:jc w:val="both"/>
              <w:rPr>
                <w:rFonts w:ascii="Arial" w:hAnsi="Arial" w:cs="Arial"/>
                <w:sz w:val="24"/>
                <w:szCs w:val="24"/>
              </w:rPr>
            </w:pPr>
            <w:r>
              <w:rPr>
                <w:rFonts w:ascii="Arial" w:hAnsi="Arial" w:cs="Arial"/>
                <w:sz w:val="24"/>
                <w:szCs w:val="24"/>
              </w:rPr>
              <w:t>Diverse Brand Portfolio</w:t>
            </w:r>
          </w:p>
          <w:p w:rsidR="00C00BC2" w:rsidRDefault="00C00BC2" w:rsidP="001567AA">
            <w:pPr>
              <w:spacing w:line="360" w:lineRule="auto"/>
              <w:ind w:left="66" w:right="-90"/>
              <w:jc w:val="both"/>
              <w:rPr>
                <w:rFonts w:ascii="Arial" w:hAnsi="Arial" w:cs="Arial"/>
                <w:sz w:val="24"/>
                <w:szCs w:val="24"/>
              </w:rPr>
            </w:pPr>
            <w:r>
              <w:rPr>
                <w:rFonts w:ascii="Arial" w:hAnsi="Arial" w:cs="Arial"/>
                <w:sz w:val="24"/>
                <w:szCs w:val="24"/>
              </w:rPr>
              <w:t>The company's diverse range of hotel brands allows IHG to appeal to different segments of employees, offering varied career paths and opportunities for growth</w:t>
            </w:r>
          </w:p>
          <w:p w:rsidR="00C00BC2" w:rsidRDefault="00C00BC2" w:rsidP="001567AA">
            <w:pPr>
              <w:pStyle w:val="ListParagraph"/>
              <w:numPr>
                <w:ilvl w:val="0"/>
                <w:numId w:val="2"/>
              </w:numPr>
              <w:spacing w:line="360" w:lineRule="auto"/>
              <w:ind w:left="246" w:right="-90" w:hanging="270"/>
              <w:jc w:val="both"/>
              <w:rPr>
                <w:rFonts w:ascii="Arial" w:hAnsi="Arial" w:cs="Arial"/>
                <w:sz w:val="24"/>
                <w:szCs w:val="24"/>
              </w:rPr>
            </w:pPr>
            <w:r>
              <w:rPr>
                <w:rFonts w:ascii="Arial" w:hAnsi="Arial" w:cs="Arial"/>
                <w:sz w:val="24"/>
                <w:szCs w:val="24"/>
              </w:rPr>
              <w:t>IHG Rewards Club</w:t>
            </w:r>
          </w:p>
          <w:p w:rsidR="00C00BC2" w:rsidRDefault="00C00BC2" w:rsidP="001567AA">
            <w:pPr>
              <w:spacing w:line="360" w:lineRule="auto"/>
              <w:ind w:right="-90"/>
              <w:jc w:val="both"/>
              <w:rPr>
                <w:rFonts w:ascii="Arial" w:hAnsi="Arial" w:cs="Arial"/>
                <w:sz w:val="24"/>
                <w:szCs w:val="24"/>
              </w:rPr>
            </w:pPr>
            <w:r>
              <w:rPr>
                <w:rFonts w:ascii="Arial" w:hAnsi="Arial" w:cs="Arial"/>
                <w:sz w:val="24"/>
                <w:szCs w:val="24"/>
              </w:rPr>
              <w:t>The loyalty program incentivizes employees, fostering a sense of belonging and recognition, contributing to higher retention rates.</w:t>
            </w:r>
          </w:p>
        </w:tc>
        <w:tc>
          <w:tcPr>
            <w:tcW w:w="4860" w:type="dxa"/>
            <w:tcBorders>
              <w:top w:val="single" w:sz="4" w:space="0" w:color="auto"/>
              <w:left w:val="single" w:sz="4" w:space="0" w:color="auto"/>
              <w:bottom w:val="single" w:sz="4" w:space="0" w:color="auto"/>
              <w:right w:val="single" w:sz="4" w:space="0" w:color="auto"/>
            </w:tcBorders>
            <w:hideMark/>
          </w:tcPr>
          <w:p w:rsidR="00C00BC2" w:rsidRDefault="00C00BC2" w:rsidP="001567AA">
            <w:pPr>
              <w:pStyle w:val="ListParagraph"/>
              <w:numPr>
                <w:ilvl w:val="0"/>
                <w:numId w:val="2"/>
              </w:numPr>
              <w:spacing w:line="360" w:lineRule="auto"/>
              <w:ind w:left="156" w:hanging="270"/>
              <w:jc w:val="both"/>
              <w:rPr>
                <w:rFonts w:ascii="Arial" w:hAnsi="Arial" w:cs="Arial"/>
                <w:sz w:val="24"/>
                <w:szCs w:val="24"/>
              </w:rPr>
            </w:pPr>
            <w:r>
              <w:rPr>
                <w:rFonts w:ascii="Arial" w:hAnsi="Arial" w:cs="Arial"/>
                <w:sz w:val="24"/>
                <w:szCs w:val="24"/>
              </w:rPr>
              <w:t xml:space="preserve">High Turnover in the Hospitality Industry </w:t>
            </w:r>
          </w:p>
          <w:p w:rsidR="00C00BC2" w:rsidRDefault="00C00BC2" w:rsidP="001567AA">
            <w:pPr>
              <w:pStyle w:val="ListParagraph"/>
              <w:spacing w:line="360" w:lineRule="auto"/>
              <w:ind w:left="156"/>
              <w:jc w:val="both"/>
              <w:rPr>
                <w:rFonts w:ascii="Arial" w:hAnsi="Arial" w:cs="Arial"/>
                <w:sz w:val="24"/>
                <w:szCs w:val="24"/>
              </w:rPr>
            </w:pPr>
            <w:r>
              <w:rPr>
                <w:rFonts w:ascii="Arial" w:hAnsi="Arial" w:cs="Arial"/>
                <w:sz w:val="24"/>
                <w:szCs w:val="24"/>
              </w:rPr>
              <w:t>The nature of the industry itself contributes to high turnover rates, posing a challenge for IHG in retaining skilled employees.</w:t>
            </w:r>
          </w:p>
          <w:p w:rsidR="00C00BC2" w:rsidRDefault="00C00BC2" w:rsidP="001567AA">
            <w:pPr>
              <w:pStyle w:val="ListParagraph"/>
              <w:numPr>
                <w:ilvl w:val="0"/>
                <w:numId w:val="2"/>
              </w:numPr>
              <w:spacing w:line="360" w:lineRule="auto"/>
              <w:ind w:left="162" w:hanging="270"/>
              <w:jc w:val="both"/>
              <w:rPr>
                <w:rFonts w:ascii="Arial" w:hAnsi="Arial" w:cs="Arial"/>
                <w:sz w:val="24"/>
                <w:szCs w:val="24"/>
              </w:rPr>
            </w:pPr>
            <w:r>
              <w:rPr>
                <w:rFonts w:ascii="Arial" w:hAnsi="Arial" w:cs="Arial"/>
                <w:sz w:val="24"/>
                <w:szCs w:val="24"/>
              </w:rPr>
              <w:t>Potential Wage Pressure</w:t>
            </w:r>
          </w:p>
          <w:p w:rsidR="00C00BC2" w:rsidRDefault="00C00BC2" w:rsidP="001567AA">
            <w:pPr>
              <w:pStyle w:val="ListParagraph"/>
              <w:spacing w:line="360" w:lineRule="auto"/>
              <w:ind w:left="156"/>
              <w:jc w:val="both"/>
              <w:rPr>
                <w:rFonts w:ascii="Arial" w:hAnsi="Arial" w:cs="Arial"/>
                <w:sz w:val="24"/>
                <w:szCs w:val="24"/>
              </w:rPr>
            </w:pPr>
            <w:r>
              <w:rPr>
                <w:rFonts w:ascii="Arial" w:hAnsi="Arial" w:cs="Arial"/>
                <w:sz w:val="24"/>
                <w:szCs w:val="24"/>
              </w:rPr>
              <w:t>Economic fluctuations may impact IHG's ability to maintain competitive wages, affecting both recruitment and retention efforts.</w:t>
            </w:r>
          </w:p>
        </w:tc>
      </w:tr>
      <w:tr w:rsidR="00C00BC2" w:rsidTr="00C00BC2">
        <w:tc>
          <w:tcPr>
            <w:tcW w:w="4770" w:type="dxa"/>
            <w:tcBorders>
              <w:top w:val="single" w:sz="4" w:space="0" w:color="auto"/>
              <w:left w:val="single" w:sz="4" w:space="0" w:color="auto"/>
              <w:bottom w:val="single" w:sz="4" w:space="0" w:color="auto"/>
              <w:right w:val="single" w:sz="4" w:space="0" w:color="auto"/>
            </w:tcBorders>
            <w:shd w:val="clear" w:color="auto" w:fill="8EAADB" w:themeFill="accent5" w:themeFillTint="99"/>
            <w:hideMark/>
          </w:tcPr>
          <w:p w:rsidR="00C00BC2" w:rsidRDefault="00C00BC2" w:rsidP="001567AA">
            <w:pPr>
              <w:spacing w:line="360" w:lineRule="auto"/>
              <w:ind w:right="-90"/>
              <w:jc w:val="both"/>
              <w:rPr>
                <w:rFonts w:ascii="Arial" w:hAnsi="Arial" w:cs="Arial"/>
                <w:b/>
                <w:bCs/>
                <w:sz w:val="24"/>
                <w:szCs w:val="24"/>
              </w:rPr>
            </w:pPr>
            <w:r>
              <w:rPr>
                <w:rFonts w:ascii="Arial" w:hAnsi="Arial" w:cs="Arial"/>
                <w:b/>
                <w:bCs/>
                <w:sz w:val="24"/>
                <w:szCs w:val="24"/>
              </w:rPr>
              <w:t>Opportunities</w:t>
            </w:r>
          </w:p>
        </w:tc>
        <w:tc>
          <w:tcPr>
            <w:tcW w:w="4860" w:type="dxa"/>
            <w:tcBorders>
              <w:top w:val="single" w:sz="4" w:space="0" w:color="auto"/>
              <w:left w:val="single" w:sz="4" w:space="0" w:color="auto"/>
              <w:bottom w:val="single" w:sz="4" w:space="0" w:color="auto"/>
              <w:right w:val="single" w:sz="4" w:space="0" w:color="auto"/>
            </w:tcBorders>
            <w:shd w:val="clear" w:color="auto" w:fill="8EAADB" w:themeFill="accent5" w:themeFillTint="99"/>
            <w:hideMark/>
          </w:tcPr>
          <w:p w:rsidR="00C00BC2" w:rsidRDefault="00C00BC2" w:rsidP="001567AA">
            <w:pPr>
              <w:spacing w:line="360" w:lineRule="auto"/>
              <w:ind w:right="-90"/>
              <w:jc w:val="both"/>
              <w:rPr>
                <w:rFonts w:ascii="Arial" w:hAnsi="Arial" w:cs="Arial"/>
                <w:b/>
                <w:bCs/>
                <w:sz w:val="24"/>
                <w:szCs w:val="24"/>
              </w:rPr>
            </w:pPr>
            <w:r>
              <w:rPr>
                <w:rFonts w:ascii="Arial" w:hAnsi="Arial" w:cs="Arial"/>
                <w:b/>
                <w:bCs/>
                <w:sz w:val="24"/>
                <w:szCs w:val="24"/>
              </w:rPr>
              <w:t>Threats</w:t>
            </w:r>
          </w:p>
        </w:tc>
      </w:tr>
      <w:tr w:rsidR="00C00BC2" w:rsidTr="00C00BC2">
        <w:trPr>
          <w:trHeight w:val="1817"/>
        </w:trPr>
        <w:tc>
          <w:tcPr>
            <w:tcW w:w="4770" w:type="dxa"/>
            <w:tcBorders>
              <w:top w:val="single" w:sz="4" w:space="0" w:color="auto"/>
              <w:left w:val="single" w:sz="4" w:space="0" w:color="auto"/>
              <w:bottom w:val="single" w:sz="4" w:space="0" w:color="auto"/>
              <w:right w:val="single" w:sz="4" w:space="0" w:color="auto"/>
            </w:tcBorders>
            <w:hideMark/>
          </w:tcPr>
          <w:p w:rsidR="00C00BC2" w:rsidRDefault="00C00BC2" w:rsidP="001567AA">
            <w:pPr>
              <w:pStyle w:val="ListParagraph"/>
              <w:numPr>
                <w:ilvl w:val="0"/>
                <w:numId w:val="2"/>
              </w:numPr>
              <w:spacing w:line="360" w:lineRule="auto"/>
              <w:ind w:left="246" w:right="-90" w:hanging="270"/>
              <w:jc w:val="both"/>
              <w:rPr>
                <w:rFonts w:ascii="Arial" w:hAnsi="Arial" w:cs="Arial"/>
                <w:sz w:val="24"/>
                <w:szCs w:val="24"/>
              </w:rPr>
            </w:pPr>
            <w:r>
              <w:rPr>
                <w:rFonts w:ascii="Arial" w:hAnsi="Arial" w:cs="Arial"/>
                <w:sz w:val="24"/>
                <w:szCs w:val="24"/>
              </w:rPr>
              <w:t>Global Talent Pool Utilization</w:t>
            </w:r>
          </w:p>
          <w:p w:rsidR="00C00BC2" w:rsidRDefault="00C00BC2" w:rsidP="001567AA">
            <w:pPr>
              <w:spacing w:line="360" w:lineRule="auto"/>
              <w:ind w:right="-90"/>
              <w:jc w:val="both"/>
              <w:rPr>
                <w:rFonts w:ascii="Arial" w:hAnsi="Arial" w:cs="Arial"/>
                <w:sz w:val="24"/>
                <w:szCs w:val="24"/>
              </w:rPr>
            </w:pPr>
            <w:r>
              <w:rPr>
                <w:rFonts w:ascii="Arial" w:hAnsi="Arial" w:cs="Arial"/>
                <w:sz w:val="24"/>
                <w:szCs w:val="24"/>
              </w:rPr>
              <w:t>IHG can leverage its international presence to tap into a diverse global talent pool, attracting skilled individuals from various cultural backgrounds.</w:t>
            </w:r>
          </w:p>
          <w:p w:rsidR="00C00BC2" w:rsidRDefault="00C00BC2" w:rsidP="001567AA">
            <w:pPr>
              <w:pStyle w:val="ListParagraph"/>
              <w:numPr>
                <w:ilvl w:val="0"/>
                <w:numId w:val="2"/>
              </w:numPr>
              <w:spacing w:line="360" w:lineRule="auto"/>
              <w:ind w:left="246" w:right="-90" w:hanging="246"/>
              <w:jc w:val="both"/>
              <w:rPr>
                <w:rFonts w:ascii="Arial" w:hAnsi="Arial" w:cs="Arial"/>
                <w:sz w:val="24"/>
                <w:szCs w:val="24"/>
              </w:rPr>
            </w:pPr>
            <w:r>
              <w:rPr>
                <w:rFonts w:ascii="Arial" w:hAnsi="Arial" w:cs="Arial"/>
                <w:sz w:val="24"/>
                <w:szCs w:val="24"/>
              </w:rPr>
              <w:t>Flexible Work Arrangements</w:t>
            </w:r>
          </w:p>
          <w:p w:rsidR="00C00BC2" w:rsidRDefault="00C00BC2" w:rsidP="001567AA">
            <w:pPr>
              <w:spacing w:line="360" w:lineRule="auto"/>
              <w:ind w:right="-90"/>
              <w:jc w:val="both"/>
              <w:rPr>
                <w:rFonts w:ascii="Arial" w:hAnsi="Arial" w:cs="Arial"/>
                <w:b/>
                <w:bCs/>
                <w:sz w:val="24"/>
                <w:szCs w:val="24"/>
              </w:rPr>
            </w:pPr>
            <w:r>
              <w:rPr>
                <w:rFonts w:ascii="Arial" w:hAnsi="Arial" w:cs="Arial"/>
                <w:sz w:val="24"/>
                <w:szCs w:val="24"/>
              </w:rPr>
              <w:t xml:space="preserve"> Expanding flexible work arrangements and remote options aligns with evolving employee preferences and can improve retention.</w:t>
            </w:r>
          </w:p>
        </w:tc>
        <w:tc>
          <w:tcPr>
            <w:tcW w:w="4860" w:type="dxa"/>
            <w:tcBorders>
              <w:top w:val="single" w:sz="4" w:space="0" w:color="auto"/>
              <w:left w:val="single" w:sz="4" w:space="0" w:color="auto"/>
              <w:bottom w:val="single" w:sz="4" w:space="0" w:color="auto"/>
              <w:right w:val="single" w:sz="4" w:space="0" w:color="auto"/>
            </w:tcBorders>
            <w:hideMark/>
          </w:tcPr>
          <w:p w:rsidR="00C00BC2" w:rsidRDefault="00C00BC2" w:rsidP="001567AA">
            <w:pPr>
              <w:pStyle w:val="ListParagraph"/>
              <w:numPr>
                <w:ilvl w:val="0"/>
                <w:numId w:val="2"/>
              </w:numPr>
              <w:spacing w:line="360" w:lineRule="auto"/>
              <w:ind w:left="342" w:right="-90"/>
              <w:jc w:val="both"/>
              <w:rPr>
                <w:rFonts w:ascii="Arial" w:hAnsi="Arial" w:cs="Arial"/>
                <w:sz w:val="24"/>
                <w:szCs w:val="24"/>
              </w:rPr>
            </w:pPr>
            <w:r>
              <w:rPr>
                <w:rFonts w:ascii="Arial" w:hAnsi="Arial" w:cs="Arial"/>
                <w:sz w:val="24"/>
                <w:szCs w:val="24"/>
              </w:rPr>
              <w:t>Intense Competition</w:t>
            </w:r>
          </w:p>
          <w:p w:rsidR="00C00BC2" w:rsidRDefault="00C00BC2" w:rsidP="001567AA">
            <w:pPr>
              <w:spacing w:line="360" w:lineRule="auto"/>
              <w:ind w:right="-90"/>
              <w:jc w:val="both"/>
              <w:rPr>
                <w:rFonts w:ascii="Arial" w:hAnsi="Arial" w:cs="Arial"/>
                <w:sz w:val="24"/>
                <w:szCs w:val="24"/>
              </w:rPr>
            </w:pPr>
            <w:r>
              <w:rPr>
                <w:rFonts w:ascii="Arial" w:hAnsi="Arial" w:cs="Arial"/>
                <w:sz w:val="24"/>
                <w:szCs w:val="24"/>
              </w:rPr>
              <w:t xml:space="preserve"> The hospitality industry is highly competitive, and IHG faces competition from both traditional players and emerging disruptors, making talent retention crucial.</w:t>
            </w:r>
          </w:p>
          <w:p w:rsidR="00C00BC2" w:rsidRDefault="00C00BC2" w:rsidP="001567AA">
            <w:pPr>
              <w:pStyle w:val="ListParagraph"/>
              <w:numPr>
                <w:ilvl w:val="0"/>
                <w:numId w:val="2"/>
              </w:numPr>
              <w:spacing w:line="360" w:lineRule="auto"/>
              <w:ind w:left="342" w:right="-90"/>
              <w:jc w:val="both"/>
              <w:rPr>
                <w:rFonts w:ascii="Arial" w:hAnsi="Arial" w:cs="Arial"/>
                <w:sz w:val="24"/>
                <w:szCs w:val="24"/>
              </w:rPr>
            </w:pPr>
            <w:r>
              <w:rPr>
                <w:rFonts w:ascii="Arial" w:hAnsi="Arial" w:cs="Arial"/>
                <w:sz w:val="24"/>
                <w:szCs w:val="24"/>
              </w:rPr>
              <w:t>Economic Uncertainty</w:t>
            </w:r>
          </w:p>
          <w:p w:rsidR="00C00BC2" w:rsidRDefault="00C00BC2" w:rsidP="001567AA">
            <w:pPr>
              <w:spacing w:line="360" w:lineRule="auto"/>
              <w:ind w:right="-90"/>
              <w:jc w:val="both"/>
              <w:rPr>
                <w:rFonts w:ascii="Arial" w:hAnsi="Arial" w:cs="Arial"/>
                <w:b/>
                <w:bCs/>
                <w:sz w:val="24"/>
                <w:szCs w:val="24"/>
              </w:rPr>
            </w:pPr>
            <w:r>
              <w:rPr>
                <w:rFonts w:ascii="Arial" w:hAnsi="Arial" w:cs="Arial"/>
                <w:sz w:val="24"/>
                <w:szCs w:val="24"/>
              </w:rPr>
              <w:t xml:space="preserve"> Economic downturns may lead to budget constraints, affecting both recruitment efforts and making retention challenging.</w:t>
            </w:r>
          </w:p>
        </w:tc>
      </w:tr>
    </w:tbl>
    <w:p w:rsidR="00C00BC2" w:rsidRDefault="00C00BC2" w:rsidP="001567AA">
      <w:pPr>
        <w:spacing w:line="360" w:lineRule="auto"/>
        <w:ind w:right="-90"/>
        <w:jc w:val="both"/>
        <w:rPr>
          <w:rFonts w:ascii="Arial" w:hAnsi="Arial" w:cs="Arial"/>
          <w:b/>
          <w:bCs/>
          <w:sz w:val="24"/>
          <w:szCs w:val="24"/>
        </w:rPr>
      </w:pPr>
    </w:p>
    <w:p w:rsidR="00C00BC2" w:rsidRDefault="00C00BC2" w:rsidP="001567AA">
      <w:pPr>
        <w:spacing w:line="360" w:lineRule="auto"/>
        <w:ind w:right="-90"/>
        <w:jc w:val="both"/>
        <w:rPr>
          <w:rFonts w:ascii="Arial" w:hAnsi="Arial" w:cs="Arial"/>
          <w:b/>
          <w:bCs/>
          <w:sz w:val="24"/>
          <w:szCs w:val="24"/>
        </w:rPr>
      </w:pPr>
    </w:p>
    <w:p w:rsidR="00C00BC2" w:rsidRDefault="00C00BC2" w:rsidP="001567AA">
      <w:pPr>
        <w:spacing w:line="360" w:lineRule="auto"/>
        <w:ind w:right="-90"/>
        <w:jc w:val="both"/>
        <w:rPr>
          <w:rFonts w:ascii="Arial" w:hAnsi="Arial" w:cs="Arial"/>
          <w:b/>
          <w:bCs/>
          <w:sz w:val="24"/>
          <w:szCs w:val="24"/>
        </w:rPr>
      </w:pPr>
    </w:p>
    <w:p w:rsidR="00C00BC2" w:rsidRDefault="00C00BC2" w:rsidP="001567AA">
      <w:pPr>
        <w:spacing w:line="360" w:lineRule="auto"/>
        <w:ind w:right="-90"/>
        <w:jc w:val="both"/>
        <w:rPr>
          <w:rFonts w:ascii="Arial" w:hAnsi="Arial" w:cs="Arial"/>
          <w:b/>
          <w:bCs/>
          <w:sz w:val="24"/>
          <w:szCs w:val="24"/>
        </w:rPr>
      </w:pPr>
    </w:p>
    <w:p w:rsidR="00C00BC2" w:rsidRDefault="00C00BC2" w:rsidP="001567AA">
      <w:pPr>
        <w:spacing w:line="360" w:lineRule="auto"/>
        <w:ind w:right="-90" w:firstLine="720"/>
        <w:jc w:val="both"/>
        <w:rPr>
          <w:rFonts w:ascii="Arial" w:hAnsi="Arial" w:cs="Arial"/>
          <w:b/>
          <w:bCs/>
          <w:i/>
          <w:iCs/>
          <w:sz w:val="24"/>
          <w:szCs w:val="24"/>
        </w:rPr>
      </w:pPr>
      <w:r>
        <w:rPr>
          <w:rFonts w:ascii="Arial" w:hAnsi="Arial" w:cs="Arial"/>
          <w:b/>
          <w:bCs/>
          <w:i/>
          <w:iCs/>
          <w:sz w:val="24"/>
          <w:szCs w:val="24"/>
        </w:rPr>
        <w:lastRenderedPageBreak/>
        <w:t>2.1 Retention employee strategies at IHG:</w:t>
      </w:r>
    </w:p>
    <w:p w:rsidR="00C00BC2" w:rsidRDefault="00C00BC2" w:rsidP="001567AA">
      <w:pPr>
        <w:spacing w:line="360" w:lineRule="auto"/>
        <w:ind w:right="-90"/>
        <w:jc w:val="both"/>
        <w:rPr>
          <w:rFonts w:ascii="Arial" w:hAnsi="Arial" w:cs="Arial"/>
          <w:b/>
          <w:bCs/>
          <w:sz w:val="24"/>
          <w:szCs w:val="24"/>
        </w:rPr>
      </w:pPr>
      <w:r>
        <w:rPr>
          <w:rFonts w:ascii="Arial" w:hAnsi="Arial" w:cs="Arial"/>
          <w:kern w:val="0"/>
          <w:sz w:val="24"/>
          <w:szCs w:val="24"/>
          <w14:ligatures w14:val="none"/>
        </w:rPr>
        <w:t>In the ever-evolving landscape of the hospitality industry, retaining talented and committed employees is paramount. Following are explained the retention strategies implemented by InterContinental Hotels Group</w:t>
      </w:r>
    </w:p>
    <w:p w:rsidR="00C00BC2" w:rsidRDefault="00C00BC2" w:rsidP="001567AA">
      <w:pPr>
        <w:spacing w:line="360" w:lineRule="auto"/>
        <w:ind w:right="-90" w:firstLine="720"/>
        <w:jc w:val="both"/>
        <w:rPr>
          <w:rFonts w:ascii="Arial" w:hAnsi="Arial" w:cs="Arial"/>
          <w:sz w:val="24"/>
          <w:szCs w:val="24"/>
        </w:rPr>
      </w:pPr>
      <w:r>
        <w:rPr>
          <w:rFonts w:ascii="Arial" w:hAnsi="Arial" w:cs="Arial"/>
          <w:sz w:val="24"/>
          <w:szCs w:val="24"/>
        </w:rPr>
        <w:t>(IHG), drawing insights from industry reports, company publications, and relevant studies.</w:t>
      </w:r>
    </w:p>
    <w:p w:rsidR="00C00BC2" w:rsidRDefault="00C00BC2" w:rsidP="001567AA">
      <w:pPr>
        <w:pStyle w:val="ListParagraph"/>
        <w:numPr>
          <w:ilvl w:val="0"/>
          <w:numId w:val="3"/>
        </w:numPr>
        <w:spacing w:line="360" w:lineRule="auto"/>
        <w:ind w:left="0" w:right="-90" w:firstLine="0"/>
        <w:jc w:val="both"/>
        <w:rPr>
          <w:rFonts w:ascii="Arial" w:hAnsi="Arial" w:cs="Arial"/>
          <w:b/>
          <w:bCs/>
          <w:sz w:val="24"/>
          <w:szCs w:val="24"/>
        </w:rPr>
      </w:pPr>
      <w:r>
        <w:rPr>
          <w:rFonts w:ascii="Arial" w:hAnsi="Arial" w:cs="Arial"/>
          <w:b/>
          <w:bCs/>
          <w:sz w:val="24"/>
          <w:szCs w:val="24"/>
        </w:rPr>
        <w:t>Employee Recognition Programs</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IHG prioritizes employee recognition as a cornerstone of its retention strategy. Recognition programs, including Employee of the Month awards, peer recognition, and service anniversary celebrations, are designed to acknowledge and appreciate the hard work and dedication of the staff (IHG Annual Report, 2021).</w:t>
      </w:r>
    </w:p>
    <w:p w:rsidR="00C00BC2" w:rsidRDefault="00C00BC2" w:rsidP="001567AA">
      <w:pPr>
        <w:pStyle w:val="ListParagraph"/>
        <w:numPr>
          <w:ilvl w:val="0"/>
          <w:numId w:val="3"/>
        </w:numPr>
        <w:spacing w:line="360" w:lineRule="auto"/>
        <w:ind w:left="0" w:right="-90" w:firstLine="0"/>
        <w:jc w:val="both"/>
        <w:rPr>
          <w:rFonts w:ascii="Arial" w:hAnsi="Arial" w:cs="Arial"/>
          <w:b/>
          <w:bCs/>
          <w:sz w:val="24"/>
          <w:szCs w:val="24"/>
        </w:rPr>
      </w:pPr>
      <w:r>
        <w:rPr>
          <w:rFonts w:ascii="Arial" w:hAnsi="Arial" w:cs="Arial"/>
          <w:b/>
          <w:bCs/>
          <w:sz w:val="24"/>
          <w:szCs w:val="24"/>
        </w:rPr>
        <w:t>Investment in Continuous Learning and Development</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 xml:space="preserve"> IHG places a strong emphasis on continuous learning and development to enhance the skills and career growth of its employees. Through initiatives such as online training modules, mentorship programs, and access to professional certifications, IHG aims to empower its workforce and foster a culture of continuous improvement (IHG Careers, 2021). </w:t>
      </w:r>
    </w:p>
    <w:p w:rsidR="00C00BC2" w:rsidRDefault="00C00BC2" w:rsidP="001567AA">
      <w:pPr>
        <w:pStyle w:val="ListParagraph"/>
        <w:numPr>
          <w:ilvl w:val="0"/>
          <w:numId w:val="3"/>
        </w:numPr>
        <w:spacing w:line="360" w:lineRule="auto"/>
        <w:ind w:left="0" w:right="-90" w:firstLine="0"/>
        <w:jc w:val="both"/>
        <w:rPr>
          <w:rFonts w:ascii="Arial" w:hAnsi="Arial" w:cs="Arial"/>
          <w:b/>
          <w:bCs/>
          <w:sz w:val="24"/>
          <w:szCs w:val="24"/>
        </w:rPr>
      </w:pPr>
      <w:r>
        <w:rPr>
          <w:rFonts w:ascii="Arial" w:hAnsi="Arial" w:cs="Arial"/>
          <w:b/>
          <w:bCs/>
          <w:sz w:val="24"/>
          <w:szCs w:val="24"/>
        </w:rPr>
        <w:t>Comprehensive Well-being Initiatives</w:t>
      </w:r>
    </w:p>
    <w:p w:rsidR="00C00BC2" w:rsidRDefault="00C00BC2" w:rsidP="001567AA">
      <w:pPr>
        <w:pStyle w:val="ListParagraph"/>
        <w:spacing w:line="360" w:lineRule="auto"/>
        <w:ind w:left="0" w:right="-90" w:firstLine="720"/>
        <w:jc w:val="both"/>
        <w:rPr>
          <w:rFonts w:ascii="Segoe UI Historic" w:hAnsi="Segoe UI Historic" w:cs="Segoe UI Historic"/>
          <w:color w:val="050505"/>
          <w:sz w:val="23"/>
          <w:szCs w:val="23"/>
          <w:shd w:val="clear" w:color="auto" w:fill="F0F0F0"/>
        </w:rPr>
      </w:pPr>
      <w:r>
        <w:rPr>
          <w:rFonts w:ascii="Arial" w:hAnsi="Arial" w:cs="Arial"/>
          <w:sz w:val="24"/>
          <w:szCs w:val="24"/>
        </w:rPr>
        <w:t>Employee well-being is at the forefront of IHG's retention efforts. The company offers comprehensive well-being initiatives, including health and wellness programs, mental health support, and flexible work arrangements. IHG recognizes the importance of a healthy work-life balance in retaining motivated and satisfied employees (IHG Responsible Business Report, 2021).</w:t>
      </w:r>
    </w:p>
    <w:p w:rsidR="00C00BC2" w:rsidRDefault="00C00BC2" w:rsidP="001567AA">
      <w:pPr>
        <w:spacing w:line="360" w:lineRule="auto"/>
        <w:ind w:right="-90" w:firstLine="720"/>
        <w:jc w:val="both"/>
        <w:rPr>
          <w:rFonts w:ascii="Arial" w:hAnsi="Arial" w:cs="Arial"/>
          <w:b/>
          <w:bCs/>
          <w:kern w:val="0"/>
          <w:sz w:val="24"/>
          <w:szCs w:val="24"/>
          <w14:ligatures w14:val="none"/>
        </w:rPr>
      </w:pPr>
      <w:r>
        <w:rPr>
          <w:rFonts w:ascii="Arial" w:hAnsi="Arial" w:cs="Arial"/>
          <w:b/>
          <w:bCs/>
          <w:kern w:val="0"/>
          <w:sz w:val="24"/>
          <w:szCs w:val="24"/>
          <w14:ligatures w14:val="none"/>
        </w:rPr>
        <w:t>Structured Career Pathways</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 xml:space="preserve">IHG is committed to providing employees with clear and structured career pathways. The company encourages internal promotions, skill development, and cross-functional training to empower employees to advance in their careers within the organization (IHG Annual Report, 2021). </w:t>
      </w:r>
    </w:p>
    <w:p w:rsidR="00C00BC2" w:rsidRDefault="00C00BC2" w:rsidP="001567AA">
      <w:pPr>
        <w:pStyle w:val="ListParagraph"/>
        <w:numPr>
          <w:ilvl w:val="0"/>
          <w:numId w:val="3"/>
        </w:numPr>
        <w:spacing w:line="360" w:lineRule="auto"/>
        <w:ind w:left="0" w:right="-90" w:firstLine="0"/>
        <w:jc w:val="both"/>
        <w:rPr>
          <w:rFonts w:ascii="Arial" w:hAnsi="Arial" w:cs="Arial"/>
          <w:b/>
          <w:bCs/>
          <w:sz w:val="24"/>
          <w:szCs w:val="24"/>
        </w:rPr>
      </w:pPr>
      <w:r>
        <w:rPr>
          <w:rFonts w:ascii="Arial" w:hAnsi="Arial" w:cs="Arial"/>
          <w:b/>
          <w:bCs/>
          <w:sz w:val="24"/>
          <w:szCs w:val="24"/>
        </w:rPr>
        <w:t>Diversity, Equity, and Inclusion (DEI) Initiatives</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 xml:space="preserve">Recognizing the significance of diversity in its workforce, IHG has implemented robust DEI initiatives. These include inclusive hiring practices, diversity training, and </w:t>
      </w:r>
      <w:r>
        <w:rPr>
          <w:rFonts w:ascii="Arial" w:hAnsi="Arial" w:cs="Arial"/>
          <w:sz w:val="24"/>
          <w:szCs w:val="24"/>
        </w:rPr>
        <w:lastRenderedPageBreak/>
        <w:t xml:space="preserve">employee resource groups that contribute to a supportive and inclusive work environment (IHG Diversity and Inclusion, 2021). </w:t>
      </w:r>
    </w:p>
    <w:p w:rsidR="00C00BC2" w:rsidRDefault="00C00BC2" w:rsidP="001567AA">
      <w:pPr>
        <w:pStyle w:val="ListParagraph"/>
        <w:numPr>
          <w:ilvl w:val="0"/>
          <w:numId w:val="3"/>
        </w:numPr>
        <w:spacing w:line="360" w:lineRule="auto"/>
        <w:ind w:left="0" w:right="-90" w:firstLine="0"/>
        <w:jc w:val="both"/>
        <w:rPr>
          <w:rFonts w:ascii="Arial" w:hAnsi="Arial" w:cs="Arial"/>
          <w:b/>
          <w:bCs/>
          <w:sz w:val="24"/>
          <w:szCs w:val="24"/>
        </w:rPr>
      </w:pPr>
      <w:r>
        <w:rPr>
          <w:rFonts w:ascii="Arial" w:hAnsi="Arial" w:cs="Arial"/>
          <w:b/>
          <w:bCs/>
          <w:sz w:val="24"/>
          <w:szCs w:val="24"/>
        </w:rPr>
        <w:t>Flexible Work Arrangements</w:t>
      </w:r>
    </w:p>
    <w:p w:rsidR="00C00BC2" w:rsidRDefault="00C00BC2" w:rsidP="001567AA">
      <w:pPr>
        <w:pStyle w:val="ListParagraph"/>
        <w:spacing w:line="360" w:lineRule="auto"/>
        <w:ind w:left="0" w:right="-90"/>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t xml:space="preserve">IHG acknowledges the evolving preferences of its workforce and has embraced flexible work arrangements. This includes remote work options, flexible scheduling, and innovative approaches to work-life balance, providing employees with the flexibility they need to thrive in their personal and professional lives (IHG Responsible Business Report, 2021). </w:t>
      </w:r>
    </w:p>
    <w:p w:rsidR="00C00BC2" w:rsidRDefault="00C00BC2" w:rsidP="001567AA">
      <w:pPr>
        <w:spacing w:line="360" w:lineRule="auto"/>
        <w:ind w:right="-90" w:firstLine="720"/>
        <w:jc w:val="both"/>
        <w:rPr>
          <w:rFonts w:ascii="Arial" w:hAnsi="Arial" w:cs="Arial"/>
          <w:kern w:val="0"/>
          <w:sz w:val="24"/>
          <w:szCs w:val="24"/>
          <w14:ligatures w14:val="none"/>
        </w:rPr>
      </w:pPr>
      <w:r>
        <w:rPr>
          <w:rFonts w:ascii="Arial" w:hAnsi="Arial" w:cs="Arial"/>
          <w:kern w:val="0"/>
          <w:sz w:val="24"/>
          <w:szCs w:val="24"/>
          <w14:ligatures w14:val="none"/>
        </w:rPr>
        <w:t>IHG's retention strategies reflect a holistic approach to employee engagement and satisfaction. By prioritizing recognition, investing in learning and development, promoting well-being, offering structured career pathways, fostering diversity and inclusion, and embracing flexible work arrangements, IHG demonstrates a commitment to creating a positive and supportive work environment.</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These initiatives collectively contribute to the retention of skilled and motivated employees, ensuring the ongoing success of IHG in the competitive hospitality industry.</w:t>
      </w:r>
    </w:p>
    <w:p w:rsidR="00C00BC2" w:rsidRDefault="00C00BC2" w:rsidP="001567AA">
      <w:pPr>
        <w:pStyle w:val="ListParagraph"/>
        <w:spacing w:line="360" w:lineRule="auto"/>
        <w:ind w:left="0" w:right="-90" w:firstLine="720"/>
        <w:jc w:val="both"/>
        <w:rPr>
          <w:rFonts w:ascii="Arial" w:hAnsi="Arial" w:cs="Arial"/>
          <w:sz w:val="24"/>
          <w:szCs w:val="24"/>
        </w:rPr>
      </w:pP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2.2 How IHG manage external challenges:</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InterContinental Hotels Group likely addresses external challenges related to employment and engagement through various strategies. This may include initiatives such as competitive compensation, comprehensive benefits, employee development programs, and fostering a positive workplace culture. IHG might also actively seek feedback from employees to address concerns and continuously improve their employment experience. Regular communication channels, employee recognition programs, and adapting to industry trends are likely part of IHG's approach to managing external challenges in employment and engagement. (IHG, 2023)</w:t>
      </w:r>
    </w:p>
    <w:p w:rsidR="00C00BC2" w:rsidRDefault="00C00BC2" w:rsidP="001567AA">
      <w:pPr>
        <w:pStyle w:val="ListParagraph"/>
        <w:spacing w:line="360" w:lineRule="auto"/>
        <w:ind w:left="0" w:right="-90" w:firstLine="720"/>
        <w:jc w:val="both"/>
        <w:rPr>
          <w:rFonts w:ascii="Arial" w:hAnsi="Arial" w:cs="Arial"/>
          <w:sz w:val="24"/>
          <w:szCs w:val="24"/>
          <w:highlight w:val="yellow"/>
        </w:rPr>
      </w:pP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2.3 The impact of AI to retention:</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The advent of Artificial Intelligence (AI) has brought about revolutionary changes in various industries, and the hospitality sector is no exception.</w:t>
      </w:r>
    </w:p>
    <w:p w:rsidR="00C00BC2" w:rsidRDefault="00C00BC2" w:rsidP="001567AA">
      <w:pPr>
        <w:pStyle w:val="ListParagraph"/>
        <w:numPr>
          <w:ilvl w:val="0"/>
          <w:numId w:val="3"/>
        </w:numPr>
        <w:spacing w:line="360" w:lineRule="auto"/>
        <w:ind w:left="360" w:right="-90"/>
        <w:jc w:val="both"/>
        <w:rPr>
          <w:rFonts w:ascii="Arial" w:hAnsi="Arial" w:cs="Arial"/>
          <w:sz w:val="24"/>
          <w:szCs w:val="24"/>
        </w:rPr>
      </w:pPr>
      <w:r>
        <w:rPr>
          <w:rFonts w:ascii="Arial" w:hAnsi="Arial" w:cs="Arial"/>
          <w:sz w:val="24"/>
          <w:szCs w:val="24"/>
        </w:rPr>
        <w:t>AI in Recruitment: Streamlining Talent Acquisition</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kern w:val="0"/>
          <w:sz w:val="24"/>
          <w:szCs w:val="24"/>
          <w14:ligatures w14:val="none"/>
        </w:rPr>
        <w:t xml:space="preserve">Artificial Intelligence is increasingly being leveraged in the recruitment process to enhance efficiency and identify top talent. AI-powered tools, such as resume screening algorithms and </w:t>
      </w:r>
      <w:proofErr w:type="spellStart"/>
      <w:r>
        <w:rPr>
          <w:rFonts w:ascii="Arial" w:hAnsi="Arial" w:cs="Arial"/>
          <w:kern w:val="0"/>
          <w:sz w:val="24"/>
          <w:szCs w:val="24"/>
          <w14:ligatures w14:val="none"/>
        </w:rPr>
        <w:t>chatbots</w:t>
      </w:r>
      <w:proofErr w:type="spellEnd"/>
      <w:r>
        <w:rPr>
          <w:rFonts w:ascii="Arial" w:hAnsi="Arial" w:cs="Arial"/>
          <w:kern w:val="0"/>
          <w:sz w:val="24"/>
          <w:szCs w:val="24"/>
          <w14:ligatures w14:val="none"/>
        </w:rPr>
        <w:t xml:space="preserve"> for initial candidate interactions, </w:t>
      </w:r>
      <w:r>
        <w:rPr>
          <w:rFonts w:ascii="Arial" w:hAnsi="Arial" w:cs="Arial"/>
          <w:sz w:val="24"/>
          <w:szCs w:val="24"/>
        </w:rPr>
        <w:t xml:space="preserve">significantly reduce </w:t>
      </w:r>
      <w:r>
        <w:rPr>
          <w:rFonts w:ascii="Arial" w:hAnsi="Arial" w:cs="Arial"/>
          <w:sz w:val="24"/>
          <w:szCs w:val="24"/>
        </w:rPr>
        <w:lastRenderedPageBreak/>
        <w:t xml:space="preserve">the time and resources invested in the early stages of recruitment (Davenport, Harris, &amp; Shapiro, 2018). This expeditious screening process allows hospitality recruiters to focus on evaluating candidates who align more closely with the organization's values and requirements. </w:t>
      </w:r>
    </w:p>
    <w:p w:rsidR="00C00BC2" w:rsidRDefault="00C00BC2" w:rsidP="001567AA">
      <w:pPr>
        <w:pStyle w:val="ListParagraph"/>
        <w:numPr>
          <w:ilvl w:val="0"/>
          <w:numId w:val="3"/>
        </w:numPr>
        <w:spacing w:line="360" w:lineRule="auto"/>
        <w:ind w:left="360" w:right="-90"/>
        <w:jc w:val="both"/>
        <w:rPr>
          <w:rFonts w:ascii="Arial" w:hAnsi="Arial" w:cs="Arial"/>
          <w:sz w:val="24"/>
          <w:szCs w:val="24"/>
        </w:rPr>
      </w:pPr>
      <w:r>
        <w:rPr>
          <w:rFonts w:ascii="Arial" w:hAnsi="Arial" w:cs="Arial"/>
          <w:sz w:val="24"/>
          <w:szCs w:val="24"/>
        </w:rPr>
        <w:t>Predictive Analytics for Candidate Assessment</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 xml:space="preserve"> AI-driven predictive analytics tools analyze vast datasets to predict a candidate's potential success in a role. This goes beyond traditional recruitment methods, allowing hospitality employers to assess factors like cultural fit and long-term commitment (</w:t>
      </w:r>
      <w:proofErr w:type="spellStart"/>
      <w:r>
        <w:rPr>
          <w:rFonts w:ascii="Arial" w:hAnsi="Arial" w:cs="Arial"/>
          <w:sz w:val="24"/>
          <w:szCs w:val="24"/>
        </w:rPr>
        <w:t>Kudyba</w:t>
      </w:r>
      <w:proofErr w:type="spellEnd"/>
      <w:r>
        <w:rPr>
          <w:rFonts w:ascii="Arial" w:hAnsi="Arial" w:cs="Arial"/>
          <w:sz w:val="24"/>
          <w:szCs w:val="24"/>
        </w:rPr>
        <w:t xml:space="preserve">, &amp; </w:t>
      </w:r>
      <w:proofErr w:type="spellStart"/>
      <w:r>
        <w:rPr>
          <w:rFonts w:ascii="Arial" w:hAnsi="Arial" w:cs="Arial"/>
          <w:sz w:val="24"/>
          <w:szCs w:val="24"/>
        </w:rPr>
        <w:t>DiCerbo</w:t>
      </w:r>
      <w:proofErr w:type="spellEnd"/>
      <w:r>
        <w:rPr>
          <w:rFonts w:ascii="Arial" w:hAnsi="Arial" w:cs="Arial"/>
          <w:sz w:val="24"/>
          <w:szCs w:val="24"/>
        </w:rPr>
        <w:t xml:space="preserve">, 2016). By making data-driven decisions, organizations can enhance the likelihood of hiring candidates who are not only skilled but also well-aligned with the company's values, fostering better retention prospects. </w:t>
      </w:r>
    </w:p>
    <w:p w:rsidR="00C00BC2" w:rsidRDefault="00C00BC2" w:rsidP="001567AA">
      <w:pPr>
        <w:pStyle w:val="ListParagraph"/>
        <w:numPr>
          <w:ilvl w:val="0"/>
          <w:numId w:val="3"/>
        </w:numPr>
        <w:spacing w:line="360" w:lineRule="auto"/>
        <w:ind w:left="450" w:right="-90" w:hanging="450"/>
        <w:jc w:val="both"/>
        <w:rPr>
          <w:rFonts w:ascii="Arial" w:hAnsi="Arial" w:cs="Arial"/>
          <w:sz w:val="24"/>
          <w:szCs w:val="24"/>
        </w:rPr>
      </w:pPr>
      <w:r>
        <w:rPr>
          <w:rFonts w:ascii="Arial" w:hAnsi="Arial" w:cs="Arial"/>
          <w:sz w:val="24"/>
          <w:szCs w:val="24"/>
        </w:rPr>
        <w:t>Personalized Employee Experiences</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 xml:space="preserve">AI is transforming the onboarding and employee experience in the hospitality sector. AI-driven platforms can personalize training programs based on individual learning styles, ensuring a more engaging and effective training process (Xing, Wessel, &amp; </w:t>
      </w:r>
      <w:proofErr w:type="spellStart"/>
      <w:r>
        <w:rPr>
          <w:rFonts w:ascii="Arial" w:hAnsi="Arial" w:cs="Arial"/>
          <w:sz w:val="24"/>
          <w:szCs w:val="24"/>
        </w:rPr>
        <w:t>Ploderer</w:t>
      </w:r>
      <w:proofErr w:type="spellEnd"/>
      <w:r>
        <w:rPr>
          <w:rFonts w:ascii="Arial" w:hAnsi="Arial" w:cs="Arial"/>
          <w:sz w:val="24"/>
          <w:szCs w:val="24"/>
        </w:rPr>
        <w:t xml:space="preserve">, 2018). Personalization contributes to higher employee satisfaction, positively impacting retention rates as employees feel valued and supported in their professional development. </w:t>
      </w:r>
    </w:p>
    <w:p w:rsidR="00C00BC2" w:rsidRDefault="00C00BC2" w:rsidP="001567AA">
      <w:pPr>
        <w:pStyle w:val="ListParagraph"/>
        <w:numPr>
          <w:ilvl w:val="0"/>
          <w:numId w:val="3"/>
        </w:numPr>
        <w:spacing w:line="360" w:lineRule="auto"/>
        <w:ind w:left="450" w:right="-90" w:hanging="450"/>
        <w:jc w:val="both"/>
        <w:rPr>
          <w:rFonts w:ascii="Arial" w:hAnsi="Arial" w:cs="Arial"/>
          <w:sz w:val="24"/>
          <w:szCs w:val="24"/>
        </w:rPr>
      </w:pPr>
      <w:proofErr w:type="spellStart"/>
      <w:r>
        <w:rPr>
          <w:rFonts w:ascii="Arial" w:hAnsi="Arial" w:cs="Arial"/>
          <w:sz w:val="24"/>
          <w:szCs w:val="24"/>
        </w:rPr>
        <w:t>Chatbots</w:t>
      </w:r>
      <w:proofErr w:type="spellEnd"/>
      <w:r>
        <w:rPr>
          <w:rFonts w:ascii="Arial" w:hAnsi="Arial" w:cs="Arial"/>
          <w:sz w:val="24"/>
          <w:szCs w:val="24"/>
        </w:rPr>
        <w:t xml:space="preserve"> for Employee Engagement and Retention</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kern w:val="0"/>
          <w:sz w:val="24"/>
          <w:szCs w:val="24"/>
          <w14:ligatures w14:val="none"/>
        </w:rPr>
        <w:t xml:space="preserve"> In the realm of retention, AI-powered </w:t>
      </w:r>
      <w:proofErr w:type="spellStart"/>
      <w:r>
        <w:rPr>
          <w:rFonts w:ascii="Arial" w:hAnsi="Arial" w:cs="Arial"/>
          <w:kern w:val="0"/>
          <w:sz w:val="24"/>
          <w:szCs w:val="24"/>
          <w14:ligatures w14:val="none"/>
        </w:rPr>
        <w:t>chatbots</w:t>
      </w:r>
      <w:proofErr w:type="spellEnd"/>
      <w:r>
        <w:rPr>
          <w:rFonts w:ascii="Arial" w:hAnsi="Arial" w:cs="Arial"/>
          <w:kern w:val="0"/>
          <w:sz w:val="24"/>
          <w:szCs w:val="24"/>
          <w14:ligatures w14:val="none"/>
        </w:rPr>
        <w:t xml:space="preserve"> are becoming instrumental in maintaining open communication </w:t>
      </w:r>
      <w:r>
        <w:rPr>
          <w:rFonts w:ascii="Arial" w:hAnsi="Arial" w:cs="Arial"/>
          <w:sz w:val="24"/>
          <w:szCs w:val="24"/>
        </w:rPr>
        <w:t xml:space="preserve">channels with employees. These </w:t>
      </w:r>
      <w:proofErr w:type="spellStart"/>
      <w:r>
        <w:rPr>
          <w:rFonts w:ascii="Arial" w:hAnsi="Arial" w:cs="Arial"/>
          <w:sz w:val="24"/>
          <w:szCs w:val="24"/>
        </w:rPr>
        <w:t>chatbots</w:t>
      </w:r>
      <w:proofErr w:type="spellEnd"/>
      <w:r>
        <w:rPr>
          <w:rFonts w:ascii="Arial" w:hAnsi="Arial" w:cs="Arial"/>
          <w:sz w:val="24"/>
          <w:szCs w:val="24"/>
        </w:rPr>
        <w:t xml:space="preserve"> can gather feedback, address concerns, and provide relevant information in real-time, contributing to a more engaged and satisfied workforce (Li, &amp; Chan, 2017). Improved communication fosters a positive work environment, reducing the likelihood of turnover. </w:t>
      </w:r>
    </w:p>
    <w:p w:rsidR="00C00BC2" w:rsidRDefault="00C00BC2" w:rsidP="001567AA">
      <w:pPr>
        <w:pStyle w:val="ListParagraph"/>
        <w:spacing w:line="360" w:lineRule="auto"/>
        <w:ind w:left="0" w:right="-90" w:firstLine="720"/>
        <w:jc w:val="both"/>
        <w:rPr>
          <w:rFonts w:ascii="Arial" w:hAnsi="Arial" w:cs="Arial"/>
          <w:sz w:val="24"/>
          <w:szCs w:val="24"/>
        </w:rPr>
      </w:pP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 xml:space="preserve">2.4 How </w:t>
      </w:r>
      <w:proofErr w:type="spellStart"/>
      <w:r>
        <w:rPr>
          <w:rFonts w:ascii="Arial" w:hAnsi="Arial" w:cs="Arial"/>
          <w:sz w:val="24"/>
          <w:szCs w:val="24"/>
        </w:rPr>
        <w:t>Brexit</w:t>
      </w:r>
      <w:proofErr w:type="spellEnd"/>
      <w:r>
        <w:rPr>
          <w:rFonts w:ascii="Arial" w:hAnsi="Arial" w:cs="Arial"/>
          <w:sz w:val="24"/>
          <w:szCs w:val="24"/>
        </w:rPr>
        <w:t xml:space="preserve"> affecting retention:</w:t>
      </w:r>
    </w:p>
    <w:p w:rsidR="00C00BC2" w:rsidRDefault="00C00BC2" w:rsidP="001567AA">
      <w:pPr>
        <w:pStyle w:val="ListParagraph"/>
        <w:spacing w:line="360" w:lineRule="auto"/>
        <w:ind w:left="0" w:right="-90" w:firstLine="720"/>
        <w:jc w:val="both"/>
        <w:rPr>
          <w:rFonts w:ascii="Arial" w:hAnsi="Arial" w:cs="Arial"/>
          <w:sz w:val="24"/>
          <w:szCs w:val="24"/>
        </w:rPr>
      </w:pPr>
      <w:proofErr w:type="spellStart"/>
      <w:r>
        <w:rPr>
          <w:rFonts w:ascii="Arial" w:hAnsi="Arial" w:cs="Arial"/>
          <w:sz w:val="24"/>
          <w:szCs w:val="24"/>
        </w:rPr>
        <w:t>Brexit's</w:t>
      </w:r>
      <w:proofErr w:type="spellEnd"/>
      <w:r>
        <w:rPr>
          <w:rFonts w:ascii="Arial" w:hAnsi="Arial" w:cs="Arial"/>
          <w:sz w:val="24"/>
          <w:szCs w:val="24"/>
        </w:rPr>
        <w:t xml:space="preserve"> impact on employment and employee engagement in the hospitality industry can vary. Factors such as changes in immigration policies, labor market dynamics, and economic conditions play crucial roles. Potential challenges include a shortage of skilled workers if there are restrictions on the free movement of labor, leading to recruitment difficulties for hospitality businesses. Uncertainty related to </w:t>
      </w:r>
      <w:proofErr w:type="spellStart"/>
      <w:r>
        <w:rPr>
          <w:rFonts w:ascii="Arial" w:hAnsi="Arial" w:cs="Arial"/>
          <w:sz w:val="24"/>
          <w:szCs w:val="24"/>
        </w:rPr>
        <w:t>Brexit</w:t>
      </w:r>
      <w:proofErr w:type="spellEnd"/>
      <w:r>
        <w:rPr>
          <w:rFonts w:ascii="Arial" w:hAnsi="Arial" w:cs="Arial"/>
          <w:sz w:val="24"/>
          <w:szCs w:val="24"/>
        </w:rPr>
        <w:t xml:space="preserve"> may also affect employee engagement, as concerns about job security and future economic conditions can impact morale. Additionally, fluctuations in currency values and changes in trade agreements could influence the cost of goods and services, </w:t>
      </w:r>
      <w:r>
        <w:rPr>
          <w:rFonts w:ascii="Arial" w:hAnsi="Arial" w:cs="Arial"/>
          <w:sz w:val="24"/>
          <w:szCs w:val="24"/>
        </w:rPr>
        <w:lastRenderedPageBreak/>
        <w:t>affecting businesses and potentially leading to adjustments in staffing levels. On the positive side, post-</w:t>
      </w:r>
      <w:proofErr w:type="spellStart"/>
      <w:r>
        <w:rPr>
          <w:rFonts w:ascii="Arial" w:hAnsi="Arial" w:cs="Arial"/>
          <w:sz w:val="24"/>
          <w:szCs w:val="24"/>
        </w:rPr>
        <w:t>Brexit</w:t>
      </w:r>
      <w:proofErr w:type="spellEnd"/>
      <w:r>
        <w:rPr>
          <w:rFonts w:ascii="Arial" w:hAnsi="Arial" w:cs="Arial"/>
          <w:sz w:val="24"/>
          <w:szCs w:val="24"/>
        </w:rPr>
        <w:t xml:space="preserve"> opportunities might arise, such as a focus on developing local talent, increased emphasis on employee training and development, and efforts to enhance the competitiveness of the hospitality sector. Adaptability and strategic planning are key for businesses to navigate the evolving landscape.</w:t>
      </w:r>
    </w:p>
    <w:p w:rsidR="001567AA" w:rsidRDefault="001567AA" w:rsidP="001567AA">
      <w:pPr>
        <w:pStyle w:val="ListParagraph"/>
        <w:spacing w:line="360" w:lineRule="auto"/>
        <w:ind w:left="0" w:right="-90" w:firstLine="720"/>
        <w:jc w:val="both"/>
        <w:rPr>
          <w:rFonts w:ascii="Arial" w:hAnsi="Arial" w:cs="Arial"/>
          <w:sz w:val="24"/>
          <w:szCs w:val="24"/>
        </w:rPr>
      </w:pPr>
    </w:p>
    <w:p w:rsidR="00C00BC2" w:rsidRDefault="00C00BC2" w:rsidP="001567AA">
      <w:pPr>
        <w:pStyle w:val="ListParagraph"/>
        <w:numPr>
          <w:ilvl w:val="1"/>
          <w:numId w:val="4"/>
        </w:numPr>
        <w:spacing w:line="360" w:lineRule="auto"/>
        <w:ind w:right="-90"/>
        <w:jc w:val="both"/>
        <w:rPr>
          <w:rFonts w:ascii="Arial" w:hAnsi="Arial" w:cs="Arial"/>
          <w:sz w:val="24"/>
          <w:szCs w:val="24"/>
        </w:rPr>
      </w:pPr>
      <w:r>
        <w:rPr>
          <w:rFonts w:ascii="Arial" w:hAnsi="Arial" w:cs="Arial"/>
          <w:sz w:val="24"/>
          <w:szCs w:val="24"/>
        </w:rPr>
        <w:t>Solutions for recruitment and retention</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The hospitality industry faces unique challenges in retaining employees, given its dynamic nature and diverse workforce. According to Gallup (2002) there are three types of people: engaged employees, not engaged employees, and actively disengaged employees. Engaged employees act as contributors, consistently aiming for excellence in their roles. Conversely, those not engaged concentrate on assigned tasks rather than the organization's goals, merely following instructions. Actively disengaged employees pose a threat as they not only underperform but also demoralize their colleagues within the organization. Employee retention is not only crucial for maintaining service quality but also for fostering a positive organizational culture. Most used potential solutions for employee retention in the hospitality sector are mentioned below:</w:t>
      </w:r>
    </w:p>
    <w:p w:rsidR="00C00BC2" w:rsidRDefault="00C00BC2" w:rsidP="001567AA">
      <w:pPr>
        <w:pStyle w:val="ListParagraph"/>
        <w:numPr>
          <w:ilvl w:val="0"/>
          <w:numId w:val="3"/>
        </w:numPr>
        <w:spacing w:line="360" w:lineRule="auto"/>
        <w:ind w:left="450" w:right="-90"/>
        <w:jc w:val="both"/>
        <w:rPr>
          <w:rFonts w:ascii="Arial" w:hAnsi="Arial" w:cs="Arial"/>
          <w:sz w:val="24"/>
          <w:szCs w:val="24"/>
        </w:rPr>
      </w:pPr>
      <w:r>
        <w:rPr>
          <w:rFonts w:ascii="Arial" w:hAnsi="Arial" w:cs="Arial"/>
          <w:sz w:val="24"/>
          <w:szCs w:val="24"/>
        </w:rPr>
        <w:t>Investment in Training and Development - Continuous training and development opportunities are essential for employee growth and engagement (D'Annunzio-Green et al., 2019). By investing in skills enhancement and career development programs, hospitality employers empower their staff and demonstrate a commitment to their professional growth.</w:t>
      </w:r>
    </w:p>
    <w:p w:rsidR="00C00BC2" w:rsidRDefault="00C00BC2" w:rsidP="001567AA">
      <w:pPr>
        <w:spacing w:line="360" w:lineRule="auto"/>
        <w:ind w:right="-90" w:firstLine="720"/>
        <w:jc w:val="both"/>
        <w:rPr>
          <w:rFonts w:ascii="Arial" w:hAnsi="Arial" w:cs="Arial"/>
          <w:sz w:val="24"/>
          <w:szCs w:val="24"/>
        </w:rPr>
      </w:pPr>
      <w:r>
        <w:rPr>
          <w:rFonts w:ascii="Arial" w:hAnsi="Arial" w:cs="Arial"/>
          <w:kern w:val="0"/>
          <w:sz w:val="24"/>
          <w:szCs w:val="24"/>
          <w14:ligatures w14:val="none"/>
        </w:rPr>
        <w:t>Prioritizing Work-Life Balance - Promoting a healthy work-life balance is crucial, especially in an industry known for demanding schedules (Upchurch, 2021).</w:t>
      </w:r>
    </w:p>
    <w:p w:rsidR="00C00BC2" w:rsidRDefault="00C00BC2" w:rsidP="001567AA">
      <w:pPr>
        <w:pStyle w:val="ListParagraph"/>
        <w:numPr>
          <w:ilvl w:val="0"/>
          <w:numId w:val="3"/>
        </w:numPr>
        <w:spacing w:line="360" w:lineRule="auto"/>
        <w:ind w:left="450" w:right="-90"/>
        <w:jc w:val="both"/>
        <w:rPr>
          <w:rFonts w:ascii="Arial" w:hAnsi="Arial" w:cs="Arial"/>
          <w:sz w:val="24"/>
          <w:szCs w:val="24"/>
        </w:rPr>
      </w:pPr>
      <w:r>
        <w:rPr>
          <w:rFonts w:ascii="Arial" w:hAnsi="Arial" w:cs="Arial"/>
          <w:sz w:val="24"/>
          <w:szCs w:val="24"/>
        </w:rPr>
        <w:t>Implementing policies that manage workloads, provide adequate time off, and support employee well-being positively impacts retention rates.</w:t>
      </w:r>
    </w:p>
    <w:p w:rsidR="00C00BC2" w:rsidRDefault="00C00BC2" w:rsidP="001567AA">
      <w:pPr>
        <w:pStyle w:val="ListParagraph"/>
        <w:numPr>
          <w:ilvl w:val="0"/>
          <w:numId w:val="3"/>
        </w:numPr>
        <w:spacing w:line="360" w:lineRule="auto"/>
        <w:ind w:left="450" w:right="-90"/>
        <w:jc w:val="both"/>
        <w:rPr>
          <w:rFonts w:ascii="Arial" w:hAnsi="Arial" w:cs="Arial"/>
          <w:sz w:val="24"/>
          <w:szCs w:val="24"/>
        </w:rPr>
      </w:pPr>
      <w:r>
        <w:rPr>
          <w:rFonts w:ascii="Arial" w:hAnsi="Arial" w:cs="Arial"/>
          <w:sz w:val="24"/>
          <w:szCs w:val="24"/>
        </w:rPr>
        <w:t>Creating Inclusive and Diverse Workplaces - Diversity, equity, and inclusion initiatives contribute to a more inclusive workplace culture (Roberson et al., 2017). Hospitality businesses should actively promote diversity and create environments where employees from various backgrounds feel valued and included.</w:t>
      </w:r>
    </w:p>
    <w:p w:rsidR="00C00BC2" w:rsidRDefault="00C00BC2" w:rsidP="001567AA">
      <w:pPr>
        <w:pStyle w:val="ListParagraph"/>
        <w:numPr>
          <w:ilvl w:val="0"/>
          <w:numId w:val="3"/>
        </w:numPr>
        <w:spacing w:line="360" w:lineRule="auto"/>
        <w:ind w:left="450" w:right="-90"/>
        <w:jc w:val="both"/>
        <w:rPr>
          <w:rFonts w:ascii="Arial" w:hAnsi="Arial" w:cs="Arial"/>
          <w:sz w:val="24"/>
          <w:szCs w:val="24"/>
        </w:rPr>
      </w:pPr>
      <w:r>
        <w:rPr>
          <w:rFonts w:ascii="Arial" w:hAnsi="Arial" w:cs="Arial"/>
          <w:sz w:val="24"/>
          <w:szCs w:val="24"/>
        </w:rPr>
        <w:t xml:space="preserve">Technological Integration and Training - Embracing technology in daily operations requires training and support for employees (Beard et al., 2018). Offering training </w:t>
      </w:r>
      <w:r>
        <w:rPr>
          <w:rFonts w:ascii="Arial" w:hAnsi="Arial" w:cs="Arial"/>
          <w:sz w:val="24"/>
          <w:szCs w:val="24"/>
        </w:rPr>
        <w:lastRenderedPageBreak/>
        <w:t>programs on technology usage ensures that employees feel equipped and confident in adopting new tools, reducing job-related stress.</w:t>
      </w:r>
    </w:p>
    <w:p w:rsidR="00C00BC2" w:rsidRDefault="00C00BC2" w:rsidP="001567AA">
      <w:pPr>
        <w:pStyle w:val="ListParagraph"/>
        <w:spacing w:line="360" w:lineRule="auto"/>
        <w:ind w:left="450" w:right="-90"/>
        <w:jc w:val="both"/>
        <w:rPr>
          <w:rFonts w:ascii="Arial" w:hAnsi="Arial" w:cs="Arial"/>
          <w:sz w:val="24"/>
          <w:szCs w:val="24"/>
        </w:rPr>
      </w:pPr>
    </w:p>
    <w:p w:rsidR="00C00BC2" w:rsidRDefault="00C00BC2" w:rsidP="001567AA">
      <w:pPr>
        <w:pStyle w:val="ListParagraph"/>
        <w:numPr>
          <w:ilvl w:val="0"/>
          <w:numId w:val="5"/>
        </w:numPr>
        <w:spacing w:line="360" w:lineRule="auto"/>
        <w:ind w:right="-90"/>
        <w:jc w:val="both"/>
        <w:rPr>
          <w:rFonts w:ascii="Arial" w:hAnsi="Arial" w:cs="Arial"/>
          <w:sz w:val="24"/>
          <w:szCs w:val="24"/>
        </w:rPr>
      </w:pPr>
      <w:r>
        <w:rPr>
          <w:rFonts w:ascii="Arial" w:hAnsi="Arial" w:cs="Arial"/>
          <w:sz w:val="24"/>
          <w:szCs w:val="24"/>
        </w:rPr>
        <w:t>Conclusion</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kern w:val="0"/>
          <w:sz w:val="24"/>
          <w:szCs w:val="24"/>
          <w14:ligatures w14:val="none"/>
        </w:rPr>
        <w:t xml:space="preserve">In conclusion, employee retention in the hospitality industry necessitates a holistic approach that addresses the unique challenges faced by this dynamic sector. By implementing competitive compensation, flexible work arrangements, robust training programs, recognition initiatives, and fostering an inclusive culture, hospitality businesses can nurture talent and build a loyal workforce. These strategies, supported by ongoing research and industry best practices, contribute to a resilient and thriving hospitality workforce. By having a complex range of </w:t>
      </w:r>
      <w:r>
        <w:rPr>
          <w:rFonts w:ascii="Arial" w:hAnsi="Arial" w:cs="Arial"/>
          <w:sz w:val="24"/>
          <w:szCs w:val="24"/>
        </w:rPr>
        <w:t>strategies, hospitality businesses can create a work environment that attracts and retains talented individuals, contributing to the long-term success of the organization.</w:t>
      </w:r>
    </w:p>
    <w:p w:rsidR="00C00BC2" w:rsidRDefault="00C00BC2" w:rsidP="001567AA">
      <w:pPr>
        <w:pStyle w:val="ListParagraph"/>
        <w:spacing w:line="360" w:lineRule="auto"/>
        <w:ind w:left="0" w:right="-90" w:firstLine="720"/>
        <w:jc w:val="both"/>
        <w:rPr>
          <w:rFonts w:ascii="Arial" w:hAnsi="Arial" w:cs="Arial"/>
          <w:sz w:val="24"/>
          <w:szCs w:val="24"/>
        </w:rPr>
      </w:pPr>
      <w:r>
        <w:rPr>
          <w:rFonts w:ascii="Arial" w:hAnsi="Arial" w:cs="Arial"/>
          <w:sz w:val="24"/>
          <w:szCs w:val="24"/>
        </w:rPr>
        <w:t>High employee retention is generally indicative of a healthy organizational culture, effective management practices, and a workplace that meets the needs and expectations of its employees. It is a critical aspect of organizational success, as retaining experienced and skilled employees contributes to stability, productivity, and overall business performance.</w:t>
      </w: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pStyle w:val="Heading1"/>
        <w:rPr>
          <w:kern w:val="0"/>
          <w:lang w:val="fr-FR"/>
          <w14:ligatures w14:val="none"/>
        </w:rPr>
      </w:pPr>
      <w:proofErr w:type="spellStart"/>
      <w:r>
        <w:rPr>
          <w:lang w:val="fr-FR"/>
        </w:rPr>
        <w:t>References</w:t>
      </w:r>
      <w:proofErr w:type="spellEnd"/>
    </w:p>
    <w:p w:rsidR="00C00BC2" w:rsidRDefault="00C00BC2" w:rsidP="00C00BC2">
      <w:pPr>
        <w:spacing w:line="360" w:lineRule="auto"/>
        <w:jc w:val="both"/>
        <w:rPr>
          <w:rFonts w:ascii="Arial" w:hAnsi="Arial" w:cs="Arial"/>
          <w:sz w:val="24"/>
          <w:szCs w:val="24"/>
        </w:rPr>
      </w:pPr>
      <w:r>
        <w:rPr>
          <w:rFonts w:ascii="Arial" w:hAnsi="Arial" w:cs="Arial"/>
          <w:sz w:val="24"/>
          <w:szCs w:val="24"/>
        </w:rPr>
        <w:t xml:space="preserve">Beard, R., Sasser, S. L., Hardee, M., </w:t>
      </w:r>
      <w:proofErr w:type="spellStart"/>
      <w:r>
        <w:rPr>
          <w:rFonts w:ascii="Arial" w:hAnsi="Arial" w:cs="Arial"/>
          <w:sz w:val="24"/>
          <w:szCs w:val="24"/>
        </w:rPr>
        <w:t>Wilkenfeld</w:t>
      </w:r>
      <w:proofErr w:type="spellEnd"/>
      <w:r>
        <w:rPr>
          <w:rFonts w:ascii="Arial" w:hAnsi="Arial" w:cs="Arial"/>
          <w:sz w:val="24"/>
          <w:szCs w:val="24"/>
        </w:rPr>
        <w:t xml:space="preserve">, B., &amp; </w:t>
      </w:r>
      <w:proofErr w:type="spellStart"/>
      <w:r>
        <w:rPr>
          <w:rFonts w:ascii="Arial" w:hAnsi="Arial" w:cs="Arial"/>
          <w:sz w:val="24"/>
          <w:szCs w:val="24"/>
        </w:rPr>
        <w:t>Sigala</w:t>
      </w:r>
      <w:proofErr w:type="spellEnd"/>
      <w:r>
        <w:rPr>
          <w:rFonts w:ascii="Arial" w:hAnsi="Arial" w:cs="Arial"/>
          <w:sz w:val="24"/>
          <w:szCs w:val="24"/>
        </w:rPr>
        <w:t>, M. (2018).</w:t>
      </w:r>
      <w:r>
        <w:rPr>
          <w:rFonts w:ascii="Arial" w:hAnsi="Arial" w:cs="Arial"/>
          <w:i/>
          <w:iCs/>
          <w:sz w:val="24"/>
          <w:szCs w:val="24"/>
        </w:rPr>
        <w:t xml:space="preserve"> Technology and the Employee Experience</w:t>
      </w:r>
      <w:r>
        <w:rPr>
          <w:rFonts w:ascii="Arial" w:hAnsi="Arial" w:cs="Arial"/>
          <w:sz w:val="24"/>
          <w:szCs w:val="24"/>
        </w:rPr>
        <w:t>. Cornell Hospitality Quarterly.</w:t>
      </w:r>
    </w:p>
    <w:p w:rsidR="00C00BC2" w:rsidRDefault="00C00BC2" w:rsidP="00C00BC2">
      <w:pPr>
        <w:spacing w:line="360" w:lineRule="auto"/>
        <w:jc w:val="both"/>
        <w:rPr>
          <w:rFonts w:ascii="Arial" w:hAnsi="Arial" w:cs="Arial"/>
          <w:sz w:val="24"/>
          <w:szCs w:val="24"/>
        </w:rPr>
      </w:pPr>
      <w:r>
        <w:rPr>
          <w:rFonts w:ascii="Arial" w:hAnsi="Arial" w:cs="Arial"/>
          <w:sz w:val="24"/>
          <w:szCs w:val="24"/>
        </w:rPr>
        <w:t xml:space="preserve">Carter C. (2017). </w:t>
      </w:r>
      <w:r>
        <w:rPr>
          <w:rFonts w:ascii="Arial" w:hAnsi="Arial" w:cs="Arial"/>
          <w:i/>
          <w:iCs/>
          <w:sz w:val="24"/>
          <w:szCs w:val="24"/>
        </w:rPr>
        <w:t>Employee engagement and loyalty statistics</w:t>
      </w:r>
      <w:r>
        <w:rPr>
          <w:rFonts w:ascii="Arial" w:hAnsi="Arial" w:cs="Arial"/>
          <w:sz w:val="24"/>
          <w:szCs w:val="24"/>
        </w:rPr>
        <w:t>. Bureau of Labor Statistics.</w:t>
      </w:r>
    </w:p>
    <w:p w:rsidR="00C00BC2" w:rsidRDefault="00C00BC2" w:rsidP="00C00BC2">
      <w:pPr>
        <w:spacing w:line="360" w:lineRule="auto"/>
        <w:jc w:val="both"/>
        <w:rPr>
          <w:rFonts w:ascii="Arial" w:hAnsi="Arial" w:cs="Arial"/>
          <w:sz w:val="24"/>
          <w:szCs w:val="24"/>
        </w:rPr>
      </w:pPr>
      <w:r>
        <w:rPr>
          <w:rFonts w:ascii="Arial" w:hAnsi="Arial" w:cs="Arial"/>
          <w:sz w:val="24"/>
          <w:szCs w:val="24"/>
        </w:rPr>
        <w:t xml:space="preserve">Davenport, T. H., Harris, J., &amp; Shapiro, J. (2018). </w:t>
      </w:r>
      <w:r>
        <w:rPr>
          <w:rFonts w:ascii="Arial" w:hAnsi="Arial" w:cs="Arial"/>
          <w:i/>
          <w:iCs/>
          <w:sz w:val="24"/>
          <w:szCs w:val="24"/>
        </w:rPr>
        <w:t>Competing on talent analytics.</w:t>
      </w:r>
      <w:r>
        <w:rPr>
          <w:rFonts w:ascii="Arial" w:hAnsi="Arial" w:cs="Arial"/>
          <w:sz w:val="24"/>
          <w:szCs w:val="24"/>
        </w:rPr>
        <w:t xml:space="preserve"> Harvard Business Review. </w:t>
      </w:r>
    </w:p>
    <w:p w:rsidR="00C00BC2" w:rsidRDefault="00C00BC2" w:rsidP="00C00BC2">
      <w:pPr>
        <w:spacing w:line="360" w:lineRule="auto"/>
        <w:jc w:val="both"/>
        <w:rPr>
          <w:rFonts w:ascii="Arial" w:hAnsi="Arial" w:cs="Arial"/>
          <w:sz w:val="24"/>
          <w:szCs w:val="24"/>
        </w:rPr>
      </w:pPr>
      <w:r>
        <w:rPr>
          <w:rFonts w:ascii="Arial" w:hAnsi="Arial" w:cs="Arial"/>
          <w:sz w:val="24"/>
          <w:szCs w:val="24"/>
        </w:rPr>
        <w:t>D'Annunzio-Green, N., Maxwell, G., Watson, S., &amp; Main, K. (2019).</w:t>
      </w:r>
      <w:r>
        <w:rPr>
          <w:rFonts w:ascii="Arial" w:hAnsi="Arial" w:cs="Arial"/>
          <w:i/>
          <w:iCs/>
          <w:sz w:val="24"/>
          <w:szCs w:val="24"/>
        </w:rPr>
        <w:t xml:space="preserve"> Human Resource Development: Theory and Practice. </w:t>
      </w:r>
      <w:r>
        <w:rPr>
          <w:rFonts w:ascii="Arial" w:hAnsi="Arial" w:cs="Arial"/>
          <w:sz w:val="24"/>
          <w:szCs w:val="24"/>
        </w:rPr>
        <w:t>Palgrave Macmillan.</w:t>
      </w:r>
    </w:p>
    <w:p w:rsidR="00C00BC2" w:rsidRDefault="00C00BC2" w:rsidP="00C00BC2">
      <w:pPr>
        <w:spacing w:line="360" w:lineRule="auto"/>
        <w:jc w:val="both"/>
        <w:rPr>
          <w:rFonts w:ascii="Arial" w:hAnsi="Arial" w:cs="Arial"/>
          <w:sz w:val="24"/>
          <w:szCs w:val="24"/>
        </w:rPr>
      </w:pPr>
      <w:r>
        <w:rPr>
          <w:rFonts w:ascii="Arial" w:hAnsi="Arial" w:cs="Arial"/>
          <w:sz w:val="24"/>
          <w:szCs w:val="24"/>
        </w:rPr>
        <w:t xml:space="preserve">Gallup (2002), </w:t>
      </w:r>
      <w:proofErr w:type="gramStart"/>
      <w:r>
        <w:rPr>
          <w:rFonts w:ascii="Arial" w:hAnsi="Arial" w:cs="Arial"/>
          <w:i/>
          <w:iCs/>
          <w:sz w:val="24"/>
          <w:szCs w:val="24"/>
        </w:rPr>
        <w:t>The</w:t>
      </w:r>
      <w:proofErr w:type="gramEnd"/>
      <w:r>
        <w:rPr>
          <w:rFonts w:ascii="Arial" w:hAnsi="Arial" w:cs="Arial"/>
          <w:i/>
          <w:iCs/>
          <w:sz w:val="24"/>
          <w:szCs w:val="24"/>
        </w:rPr>
        <w:t xml:space="preserve"> high cost of disengaged employees</w:t>
      </w:r>
      <w:r>
        <w:rPr>
          <w:rFonts w:ascii="Arial" w:hAnsi="Arial" w:cs="Arial"/>
          <w:sz w:val="24"/>
          <w:szCs w:val="24"/>
        </w:rPr>
        <w:t>, Gallup Business Journal, April 15. Available at:</w:t>
      </w:r>
      <w:r>
        <w:rPr>
          <w:rFonts w:ascii="Arial" w:hAnsi="Arial" w:cs="Arial"/>
          <w:color w:val="555555"/>
          <w:sz w:val="24"/>
          <w:szCs w:val="24"/>
          <w:shd w:val="clear" w:color="auto" w:fill="FFFFFF"/>
        </w:rPr>
        <w:t xml:space="preserve"> </w:t>
      </w:r>
      <w:hyperlink r:id="rId7" w:history="1">
        <w:r>
          <w:rPr>
            <w:rStyle w:val="Hyperlink"/>
            <w:rFonts w:ascii="Arial" w:hAnsi="Arial" w:cs="Arial"/>
            <w:color w:val="0000FF"/>
            <w:sz w:val="24"/>
            <w:szCs w:val="24"/>
          </w:rPr>
          <w:t>http://businessjournal.gallup.com/content/247/the-high-cost-of-disengaged-employees.aspx</w:t>
        </w:r>
      </w:hyperlink>
      <w:r>
        <w:rPr>
          <w:rStyle w:val="Hyperlink"/>
          <w:rFonts w:ascii="Arial" w:hAnsi="Arial" w:cs="Arial"/>
          <w:color w:val="0000FF"/>
          <w:sz w:val="24"/>
          <w:szCs w:val="24"/>
        </w:rPr>
        <w:t>.</w:t>
      </w:r>
      <w:r>
        <w:rPr>
          <w:rFonts w:ascii="Arial" w:hAnsi="Arial" w:cs="Arial"/>
          <w:color w:val="555555"/>
          <w:sz w:val="24"/>
          <w:szCs w:val="24"/>
          <w:shd w:val="clear" w:color="auto" w:fill="FFFFFF"/>
        </w:rPr>
        <w:t xml:space="preserve"> </w:t>
      </w:r>
      <w:r>
        <w:rPr>
          <w:rFonts w:ascii="Arial" w:hAnsi="Arial" w:cs="Arial"/>
          <w:sz w:val="24"/>
          <w:szCs w:val="24"/>
        </w:rPr>
        <w:t>Accessed 02 November 2023.</w:t>
      </w:r>
    </w:p>
    <w:p w:rsidR="00C00BC2" w:rsidRDefault="00C00BC2" w:rsidP="00C00BC2">
      <w:pPr>
        <w:spacing w:line="360" w:lineRule="auto"/>
        <w:jc w:val="both"/>
        <w:rPr>
          <w:rFonts w:ascii="Arial" w:hAnsi="Arial" w:cs="Arial"/>
          <w:sz w:val="24"/>
          <w:szCs w:val="24"/>
        </w:rPr>
      </w:pPr>
      <w:r>
        <w:rPr>
          <w:rFonts w:ascii="Arial" w:hAnsi="Arial" w:cs="Arial"/>
          <w:sz w:val="24"/>
          <w:szCs w:val="24"/>
        </w:rPr>
        <w:t xml:space="preserve">Hewitt Associates LLC (2004), </w:t>
      </w:r>
      <w:r>
        <w:rPr>
          <w:rFonts w:ascii="Arial" w:hAnsi="Arial" w:cs="Arial"/>
          <w:i/>
          <w:iCs/>
          <w:sz w:val="24"/>
          <w:szCs w:val="24"/>
        </w:rPr>
        <w:t xml:space="preserve">Research brief: employee engagement higher at double-digit growth companies. </w:t>
      </w:r>
      <w:r>
        <w:rPr>
          <w:rFonts w:ascii="Arial" w:hAnsi="Arial" w:cs="Arial"/>
          <w:sz w:val="24"/>
          <w:szCs w:val="24"/>
        </w:rPr>
        <w:t xml:space="preserve">Available at: </w:t>
      </w:r>
      <w:hyperlink r:id="rId8" w:history="1">
        <w:r>
          <w:rPr>
            <w:rStyle w:val="Hyperlink"/>
            <w:rFonts w:ascii="Arial" w:hAnsi="Arial" w:cs="Arial"/>
            <w:color w:val="0000FF"/>
            <w:sz w:val="24"/>
            <w:szCs w:val="24"/>
          </w:rPr>
          <w:t>www.hewitt.com</w:t>
        </w:r>
      </w:hyperlink>
      <w:r>
        <w:rPr>
          <w:rStyle w:val="Hyperlink"/>
          <w:rFonts w:ascii="Arial" w:hAnsi="Arial" w:cs="Arial"/>
          <w:color w:val="0000FF"/>
          <w:sz w:val="24"/>
          <w:szCs w:val="24"/>
        </w:rPr>
        <w:t>.</w:t>
      </w:r>
      <w:r>
        <w:rPr>
          <w:rFonts w:ascii="Roboto" w:hAnsi="Roboto"/>
          <w:color w:val="555555"/>
          <w:shd w:val="clear" w:color="auto" w:fill="FFFFFF"/>
        </w:rPr>
        <w:t xml:space="preserve"> </w:t>
      </w:r>
      <w:r>
        <w:rPr>
          <w:rFonts w:ascii="Arial" w:hAnsi="Arial" w:cs="Arial"/>
          <w:sz w:val="24"/>
          <w:szCs w:val="24"/>
        </w:rPr>
        <w:t>Accessed 01 November 2023.</w:t>
      </w:r>
    </w:p>
    <w:p w:rsidR="00C00BC2" w:rsidRDefault="00C00BC2" w:rsidP="00C00BC2">
      <w:pPr>
        <w:spacing w:line="360" w:lineRule="auto"/>
        <w:ind w:right="-90"/>
        <w:jc w:val="both"/>
        <w:rPr>
          <w:rFonts w:ascii="Arial" w:hAnsi="Arial" w:cs="Arial"/>
          <w:color w:val="050505"/>
          <w:sz w:val="24"/>
          <w:szCs w:val="24"/>
          <w:shd w:val="clear" w:color="auto" w:fill="F0F0F0"/>
        </w:rPr>
      </w:pPr>
      <w:r>
        <w:rPr>
          <w:rFonts w:ascii="Arial" w:hAnsi="Arial" w:cs="Arial"/>
          <w:sz w:val="24"/>
          <w:szCs w:val="24"/>
        </w:rPr>
        <w:t xml:space="preserve"> IHG Annual Report. (2021). </w:t>
      </w:r>
      <w:r>
        <w:rPr>
          <w:rFonts w:ascii="Arial" w:hAnsi="Arial" w:cs="Arial"/>
          <w:i/>
          <w:iCs/>
          <w:sz w:val="24"/>
          <w:szCs w:val="24"/>
        </w:rPr>
        <w:t>InterContinental Hotels Group PLC</w:t>
      </w:r>
      <w:r>
        <w:rPr>
          <w:rFonts w:ascii="Arial" w:hAnsi="Arial" w:cs="Arial"/>
          <w:sz w:val="24"/>
          <w:szCs w:val="24"/>
        </w:rPr>
        <w:t xml:space="preserve">. Available at: </w:t>
      </w:r>
      <w:hyperlink r:id="rId9" w:history="1">
        <w:r>
          <w:rPr>
            <w:rStyle w:val="Hyperlink"/>
            <w:rFonts w:ascii="Arial" w:hAnsi="Arial" w:cs="Arial"/>
            <w:color w:val="0000FF"/>
            <w:sz w:val="24"/>
            <w:szCs w:val="24"/>
          </w:rPr>
          <w:t>Annual Report - Investors - InterContinental Hotels Group PLC (ihgplc.com)</w:t>
        </w:r>
      </w:hyperlink>
      <w:r>
        <w:rPr>
          <w:rStyle w:val="Hyperlink"/>
          <w:rFonts w:ascii="Arial" w:hAnsi="Arial" w:cs="Arial"/>
          <w:color w:val="0000FF"/>
          <w:sz w:val="24"/>
          <w:szCs w:val="24"/>
        </w:rPr>
        <w:t xml:space="preserve">. </w:t>
      </w:r>
      <w:r>
        <w:rPr>
          <w:rFonts w:ascii="Arial" w:hAnsi="Arial" w:cs="Arial"/>
          <w:sz w:val="24"/>
          <w:szCs w:val="24"/>
        </w:rPr>
        <w:t>Accessed: 02 November 2023.</w:t>
      </w:r>
    </w:p>
    <w:p w:rsidR="00C00BC2" w:rsidRDefault="00C00BC2" w:rsidP="00C00BC2">
      <w:pPr>
        <w:spacing w:line="360" w:lineRule="auto"/>
        <w:ind w:right="-90"/>
        <w:jc w:val="both"/>
        <w:rPr>
          <w:rFonts w:ascii="Arial" w:hAnsi="Arial" w:cs="Arial"/>
          <w:sz w:val="24"/>
          <w:szCs w:val="24"/>
        </w:rPr>
      </w:pPr>
      <w:r>
        <w:rPr>
          <w:rFonts w:ascii="Arial" w:hAnsi="Arial" w:cs="Arial"/>
          <w:sz w:val="24"/>
          <w:szCs w:val="24"/>
        </w:rPr>
        <w:t xml:space="preserve">IHG (2023) </w:t>
      </w:r>
      <w:r>
        <w:rPr>
          <w:rFonts w:ascii="Arial" w:hAnsi="Arial" w:cs="Arial"/>
          <w:i/>
          <w:iCs/>
          <w:sz w:val="24"/>
          <w:szCs w:val="24"/>
        </w:rPr>
        <w:t>Brands</w:t>
      </w:r>
      <w:r>
        <w:rPr>
          <w:rFonts w:ascii="Arial" w:hAnsi="Arial" w:cs="Arial"/>
          <w:sz w:val="24"/>
          <w:szCs w:val="24"/>
        </w:rPr>
        <w:t>. Available at:</w:t>
      </w:r>
      <w:r>
        <w:rPr>
          <w:rStyle w:val="Hyperlink"/>
          <w:rFonts w:ascii="Arial" w:hAnsi="Arial" w:cs="Arial"/>
          <w:color w:val="0000FF"/>
          <w:sz w:val="24"/>
          <w:szCs w:val="24"/>
        </w:rPr>
        <w:t xml:space="preserve"> </w:t>
      </w:r>
      <w:hyperlink r:id="rId10" w:history="1">
        <w:r>
          <w:rPr>
            <w:rStyle w:val="Hyperlink"/>
            <w:rFonts w:ascii="Arial" w:hAnsi="Arial" w:cs="Arial"/>
            <w:color w:val="0000FF"/>
            <w:sz w:val="24"/>
            <w:szCs w:val="24"/>
          </w:rPr>
          <w:t>IHG: Our Brands Homepage</w:t>
        </w:r>
      </w:hyperlink>
      <w:r>
        <w:rPr>
          <w:rFonts w:ascii="Arial" w:hAnsi="Arial" w:cs="Arial"/>
          <w:sz w:val="24"/>
          <w:szCs w:val="24"/>
        </w:rPr>
        <w:t>. Accessed: 02 November 2023</w:t>
      </w:r>
    </w:p>
    <w:p w:rsidR="00C00BC2" w:rsidRDefault="00C00BC2" w:rsidP="00C00BC2">
      <w:pPr>
        <w:spacing w:line="360" w:lineRule="auto"/>
        <w:ind w:right="-90"/>
        <w:jc w:val="both"/>
        <w:rPr>
          <w:rFonts w:ascii="Arial" w:hAnsi="Arial" w:cs="Arial"/>
          <w:sz w:val="24"/>
          <w:szCs w:val="24"/>
        </w:rPr>
      </w:pPr>
      <w:r>
        <w:rPr>
          <w:rFonts w:ascii="Arial" w:hAnsi="Arial" w:cs="Arial"/>
          <w:sz w:val="24"/>
          <w:szCs w:val="24"/>
        </w:rPr>
        <w:t xml:space="preserve">IHG Careers. (2021). </w:t>
      </w:r>
      <w:r>
        <w:rPr>
          <w:rFonts w:ascii="Arial" w:hAnsi="Arial" w:cs="Arial"/>
          <w:i/>
          <w:iCs/>
          <w:sz w:val="24"/>
          <w:szCs w:val="24"/>
        </w:rPr>
        <w:t>Learning and Development.</w:t>
      </w:r>
      <w:r>
        <w:rPr>
          <w:rFonts w:ascii="Arial" w:hAnsi="Arial" w:cs="Arial"/>
          <w:sz w:val="24"/>
          <w:szCs w:val="24"/>
        </w:rPr>
        <w:t xml:space="preserve"> Available at: </w:t>
      </w:r>
      <w:hyperlink r:id="rId11" w:history="1">
        <w:r>
          <w:rPr>
            <w:rStyle w:val="Hyperlink"/>
            <w:rFonts w:ascii="Arial" w:hAnsi="Arial" w:cs="Arial"/>
            <w:color w:val="0000FF"/>
            <w:sz w:val="24"/>
            <w:szCs w:val="24"/>
          </w:rPr>
          <w:t>Development and Opportunity | Hotel Jobs &amp; Hospitality Careers (ihg.com)</w:t>
        </w:r>
      </w:hyperlink>
      <w:r>
        <w:rPr>
          <w:rStyle w:val="Hyperlink"/>
          <w:rFonts w:ascii="Arial" w:hAnsi="Arial" w:cs="Arial"/>
          <w:color w:val="0000FF"/>
          <w:sz w:val="24"/>
          <w:szCs w:val="24"/>
        </w:rPr>
        <w:t xml:space="preserve">. </w:t>
      </w:r>
      <w:r>
        <w:rPr>
          <w:rFonts w:ascii="Arial" w:hAnsi="Arial" w:cs="Arial"/>
          <w:sz w:val="24"/>
          <w:szCs w:val="24"/>
        </w:rPr>
        <w:t>Accessed: 02 November 2023</w:t>
      </w:r>
    </w:p>
    <w:p w:rsidR="00C00BC2" w:rsidRDefault="00C00BC2" w:rsidP="00C00BC2">
      <w:pPr>
        <w:spacing w:line="360" w:lineRule="auto"/>
        <w:ind w:right="-90"/>
        <w:jc w:val="both"/>
        <w:rPr>
          <w:rFonts w:ascii="Arial" w:hAnsi="Arial" w:cs="Arial"/>
          <w:sz w:val="24"/>
          <w:szCs w:val="24"/>
        </w:rPr>
      </w:pPr>
      <w:r>
        <w:rPr>
          <w:rFonts w:ascii="Arial" w:hAnsi="Arial" w:cs="Arial"/>
          <w:sz w:val="24"/>
          <w:szCs w:val="24"/>
        </w:rPr>
        <w:t xml:space="preserve">IHG Diversity and Inclusion. (2021). </w:t>
      </w:r>
      <w:r>
        <w:rPr>
          <w:rFonts w:ascii="Arial" w:hAnsi="Arial" w:cs="Arial"/>
          <w:i/>
          <w:iCs/>
          <w:sz w:val="24"/>
          <w:szCs w:val="24"/>
        </w:rPr>
        <w:t>Celebrating diversity and inclusion at IHG.</w:t>
      </w:r>
      <w:r>
        <w:rPr>
          <w:rFonts w:ascii="Arial" w:hAnsi="Arial" w:cs="Arial"/>
          <w:sz w:val="24"/>
          <w:szCs w:val="24"/>
        </w:rPr>
        <w:t xml:space="preserve"> Available at: </w:t>
      </w:r>
      <w:hyperlink r:id="rId12" w:history="1">
        <w:r>
          <w:rPr>
            <w:rStyle w:val="Hyperlink"/>
            <w:rFonts w:ascii="Arial" w:hAnsi="Arial" w:cs="Arial"/>
            <w:color w:val="0000FF"/>
            <w:sz w:val="24"/>
            <w:szCs w:val="24"/>
          </w:rPr>
          <w:t>240101725-IHG-AR_2020 (ihgplc.com)</w:t>
        </w:r>
      </w:hyperlink>
      <w:r>
        <w:rPr>
          <w:rStyle w:val="Hyperlink"/>
          <w:rFonts w:ascii="Arial" w:hAnsi="Arial" w:cs="Arial"/>
          <w:color w:val="0000FF"/>
          <w:sz w:val="24"/>
          <w:szCs w:val="24"/>
        </w:rPr>
        <w:t>.</w:t>
      </w:r>
      <w:r>
        <w:rPr>
          <w:rFonts w:ascii="Arial" w:hAnsi="Arial" w:cs="Arial"/>
          <w:sz w:val="24"/>
          <w:szCs w:val="24"/>
        </w:rPr>
        <w:t xml:space="preserve"> Accessed: 03 November 2023.</w:t>
      </w:r>
    </w:p>
    <w:p w:rsidR="00C00BC2" w:rsidRDefault="00C00BC2" w:rsidP="00C00BC2">
      <w:pPr>
        <w:spacing w:line="360" w:lineRule="auto"/>
        <w:ind w:right="-90"/>
        <w:jc w:val="both"/>
        <w:rPr>
          <w:rFonts w:ascii="Arial" w:hAnsi="Arial" w:cs="Arial"/>
          <w:sz w:val="24"/>
          <w:szCs w:val="24"/>
        </w:rPr>
      </w:pPr>
      <w:r>
        <w:rPr>
          <w:rFonts w:ascii="Arial" w:hAnsi="Arial" w:cs="Arial"/>
          <w:sz w:val="24"/>
          <w:szCs w:val="24"/>
        </w:rPr>
        <w:t>IHG Responsible Business Report. (2021).</w:t>
      </w:r>
      <w:r>
        <w:rPr>
          <w:rFonts w:ascii="Arial" w:hAnsi="Arial" w:cs="Arial"/>
          <w:i/>
          <w:iCs/>
          <w:sz w:val="24"/>
          <w:szCs w:val="24"/>
        </w:rPr>
        <w:t xml:space="preserve"> Putting our purpose into action</w:t>
      </w:r>
      <w:r>
        <w:rPr>
          <w:rFonts w:ascii="Arial" w:hAnsi="Arial" w:cs="Arial"/>
          <w:sz w:val="24"/>
          <w:szCs w:val="24"/>
        </w:rPr>
        <w:t>. Available at:</w:t>
      </w:r>
      <w:r>
        <w:rPr>
          <w:rFonts w:ascii="Arial" w:hAnsi="Arial" w:cs="Arial"/>
          <w:color w:val="050505"/>
          <w:sz w:val="24"/>
          <w:szCs w:val="24"/>
          <w:shd w:val="clear" w:color="auto" w:fill="F0F0F0"/>
        </w:rPr>
        <w:t xml:space="preserve"> </w:t>
      </w:r>
      <w:hyperlink r:id="rId13" w:history="1">
        <w:r>
          <w:rPr>
            <w:rStyle w:val="Hyperlink"/>
            <w:rFonts w:ascii="Arial" w:hAnsi="Arial" w:cs="Arial"/>
            <w:color w:val="0000FF"/>
            <w:sz w:val="24"/>
            <w:szCs w:val="24"/>
          </w:rPr>
          <w:t>Responsible Business - InterContinental Hotels Group PLC (ihgplc.com)</w:t>
        </w:r>
      </w:hyperlink>
      <w:r>
        <w:rPr>
          <w:rFonts w:ascii="Arial" w:hAnsi="Arial" w:cs="Arial"/>
          <w:sz w:val="24"/>
          <w:szCs w:val="24"/>
        </w:rPr>
        <w:t>. Accessed: 03 November 2023.</w:t>
      </w:r>
    </w:p>
    <w:p w:rsidR="00C00BC2" w:rsidRDefault="00C00BC2" w:rsidP="001567AA">
      <w:pPr>
        <w:spacing w:line="360" w:lineRule="auto"/>
        <w:jc w:val="both"/>
        <w:rPr>
          <w:rFonts w:ascii="Arial" w:hAnsi="Arial" w:cs="Arial"/>
          <w:sz w:val="24"/>
          <w:szCs w:val="24"/>
        </w:rPr>
      </w:pPr>
      <w:proofErr w:type="spellStart"/>
      <w:r>
        <w:rPr>
          <w:rFonts w:ascii="Arial" w:hAnsi="Arial" w:cs="Arial"/>
          <w:sz w:val="24"/>
          <w:szCs w:val="24"/>
        </w:rPr>
        <w:lastRenderedPageBreak/>
        <w:t>Kelliher</w:t>
      </w:r>
      <w:proofErr w:type="spellEnd"/>
      <w:r>
        <w:rPr>
          <w:rFonts w:ascii="Arial" w:hAnsi="Arial" w:cs="Arial"/>
          <w:sz w:val="24"/>
          <w:szCs w:val="24"/>
        </w:rPr>
        <w:t xml:space="preserve">, C., &amp; Anderson, D. (2010). </w:t>
      </w:r>
      <w:r>
        <w:rPr>
          <w:rFonts w:ascii="Arial" w:hAnsi="Arial" w:cs="Arial"/>
          <w:i/>
          <w:iCs/>
          <w:sz w:val="24"/>
          <w:szCs w:val="24"/>
        </w:rPr>
        <w:t>Doing More with Less? Flexible Working Practices and the Intensification of Work</w:t>
      </w:r>
      <w:r>
        <w:rPr>
          <w:rFonts w:ascii="Arial" w:hAnsi="Arial" w:cs="Arial"/>
          <w:sz w:val="24"/>
          <w:szCs w:val="24"/>
        </w:rPr>
        <w:t>. Human Relations</w:t>
      </w:r>
      <w:r w:rsidR="001567AA">
        <w:rPr>
          <w:rFonts w:ascii="Arial" w:hAnsi="Arial" w:cs="Arial"/>
          <w:sz w:val="24"/>
          <w:szCs w:val="24"/>
        </w:rPr>
        <w:t>.</w:t>
      </w:r>
    </w:p>
    <w:p w:rsidR="00C00BC2" w:rsidRDefault="00C00BC2" w:rsidP="00C00BC2">
      <w:pPr>
        <w:spacing w:line="360" w:lineRule="auto"/>
        <w:ind w:right="-90"/>
        <w:jc w:val="both"/>
        <w:rPr>
          <w:rFonts w:ascii="Arial" w:hAnsi="Arial" w:cs="Arial"/>
          <w:sz w:val="24"/>
          <w:szCs w:val="24"/>
        </w:rPr>
      </w:pPr>
      <w:proofErr w:type="spellStart"/>
      <w:r>
        <w:rPr>
          <w:rFonts w:ascii="Arial" w:hAnsi="Arial" w:cs="Arial"/>
          <w:sz w:val="24"/>
          <w:szCs w:val="24"/>
        </w:rPr>
        <w:t>Kudyba</w:t>
      </w:r>
      <w:proofErr w:type="spellEnd"/>
      <w:r>
        <w:rPr>
          <w:rFonts w:ascii="Arial" w:hAnsi="Arial" w:cs="Arial"/>
          <w:sz w:val="24"/>
          <w:szCs w:val="24"/>
        </w:rPr>
        <w:t xml:space="preserve">, S., &amp; </w:t>
      </w:r>
      <w:proofErr w:type="spellStart"/>
      <w:r>
        <w:rPr>
          <w:rFonts w:ascii="Arial" w:hAnsi="Arial" w:cs="Arial"/>
          <w:sz w:val="24"/>
          <w:szCs w:val="24"/>
        </w:rPr>
        <w:t>DiCerbo</w:t>
      </w:r>
      <w:proofErr w:type="spellEnd"/>
      <w:r>
        <w:rPr>
          <w:rFonts w:ascii="Arial" w:hAnsi="Arial" w:cs="Arial"/>
          <w:sz w:val="24"/>
          <w:szCs w:val="24"/>
        </w:rPr>
        <w:t xml:space="preserve">, K. (2016). </w:t>
      </w:r>
      <w:r>
        <w:rPr>
          <w:rFonts w:ascii="Arial" w:hAnsi="Arial" w:cs="Arial"/>
          <w:i/>
          <w:iCs/>
          <w:sz w:val="24"/>
          <w:szCs w:val="24"/>
        </w:rPr>
        <w:t>Data-driven HR: How analytics can help your business</w:t>
      </w:r>
      <w:r>
        <w:rPr>
          <w:rFonts w:ascii="Arial" w:hAnsi="Arial" w:cs="Arial"/>
          <w:sz w:val="24"/>
          <w:szCs w:val="24"/>
        </w:rPr>
        <w:t>. Pearson UK.</w:t>
      </w:r>
    </w:p>
    <w:p w:rsidR="00C00BC2" w:rsidRDefault="00C00BC2" w:rsidP="00C00BC2">
      <w:pPr>
        <w:spacing w:line="360" w:lineRule="auto"/>
        <w:ind w:right="-90"/>
        <w:jc w:val="both"/>
        <w:rPr>
          <w:rFonts w:ascii="Arial" w:hAnsi="Arial" w:cs="Arial"/>
          <w:sz w:val="24"/>
          <w:szCs w:val="24"/>
        </w:rPr>
      </w:pPr>
      <w:r>
        <w:rPr>
          <w:rFonts w:ascii="Arial" w:hAnsi="Arial" w:cs="Arial"/>
          <w:sz w:val="24"/>
          <w:szCs w:val="24"/>
        </w:rPr>
        <w:t xml:space="preserve">Li, X., &amp; Chan, H. C. (2017). </w:t>
      </w:r>
      <w:proofErr w:type="spellStart"/>
      <w:r>
        <w:rPr>
          <w:rFonts w:ascii="Arial" w:hAnsi="Arial" w:cs="Arial"/>
          <w:i/>
          <w:iCs/>
          <w:sz w:val="24"/>
          <w:szCs w:val="24"/>
        </w:rPr>
        <w:t>Chatbot</w:t>
      </w:r>
      <w:proofErr w:type="spellEnd"/>
      <w:r>
        <w:rPr>
          <w:rFonts w:ascii="Arial" w:hAnsi="Arial" w:cs="Arial"/>
          <w:i/>
          <w:iCs/>
          <w:sz w:val="24"/>
          <w:szCs w:val="24"/>
        </w:rPr>
        <w:t>-aided learning (</w:t>
      </w:r>
      <w:proofErr w:type="spellStart"/>
      <w:r>
        <w:rPr>
          <w:rFonts w:ascii="Arial" w:hAnsi="Arial" w:cs="Arial"/>
          <w:i/>
          <w:iCs/>
          <w:sz w:val="24"/>
          <w:szCs w:val="24"/>
        </w:rPr>
        <w:t>ChatAL</w:t>
      </w:r>
      <w:proofErr w:type="spellEnd"/>
      <w:r>
        <w:rPr>
          <w:rFonts w:ascii="Arial" w:hAnsi="Arial" w:cs="Arial"/>
          <w:i/>
          <w:iCs/>
          <w:sz w:val="24"/>
          <w:szCs w:val="24"/>
        </w:rPr>
        <w:t xml:space="preserve">): A new e-learning service paradigm. </w:t>
      </w:r>
      <w:r>
        <w:rPr>
          <w:rFonts w:ascii="Arial" w:hAnsi="Arial" w:cs="Arial"/>
          <w:sz w:val="24"/>
          <w:szCs w:val="24"/>
        </w:rPr>
        <w:t>Educational Technology Research and Development.</w:t>
      </w:r>
    </w:p>
    <w:p w:rsidR="00C00BC2" w:rsidRDefault="00C00BC2" w:rsidP="00C00BC2">
      <w:pPr>
        <w:spacing w:line="360" w:lineRule="auto"/>
        <w:ind w:right="-90"/>
        <w:jc w:val="both"/>
        <w:rPr>
          <w:rFonts w:ascii="Arial" w:hAnsi="Arial" w:cs="Arial"/>
          <w:sz w:val="24"/>
          <w:szCs w:val="24"/>
        </w:rPr>
      </w:pPr>
      <w:r>
        <w:rPr>
          <w:rFonts w:ascii="Arial" w:hAnsi="Arial" w:cs="Arial"/>
          <w:sz w:val="24"/>
          <w:szCs w:val="24"/>
        </w:rPr>
        <w:t>Miller, S., H. (2014). </w:t>
      </w:r>
      <w:r>
        <w:rPr>
          <w:rFonts w:ascii="Arial" w:hAnsi="Arial" w:cs="Arial"/>
          <w:i/>
          <w:iCs/>
          <w:sz w:val="24"/>
          <w:szCs w:val="24"/>
        </w:rPr>
        <w:t>The 10 Best Practices for Enhanced Employee Engagement</w:t>
      </w:r>
      <w:r>
        <w:rPr>
          <w:rFonts w:ascii="Arial" w:hAnsi="Arial" w:cs="Arial"/>
          <w:sz w:val="24"/>
          <w:szCs w:val="24"/>
        </w:rPr>
        <w:t>. Henry Miller Group.</w:t>
      </w:r>
    </w:p>
    <w:p w:rsidR="00C00BC2" w:rsidRDefault="00C00BC2" w:rsidP="00C00BC2">
      <w:pPr>
        <w:shd w:val="clear" w:color="auto" w:fill="FFFFFF"/>
        <w:spacing w:line="360" w:lineRule="auto"/>
        <w:jc w:val="both"/>
        <w:rPr>
          <w:rFonts w:ascii="Arial" w:hAnsi="Arial" w:cs="Arial"/>
          <w:sz w:val="24"/>
          <w:szCs w:val="24"/>
        </w:rPr>
      </w:pPr>
      <w:proofErr w:type="spellStart"/>
      <w:r>
        <w:rPr>
          <w:rFonts w:ascii="Arial" w:hAnsi="Arial" w:cs="Arial"/>
          <w:sz w:val="24"/>
          <w:szCs w:val="24"/>
        </w:rPr>
        <w:t>Naman</w:t>
      </w:r>
      <w:proofErr w:type="spellEnd"/>
      <w:r>
        <w:rPr>
          <w:rFonts w:ascii="Arial" w:hAnsi="Arial" w:cs="Arial"/>
          <w:sz w:val="24"/>
          <w:szCs w:val="24"/>
        </w:rPr>
        <w:t xml:space="preserve"> Sharma, Narendra Chaudhary, and Vinod Kumar Singh. (2019) </w:t>
      </w:r>
      <w:r>
        <w:rPr>
          <w:rFonts w:ascii="Arial" w:hAnsi="Arial" w:cs="Arial"/>
          <w:i/>
          <w:iCs/>
          <w:sz w:val="24"/>
          <w:szCs w:val="24"/>
        </w:rPr>
        <w:t>Management techniques for employee engagement in contemporary organizations</w:t>
      </w:r>
      <w:r>
        <w:rPr>
          <w:rFonts w:ascii="Arial" w:hAnsi="Arial" w:cs="Arial"/>
          <w:sz w:val="24"/>
          <w:szCs w:val="24"/>
        </w:rPr>
        <w:t>. IGI Global.</w:t>
      </w:r>
    </w:p>
    <w:p w:rsidR="00C00BC2" w:rsidRDefault="00C00BC2" w:rsidP="00C00BC2">
      <w:pPr>
        <w:spacing w:line="360" w:lineRule="auto"/>
        <w:ind w:right="-90"/>
        <w:jc w:val="both"/>
        <w:rPr>
          <w:rFonts w:ascii="Arial" w:hAnsi="Arial" w:cs="Arial"/>
          <w:sz w:val="24"/>
          <w:szCs w:val="24"/>
        </w:rPr>
      </w:pPr>
      <w:r>
        <w:rPr>
          <w:rFonts w:ascii="Arial" w:hAnsi="Arial" w:cs="Arial"/>
          <w:sz w:val="24"/>
          <w:szCs w:val="24"/>
        </w:rPr>
        <w:t xml:space="preserve">Roberson, Q. M., Collins, C. J., &amp; </w:t>
      </w:r>
      <w:proofErr w:type="spellStart"/>
      <w:r>
        <w:rPr>
          <w:rFonts w:ascii="Arial" w:hAnsi="Arial" w:cs="Arial"/>
          <w:sz w:val="24"/>
          <w:szCs w:val="24"/>
        </w:rPr>
        <w:t>Oreg</w:t>
      </w:r>
      <w:proofErr w:type="spellEnd"/>
      <w:r>
        <w:rPr>
          <w:rFonts w:ascii="Arial" w:hAnsi="Arial" w:cs="Arial"/>
          <w:sz w:val="24"/>
          <w:szCs w:val="24"/>
        </w:rPr>
        <w:t xml:space="preserve">, S. (2017). </w:t>
      </w:r>
      <w:r>
        <w:rPr>
          <w:rFonts w:ascii="Arial" w:hAnsi="Arial" w:cs="Arial"/>
          <w:i/>
          <w:iCs/>
          <w:sz w:val="24"/>
          <w:szCs w:val="24"/>
        </w:rPr>
        <w:t xml:space="preserve">The Relationship </w:t>
      </w:r>
      <w:proofErr w:type="gramStart"/>
      <w:r>
        <w:rPr>
          <w:rFonts w:ascii="Arial" w:hAnsi="Arial" w:cs="Arial"/>
          <w:i/>
          <w:iCs/>
          <w:sz w:val="24"/>
          <w:szCs w:val="24"/>
        </w:rPr>
        <w:t>Between</w:t>
      </w:r>
      <w:proofErr w:type="gramEnd"/>
      <w:r>
        <w:rPr>
          <w:rFonts w:ascii="Arial" w:hAnsi="Arial" w:cs="Arial"/>
          <w:i/>
          <w:iCs/>
          <w:sz w:val="24"/>
          <w:szCs w:val="24"/>
        </w:rPr>
        <w:t xml:space="preserve"> Recruitment and Retention for Diversity. </w:t>
      </w:r>
      <w:r>
        <w:rPr>
          <w:rFonts w:ascii="Arial" w:hAnsi="Arial" w:cs="Arial"/>
          <w:sz w:val="24"/>
          <w:szCs w:val="24"/>
        </w:rPr>
        <w:t>Organizational Psychology Review.</w:t>
      </w:r>
      <w:r>
        <w:rPr>
          <w:rFonts w:ascii="Times New Roman" w:eastAsia="Times New Roman" w:hAnsi="Times New Roman" w:cs="Times New Roman"/>
          <w:color w:val="333333"/>
          <w:kern w:val="0"/>
          <w:sz w:val="21"/>
          <w:szCs w:val="21"/>
          <w14:ligatures w14:val="none"/>
        </w:rPr>
        <w:br/>
      </w:r>
      <w:proofErr w:type="spellStart"/>
      <w:r>
        <w:rPr>
          <w:rFonts w:ascii="Arial" w:hAnsi="Arial" w:cs="Arial"/>
          <w:sz w:val="24"/>
          <w:szCs w:val="24"/>
        </w:rPr>
        <w:t>Siddhanta</w:t>
      </w:r>
      <w:proofErr w:type="spellEnd"/>
      <w:r>
        <w:rPr>
          <w:rFonts w:ascii="Arial" w:hAnsi="Arial" w:cs="Arial"/>
          <w:sz w:val="24"/>
          <w:szCs w:val="24"/>
        </w:rPr>
        <w:t xml:space="preserve">, A. &amp; Roy, D. (2010). </w:t>
      </w:r>
      <w:r>
        <w:rPr>
          <w:rFonts w:ascii="Arial" w:hAnsi="Arial" w:cs="Arial"/>
          <w:i/>
          <w:iCs/>
          <w:sz w:val="24"/>
          <w:szCs w:val="24"/>
        </w:rPr>
        <w:t>Employee engagement engaging the 21st century workforce. </w:t>
      </w:r>
      <w:r>
        <w:rPr>
          <w:rFonts w:ascii="Arial" w:hAnsi="Arial" w:cs="Arial"/>
          <w:sz w:val="24"/>
          <w:szCs w:val="24"/>
        </w:rPr>
        <w:t>Asian Journal of Management Research, 1-20.</w:t>
      </w:r>
    </w:p>
    <w:p w:rsidR="00C00BC2" w:rsidRDefault="00C00BC2" w:rsidP="00C00BC2">
      <w:pPr>
        <w:spacing w:line="360" w:lineRule="auto"/>
        <w:jc w:val="both"/>
        <w:rPr>
          <w:rFonts w:ascii="Arial" w:hAnsi="Arial" w:cs="Arial"/>
          <w:sz w:val="24"/>
          <w:szCs w:val="24"/>
        </w:rPr>
      </w:pPr>
    </w:p>
    <w:p w:rsidR="00C00BC2" w:rsidRDefault="00C00BC2" w:rsidP="00C00BC2">
      <w:pPr>
        <w:pStyle w:val="ListParagraph"/>
        <w:spacing w:line="360" w:lineRule="auto"/>
        <w:ind w:left="0" w:right="-90" w:firstLine="720"/>
        <w:jc w:val="both"/>
        <w:rPr>
          <w:rFonts w:ascii="Arial" w:hAnsi="Arial" w:cs="Arial"/>
          <w:sz w:val="24"/>
          <w:szCs w:val="24"/>
        </w:rPr>
      </w:pPr>
    </w:p>
    <w:p w:rsidR="00C00BC2" w:rsidRDefault="00C00BC2" w:rsidP="00C00BC2">
      <w:pPr>
        <w:spacing w:line="360" w:lineRule="auto"/>
        <w:ind w:left="-360" w:right="-720"/>
        <w:rPr>
          <w:rFonts w:ascii="Arial" w:hAnsi="Arial" w:cs="Arial"/>
          <w:sz w:val="32"/>
          <w:szCs w:val="32"/>
        </w:rPr>
      </w:pPr>
    </w:p>
    <w:p w:rsidR="00FD7F9A" w:rsidRPr="00C00BC2" w:rsidRDefault="00FD7F9A">
      <w:pPr>
        <w:rPr>
          <w:b/>
        </w:rPr>
      </w:pPr>
    </w:p>
    <w:sectPr w:rsidR="00FD7F9A" w:rsidRPr="00C00BC2" w:rsidSect="00B35162">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7B42" w:rsidRDefault="00827B42" w:rsidP="00B35162">
      <w:pPr>
        <w:spacing w:after="0" w:line="240" w:lineRule="auto"/>
      </w:pPr>
      <w:r>
        <w:separator/>
      </w:r>
    </w:p>
  </w:endnote>
  <w:endnote w:type="continuationSeparator" w:id="0">
    <w:p w:rsidR="00827B42" w:rsidRDefault="00827B42" w:rsidP="00B351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Roboto">
    <w:altName w:val="Times New Roman"/>
    <w:charset w:val="00"/>
    <w:family w:val="auto"/>
    <w:pitch w:val="variable"/>
    <w:sig w:usb0="00000001"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1385510"/>
      <w:docPartObj>
        <w:docPartGallery w:val="Page Numbers (Bottom of Page)"/>
        <w:docPartUnique/>
      </w:docPartObj>
    </w:sdtPr>
    <w:sdtEndPr>
      <w:rPr>
        <w:noProof/>
      </w:rPr>
    </w:sdtEndPr>
    <w:sdtContent>
      <w:p w:rsidR="00B35162" w:rsidRDefault="00B35162">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rsidR="00B35162" w:rsidRDefault="00B351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7B42" w:rsidRDefault="00827B42" w:rsidP="00B35162">
      <w:pPr>
        <w:spacing w:after="0" w:line="240" w:lineRule="auto"/>
      </w:pPr>
      <w:r>
        <w:separator/>
      </w:r>
    </w:p>
  </w:footnote>
  <w:footnote w:type="continuationSeparator" w:id="0">
    <w:p w:rsidR="00827B42" w:rsidRDefault="00827B42" w:rsidP="00B351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F713EF"/>
    <w:multiLevelType w:val="multilevel"/>
    <w:tmpl w:val="DBB2DBB0"/>
    <w:lvl w:ilvl="0">
      <w:start w:val="2"/>
      <w:numFmt w:val="decimal"/>
      <w:lvlText w:val="%1"/>
      <w:lvlJc w:val="left"/>
      <w:pPr>
        <w:ind w:left="360" w:hanging="360"/>
      </w:pPr>
    </w:lvl>
    <w:lvl w:ilvl="1">
      <w:start w:val="5"/>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560" w:hanging="1800"/>
      </w:pPr>
    </w:lvl>
  </w:abstractNum>
  <w:abstractNum w:abstractNumId="1" w15:restartNumberingAfterBreak="0">
    <w:nsid w:val="2AC03C6D"/>
    <w:multiLevelType w:val="multilevel"/>
    <w:tmpl w:val="45901572"/>
    <w:lvl w:ilvl="0">
      <w:start w:val="1"/>
      <w:numFmt w:val="decimal"/>
      <w:lvlText w:val="%1."/>
      <w:lvlJc w:val="left"/>
      <w:pPr>
        <w:ind w:left="1260" w:hanging="360"/>
      </w:pPr>
      <w:rPr>
        <w:rFonts w:ascii="Arial" w:eastAsiaTheme="minorHAnsi" w:hAnsi="Arial" w:cs="Arial"/>
      </w:rPr>
    </w:lvl>
    <w:lvl w:ilvl="1">
      <w:start w:val="1"/>
      <w:numFmt w:val="decimal"/>
      <w:isLgl/>
      <w:lvlText w:val="%1.%2"/>
      <w:lvlJc w:val="left"/>
      <w:pPr>
        <w:ind w:left="1644" w:hanging="384"/>
      </w:pPr>
    </w:lvl>
    <w:lvl w:ilvl="2">
      <w:start w:val="1"/>
      <w:numFmt w:val="decimal"/>
      <w:isLgl/>
      <w:lvlText w:val="%1.%2.%3"/>
      <w:lvlJc w:val="left"/>
      <w:pPr>
        <w:ind w:left="2340" w:hanging="720"/>
      </w:pPr>
    </w:lvl>
    <w:lvl w:ilvl="3">
      <w:start w:val="1"/>
      <w:numFmt w:val="decimal"/>
      <w:isLgl/>
      <w:lvlText w:val="%1.%2.%3.%4"/>
      <w:lvlJc w:val="left"/>
      <w:pPr>
        <w:ind w:left="3060" w:hanging="1080"/>
      </w:pPr>
    </w:lvl>
    <w:lvl w:ilvl="4">
      <w:start w:val="1"/>
      <w:numFmt w:val="decimal"/>
      <w:isLgl/>
      <w:lvlText w:val="%1.%2.%3.%4.%5"/>
      <w:lvlJc w:val="left"/>
      <w:pPr>
        <w:ind w:left="3420" w:hanging="1080"/>
      </w:pPr>
    </w:lvl>
    <w:lvl w:ilvl="5">
      <w:start w:val="1"/>
      <w:numFmt w:val="decimal"/>
      <w:isLgl/>
      <w:lvlText w:val="%1.%2.%3.%4.%5.%6"/>
      <w:lvlJc w:val="left"/>
      <w:pPr>
        <w:ind w:left="4140" w:hanging="1440"/>
      </w:pPr>
    </w:lvl>
    <w:lvl w:ilvl="6">
      <w:start w:val="1"/>
      <w:numFmt w:val="decimal"/>
      <w:isLgl/>
      <w:lvlText w:val="%1.%2.%3.%4.%5.%6.%7"/>
      <w:lvlJc w:val="left"/>
      <w:pPr>
        <w:ind w:left="4500" w:hanging="1440"/>
      </w:pPr>
    </w:lvl>
    <w:lvl w:ilvl="7">
      <w:start w:val="1"/>
      <w:numFmt w:val="decimal"/>
      <w:isLgl/>
      <w:lvlText w:val="%1.%2.%3.%4.%5.%6.%7.%8"/>
      <w:lvlJc w:val="left"/>
      <w:pPr>
        <w:ind w:left="5220" w:hanging="1800"/>
      </w:pPr>
    </w:lvl>
    <w:lvl w:ilvl="8">
      <w:start w:val="1"/>
      <w:numFmt w:val="decimal"/>
      <w:isLgl/>
      <w:lvlText w:val="%1.%2.%3.%4.%5.%6.%7.%8.%9"/>
      <w:lvlJc w:val="left"/>
      <w:pPr>
        <w:ind w:left="5580" w:hanging="1800"/>
      </w:pPr>
    </w:lvl>
  </w:abstractNum>
  <w:abstractNum w:abstractNumId="2" w15:restartNumberingAfterBreak="0">
    <w:nsid w:val="58F15081"/>
    <w:multiLevelType w:val="hybridMultilevel"/>
    <w:tmpl w:val="331CFF60"/>
    <w:lvl w:ilvl="0" w:tplc="0409000F">
      <w:start w:val="3"/>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5C8F2233"/>
    <w:multiLevelType w:val="hybridMultilevel"/>
    <w:tmpl w:val="FAE0F7D8"/>
    <w:lvl w:ilvl="0" w:tplc="0409000D">
      <w:start w:val="1"/>
      <w:numFmt w:val="bullet"/>
      <w:lvlText w:val=""/>
      <w:lvlJc w:val="left"/>
      <w:pPr>
        <w:ind w:left="1500" w:hanging="360"/>
      </w:pPr>
      <w:rPr>
        <w:rFonts w:ascii="Wingdings" w:hAnsi="Wingdings" w:hint="default"/>
      </w:rPr>
    </w:lvl>
    <w:lvl w:ilvl="1" w:tplc="04090003">
      <w:start w:val="1"/>
      <w:numFmt w:val="bullet"/>
      <w:lvlText w:val="o"/>
      <w:lvlJc w:val="left"/>
      <w:pPr>
        <w:ind w:left="2220" w:hanging="360"/>
      </w:pPr>
      <w:rPr>
        <w:rFonts w:ascii="Courier New" w:hAnsi="Courier New" w:cs="Courier New" w:hint="default"/>
      </w:rPr>
    </w:lvl>
    <w:lvl w:ilvl="2" w:tplc="04090005">
      <w:start w:val="1"/>
      <w:numFmt w:val="bullet"/>
      <w:lvlText w:val=""/>
      <w:lvlJc w:val="left"/>
      <w:pPr>
        <w:ind w:left="2940" w:hanging="360"/>
      </w:pPr>
      <w:rPr>
        <w:rFonts w:ascii="Wingdings" w:hAnsi="Wingdings" w:hint="default"/>
      </w:rPr>
    </w:lvl>
    <w:lvl w:ilvl="3" w:tplc="04090001">
      <w:start w:val="1"/>
      <w:numFmt w:val="bullet"/>
      <w:lvlText w:val=""/>
      <w:lvlJc w:val="left"/>
      <w:pPr>
        <w:ind w:left="3660" w:hanging="360"/>
      </w:pPr>
      <w:rPr>
        <w:rFonts w:ascii="Symbol" w:hAnsi="Symbol" w:hint="default"/>
      </w:rPr>
    </w:lvl>
    <w:lvl w:ilvl="4" w:tplc="04090003">
      <w:start w:val="1"/>
      <w:numFmt w:val="bullet"/>
      <w:lvlText w:val="o"/>
      <w:lvlJc w:val="left"/>
      <w:pPr>
        <w:ind w:left="4380" w:hanging="360"/>
      </w:pPr>
      <w:rPr>
        <w:rFonts w:ascii="Courier New" w:hAnsi="Courier New" w:cs="Courier New" w:hint="default"/>
      </w:rPr>
    </w:lvl>
    <w:lvl w:ilvl="5" w:tplc="04090005">
      <w:start w:val="1"/>
      <w:numFmt w:val="bullet"/>
      <w:lvlText w:val=""/>
      <w:lvlJc w:val="left"/>
      <w:pPr>
        <w:ind w:left="5100" w:hanging="360"/>
      </w:pPr>
      <w:rPr>
        <w:rFonts w:ascii="Wingdings" w:hAnsi="Wingdings" w:hint="default"/>
      </w:rPr>
    </w:lvl>
    <w:lvl w:ilvl="6" w:tplc="04090001">
      <w:start w:val="1"/>
      <w:numFmt w:val="bullet"/>
      <w:lvlText w:val=""/>
      <w:lvlJc w:val="left"/>
      <w:pPr>
        <w:ind w:left="5820" w:hanging="360"/>
      </w:pPr>
      <w:rPr>
        <w:rFonts w:ascii="Symbol" w:hAnsi="Symbol" w:hint="default"/>
      </w:rPr>
    </w:lvl>
    <w:lvl w:ilvl="7" w:tplc="04090003">
      <w:start w:val="1"/>
      <w:numFmt w:val="bullet"/>
      <w:lvlText w:val="o"/>
      <w:lvlJc w:val="left"/>
      <w:pPr>
        <w:ind w:left="6540" w:hanging="360"/>
      </w:pPr>
      <w:rPr>
        <w:rFonts w:ascii="Courier New" w:hAnsi="Courier New" w:cs="Courier New" w:hint="default"/>
      </w:rPr>
    </w:lvl>
    <w:lvl w:ilvl="8" w:tplc="04090005">
      <w:start w:val="1"/>
      <w:numFmt w:val="bullet"/>
      <w:lvlText w:val=""/>
      <w:lvlJc w:val="left"/>
      <w:pPr>
        <w:ind w:left="7260" w:hanging="360"/>
      </w:pPr>
      <w:rPr>
        <w:rFonts w:ascii="Wingdings" w:hAnsi="Wingdings" w:hint="default"/>
      </w:rPr>
    </w:lvl>
  </w:abstractNum>
  <w:abstractNum w:abstractNumId="4" w15:restartNumberingAfterBreak="0">
    <w:nsid w:val="63946143"/>
    <w:multiLevelType w:val="hybridMultilevel"/>
    <w:tmpl w:val="94C007C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3"/>
  </w:num>
  <w:num w:numId="4">
    <w:abstractNumId w:val="0"/>
    <w:lvlOverride w:ilvl="0">
      <w:startOverride w:val="2"/>
    </w:lvlOverride>
    <w:lvlOverride w:ilvl="1">
      <w:startOverride w:val="5"/>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56D6"/>
    <w:rsid w:val="001567AA"/>
    <w:rsid w:val="007B56D6"/>
    <w:rsid w:val="00827B42"/>
    <w:rsid w:val="00B35162"/>
    <w:rsid w:val="00C00BC2"/>
    <w:rsid w:val="00FD7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101097F-BE95-42A1-8535-5B4D235DE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0BC2"/>
    <w:pPr>
      <w:spacing w:line="256" w:lineRule="auto"/>
    </w:pPr>
    <w:rPr>
      <w:kern w:val="2"/>
      <w:lang w:val="en-US"/>
      <w14:ligatures w14:val="standardContextual"/>
    </w:rPr>
  </w:style>
  <w:style w:type="paragraph" w:styleId="Heading1">
    <w:name w:val="heading 1"/>
    <w:basedOn w:val="Normal"/>
    <w:next w:val="Normal"/>
    <w:link w:val="Heading1Char"/>
    <w:uiPriority w:val="9"/>
    <w:qFormat/>
    <w:rsid w:val="00C00B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0BC2"/>
    <w:pPr>
      <w:ind w:left="720"/>
      <w:contextualSpacing/>
    </w:pPr>
  </w:style>
  <w:style w:type="character" w:customStyle="1" w:styleId="Heading1Char">
    <w:name w:val="Heading 1 Char"/>
    <w:basedOn w:val="DefaultParagraphFont"/>
    <w:link w:val="Heading1"/>
    <w:uiPriority w:val="9"/>
    <w:rsid w:val="00C00BC2"/>
    <w:rPr>
      <w:rFonts w:asciiTheme="majorHAnsi" w:eastAsiaTheme="majorEastAsia" w:hAnsiTheme="majorHAnsi" w:cstheme="majorBidi"/>
      <w:color w:val="2E74B5" w:themeColor="accent1" w:themeShade="BF"/>
      <w:kern w:val="2"/>
      <w:sz w:val="32"/>
      <w:szCs w:val="32"/>
      <w:lang w:val="en-US"/>
      <w14:ligatures w14:val="standardContextual"/>
    </w:rPr>
  </w:style>
  <w:style w:type="paragraph" w:styleId="TOCHeading">
    <w:name w:val="TOC Heading"/>
    <w:basedOn w:val="Heading1"/>
    <w:next w:val="Normal"/>
    <w:uiPriority w:val="39"/>
    <w:semiHidden/>
    <w:unhideWhenUsed/>
    <w:qFormat/>
    <w:rsid w:val="00C00BC2"/>
    <w:pPr>
      <w:outlineLvl w:val="9"/>
    </w:pPr>
    <w:rPr>
      <w:kern w:val="0"/>
      <w14:ligatures w14:val="none"/>
    </w:rPr>
  </w:style>
  <w:style w:type="table" w:styleId="TableGrid">
    <w:name w:val="Table Grid"/>
    <w:basedOn w:val="TableNormal"/>
    <w:uiPriority w:val="39"/>
    <w:rsid w:val="00C00BC2"/>
    <w:pPr>
      <w:spacing w:after="0" w:line="240" w:lineRule="auto"/>
    </w:pPr>
    <w:rPr>
      <w:kern w:val="2"/>
      <w:lang w:val="en-US"/>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C00BC2"/>
    <w:rPr>
      <w:color w:val="0563C1" w:themeColor="hyperlink"/>
      <w:u w:val="single"/>
    </w:rPr>
  </w:style>
  <w:style w:type="paragraph" w:styleId="Header">
    <w:name w:val="header"/>
    <w:basedOn w:val="Normal"/>
    <w:link w:val="HeaderChar"/>
    <w:uiPriority w:val="99"/>
    <w:unhideWhenUsed/>
    <w:rsid w:val="00B351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162"/>
    <w:rPr>
      <w:kern w:val="2"/>
      <w:lang w:val="en-US"/>
      <w14:ligatures w14:val="standardContextual"/>
    </w:rPr>
  </w:style>
  <w:style w:type="paragraph" w:styleId="Footer">
    <w:name w:val="footer"/>
    <w:basedOn w:val="Normal"/>
    <w:link w:val="FooterChar"/>
    <w:uiPriority w:val="99"/>
    <w:unhideWhenUsed/>
    <w:rsid w:val="00B351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162"/>
    <w:rPr>
      <w:kern w:val="2"/>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06215">
      <w:bodyDiv w:val="1"/>
      <w:marLeft w:val="0"/>
      <w:marRight w:val="0"/>
      <w:marTop w:val="0"/>
      <w:marBottom w:val="0"/>
      <w:divBdr>
        <w:top w:val="none" w:sz="0" w:space="0" w:color="auto"/>
        <w:left w:val="none" w:sz="0" w:space="0" w:color="auto"/>
        <w:bottom w:val="none" w:sz="0" w:space="0" w:color="auto"/>
        <w:right w:val="none" w:sz="0" w:space="0" w:color="auto"/>
      </w:divBdr>
    </w:div>
    <w:div w:id="29886803">
      <w:bodyDiv w:val="1"/>
      <w:marLeft w:val="0"/>
      <w:marRight w:val="0"/>
      <w:marTop w:val="0"/>
      <w:marBottom w:val="0"/>
      <w:divBdr>
        <w:top w:val="none" w:sz="0" w:space="0" w:color="auto"/>
        <w:left w:val="none" w:sz="0" w:space="0" w:color="auto"/>
        <w:bottom w:val="none" w:sz="0" w:space="0" w:color="auto"/>
        <w:right w:val="none" w:sz="0" w:space="0" w:color="auto"/>
      </w:divBdr>
    </w:div>
    <w:div w:id="219485499">
      <w:bodyDiv w:val="1"/>
      <w:marLeft w:val="0"/>
      <w:marRight w:val="0"/>
      <w:marTop w:val="0"/>
      <w:marBottom w:val="0"/>
      <w:divBdr>
        <w:top w:val="none" w:sz="0" w:space="0" w:color="auto"/>
        <w:left w:val="none" w:sz="0" w:space="0" w:color="auto"/>
        <w:bottom w:val="none" w:sz="0" w:space="0" w:color="auto"/>
        <w:right w:val="none" w:sz="0" w:space="0" w:color="auto"/>
      </w:divBdr>
    </w:div>
    <w:div w:id="255788180">
      <w:bodyDiv w:val="1"/>
      <w:marLeft w:val="0"/>
      <w:marRight w:val="0"/>
      <w:marTop w:val="0"/>
      <w:marBottom w:val="0"/>
      <w:divBdr>
        <w:top w:val="none" w:sz="0" w:space="0" w:color="auto"/>
        <w:left w:val="none" w:sz="0" w:space="0" w:color="auto"/>
        <w:bottom w:val="none" w:sz="0" w:space="0" w:color="auto"/>
        <w:right w:val="none" w:sz="0" w:space="0" w:color="auto"/>
      </w:divBdr>
    </w:div>
    <w:div w:id="336929771">
      <w:bodyDiv w:val="1"/>
      <w:marLeft w:val="0"/>
      <w:marRight w:val="0"/>
      <w:marTop w:val="0"/>
      <w:marBottom w:val="0"/>
      <w:divBdr>
        <w:top w:val="none" w:sz="0" w:space="0" w:color="auto"/>
        <w:left w:val="none" w:sz="0" w:space="0" w:color="auto"/>
        <w:bottom w:val="none" w:sz="0" w:space="0" w:color="auto"/>
        <w:right w:val="none" w:sz="0" w:space="0" w:color="auto"/>
      </w:divBdr>
    </w:div>
    <w:div w:id="444008078">
      <w:bodyDiv w:val="1"/>
      <w:marLeft w:val="0"/>
      <w:marRight w:val="0"/>
      <w:marTop w:val="0"/>
      <w:marBottom w:val="0"/>
      <w:divBdr>
        <w:top w:val="none" w:sz="0" w:space="0" w:color="auto"/>
        <w:left w:val="none" w:sz="0" w:space="0" w:color="auto"/>
        <w:bottom w:val="none" w:sz="0" w:space="0" w:color="auto"/>
        <w:right w:val="none" w:sz="0" w:space="0" w:color="auto"/>
      </w:divBdr>
    </w:div>
    <w:div w:id="602104197">
      <w:bodyDiv w:val="1"/>
      <w:marLeft w:val="0"/>
      <w:marRight w:val="0"/>
      <w:marTop w:val="0"/>
      <w:marBottom w:val="0"/>
      <w:divBdr>
        <w:top w:val="none" w:sz="0" w:space="0" w:color="auto"/>
        <w:left w:val="none" w:sz="0" w:space="0" w:color="auto"/>
        <w:bottom w:val="none" w:sz="0" w:space="0" w:color="auto"/>
        <w:right w:val="none" w:sz="0" w:space="0" w:color="auto"/>
      </w:divBdr>
    </w:div>
    <w:div w:id="714894947">
      <w:bodyDiv w:val="1"/>
      <w:marLeft w:val="0"/>
      <w:marRight w:val="0"/>
      <w:marTop w:val="0"/>
      <w:marBottom w:val="0"/>
      <w:divBdr>
        <w:top w:val="none" w:sz="0" w:space="0" w:color="auto"/>
        <w:left w:val="none" w:sz="0" w:space="0" w:color="auto"/>
        <w:bottom w:val="none" w:sz="0" w:space="0" w:color="auto"/>
        <w:right w:val="none" w:sz="0" w:space="0" w:color="auto"/>
      </w:divBdr>
    </w:div>
    <w:div w:id="715392257">
      <w:bodyDiv w:val="1"/>
      <w:marLeft w:val="0"/>
      <w:marRight w:val="0"/>
      <w:marTop w:val="0"/>
      <w:marBottom w:val="0"/>
      <w:divBdr>
        <w:top w:val="none" w:sz="0" w:space="0" w:color="auto"/>
        <w:left w:val="none" w:sz="0" w:space="0" w:color="auto"/>
        <w:bottom w:val="none" w:sz="0" w:space="0" w:color="auto"/>
        <w:right w:val="none" w:sz="0" w:space="0" w:color="auto"/>
      </w:divBdr>
    </w:div>
    <w:div w:id="785386644">
      <w:bodyDiv w:val="1"/>
      <w:marLeft w:val="0"/>
      <w:marRight w:val="0"/>
      <w:marTop w:val="0"/>
      <w:marBottom w:val="0"/>
      <w:divBdr>
        <w:top w:val="none" w:sz="0" w:space="0" w:color="auto"/>
        <w:left w:val="none" w:sz="0" w:space="0" w:color="auto"/>
        <w:bottom w:val="none" w:sz="0" w:space="0" w:color="auto"/>
        <w:right w:val="none" w:sz="0" w:space="0" w:color="auto"/>
      </w:divBdr>
    </w:div>
    <w:div w:id="1006398629">
      <w:bodyDiv w:val="1"/>
      <w:marLeft w:val="0"/>
      <w:marRight w:val="0"/>
      <w:marTop w:val="0"/>
      <w:marBottom w:val="0"/>
      <w:divBdr>
        <w:top w:val="none" w:sz="0" w:space="0" w:color="auto"/>
        <w:left w:val="none" w:sz="0" w:space="0" w:color="auto"/>
        <w:bottom w:val="none" w:sz="0" w:space="0" w:color="auto"/>
        <w:right w:val="none" w:sz="0" w:space="0" w:color="auto"/>
      </w:divBdr>
    </w:div>
    <w:div w:id="1348865301">
      <w:bodyDiv w:val="1"/>
      <w:marLeft w:val="0"/>
      <w:marRight w:val="0"/>
      <w:marTop w:val="0"/>
      <w:marBottom w:val="0"/>
      <w:divBdr>
        <w:top w:val="none" w:sz="0" w:space="0" w:color="auto"/>
        <w:left w:val="none" w:sz="0" w:space="0" w:color="auto"/>
        <w:bottom w:val="none" w:sz="0" w:space="0" w:color="auto"/>
        <w:right w:val="none" w:sz="0" w:space="0" w:color="auto"/>
      </w:divBdr>
    </w:div>
    <w:div w:id="1454858871">
      <w:bodyDiv w:val="1"/>
      <w:marLeft w:val="0"/>
      <w:marRight w:val="0"/>
      <w:marTop w:val="0"/>
      <w:marBottom w:val="0"/>
      <w:divBdr>
        <w:top w:val="none" w:sz="0" w:space="0" w:color="auto"/>
        <w:left w:val="none" w:sz="0" w:space="0" w:color="auto"/>
        <w:bottom w:val="none" w:sz="0" w:space="0" w:color="auto"/>
        <w:right w:val="none" w:sz="0" w:space="0" w:color="auto"/>
      </w:divBdr>
    </w:div>
    <w:div w:id="1492213144">
      <w:bodyDiv w:val="1"/>
      <w:marLeft w:val="0"/>
      <w:marRight w:val="0"/>
      <w:marTop w:val="0"/>
      <w:marBottom w:val="0"/>
      <w:divBdr>
        <w:top w:val="none" w:sz="0" w:space="0" w:color="auto"/>
        <w:left w:val="none" w:sz="0" w:space="0" w:color="auto"/>
        <w:bottom w:val="none" w:sz="0" w:space="0" w:color="auto"/>
        <w:right w:val="none" w:sz="0" w:space="0" w:color="auto"/>
      </w:divBdr>
    </w:div>
    <w:div w:id="1538346251">
      <w:bodyDiv w:val="1"/>
      <w:marLeft w:val="0"/>
      <w:marRight w:val="0"/>
      <w:marTop w:val="0"/>
      <w:marBottom w:val="0"/>
      <w:divBdr>
        <w:top w:val="none" w:sz="0" w:space="0" w:color="auto"/>
        <w:left w:val="none" w:sz="0" w:space="0" w:color="auto"/>
        <w:bottom w:val="none" w:sz="0" w:space="0" w:color="auto"/>
        <w:right w:val="none" w:sz="0" w:space="0" w:color="auto"/>
      </w:divBdr>
    </w:div>
    <w:div w:id="1582836933">
      <w:bodyDiv w:val="1"/>
      <w:marLeft w:val="0"/>
      <w:marRight w:val="0"/>
      <w:marTop w:val="0"/>
      <w:marBottom w:val="0"/>
      <w:divBdr>
        <w:top w:val="none" w:sz="0" w:space="0" w:color="auto"/>
        <w:left w:val="none" w:sz="0" w:space="0" w:color="auto"/>
        <w:bottom w:val="none" w:sz="0" w:space="0" w:color="auto"/>
        <w:right w:val="none" w:sz="0" w:space="0" w:color="auto"/>
      </w:divBdr>
    </w:div>
    <w:div w:id="1600479514">
      <w:bodyDiv w:val="1"/>
      <w:marLeft w:val="0"/>
      <w:marRight w:val="0"/>
      <w:marTop w:val="0"/>
      <w:marBottom w:val="0"/>
      <w:divBdr>
        <w:top w:val="none" w:sz="0" w:space="0" w:color="auto"/>
        <w:left w:val="none" w:sz="0" w:space="0" w:color="auto"/>
        <w:bottom w:val="none" w:sz="0" w:space="0" w:color="auto"/>
        <w:right w:val="none" w:sz="0" w:space="0" w:color="auto"/>
      </w:divBdr>
    </w:div>
    <w:div w:id="1765296670">
      <w:bodyDiv w:val="1"/>
      <w:marLeft w:val="0"/>
      <w:marRight w:val="0"/>
      <w:marTop w:val="0"/>
      <w:marBottom w:val="0"/>
      <w:divBdr>
        <w:top w:val="none" w:sz="0" w:space="0" w:color="auto"/>
        <w:left w:val="none" w:sz="0" w:space="0" w:color="auto"/>
        <w:bottom w:val="none" w:sz="0" w:space="0" w:color="auto"/>
        <w:right w:val="none" w:sz="0" w:space="0" w:color="auto"/>
      </w:divBdr>
    </w:div>
    <w:div w:id="186570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witt.com" TargetMode="External"/><Relationship Id="rId13" Type="http://schemas.openxmlformats.org/officeDocument/2006/relationships/hyperlink" Target="https://www.ihgplc.com/en/responsible-business" TargetMode="External"/><Relationship Id="rId3" Type="http://schemas.openxmlformats.org/officeDocument/2006/relationships/settings" Target="settings.xml"/><Relationship Id="rId7" Type="http://schemas.openxmlformats.org/officeDocument/2006/relationships/hyperlink" Target="http://businessjournal.gallup.com/content/247/the-high-cost-of-disengaged-employees.aspx" TargetMode="External"/><Relationship Id="rId12" Type="http://schemas.openxmlformats.org/officeDocument/2006/relationships/hyperlink" Target="https://www.ihgplc.com/en/-/media/ihg/annualreports/2021-annual-report/pdf/extracts/dei-policy2021.pdf?la=en&amp;hash=DD16A34E0EBE42A680259A698AE8A8D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ers.ihg.com/en/luxury-and-lifestyle/development-and-opportunit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hg.com/content/us/en/about/brands?scmisc=WEB-_-6C-_-GLO-_-EN-_-AWA-_-Homepage-_-ExploreNowCTA" TargetMode="External"/><Relationship Id="rId4" Type="http://schemas.openxmlformats.org/officeDocument/2006/relationships/webSettings" Target="webSettings.xml"/><Relationship Id="rId9" Type="http://schemas.openxmlformats.org/officeDocument/2006/relationships/hyperlink" Target="https://www.ihgplc.com/en/investors/annual-repor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2726</Words>
  <Characters>15542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dc:creator>
  <cp:keywords/>
  <dc:description/>
  <cp:lastModifiedBy>Mariana</cp:lastModifiedBy>
  <cp:revision>4</cp:revision>
  <dcterms:created xsi:type="dcterms:W3CDTF">2023-11-12T21:37:00Z</dcterms:created>
  <dcterms:modified xsi:type="dcterms:W3CDTF">2023-11-12T21:42:00Z</dcterms:modified>
</cp:coreProperties>
</file>