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E3CE1" w:rsidRPr="006E3FE3" w:rsidRDefault="00AE3CE1" w:rsidP="000B7728">
      <w:pPr>
        <w:spacing w:after="0"/>
        <w:jc w:val="center"/>
        <w:rPr>
          <w:b/>
          <w:sz w:val="32"/>
          <w:szCs w:val="28"/>
        </w:rPr>
      </w:pPr>
      <w:r>
        <w:rPr>
          <w:noProof/>
        </w:rPr>
        <w:drawing>
          <wp:inline distT="0" distB="0" distL="0" distR="0">
            <wp:extent cx="3977639" cy="17722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_crop.png"/>
                    <pic:cNvPicPr/>
                  </pic:nvPicPr>
                  <pic:blipFill>
                    <a:blip r:embed="rId8"/>
                    <a:stretch>
                      <a:fillRect/>
                    </a:stretch>
                  </pic:blipFill>
                  <pic:spPr>
                    <a:xfrm>
                      <a:off x="0" y="0"/>
                      <a:ext cx="3977639" cy="1772215"/>
                    </a:xfrm>
                    <a:prstGeom prst="rect">
                      <a:avLst/>
                    </a:prstGeom>
                  </pic:spPr>
                </pic:pic>
              </a:graphicData>
            </a:graphic>
          </wp:inline>
        </w:drawing>
      </w:r>
    </w:p>
    <w:p w:rsidR="000B7728" w:rsidRDefault="000B7728" w:rsidP="000B7728">
      <w:pPr>
        <w:spacing w:after="0"/>
        <w:jc w:val="center"/>
        <w:rPr>
          <w:b/>
          <w:sz w:val="32"/>
        </w:rPr>
      </w:pPr>
    </w:p>
    <w:p w:rsidR="00FE1719" w:rsidRDefault="00BA5704" w:rsidP="000B7728">
      <w:pPr>
        <w:spacing w:after="0"/>
        <w:jc w:val="center"/>
        <w:rPr>
          <w:b/>
          <w:sz w:val="32"/>
        </w:rPr>
      </w:pPr>
      <w:r>
        <w:rPr>
          <w:b/>
          <w:sz w:val="32"/>
        </w:rPr>
        <w:t>MSc Public Health and Social Care in Practice</w:t>
      </w:r>
    </w:p>
    <w:p w:rsidR="000B7728" w:rsidRDefault="000B7728" w:rsidP="000B7728">
      <w:pPr>
        <w:spacing w:after="0"/>
        <w:jc w:val="center"/>
        <w:rPr>
          <w:b/>
          <w:sz w:val="32"/>
        </w:rPr>
      </w:pPr>
    </w:p>
    <w:p w:rsidR="000B7728" w:rsidRDefault="000B7728" w:rsidP="000B7728">
      <w:pPr>
        <w:spacing w:after="0"/>
        <w:jc w:val="center"/>
      </w:pPr>
    </w:p>
    <w:p w:rsidR="000B7728" w:rsidRDefault="000B7728" w:rsidP="000B7728">
      <w:pPr>
        <w:spacing w:after="0"/>
        <w:jc w:val="center"/>
        <w:rPr>
          <w:b/>
          <w:sz w:val="28"/>
        </w:rPr>
      </w:pPr>
    </w:p>
    <w:p w:rsidR="001C1C34" w:rsidRDefault="001C1C34" w:rsidP="000B7728">
      <w:pPr>
        <w:spacing w:after="0"/>
        <w:jc w:val="center"/>
        <w:rPr>
          <w:b/>
          <w:sz w:val="28"/>
        </w:rPr>
      </w:pPr>
    </w:p>
    <w:p w:rsidR="001C1C34" w:rsidRDefault="001C1C34" w:rsidP="000B7728">
      <w:pPr>
        <w:spacing w:after="0"/>
        <w:jc w:val="center"/>
        <w:rPr>
          <w:b/>
          <w:sz w:val="28"/>
        </w:rPr>
      </w:pPr>
    </w:p>
    <w:p w:rsidR="001C1C34" w:rsidRDefault="001C1C34" w:rsidP="000B7728">
      <w:pPr>
        <w:spacing w:after="0"/>
        <w:jc w:val="center"/>
        <w:rPr>
          <w:b/>
          <w:sz w:val="28"/>
        </w:rPr>
      </w:pPr>
    </w:p>
    <w:p w:rsidR="001C1C34" w:rsidRDefault="001C1C34" w:rsidP="000B7728">
      <w:pPr>
        <w:spacing w:after="0"/>
        <w:jc w:val="center"/>
        <w:rPr>
          <w:b/>
          <w:sz w:val="28"/>
        </w:rPr>
      </w:pPr>
    </w:p>
    <w:p w:rsidR="001C1C34" w:rsidRDefault="001C1C34" w:rsidP="000B7728">
      <w:pPr>
        <w:spacing w:after="0"/>
        <w:jc w:val="center"/>
      </w:pPr>
    </w:p>
    <w:p w:rsidR="00FE1719" w:rsidRDefault="00BA5704" w:rsidP="000B7728">
      <w:pPr>
        <w:spacing w:after="0"/>
        <w:jc w:val="center"/>
        <w:rPr>
          <w:b/>
        </w:rPr>
      </w:pPr>
      <w:r>
        <w:rPr>
          <w:b/>
        </w:rPr>
        <w:t>Dissertation submitted as part of the requirements for the award of MSc Public Health and Social Care in Practice</w:t>
      </w:r>
    </w:p>
    <w:p w:rsidR="000B7728" w:rsidRDefault="000B7728" w:rsidP="000B7728">
      <w:pPr>
        <w:spacing w:after="0"/>
        <w:jc w:val="center"/>
        <w:rPr>
          <w:b/>
        </w:rPr>
      </w:pPr>
    </w:p>
    <w:p w:rsidR="000B7728" w:rsidRDefault="000B7728" w:rsidP="000B7728">
      <w:pPr>
        <w:spacing w:after="0"/>
        <w:jc w:val="center"/>
      </w:pPr>
    </w:p>
    <w:p w:rsidR="00FE1719" w:rsidRDefault="006E3DD0" w:rsidP="000B7728">
      <w:pPr>
        <w:spacing w:after="0" w:line="240" w:lineRule="auto"/>
        <w:jc w:val="center"/>
      </w:pPr>
      <w:r>
        <w:rPr>
          <w:b/>
        </w:rPr>
        <w:t>August</w:t>
      </w:r>
      <w:r w:rsidR="00BA5704">
        <w:rPr>
          <w:b/>
        </w:rPr>
        <w:t xml:space="preserve"> 2026</w:t>
      </w:r>
    </w:p>
    <w:p w:rsidR="001C1C34" w:rsidRDefault="001C1C34">
      <w:pPr>
        <w:spacing w:after="160" w:line="278" w:lineRule="auto"/>
        <w:jc w:val="left"/>
      </w:pPr>
      <w:r>
        <w:br w:type="page"/>
      </w:r>
    </w:p>
    <w:p w:rsidR="001C1C34" w:rsidRDefault="001C1C34" w:rsidP="001C1C34">
      <w:pPr>
        <w:spacing w:after="0"/>
        <w:jc w:val="center"/>
        <w:rPr>
          <w:b/>
          <w:sz w:val="28"/>
        </w:rPr>
      </w:pPr>
      <w:r>
        <w:rPr>
          <w:b/>
          <w:sz w:val="28"/>
        </w:rPr>
        <w:lastRenderedPageBreak/>
        <w:t>Barriers to Access and Early Engagement in Community-Based Mental Health Services among Young Adults in the United Kingdom: A Qualitative Systematic Review</w:t>
      </w:r>
    </w:p>
    <w:p w:rsidR="00AE3CE1" w:rsidRDefault="00AE3CE1" w:rsidP="00AE3CE1">
      <w:pPr>
        <w:spacing w:after="160" w:line="278" w:lineRule="auto"/>
        <w:jc w:val="left"/>
      </w:pPr>
    </w:p>
    <w:p w:rsidR="001C1C34" w:rsidRDefault="001C1C34" w:rsidP="00AE3CE1">
      <w:pPr>
        <w:spacing w:after="160" w:line="278" w:lineRule="auto"/>
        <w:jc w:val="left"/>
      </w:pPr>
    </w:p>
    <w:p w:rsidR="001C1C34" w:rsidRDefault="001C1C34" w:rsidP="00AE3CE1">
      <w:pPr>
        <w:spacing w:after="160" w:line="278" w:lineRule="auto"/>
        <w:jc w:val="left"/>
      </w:pPr>
    </w:p>
    <w:p w:rsidR="001C1C34" w:rsidRPr="001C1C34" w:rsidRDefault="001C1C34" w:rsidP="001C1C34">
      <w:pPr>
        <w:spacing w:after="160" w:line="278" w:lineRule="auto"/>
        <w:jc w:val="center"/>
        <w:rPr>
          <w:b/>
          <w:bCs/>
        </w:rPr>
      </w:pPr>
      <w:r w:rsidRPr="001C1C34">
        <w:rPr>
          <w:b/>
          <w:bCs/>
        </w:rPr>
        <w:t>Student name: Tahia Haque</w:t>
      </w:r>
    </w:p>
    <w:p w:rsidR="001C1C34" w:rsidRPr="001C1C34" w:rsidRDefault="001C1C34" w:rsidP="001C1C34">
      <w:pPr>
        <w:spacing w:after="160" w:line="278" w:lineRule="auto"/>
        <w:jc w:val="center"/>
        <w:rPr>
          <w:b/>
          <w:bCs/>
        </w:rPr>
      </w:pPr>
      <w:r w:rsidRPr="001C1C34">
        <w:rPr>
          <w:b/>
          <w:bCs/>
        </w:rPr>
        <w:t>ID: 2513087</w:t>
      </w:r>
    </w:p>
    <w:p w:rsidR="001C1C34" w:rsidRPr="001C1C34" w:rsidRDefault="001C1C34" w:rsidP="001C1C34">
      <w:pPr>
        <w:spacing w:after="0" w:line="300" w:lineRule="auto"/>
        <w:jc w:val="center"/>
        <w:rPr>
          <w:b/>
          <w:bCs/>
        </w:rPr>
        <w:sectPr w:rsidR="001C1C34" w:rsidRPr="001C1C34" w:rsidSect="000B7728">
          <w:footerReference w:type="default" r:id="rId9"/>
          <w:pgSz w:w="12240" w:h="15840" w:code="1"/>
          <w:pgMar w:top="1440" w:right="1797" w:bottom="1440" w:left="1797" w:header="720" w:footer="720" w:gutter="0"/>
          <w:cols w:space="720"/>
          <w:vAlign w:val="center"/>
          <w:docGrid w:linePitch="360"/>
        </w:sectPr>
      </w:pPr>
      <w:r>
        <w:rPr>
          <w:rFonts w:cs="Arial"/>
          <w:b/>
          <w:sz w:val="24"/>
        </w:rPr>
        <w:t>Sup</w:t>
      </w:r>
      <w:r w:rsidR="006E3DD0">
        <w:rPr>
          <w:rFonts w:cs="Arial"/>
          <w:b/>
          <w:sz w:val="24"/>
        </w:rPr>
        <w:t>ervisor Name: Dr Ayazullah Safi</w:t>
      </w:r>
      <w:r>
        <w:rPr>
          <w:rFonts w:cs="Arial"/>
          <w:b/>
          <w:sz w:val="24"/>
        </w:rPr>
        <w:br/>
        <w:t>Submission date: August 2026</w:t>
      </w:r>
    </w:p>
    <w:p w:rsidR="00FE1719" w:rsidRDefault="00BA5704" w:rsidP="000B7728">
      <w:pPr>
        <w:pStyle w:val="Heading1"/>
        <w:numPr>
          <w:ilvl w:val="0"/>
          <w:numId w:val="0"/>
        </w:numPr>
      </w:pPr>
      <w:bookmarkStart w:id="0" w:name="_Toc238727155"/>
      <w:r>
        <w:rPr>
          <w:rFonts w:eastAsia="Arial"/>
        </w:rPr>
        <w:lastRenderedPageBreak/>
        <w:t>Declaration</w:t>
      </w:r>
      <w:bookmarkEnd w:id="0"/>
    </w:p>
    <w:p w:rsidR="00FE1719" w:rsidRDefault="00BA5704">
      <w:pPr>
        <w:spacing w:after="160"/>
      </w:pPr>
      <w:r>
        <w:t>I declare that this dissertation has been prepared for the MSc Public Health and Social Care in Practice at the University of Wales Trinity Saint David. All published and unpublished sources, ideas and</w:t>
      </w:r>
      <w:r>
        <w:t xml:space="preserve"> forms of assistance used in preparing this dissertation have been appropriately acknowledged in accordance with University requirements. The work has been presented honestly and all material drawn from other sources has been cited and referenced. This dis</w:t>
      </w:r>
      <w:r>
        <w:t>sertation has not previously been submitted, in whole or in substantial part, for another academic award except where this has been explicitly stated.</w:t>
      </w:r>
    </w:p>
    <w:p w:rsidR="00FE1719" w:rsidRDefault="006E3DD0">
      <w:pPr>
        <w:spacing w:after="240"/>
        <w:jc w:val="left"/>
      </w:pPr>
      <w:r>
        <w:t xml:space="preserve">Signature: </w:t>
      </w:r>
      <w:r w:rsidRPr="006E3DD0">
        <w:rPr>
          <w:bCs/>
          <w:u w:val="single"/>
        </w:rPr>
        <w:t>Tahia Haque</w:t>
      </w:r>
      <w:r>
        <w:t xml:space="preserve"> </w:t>
      </w:r>
    </w:p>
    <w:p w:rsidR="00FE1719" w:rsidRDefault="006E3DD0">
      <w:pPr>
        <w:spacing w:after="0"/>
        <w:jc w:val="left"/>
      </w:pPr>
      <w:r>
        <w:t xml:space="preserve">Date:  </w:t>
      </w:r>
      <w:r w:rsidRPr="006E3DD0">
        <w:rPr>
          <w:u w:val="single"/>
        </w:rPr>
        <w:t>27/08/2026</w:t>
      </w:r>
    </w:p>
    <w:p w:rsidR="00FE1719" w:rsidRDefault="00BA5704">
      <w:pPr>
        <w:spacing w:after="0"/>
        <w:jc w:val="left"/>
      </w:pPr>
      <w:r>
        <w:br w:type="page"/>
      </w:r>
    </w:p>
    <w:p w:rsidR="00FE1719" w:rsidRDefault="00BA5704" w:rsidP="000B7728">
      <w:pPr>
        <w:pStyle w:val="Heading1"/>
        <w:numPr>
          <w:ilvl w:val="0"/>
          <w:numId w:val="0"/>
        </w:numPr>
      </w:pPr>
      <w:bookmarkStart w:id="1" w:name="_Toc238727156"/>
      <w:r>
        <w:rPr>
          <w:rFonts w:eastAsia="Arial"/>
        </w:rPr>
        <w:lastRenderedPageBreak/>
        <w:t>Acknowledgements</w:t>
      </w:r>
      <w:bookmarkEnd w:id="1"/>
    </w:p>
    <w:p w:rsidR="00FE1719" w:rsidRDefault="00BA5704">
      <w:pPr>
        <w:spacing w:after="160"/>
      </w:pPr>
      <w:r>
        <w:t xml:space="preserve">I would like to express my sincere gratitude to my dissertation supervisor for the guidance, constructive feedback and encouragement provided throughout this research. The advice received during the development of the review question, </w:t>
      </w:r>
      <w:r>
        <w:t>methodology and final analysis was invaluable in strengthening the quality and focus of this dissertation. I am also grateful to the academic staff of the MSc Public Health and Social Care in Practice programme at the University of Wales Trinity Saint Davi</w:t>
      </w:r>
      <w:r>
        <w:t>d for the knowledge and support provided throughout my studies. I would like to thank my family and friends for their patience, encouragement and understanding during the completion of this work. Finally, I acknowledge the researchers and organisations who</w:t>
      </w:r>
      <w:r>
        <w:t>se published evidence made this systematic review possible and contributed to a better understanding of young adults’ experiences of accessing community-based mental health support in the United Kingdom.</w:t>
      </w:r>
    </w:p>
    <w:p w:rsidR="00FE1719" w:rsidRDefault="00BA5704">
      <w:pPr>
        <w:spacing w:after="0"/>
        <w:jc w:val="left"/>
      </w:pPr>
      <w:r>
        <w:br w:type="page"/>
      </w:r>
    </w:p>
    <w:p w:rsidR="00FE1719" w:rsidRDefault="00BA5704" w:rsidP="000B7728">
      <w:pPr>
        <w:pStyle w:val="Heading1"/>
        <w:numPr>
          <w:ilvl w:val="0"/>
          <w:numId w:val="0"/>
        </w:numPr>
      </w:pPr>
      <w:bookmarkStart w:id="2" w:name="_Toc238727157"/>
      <w:r>
        <w:rPr>
          <w:rFonts w:eastAsia="Arial"/>
        </w:rPr>
        <w:lastRenderedPageBreak/>
        <w:t>Abstract</w:t>
      </w:r>
      <w:bookmarkEnd w:id="2"/>
    </w:p>
    <w:p w:rsidR="00FE1719" w:rsidRDefault="00686731">
      <w:pPr>
        <w:spacing w:after="160"/>
      </w:pPr>
      <w:r w:rsidRPr="00686731">
        <w:t>Mental health needs are high amongst young adults in the United Kingdom, and accessing and accessing community-based support can be challenging. This qualitative systematic review explored the barriers to accessing and early engagement in community-based mental health services for young adults, primarily aged 18-25 years. Published evidence from January 2010 to July 2026 was searched across MEDLINE (via PubMed), CINAHL, PsycINFO and Scopus, and citation searching was used to identify additional relevant studies. Fourteen empirical studies were included, thirteen of which were primarily qualitative and one a mixed methods process evaluation with an extractable qualitative component. The Critical Appraisal Skills Programme checklist was used to appraise qualitative studies and the Mixed Methods Appraisal Tool was used to appraise the mixed methods study. Thematic synthesis was used to analyse the findings, using the Patient-Centred Access to Healthcare Framework as a sensitising interpretive structure. Four themes emerged: structural barriers and difficult service navigation, communication, trust and relational safety, social, cultural and identity-related barriers, and service fit, flexibility and alternative routes to engagement. Waiting, strict eligibility criteria, disjointed referral processes and continuity of care may undermine confidence prior to treatment. Stigma, self-reliance, masculinity, family expectations, confidentiality concerns and cultural acceptability were factors affecting disclosure of distress and seeking professional help. Early engagement was facilitated by clear communication, respectful first contact, continuity, self-referral, youth friendly settings and flexible community provision. There were often multiple barriers between the identification of need and referral, waiting, first contact and continuation, and disengagement may have been due to multiple service and relationship barriers. The evidence was largely focused in England and some of the studies included university or service populations, limiting transferability. To improve access, pathways need to be clearer, there needs to be active support while waiting, culturally responsive and relationally safe practice, flexible low-threshold pathways and stronger connections between community, voluntary, university and specialist services</w:t>
      </w:r>
      <w:r>
        <w:t>.</w:t>
      </w:r>
    </w:p>
    <w:p w:rsidR="000B7728" w:rsidRDefault="000B7728">
      <w:pPr>
        <w:spacing w:after="160"/>
      </w:pPr>
      <w:r w:rsidRPr="000B7728">
        <w:rPr>
          <w:b/>
          <w:bCs/>
        </w:rPr>
        <w:t>Keywords:</w:t>
      </w:r>
      <w:r w:rsidRPr="000B7728">
        <w:t xml:space="preserve"> Young adults; community-based mental health services; mental health access; early engagement; barriers to care; qualitative systematic review.</w:t>
      </w:r>
    </w:p>
    <w:p w:rsidR="00FE1719" w:rsidRDefault="00BA5704">
      <w:pPr>
        <w:spacing w:after="0"/>
        <w:jc w:val="left"/>
      </w:pPr>
      <w:r>
        <w:br w:type="page"/>
      </w:r>
    </w:p>
    <w:p w:rsidR="00FE1719" w:rsidRDefault="00BA5704" w:rsidP="000B7728">
      <w:pPr>
        <w:pStyle w:val="Heading1"/>
        <w:numPr>
          <w:ilvl w:val="0"/>
          <w:numId w:val="0"/>
        </w:numPr>
      </w:pPr>
      <w:bookmarkStart w:id="3" w:name="_Toc238727158"/>
      <w:r>
        <w:rPr>
          <w:rFonts w:eastAsia="Arial"/>
        </w:rPr>
        <w:lastRenderedPageBreak/>
        <w:t>List of Abbreviations</w:t>
      </w:r>
      <w:bookmarkEnd w:id="3"/>
    </w:p>
    <w:tbl>
      <w:tblPr>
        <w:tblStyle w:val="TableGrid"/>
        <w:tblW w:w="0" w:type="auto"/>
        <w:jc w:val="center"/>
        <w:tblLook w:val="04A0"/>
      </w:tblPr>
      <w:tblGrid>
        <w:gridCol w:w="2939"/>
        <w:gridCol w:w="5923"/>
      </w:tblGrid>
      <w:tr w:rsidR="00FE1719" w:rsidRPr="000B7728" w:rsidTr="000B7728">
        <w:trPr>
          <w:tblHeader/>
          <w:jc w:val="center"/>
        </w:trPr>
        <w:tc>
          <w:tcPr>
            <w:tcW w:w="3055" w:type="dxa"/>
            <w:vAlign w:val="center"/>
          </w:tcPr>
          <w:p w:rsidR="00FE1719" w:rsidRPr="000B7728" w:rsidRDefault="00BA5704" w:rsidP="00686731">
            <w:pPr>
              <w:spacing w:after="0"/>
              <w:jc w:val="center"/>
              <w:rPr>
                <w:b/>
                <w:bCs/>
                <w:sz w:val="24"/>
                <w:szCs w:val="24"/>
              </w:rPr>
            </w:pPr>
            <w:r w:rsidRPr="000B7728">
              <w:rPr>
                <w:b/>
                <w:bCs/>
                <w:szCs w:val="24"/>
              </w:rPr>
              <w:t>Abbreviation</w:t>
            </w:r>
          </w:p>
        </w:tc>
        <w:tc>
          <w:tcPr>
            <w:tcW w:w="6295" w:type="dxa"/>
            <w:vAlign w:val="center"/>
          </w:tcPr>
          <w:p w:rsidR="00FE1719" w:rsidRPr="000B7728" w:rsidRDefault="00BA5704" w:rsidP="00686731">
            <w:pPr>
              <w:spacing w:after="0"/>
              <w:jc w:val="center"/>
              <w:rPr>
                <w:b/>
                <w:bCs/>
                <w:sz w:val="24"/>
                <w:szCs w:val="24"/>
              </w:rPr>
            </w:pPr>
            <w:r w:rsidRPr="000B7728">
              <w:rPr>
                <w:b/>
                <w:bCs/>
                <w:szCs w:val="24"/>
              </w:rPr>
              <w:t>Meaning</w:t>
            </w:r>
          </w:p>
        </w:tc>
      </w:tr>
      <w:tr w:rsidR="00FE1719" w:rsidRPr="000B7728" w:rsidTr="000B7728">
        <w:trPr>
          <w:jc w:val="center"/>
        </w:trPr>
        <w:tc>
          <w:tcPr>
            <w:tcW w:w="3055" w:type="dxa"/>
            <w:vAlign w:val="center"/>
          </w:tcPr>
          <w:p w:rsidR="00FE1719" w:rsidRPr="000B7728" w:rsidRDefault="00BA5704" w:rsidP="00686731">
            <w:pPr>
              <w:spacing w:after="0"/>
              <w:rPr>
                <w:sz w:val="24"/>
                <w:szCs w:val="24"/>
              </w:rPr>
            </w:pPr>
            <w:r w:rsidRPr="000B7728">
              <w:rPr>
                <w:szCs w:val="24"/>
              </w:rPr>
              <w:t>AMHS</w:t>
            </w:r>
          </w:p>
        </w:tc>
        <w:tc>
          <w:tcPr>
            <w:tcW w:w="6295" w:type="dxa"/>
            <w:vAlign w:val="center"/>
          </w:tcPr>
          <w:p w:rsidR="00FE1719" w:rsidRPr="000B7728" w:rsidRDefault="00BA5704" w:rsidP="00686731">
            <w:pPr>
              <w:spacing w:after="0"/>
              <w:rPr>
                <w:sz w:val="24"/>
                <w:szCs w:val="24"/>
              </w:rPr>
            </w:pPr>
            <w:r w:rsidRPr="000B7728">
              <w:rPr>
                <w:szCs w:val="24"/>
              </w:rPr>
              <w:t>Adult Mental Health Services</w:t>
            </w:r>
          </w:p>
        </w:tc>
      </w:tr>
      <w:tr w:rsidR="00FE1719" w:rsidRPr="000B7728" w:rsidTr="000B7728">
        <w:trPr>
          <w:jc w:val="center"/>
        </w:trPr>
        <w:tc>
          <w:tcPr>
            <w:tcW w:w="3055" w:type="dxa"/>
            <w:vAlign w:val="center"/>
          </w:tcPr>
          <w:p w:rsidR="00FE1719" w:rsidRPr="000B7728" w:rsidRDefault="00BA5704" w:rsidP="00686731">
            <w:pPr>
              <w:spacing w:after="0"/>
              <w:rPr>
                <w:sz w:val="24"/>
                <w:szCs w:val="24"/>
              </w:rPr>
            </w:pPr>
            <w:r w:rsidRPr="000B7728">
              <w:rPr>
                <w:szCs w:val="24"/>
              </w:rPr>
              <w:t>CAMHS</w:t>
            </w:r>
          </w:p>
        </w:tc>
        <w:tc>
          <w:tcPr>
            <w:tcW w:w="6295" w:type="dxa"/>
            <w:vAlign w:val="center"/>
          </w:tcPr>
          <w:p w:rsidR="00FE1719" w:rsidRPr="000B7728" w:rsidRDefault="00BA5704" w:rsidP="00686731">
            <w:pPr>
              <w:spacing w:after="0"/>
              <w:rPr>
                <w:sz w:val="24"/>
                <w:szCs w:val="24"/>
              </w:rPr>
            </w:pPr>
            <w:r w:rsidRPr="000B7728">
              <w:rPr>
                <w:szCs w:val="24"/>
              </w:rPr>
              <w:t>Child and Adolescent Mental Health Services</w:t>
            </w:r>
          </w:p>
        </w:tc>
      </w:tr>
      <w:tr w:rsidR="00FE1719" w:rsidRPr="000B7728" w:rsidTr="000B7728">
        <w:trPr>
          <w:jc w:val="center"/>
        </w:trPr>
        <w:tc>
          <w:tcPr>
            <w:tcW w:w="3055" w:type="dxa"/>
            <w:vAlign w:val="center"/>
          </w:tcPr>
          <w:p w:rsidR="00FE1719" w:rsidRPr="000B7728" w:rsidRDefault="00BA5704" w:rsidP="00686731">
            <w:pPr>
              <w:spacing w:after="0"/>
              <w:rPr>
                <w:sz w:val="24"/>
                <w:szCs w:val="24"/>
              </w:rPr>
            </w:pPr>
            <w:r w:rsidRPr="000B7728">
              <w:rPr>
                <w:szCs w:val="24"/>
              </w:rPr>
              <w:t>CASP</w:t>
            </w:r>
          </w:p>
        </w:tc>
        <w:tc>
          <w:tcPr>
            <w:tcW w:w="6295" w:type="dxa"/>
            <w:vAlign w:val="center"/>
          </w:tcPr>
          <w:p w:rsidR="00FE1719" w:rsidRPr="000B7728" w:rsidRDefault="00BA5704" w:rsidP="00686731">
            <w:pPr>
              <w:spacing w:after="0"/>
              <w:rPr>
                <w:sz w:val="24"/>
                <w:szCs w:val="24"/>
              </w:rPr>
            </w:pPr>
            <w:r w:rsidRPr="000B7728">
              <w:rPr>
                <w:szCs w:val="24"/>
              </w:rPr>
              <w:t>Critical Appraisal Skills Programme</w:t>
            </w:r>
          </w:p>
        </w:tc>
      </w:tr>
      <w:tr w:rsidR="00FE1719" w:rsidRPr="000B7728" w:rsidTr="000B7728">
        <w:trPr>
          <w:jc w:val="center"/>
        </w:trPr>
        <w:tc>
          <w:tcPr>
            <w:tcW w:w="3055" w:type="dxa"/>
            <w:vAlign w:val="center"/>
          </w:tcPr>
          <w:p w:rsidR="00FE1719" w:rsidRPr="000B7728" w:rsidRDefault="00BA5704" w:rsidP="00686731">
            <w:pPr>
              <w:spacing w:after="0"/>
              <w:rPr>
                <w:sz w:val="24"/>
                <w:szCs w:val="24"/>
              </w:rPr>
            </w:pPr>
            <w:r w:rsidRPr="000B7728">
              <w:rPr>
                <w:szCs w:val="24"/>
              </w:rPr>
              <w:t>CINAHL</w:t>
            </w:r>
          </w:p>
        </w:tc>
        <w:tc>
          <w:tcPr>
            <w:tcW w:w="6295" w:type="dxa"/>
            <w:vAlign w:val="center"/>
          </w:tcPr>
          <w:p w:rsidR="00FE1719" w:rsidRPr="000B7728" w:rsidRDefault="00BA5704" w:rsidP="00686731">
            <w:pPr>
              <w:spacing w:after="0"/>
              <w:rPr>
                <w:sz w:val="24"/>
                <w:szCs w:val="24"/>
              </w:rPr>
            </w:pPr>
            <w:r w:rsidRPr="000B7728">
              <w:rPr>
                <w:szCs w:val="24"/>
              </w:rPr>
              <w:t>Cumulative Index to Nursing and Allied Health Literature</w:t>
            </w:r>
          </w:p>
        </w:tc>
      </w:tr>
      <w:tr w:rsidR="00FE1719" w:rsidRPr="000B7728" w:rsidTr="000B7728">
        <w:trPr>
          <w:jc w:val="center"/>
        </w:trPr>
        <w:tc>
          <w:tcPr>
            <w:tcW w:w="3055" w:type="dxa"/>
            <w:vAlign w:val="center"/>
          </w:tcPr>
          <w:p w:rsidR="00FE1719" w:rsidRPr="000B7728" w:rsidRDefault="00BA5704" w:rsidP="00686731">
            <w:pPr>
              <w:spacing w:after="0"/>
              <w:rPr>
                <w:sz w:val="24"/>
                <w:szCs w:val="24"/>
              </w:rPr>
            </w:pPr>
            <w:r w:rsidRPr="000B7728">
              <w:rPr>
                <w:szCs w:val="24"/>
              </w:rPr>
              <w:t>JBI</w:t>
            </w:r>
          </w:p>
        </w:tc>
        <w:tc>
          <w:tcPr>
            <w:tcW w:w="6295" w:type="dxa"/>
            <w:vAlign w:val="center"/>
          </w:tcPr>
          <w:p w:rsidR="00FE1719" w:rsidRPr="000B7728" w:rsidRDefault="00BA5704" w:rsidP="00686731">
            <w:pPr>
              <w:spacing w:after="0"/>
              <w:rPr>
                <w:sz w:val="24"/>
                <w:szCs w:val="24"/>
              </w:rPr>
            </w:pPr>
            <w:r w:rsidRPr="000B7728">
              <w:rPr>
                <w:szCs w:val="24"/>
              </w:rPr>
              <w:t>Joanna Briggs Institute</w:t>
            </w:r>
          </w:p>
        </w:tc>
      </w:tr>
      <w:tr w:rsidR="00FE1719" w:rsidRPr="000B7728" w:rsidTr="000B7728">
        <w:trPr>
          <w:jc w:val="center"/>
        </w:trPr>
        <w:tc>
          <w:tcPr>
            <w:tcW w:w="3055" w:type="dxa"/>
            <w:vAlign w:val="center"/>
          </w:tcPr>
          <w:p w:rsidR="00FE1719" w:rsidRPr="000B7728" w:rsidRDefault="00BA5704" w:rsidP="00686731">
            <w:pPr>
              <w:spacing w:after="0"/>
              <w:rPr>
                <w:sz w:val="24"/>
                <w:szCs w:val="24"/>
              </w:rPr>
            </w:pPr>
            <w:r w:rsidRPr="000B7728">
              <w:rPr>
                <w:szCs w:val="24"/>
              </w:rPr>
              <w:t>MEDLINE</w:t>
            </w:r>
          </w:p>
        </w:tc>
        <w:tc>
          <w:tcPr>
            <w:tcW w:w="6295" w:type="dxa"/>
            <w:vAlign w:val="center"/>
          </w:tcPr>
          <w:p w:rsidR="00FE1719" w:rsidRPr="000B7728" w:rsidRDefault="00BA5704" w:rsidP="00686731">
            <w:pPr>
              <w:spacing w:after="0"/>
              <w:rPr>
                <w:sz w:val="24"/>
                <w:szCs w:val="24"/>
              </w:rPr>
            </w:pPr>
            <w:r w:rsidRPr="000B7728">
              <w:rPr>
                <w:szCs w:val="24"/>
              </w:rPr>
              <w:t xml:space="preserve">Medical Literature </w:t>
            </w:r>
            <w:r w:rsidRPr="000B7728">
              <w:rPr>
                <w:szCs w:val="24"/>
              </w:rPr>
              <w:t>Analysis and Retrieval System Online</w:t>
            </w:r>
          </w:p>
        </w:tc>
      </w:tr>
      <w:tr w:rsidR="00FE1719" w:rsidRPr="000B7728" w:rsidTr="000B7728">
        <w:trPr>
          <w:jc w:val="center"/>
        </w:trPr>
        <w:tc>
          <w:tcPr>
            <w:tcW w:w="3055" w:type="dxa"/>
            <w:vAlign w:val="center"/>
          </w:tcPr>
          <w:p w:rsidR="00FE1719" w:rsidRPr="000B7728" w:rsidRDefault="00BA5704" w:rsidP="00686731">
            <w:pPr>
              <w:spacing w:after="0"/>
              <w:rPr>
                <w:sz w:val="24"/>
                <w:szCs w:val="24"/>
              </w:rPr>
            </w:pPr>
            <w:r w:rsidRPr="000B7728">
              <w:rPr>
                <w:szCs w:val="24"/>
              </w:rPr>
              <w:t>MMAT</w:t>
            </w:r>
          </w:p>
        </w:tc>
        <w:tc>
          <w:tcPr>
            <w:tcW w:w="6295" w:type="dxa"/>
            <w:vAlign w:val="center"/>
          </w:tcPr>
          <w:p w:rsidR="00FE1719" w:rsidRPr="000B7728" w:rsidRDefault="00BA5704" w:rsidP="00686731">
            <w:pPr>
              <w:spacing w:after="0"/>
              <w:rPr>
                <w:sz w:val="24"/>
                <w:szCs w:val="24"/>
              </w:rPr>
            </w:pPr>
            <w:r w:rsidRPr="000B7728">
              <w:rPr>
                <w:szCs w:val="24"/>
              </w:rPr>
              <w:t>Mixed Methods Appraisal Tool</w:t>
            </w:r>
          </w:p>
        </w:tc>
      </w:tr>
      <w:tr w:rsidR="00FE1719" w:rsidRPr="000B7728" w:rsidTr="000B7728">
        <w:trPr>
          <w:jc w:val="center"/>
        </w:trPr>
        <w:tc>
          <w:tcPr>
            <w:tcW w:w="3055" w:type="dxa"/>
            <w:vAlign w:val="center"/>
          </w:tcPr>
          <w:p w:rsidR="00FE1719" w:rsidRPr="000B7728" w:rsidRDefault="00BA5704" w:rsidP="00686731">
            <w:pPr>
              <w:spacing w:after="0"/>
              <w:rPr>
                <w:sz w:val="24"/>
                <w:szCs w:val="24"/>
              </w:rPr>
            </w:pPr>
            <w:r w:rsidRPr="000B7728">
              <w:rPr>
                <w:szCs w:val="24"/>
              </w:rPr>
              <w:t>NHS</w:t>
            </w:r>
          </w:p>
        </w:tc>
        <w:tc>
          <w:tcPr>
            <w:tcW w:w="6295" w:type="dxa"/>
            <w:vAlign w:val="center"/>
          </w:tcPr>
          <w:p w:rsidR="00FE1719" w:rsidRPr="000B7728" w:rsidRDefault="00BA5704" w:rsidP="00686731">
            <w:pPr>
              <w:spacing w:after="0"/>
              <w:rPr>
                <w:sz w:val="24"/>
                <w:szCs w:val="24"/>
              </w:rPr>
            </w:pPr>
            <w:r w:rsidRPr="000B7728">
              <w:rPr>
                <w:szCs w:val="24"/>
              </w:rPr>
              <w:t>National Health Service</w:t>
            </w:r>
          </w:p>
        </w:tc>
      </w:tr>
      <w:tr w:rsidR="00FE1719" w:rsidRPr="000B7728" w:rsidTr="000B7728">
        <w:trPr>
          <w:jc w:val="center"/>
        </w:trPr>
        <w:tc>
          <w:tcPr>
            <w:tcW w:w="3055" w:type="dxa"/>
            <w:vAlign w:val="center"/>
          </w:tcPr>
          <w:p w:rsidR="00FE1719" w:rsidRPr="000B7728" w:rsidRDefault="00BA5704" w:rsidP="00686731">
            <w:pPr>
              <w:spacing w:after="0"/>
              <w:rPr>
                <w:sz w:val="24"/>
                <w:szCs w:val="24"/>
              </w:rPr>
            </w:pPr>
            <w:r w:rsidRPr="000B7728">
              <w:rPr>
                <w:szCs w:val="24"/>
              </w:rPr>
              <w:t>PICo</w:t>
            </w:r>
          </w:p>
        </w:tc>
        <w:tc>
          <w:tcPr>
            <w:tcW w:w="6295" w:type="dxa"/>
            <w:vAlign w:val="center"/>
          </w:tcPr>
          <w:p w:rsidR="00FE1719" w:rsidRPr="000B7728" w:rsidRDefault="00BA5704" w:rsidP="00686731">
            <w:pPr>
              <w:spacing w:after="0"/>
              <w:rPr>
                <w:sz w:val="24"/>
                <w:szCs w:val="24"/>
              </w:rPr>
            </w:pPr>
            <w:r w:rsidRPr="000B7728">
              <w:rPr>
                <w:szCs w:val="24"/>
              </w:rPr>
              <w:t>Population, phenomenon of Interest and Context</w:t>
            </w:r>
          </w:p>
        </w:tc>
      </w:tr>
      <w:tr w:rsidR="00FE1719" w:rsidRPr="000B7728" w:rsidTr="000B7728">
        <w:trPr>
          <w:jc w:val="center"/>
        </w:trPr>
        <w:tc>
          <w:tcPr>
            <w:tcW w:w="3055" w:type="dxa"/>
            <w:vAlign w:val="center"/>
          </w:tcPr>
          <w:p w:rsidR="00FE1719" w:rsidRPr="000B7728" w:rsidRDefault="00BA5704" w:rsidP="00686731">
            <w:pPr>
              <w:spacing w:after="0"/>
              <w:rPr>
                <w:sz w:val="24"/>
                <w:szCs w:val="24"/>
              </w:rPr>
            </w:pPr>
            <w:r w:rsidRPr="000B7728">
              <w:rPr>
                <w:szCs w:val="24"/>
              </w:rPr>
              <w:t>PRISMA</w:t>
            </w:r>
          </w:p>
        </w:tc>
        <w:tc>
          <w:tcPr>
            <w:tcW w:w="6295" w:type="dxa"/>
            <w:vAlign w:val="center"/>
          </w:tcPr>
          <w:p w:rsidR="00FE1719" w:rsidRPr="000B7728" w:rsidRDefault="00BA5704" w:rsidP="00686731">
            <w:pPr>
              <w:spacing w:after="0"/>
              <w:rPr>
                <w:sz w:val="24"/>
                <w:szCs w:val="24"/>
              </w:rPr>
            </w:pPr>
            <w:r w:rsidRPr="000B7728">
              <w:rPr>
                <w:szCs w:val="24"/>
              </w:rPr>
              <w:t>Preferred Reporting Items for Systematic Reviews and Meta-Analyses</w:t>
            </w:r>
          </w:p>
        </w:tc>
      </w:tr>
      <w:tr w:rsidR="00FE1719" w:rsidRPr="000B7728" w:rsidTr="000B7728">
        <w:trPr>
          <w:jc w:val="center"/>
        </w:trPr>
        <w:tc>
          <w:tcPr>
            <w:tcW w:w="3055" w:type="dxa"/>
            <w:vAlign w:val="center"/>
          </w:tcPr>
          <w:p w:rsidR="00FE1719" w:rsidRPr="000B7728" w:rsidRDefault="00BA5704" w:rsidP="00686731">
            <w:pPr>
              <w:spacing w:after="0"/>
              <w:rPr>
                <w:sz w:val="24"/>
                <w:szCs w:val="24"/>
              </w:rPr>
            </w:pPr>
            <w:r w:rsidRPr="000B7728">
              <w:rPr>
                <w:szCs w:val="24"/>
              </w:rPr>
              <w:t>PRISMA-S</w:t>
            </w:r>
          </w:p>
        </w:tc>
        <w:tc>
          <w:tcPr>
            <w:tcW w:w="6295" w:type="dxa"/>
            <w:vAlign w:val="center"/>
          </w:tcPr>
          <w:p w:rsidR="00FE1719" w:rsidRPr="000B7728" w:rsidRDefault="00BA5704" w:rsidP="00686731">
            <w:pPr>
              <w:spacing w:after="0"/>
              <w:rPr>
                <w:sz w:val="24"/>
                <w:szCs w:val="24"/>
              </w:rPr>
            </w:pPr>
            <w:r w:rsidRPr="000B7728">
              <w:rPr>
                <w:szCs w:val="24"/>
              </w:rPr>
              <w:t xml:space="preserve">PRISMA extension </w:t>
            </w:r>
            <w:r w:rsidRPr="000B7728">
              <w:rPr>
                <w:szCs w:val="24"/>
              </w:rPr>
              <w:t>for Searching</w:t>
            </w:r>
          </w:p>
        </w:tc>
      </w:tr>
      <w:tr w:rsidR="00FE1719" w:rsidRPr="000B7728" w:rsidTr="000B7728">
        <w:trPr>
          <w:jc w:val="center"/>
        </w:trPr>
        <w:tc>
          <w:tcPr>
            <w:tcW w:w="3055" w:type="dxa"/>
            <w:vAlign w:val="center"/>
          </w:tcPr>
          <w:p w:rsidR="00FE1719" w:rsidRPr="000B7728" w:rsidRDefault="00BA5704" w:rsidP="00686731">
            <w:pPr>
              <w:spacing w:after="0"/>
              <w:rPr>
                <w:sz w:val="24"/>
                <w:szCs w:val="24"/>
              </w:rPr>
            </w:pPr>
            <w:r w:rsidRPr="000B7728">
              <w:rPr>
                <w:szCs w:val="24"/>
              </w:rPr>
              <w:t>UK</w:t>
            </w:r>
          </w:p>
        </w:tc>
        <w:tc>
          <w:tcPr>
            <w:tcW w:w="6295" w:type="dxa"/>
            <w:vAlign w:val="center"/>
          </w:tcPr>
          <w:p w:rsidR="00FE1719" w:rsidRPr="000B7728" w:rsidRDefault="00BA5704" w:rsidP="00686731">
            <w:pPr>
              <w:spacing w:after="0"/>
              <w:rPr>
                <w:sz w:val="24"/>
                <w:szCs w:val="24"/>
              </w:rPr>
            </w:pPr>
            <w:r w:rsidRPr="000B7728">
              <w:rPr>
                <w:szCs w:val="24"/>
              </w:rPr>
              <w:t>United Kingdom</w:t>
            </w:r>
          </w:p>
        </w:tc>
      </w:tr>
      <w:tr w:rsidR="00FE1719" w:rsidRPr="000B7728" w:rsidTr="000B7728">
        <w:trPr>
          <w:jc w:val="center"/>
        </w:trPr>
        <w:tc>
          <w:tcPr>
            <w:tcW w:w="3055" w:type="dxa"/>
            <w:vAlign w:val="center"/>
          </w:tcPr>
          <w:p w:rsidR="00FE1719" w:rsidRPr="000B7728" w:rsidRDefault="00BA5704" w:rsidP="00686731">
            <w:pPr>
              <w:spacing w:after="0"/>
              <w:rPr>
                <w:sz w:val="24"/>
                <w:szCs w:val="24"/>
              </w:rPr>
            </w:pPr>
            <w:r w:rsidRPr="000B7728">
              <w:rPr>
                <w:szCs w:val="24"/>
              </w:rPr>
              <w:t>YIAC</w:t>
            </w:r>
          </w:p>
        </w:tc>
        <w:tc>
          <w:tcPr>
            <w:tcW w:w="6295" w:type="dxa"/>
            <w:vAlign w:val="center"/>
          </w:tcPr>
          <w:p w:rsidR="00FE1719" w:rsidRPr="000B7728" w:rsidRDefault="00BA5704" w:rsidP="00686731">
            <w:pPr>
              <w:spacing w:after="0"/>
              <w:rPr>
                <w:sz w:val="24"/>
                <w:szCs w:val="24"/>
              </w:rPr>
            </w:pPr>
            <w:r w:rsidRPr="000B7728">
              <w:rPr>
                <w:szCs w:val="24"/>
              </w:rPr>
              <w:t>Youth Information, Advice and Counselling</w:t>
            </w:r>
          </w:p>
        </w:tc>
      </w:tr>
    </w:tbl>
    <w:p w:rsidR="00FE1719" w:rsidRDefault="00BA5704">
      <w:pPr>
        <w:spacing w:after="0"/>
        <w:jc w:val="left"/>
      </w:pPr>
      <w:r>
        <w:br w:type="page"/>
      </w:r>
    </w:p>
    <w:sdt>
      <w:sdtPr>
        <w:rPr>
          <w:rFonts w:ascii="Times New Roman" w:eastAsia="Times New Roman" w:hAnsi="Times New Roman" w:cstheme="minorBidi"/>
          <w:b w:val="0"/>
          <w:color w:val="auto"/>
          <w:sz w:val="24"/>
          <w:szCs w:val="22"/>
        </w:rPr>
        <w:id w:val="1936868362"/>
        <w:docPartObj>
          <w:docPartGallery w:val="Table of Contents"/>
          <w:docPartUnique/>
        </w:docPartObj>
      </w:sdtPr>
      <w:sdtEndPr>
        <w:rPr>
          <w:b/>
          <w:bCs/>
          <w:noProof/>
        </w:rPr>
      </w:sdtEndPr>
      <w:sdtContent>
        <w:p w:rsidR="00386FA8" w:rsidRPr="00B16549" w:rsidRDefault="00386FA8">
          <w:pPr>
            <w:pStyle w:val="TOCHeading"/>
            <w:spacing w:before="120"/>
            <w:rPr>
              <w:rFonts w:ascii="Arial" w:hAnsi="Arial" w:cs="Arial"/>
              <w:color w:val="auto"/>
            </w:rPr>
          </w:pPr>
          <w:r w:rsidRPr="00B16549">
            <w:rPr>
              <w:rFonts w:ascii="Arial" w:hAnsi="Arial" w:cs="Arial"/>
              <w:color w:val="auto"/>
            </w:rPr>
            <w:t>Table of Contents</w:t>
          </w:r>
        </w:p>
        <w:p w:rsidR="00B16549" w:rsidRDefault="00C65A08">
          <w:pPr>
            <w:pStyle w:val="TOC1"/>
            <w:tabs>
              <w:tab w:val="right" w:leader="dot" w:pos="8636"/>
            </w:tabs>
            <w:rPr>
              <w:rFonts w:asciiTheme="minorHAnsi" w:eastAsiaTheme="minorEastAsia" w:hAnsiTheme="minorHAnsi"/>
              <w:noProof/>
              <w:kern w:val="2"/>
              <w:sz w:val="24"/>
              <w:szCs w:val="24"/>
            </w:rPr>
          </w:pPr>
          <w:r w:rsidRPr="00C65A08">
            <w:fldChar w:fldCharType="begin"/>
          </w:r>
          <w:r w:rsidR="00386FA8">
            <w:instrText xml:space="preserve"> TOC \o "1-3" \h \z \u </w:instrText>
          </w:r>
          <w:r w:rsidRPr="00C65A08">
            <w:fldChar w:fldCharType="separate"/>
          </w:r>
          <w:hyperlink w:anchor="_Toc238727155" w:history="1">
            <w:r w:rsidR="00B16549" w:rsidRPr="00FA6638">
              <w:rPr>
                <w:rStyle w:val="Hyperlink"/>
                <w:noProof/>
              </w:rPr>
              <w:t>Declaration</w:t>
            </w:r>
            <w:r w:rsidR="00B16549">
              <w:rPr>
                <w:noProof/>
                <w:webHidden/>
              </w:rPr>
              <w:tab/>
            </w:r>
            <w:r>
              <w:rPr>
                <w:noProof/>
                <w:webHidden/>
              </w:rPr>
              <w:fldChar w:fldCharType="begin"/>
            </w:r>
            <w:r w:rsidR="00B16549">
              <w:rPr>
                <w:noProof/>
                <w:webHidden/>
              </w:rPr>
              <w:instrText xml:space="preserve"> PAGEREF _Toc238727155 \h </w:instrText>
            </w:r>
            <w:r>
              <w:rPr>
                <w:noProof/>
                <w:webHidden/>
              </w:rPr>
            </w:r>
            <w:r>
              <w:rPr>
                <w:noProof/>
                <w:webHidden/>
              </w:rPr>
              <w:fldChar w:fldCharType="separate"/>
            </w:r>
            <w:r w:rsidR="00B16549">
              <w:rPr>
                <w:noProof/>
                <w:webHidden/>
              </w:rPr>
              <w:t>i</w:t>
            </w:r>
            <w:r>
              <w:rPr>
                <w:noProof/>
                <w:webHidden/>
              </w:rPr>
              <w:fldChar w:fldCharType="end"/>
            </w:r>
          </w:hyperlink>
        </w:p>
        <w:p w:rsidR="00B16549" w:rsidRDefault="00C65A08">
          <w:pPr>
            <w:pStyle w:val="TOC1"/>
            <w:tabs>
              <w:tab w:val="right" w:leader="dot" w:pos="8636"/>
            </w:tabs>
            <w:rPr>
              <w:rFonts w:asciiTheme="minorHAnsi" w:eastAsiaTheme="minorEastAsia" w:hAnsiTheme="minorHAnsi"/>
              <w:noProof/>
              <w:kern w:val="2"/>
              <w:sz w:val="24"/>
              <w:szCs w:val="24"/>
            </w:rPr>
          </w:pPr>
          <w:hyperlink w:anchor="_Toc238727156" w:history="1">
            <w:r w:rsidR="00B16549" w:rsidRPr="00FA6638">
              <w:rPr>
                <w:rStyle w:val="Hyperlink"/>
                <w:noProof/>
              </w:rPr>
              <w:t>Acknowledgements</w:t>
            </w:r>
            <w:r w:rsidR="00B16549">
              <w:rPr>
                <w:noProof/>
                <w:webHidden/>
              </w:rPr>
              <w:tab/>
            </w:r>
            <w:r>
              <w:rPr>
                <w:noProof/>
                <w:webHidden/>
              </w:rPr>
              <w:fldChar w:fldCharType="begin"/>
            </w:r>
            <w:r w:rsidR="00B16549">
              <w:rPr>
                <w:noProof/>
                <w:webHidden/>
              </w:rPr>
              <w:instrText xml:space="preserve"> PAGEREF _Toc238727156 \h </w:instrText>
            </w:r>
            <w:r>
              <w:rPr>
                <w:noProof/>
                <w:webHidden/>
              </w:rPr>
            </w:r>
            <w:r>
              <w:rPr>
                <w:noProof/>
                <w:webHidden/>
              </w:rPr>
              <w:fldChar w:fldCharType="separate"/>
            </w:r>
            <w:r w:rsidR="00B16549">
              <w:rPr>
                <w:noProof/>
                <w:webHidden/>
              </w:rPr>
              <w:t>ii</w:t>
            </w:r>
            <w:r>
              <w:rPr>
                <w:noProof/>
                <w:webHidden/>
              </w:rPr>
              <w:fldChar w:fldCharType="end"/>
            </w:r>
          </w:hyperlink>
        </w:p>
        <w:p w:rsidR="00B16549" w:rsidRDefault="00C65A08">
          <w:pPr>
            <w:pStyle w:val="TOC1"/>
            <w:tabs>
              <w:tab w:val="right" w:leader="dot" w:pos="8636"/>
            </w:tabs>
            <w:rPr>
              <w:rFonts w:asciiTheme="minorHAnsi" w:eastAsiaTheme="minorEastAsia" w:hAnsiTheme="minorHAnsi"/>
              <w:noProof/>
              <w:kern w:val="2"/>
              <w:sz w:val="24"/>
              <w:szCs w:val="24"/>
            </w:rPr>
          </w:pPr>
          <w:hyperlink w:anchor="_Toc238727157" w:history="1">
            <w:r w:rsidR="00B16549" w:rsidRPr="00FA6638">
              <w:rPr>
                <w:rStyle w:val="Hyperlink"/>
                <w:noProof/>
              </w:rPr>
              <w:t>Abstract</w:t>
            </w:r>
            <w:r w:rsidR="00B16549">
              <w:rPr>
                <w:noProof/>
                <w:webHidden/>
              </w:rPr>
              <w:tab/>
            </w:r>
            <w:r>
              <w:rPr>
                <w:noProof/>
                <w:webHidden/>
              </w:rPr>
              <w:fldChar w:fldCharType="begin"/>
            </w:r>
            <w:r w:rsidR="00B16549">
              <w:rPr>
                <w:noProof/>
                <w:webHidden/>
              </w:rPr>
              <w:instrText xml:space="preserve"> PAGEREF _Toc238727157 \h </w:instrText>
            </w:r>
            <w:r>
              <w:rPr>
                <w:noProof/>
                <w:webHidden/>
              </w:rPr>
            </w:r>
            <w:r>
              <w:rPr>
                <w:noProof/>
                <w:webHidden/>
              </w:rPr>
              <w:fldChar w:fldCharType="separate"/>
            </w:r>
            <w:r w:rsidR="00B16549">
              <w:rPr>
                <w:noProof/>
                <w:webHidden/>
              </w:rPr>
              <w:t>iii</w:t>
            </w:r>
            <w:r>
              <w:rPr>
                <w:noProof/>
                <w:webHidden/>
              </w:rPr>
              <w:fldChar w:fldCharType="end"/>
            </w:r>
          </w:hyperlink>
        </w:p>
        <w:p w:rsidR="00B16549" w:rsidRDefault="00C65A08">
          <w:pPr>
            <w:pStyle w:val="TOC1"/>
            <w:tabs>
              <w:tab w:val="right" w:leader="dot" w:pos="8636"/>
            </w:tabs>
            <w:rPr>
              <w:rFonts w:asciiTheme="minorHAnsi" w:eastAsiaTheme="minorEastAsia" w:hAnsiTheme="minorHAnsi"/>
              <w:noProof/>
              <w:kern w:val="2"/>
              <w:sz w:val="24"/>
              <w:szCs w:val="24"/>
            </w:rPr>
          </w:pPr>
          <w:hyperlink w:anchor="_Toc238727158" w:history="1">
            <w:r w:rsidR="00B16549" w:rsidRPr="00FA6638">
              <w:rPr>
                <w:rStyle w:val="Hyperlink"/>
                <w:noProof/>
              </w:rPr>
              <w:t>List of Abbreviations</w:t>
            </w:r>
            <w:r w:rsidR="00B16549">
              <w:rPr>
                <w:noProof/>
                <w:webHidden/>
              </w:rPr>
              <w:tab/>
            </w:r>
            <w:r>
              <w:rPr>
                <w:noProof/>
                <w:webHidden/>
              </w:rPr>
              <w:fldChar w:fldCharType="begin"/>
            </w:r>
            <w:r w:rsidR="00B16549">
              <w:rPr>
                <w:noProof/>
                <w:webHidden/>
              </w:rPr>
              <w:instrText xml:space="preserve"> PAGEREF _Toc238727158 \h </w:instrText>
            </w:r>
            <w:r>
              <w:rPr>
                <w:noProof/>
                <w:webHidden/>
              </w:rPr>
            </w:r>
            <w:r>
              <w:rPr>
                <w:noProof/>
                <w:webHidden/>
              </w:rPr>
              <w:fldChar w:fldCharType="separate"/>
            </w:r>
            <w:r w:rsidR="00B16549">
              <w:rPr>
                <w:noProof/>
                <w:webHidden/>
              </w:rPr>
              <w:t>iv</w:t>
            </w:r>
            <w:r>
              <w:rPr>
                <w:noProof/>
                <w:webHidden/>
              </w:rPr>
              <w:fldChar w:fldCharType="end"/>
            </w:r>
          </w:hyperlink>
        </w:p>
        <w:p w:rsidR="00B16549" w:rsidRDefault="00C65A08">
          <w:pPr>
            <w:pStyle w:val="TOC1"/>
            <w:tabs>
              <w:tab w:val="right" w:leader="dot" w:pos="8636"/>
            </w:tabs>
            <w:rPr>
              <w:rFonts w:asciiTheme="minorHAnsi" w:eastAsiaTheme="minorEastAsia" w:hAnsiTheme="minorHAnsi"/>
              <w:noProof/>
              <w:kern w:val="2"/>
              <w:sz w:val="24"/>
              <w:szCs w:val="24"/>
            </w:rPr>
          </w:pPr>
          <w:hyperlink w:anchor="_Toc238727159" w:history="1">
            <w:r w:rsidR="00B16549" w:rsidRPr="00FA6638">
              <w:rPr>
                <w:rStyle w:val="Hyperlink"/>
                <w:noProof/>
              </w:rPr>
              <w:t>List of tables</w:t>
            </w:r>
            <w:r w:rsidR="00B16549">
              <w:rPr>
                <w:noProof/>
                <w:webHidden/>
              </w:rPr>
              <w:tab/>
            </w:r>
            <w:r>
              <w:rPr>
                <w:noProof/>
                <w:webHidden/>
              </w:rPr>
              <w:fldChar w:fldCharType="begin"/>
            </w:r>
            <w:r w:rsidR="00B16549">
              <w:rPr>
                <w:noProof/>
                <w:webHidden/>
              </w:rPr>
              <w:instrText xml:space="preserve"> PAGEREF _Toc238727159 \h </w:instrText>
            </w:r>
            <w:r>
              <w:rPr>
                <w:noProof/>
                <w:webHidden/>
              </w:rPr>
            </w:r>
            <w:r>
              <w:rPr>
                <w:noProof/>
                <w:webHidden/>
              </w:rPr>
              <w:fldChar w:fldCharType="separate"/>
            </w:r>
            <w:r w:rsidR="00B16549">
              <w:rPr>
                <w:noProof/>
                <w:webHidden/>
              </w:rPr>
              <w:t>viii</w:t>
            </w:r>
            <w:r>
              <w:rPr>
                <w:noProof/>
                <w:webHidden/>
              </w:rPr>
              <w:fldChar w:fldCharType="end"/>
            </w:r>
          </w:hyperlink>
        </w:p>
        <w:p w:rsidR="00B16549" w:rsidRDefault="00C65A08">
          <w:pPr>
            <w:pStyle w:val="TOC1"/>
            <w:tabs>
              <w:tab w:val="right" w:leader="dot" w:pos="8636"/>
            </w:tabs>
            <w:rPr>
              <w:rFonts w:asciiTheme="minorHAnsi" w:eastAsiaTheme="minorEastAsia" w:hAnsiTheme="minorHAnsi"/>
              <w:noProof/>
              <w:kern w:val="2"/>
              <w:sz w:val="24"/>
              <w:szCs w:val="24"/>
            </w:rPr>
          </w:pPr>
          <w:hyperlink w:anchor="_Toc238727160" w:history="1">
            <w:r w:rsidR="00B16549" w:rsidRPr="00FA6638">
              <w:rPr>
                <w:rStyle w:val="Hyperlink"/>
                <w:noProof/>
              </w:rPr>
              <w:t>Chapter 1. Introduction and Background</w:t>
            </w:r>
            <w:r w:rsidR="00B16549">
              <w:rPr>
                <w:noProof/>
                <w:webHidden/>
              </w:rPr>
              <w:tab/>
            </w:r>
            <w:r>
              <w:rPr>
                <w:noProof/>
                <w:webHidden/>
              </w:rPr>
              <w:fldChar w:fldCharType="begin"/>
            </w:r>
            <w:r w:rsidR="00B16549">
              <w:rPr>
                <w:noProof/>
                <w:webHidden/>
              </w:rPr>
              <w:instrText xml:space="preserve"> PAGEREF _Toc238727160 \h </w:instrText>
            </w:r>
            <w:r>
              <w:rPr>
                <w:noProof/>
                <w:webHidden/>
              </w:rPr>
            </w:r>
            <w:r>
              <w:rPr>
                <w:noProof/>
                <w:webHidden/>
              </w:rPr>
              <w:fldChar w:fldCharType="separate"/>
            </w:r>
            <w:r w:rsidR="00B16549">
              <w:rPr>
                <w:noProof/>
                <w:webHidden/>
              </w:rPr>
              <w:t>1</w:t>
            </w:r>
            <w:r>
              <w:rPr>
                <w:noProof/>
                <w:webHidden/>
              </w:rPr>
              <w:fldChar w:fldCharType="end"/>
            </w:r>
          </w:hyperlink>
        </w:p>
        <w:p w:rsidR="00B16549" w:rsidRDefault="00C65A08">
          <w:pPr>
            <w:pStyle w:val="TOC1"/>
            <w:tabs>
              <w:tab w:val="right" w:leader="dot" w:pos="8636"/>
            </w:tabs>
            <w:rPr>
              <w:rFonts w:asciiTheme="minorHAnsi" w:eastAsiaTheme="minorEastAsia" w:hAnsiTheme="minorHAnsi"/>
              <w:noProof/>
              <w:kern w:val="2"/>
              <w:sz w:val="24"/>
              <w:szCs w:val="24"/>
            </w:rPr>
          </w:pPr>
          <w:hyperlink w:anchor="_Toc238727161" w:history="1">
            <w:r w:rsidR="00B16549" w:rsidRPr="00FA6638">
              <w:rPr>
                <w:rStyle w:val="Hyperlink"/>
                <w:noProof/>
              </w:rPr>
              <w:t>Chapter 2. Literature Review</w:t>
            </w:r>
            <w:r w:rsidR="00B16549">
              <w:rPr>
                <w:noProof/>
                <w:webHidden/>
              </w:rPr>
              <w:tab/>
            </w:r>
            <w:r>
              <w:rPr>
                <w:noProof/>
                <w:webHidden/>
              </w:rPr>
              <w:fldChar w:fldCharType="begin"/>
            </w:r>
            <w:r w:rsidR="00B16549">
              <w:rPr>
                <w:noProof/>
                <w:webHidden/>
              </w:rPr>
              <w:instrText xml:space="preserve"> PAGEREF _Toc238727161 \h </w:instrText>
            </w:r>
            <w:r>
              <w:rPr>
                <w:noProof/>
                <w:webHidden/>
              </w:rPr>
            </w:r>
            <w:r>
              <w:rPr>
                <w:noProof/>
                <w:webHidden/>
              </w:rPr>
              <w:fldChar w:fldCharType="separate"/>
            </w:r>
            <w:r w:rsidR="00B16549">
              <w:rPr>
                <w:noProof/>
                <w:webHidden/>
              </w:rPr>
              <w:t>4</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62" w:history="1">
            <w:r w:rsidR="00B16549" w:rsidRPr="00FA6638">
              <w:rPr>
                <w:rStyle w:val="Hyperlink"/>
                <w:rFonts w:eastAsia="MS Gothic"/>
                <w:noProof/>
              </w:rPr>
              <w:t>2.1.</w:t>
            </w:r>
            <w:r w:rsidR="00B16549" w:rsidRPr="00FA6638">
              <w:rPr>
                <w:rStyle w:val="Hyperlink"/>
                <w:noProof/>
              </w:rPr>
              <w:t xml:space="preserve"> Introduction</w:t>
            </w:r>
            <w:r w:rsidR="00B16549">
              <w:rPr>
                <w:noProof/>
                <w:webHidden/>
              </w:rPr>
              <w:tab/>
            </w:r>
            <w:r>
              <w:rPr>
                <w:noProof/>
                <w:webHidden/>
              </w:rPr>
              <w:fldChar w:fldCharType="begin"/>
            </w:r>
            <w:r w:rsidR="00B16549">
              <w:rPr>
                <w:noProof/>
                <w:webHidden/>
              </w:rPr>
              <w:instrText xml:space="preserve"> PAGEREF _Toc238727162 \h </w:instrText>
            </w:r>
            <w:r>
              <w:rPr>
                <w:noProof/>
                <w:webHidden/>
              </w:rPr>
            </w:r>
            <w:r>
              <w:rPr>
                <w:noProof/>
                <w:webHidden/>
              </w:rPr>
              <w:fldChar w:fldCharType="separate"/>
            </w:r>
            <w:r w:rsidR="00B16549">
              <w:rPr>
                <w:noProof/>
                <w:webHidden/>
              </w:rPr>
              <w:t>4</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63" w:history="1">
            <w:r w:rsidR="00B16549" w:rsidRPr="00FA6638">
              <w:rPr>
                <w:rStyle w:val="Hyperlink"/>
                <w:rFonts w:eastAsia="MS Gothic"/>
                <w:noProof/>
              </w:rPr>
              <w:t>2.2.</w:t>
            </w:r>
            <w:r w:rsidR="00B16549" w:rsidRPr="00FA6638">
              <w:rPr>
                <w:rStyle w:val="Hyperlink"/>
                <w:noProof/>
              </w:rPr>
              <w:t xml:space="preserve"> Mental health need and service pressure among young people and young adults in the UK</w:t>
            </w:r>
            <w:r w:rsidR="00B16549">
              <w:rPr>
                <w:noProof/>
                <w:webHidden/>
              </w:rPr>
              <w:tab/>
            </w:r>
            <w:r>
              <w:rPr>
                <w:noProof/>
                <w:webHidden/>
              </w:rPr>
              <w:fldChar w:fldCharType="begin"/>
            </w:r>
            <w:r w:rsidR="00B16549">
              <w:rPr>
                <w:noProof/>
                <w:webHidden/>
              </w:rPr>
              <w:instrText xml:space="preserve"> PAGEREF _Toc238727163 \h </w:instrText>
            </w:r>
            <w:r>
              <w:rPr>
                <w:noProof/>
                <w:webHidden/>
              </w:rPr>
            </w:r>
            <w:r>
              <w:rPr>
                <w:noProof/>
                <w:webHidden/>
              </w:rPr>
              <w:fldChar w:fldCharType="separate"/>
            </w:r>
            <w:r w:rsidR="00B16549">
              <w:rPr>
                <w:noProof/>
                <w:webHidden/>
              </w:rPr>
              <w:t>4</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64" w:history="1">
            <w:r w:rsidR="00B16549" w:rsidRPr="00FA6638">
              <w:rPr>
                <w:rStyle w:val="Hyperlink"/>
                <w:rFonts w:eastAsia="MS Gothic"/>
                <w:noProof/>
              </w:rPr>
              <w:t>2.3.</w:t>
            </w:r>
            <w:r w:rsidR="00B16549" w:rsidRPr="00FA6638">
              <w:rPr>
                <w:rStyle w:val="Hyperlink"/>
                <w:noProof/>
              </w:rPr>
              <w:t xml:space="preserve"> Conceptualising access as a process</w:t>
            </w:r>
            <w:r w:rsidR="00B16549">
              <w:rPr>
                <w:noProof/>
                <w:webHidden/>
              </w:rPr>
              <w:tab/>
            </w:r>
            <w:r>
              <w:rPr>
                <w:noProof/>
                <w:webHidden/>
              </w:rPr>
              <w:fldChar w:fldCharType="begin"/>
            </w:r>
            <w:r w:rsidR="00B16549">
              <w:rPr>
                <w:noProof/>
                <w:webHidden/>
              </w:rPr>
              <w:instrText xml:space="preserve"> PAGEREF _Toc238727164 \h </w:instrText>
            </w:r>
            <w:r>
              <w:rPr>
                <w:noProof/>
                <w:webHidden/>
              </w:rPr>
            </w:r>
            <w:r>
              <w:rPr>
                <w:noProof/>
                <w:webHidden/>
              </w:rPr>
              <w:fldChar w:fldCharType="separate"/>
            </w:r>
            <w:r w:rsidR="00B16549">
              <w:rPr>
                <w:noProof/>
                <w:webHidden/>
              </w:rPr>
              <w:t>6</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65" w:history="1">
            <w:r w:rsidR="00B16549" w:rsidRPr="00FA6638">
              <w:rPr>
                <w:rStyle w:val="Hyperlink"/>
                <w:rFonts w:eastAsia="MS Gothic"/>
                <w:noProof/>
              </w:rPr>
              <w:t>2.4.</w:t>
            </w:r>
            <w:r w:rsidR="00B16549" w:rsidRPr="00FA6638">
              <w:rPr>
                <w:rStyle w:val="Hyperlink"/>
                <w:noProof/>
              </w:rPr>
              <w:t xml:space="preserve"> Structural and service-level barriers</w:t>
            </w:r>
            <w:r w:rsidR="00B16549">
              <w:rPr>
                <w:noProof/>
                <w:webHidden/>
              </w:rPr>
              <w:tab/>
            </w:r>
            <w:r>
              <w:rPr>
                <w:noProof/>
                <w:webHidden/>
              </w:rPr>
              <w:fldChar w:fldCharType="begin"/>
            </w:r>
            <w:r w:rsidR="00B16549">
              <w:rPr>
                <w:noProof/>
                <w:webHidden/>
              </w:rPr>
              <w:instrText xml:space="preserve"> PAGEREF _Toc238727165 \h </w:instrText>
            </w:r>
            <w:r>
              <w:rPr>
                <w:noProof/>
                <w:webHidden/>
              </w:rPr>
            </w:r>
            <w:r>
              <w:rPr>
                <w:noProof/>
                <w:webHidden/>
              </w:rPr>
              <w:fldChar w:fldCharType="separate"/>
            </w:r>
            <w:r w:rsidR="00B16549">
              <w:rPr>
                <w:noProof/>
                <w:webHidden/>
              </w:rPr>
              <w:t>7</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66" w:history="1">
            <w:r w:rsidR="00B16549" w:rsidRPr="00FA6638">
              <w:rPr>
                <w:rStyle w:val="Hyperlink"/>
                <w:noProof/>
              </w:rPr>
              <w:t>2.5. Social and cultural barriers to help-seeking</w:t>
            </w:r>
            <w:r w:rsidR="00B16549">
              <w:rPr>
                <w:noProof/>
                <w:webHidden/>
              </w:rPr>
              <w:tab/>
            </w:r>
            <w:r>
              <w:rPr>
                <w:noProof/>
                <w:webHidden/>
              </w:rPr>
              <w:fldChar w:fldCharType="begin"/>
            </w:r>
            <w:r w:rsidR="00B16549">
              <w:rPr>
                <w:noProof/>
                <w:webHidden/>
              </w:rPr>
              <w:instrText xml:space="preserve"> PAGEREF _Toc238727166 \h </w:instrText>
            </w:r>
            <w:r>
              <w:rPr>
                <w:noProof/>
                <w:webHidden/>
              </w:rPr>
            </w:r>
            <w:r>
              <w:rPr>
                <w:noProof/>
                <w:webHidden/>
              </w:rPr>
              <w:fldChar w:fldCharType="separate"/>
            </w:r>
            <w:r w:rsidR="00B16549">
              <w:rPr>
                <w:noProof/>
                <w:webHidden/>
              </w:rPr>
              <w:t>9</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67" w:history="1">
            <w:r w:rsidR="00B16549" w:rsidRPr="00FA6638">
              <w:rPr>
                <w:rStyle w:val="Hyperlink"/>
                <w:rFonts w:eastAsia="MS Gothic"/>
                <w:noProof/>
              </w:rPr>
              <w:t>2.6.</w:t>
            </w:r>
            <w:r w:rsidR="00B16549" w:rsidRPr="00FA6638">
              <w:rPr>
                <w:rStyle w:val="Hyperlink"/>
                <w:noProof/>
              </w:rPr>
              <w:t xml:space="preserve"> Early engagement, first contact and disengagement</w:t>
            </w:r>
            <w:r w:rsidR="00B16549">
              <w:rPr>
                <w:noProof/>
                <w:webHidden/>
              </w:rPr>
              <w:tab/>
            </w:r>
            <w:r>
              <w:rPr>
                <w:noProof/>
                <w:webHidden/>
              </w:rPr>
              <w:fldChar w:fldCharType="begin"/>
            </w:r>
            <w:r w:rsidR="00B16549">
              <w:rPr>
                <w:noProof/>
                <w:webHidden/>
              </w:rPr>
              <w:instrText xml:space="preserve"> PAGEREF _Toc238727167 \h </w:instrText>
            </w:r>
            <w:r>
              <w:rPr>
                <w:noProof/>
                <w:webHidden/>
              </w:rPr>
            </w:r>
            <w:r>
              <w:rPr>
                <w:noProof/>
                <w:webHidden/>
              </w:rPr>
              <w:fldChar w:fldCharType="separate"/>
            </w:r>
            <w:r w:rsidR="00B16549">
              <w:rPr>
                <w:noProof/>
                <w:webHidden/>
              </w:rPr>
              <w:t>10</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68" w:history="1">
            <w:r w:rsidR="00B16549" w:rsidRPr="00FA6638">
              <w:rPr>
                <w:rStyle w:val="Hyperlink"/>
                <w:rFonts w:eastAsia="MS Gothic"/>
                <w:noProof/>
              </w:rPr>
              <w:t>2.7.</w:t>
            </w:r>
            <w:r w:rsidR="00B16549" w:rsidRPr="00FA6638">
              <w:rPr>
                <w:rStyle w:val="Hyperlink"/>
                <w:noProof/>
              </w:rPr>
              <w:t xml:space="preserve"> Inequalities and intersectional barriers</w:t>
            </w:r>
            <w:r w:rsidR="00B16549">
              <w:rPr>
                <w:noProof/>
                <w:webHidden/>
              </w:rPr>
              <w:tab/>
            </w:r>
            <w:r>
              <w:rPr>
                <w:noProof/>
                <w:webHidden/>
              </w:rPr>
              <w:fldChar w:fldCharType="begin"/>
            </w:r>
            <w:r w:rsidR="00B16549">
              <w:rPr>
                <w:noProof/>
                <w:webHidden/>
              </w:rPr>
              <w:instrText xml:space="preserve"> PAGEREF _Toc238727168 \h </w:instrText>
            </w:r>
            <w:r>
              <w:rPr>
                <w:noProof/>
                <w:webHidden/>
              </w:rPr>
            </w:r>
            <w:r>
              <w:rPr>
                <w:noProof/>
                <w:webHidden/>
              </w:rPr>
              <w:fldChar w:fldCharType="separate"/>
            </w:r>
            <w:r w:rsidR="00B16549">
              <w:rPr>
                <w:noProof/>
                <w:webHidden/>
              </w:rPr>
              <w:t>12</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69" w:history="1">
            <w:r w:rsidR="00B16549" w:rsidRPr="00FA6638">
              <w:rPr>
                <w:rStyle w:val="Hyperlink"/>
                <w:rFonts w:eastAsia="MS Gothic"/>
                <w:noProof/>
              </w:rPr>
              <w:t>2.8.</w:t>
            </w:r>
            <w:r w:rsidR="00B16549" w:rsidRPr="00FA6638">
              <w:rPr>
                <w:rStyle w:val="Hyperlink"/>
                <w:noProof/>
              </w:rPr>
              <w:t xml:space="preserve"> Synthesis and literature gap</w:t>
            </w:r>
            <w:r w:rsidR="00B16549">
              <w:rPr>
                <w:noProof/>
                <w:webHidden/>
              </w:rPr>
              <w:tab/>
            </w:r>
            <w:r>
              <w:rPr>
                <w:noProof/>
                <w:webHidden/>
              </w:rPr>
              <w:fldChar w:fldCharType="begin"/>
            </w:r>
            <w:r w:rsidR="00B16549">
              <w:rPr>
                <w:noProof/>
                <w:webHidden/>
              </w:rPr>
              <w:instrText xml:space="preserve"> PAGEREF _Toc238727169 \h </w:instrText>
            </w:r>
            <w:r>
              <w:rPr>
                <w:noProof/>
                <w:webHidden/>
              </w:rPr>
            </w:r>
            <w:r>
              <w:rPr>
                <w:noProof/>
                <w:webHidden/>
              </w:rPr>
              <w:fldChar w:fldCharType="separate"/>
            </w:r>
            <w:r w:rsidR="00B16549">
              <w:rPr>
                <w:noProof/>
                <w:webHidden/>
              </w:rPr>
              <w:t>13</w:t>
            </w:r>
            <w:r>
              <w:rPr>
                <w:noProof/>
                <w:webHidden/>
              </w:rPr>
              <w:fldChar w:fldCharType="end"/>
            </w:r>
          </w:hyperlink>
        </w:p>
        <w:p w:rsidR="00B16549" w:rsidRDefault="00C65A08">
          <w:pPr>
            <w:pStyle w:val="TOC1"/>
            <w:tabs>
              <w:tab w:val="right" w:leader="dot" w:pos="8636"/>
            </w:tabs>
            <w:rPr>
              <w:rFonts w:asciiTheme="minorHAnsi" w:eastAsiaTheme="minorEastAsia" w:hAnsiTheme="minorHAnsi"/>
              <w:noProof/>
              <w:kern w:val="2"/>
              <w:sz w:val="24"/>
              <w:szCs w:val="24"/>
            </w:rPr>
          </w:pPr>
          <w:hyperlink w:anchor="_Toc238727170" w:history="1">
            <w:r w:rsidR="00B16549" w:rsidRPr="00FA6638">
              <w:rPr>
                <w:rStyle w:val="Hyperlink"/>
                <w:noProof/>
              </w:rPr>
              <w:t>Chapter 3. Methodology</w:t>
            </w:r>
            <w:r w:rsidR="00B16549">
              <w:rPr>
                <w:noProof/>
                <w:webHidden/>
              </w:rPr>
              <w:tab/>
            </w:r>
            <w:r>
              <w:rPr>
                <w:noProof/>
                <w:webHidden/>
              </w:rPr>
              <w:fldChar w:fldCharType="begin"/>
            </w:r>
            <w:r w:rsidR="00B16549">
              <w:rPr>
                <w:noProof/>
                <w:webHidden/>
              </w:rPr>
              <w:instrText xml:space="preserve"> PAGEREF _Toc238727170 \h </w:instrText>
            </w:r>
            <w:r>
              <w:rPr>
                <w:noProof/>
                <w:webHidden/>
              </w:rPr>
            </w:r>
            <w:r>
              <w:rPr>
                <w:noProof/>
                <w:webHidden/>
              </w:rPr>
              <w:fldChar w:fldCharType="separate"/>
            </w:r>
            <w:r w:rsidR="00B16549">
              <w:rPr>
                <w:noProof/>
                <w:webHidden/>
              </w:rPr>
              <w:t>15</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71" w:history="1">
            <w:r w:rsidR="00B16549" w:rsidRPr="00FA6638">
              <w:rPr>
                <w:rStyle w:val="Hyperlink"/>
                <w:noProof/>
              </w:rPr>
              <w:t>3.1. Introduction</w:t>
            </w:r>
            <w:r w:rsidR="00B16549">
              <w:rPr>
                <w:noProof/>
                <w:webHidden/>
              </w:rPr>
              <w:tab/>
            </w:r>
            <w:r>
              <w:rPr>
                <w:noProof/>
                <w:webHidden/>
              </w:rPr>
              <w:fldChar w:fldCharType="begin"/>
            </w:r>
            <w:r w:rsidR="00B16549">
              <w:rPr>
                <w:noProof/>
                <w:webHidden/>
              </w:rPr>
              <w:instrText xml:space="preserve"> PAGEREF _Toc238727171 \h </w:instrText>
            </w:r>
            <w:r>
              <w:rPr>
                <w:noProof/>
                <w:webHidden/>
              </w:rPr>
            </w:r>
            <w:r>
              <w:rPr>
                <w:noProof/>
                <w:webHidden/>
              </w:rPr>
              <w:fldChar w:fldCharType="separate"/>
            </w:r>
            <w:r w:rsidR="00B16549">
              <w:rPr>
                <w:noProof/>
                <w:webHidden/>
              </w:rPr>
              <w:t>15</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72" w:history="1">
            <w:r w:rsidR="00B16549" w:rsidRPr="00FA6638">
              <w:rPr>
                <w:rStyle w:val="Hyperlink"/>
                <w:noProof/>
              </w:rPr>
              <w:t>3.2. Methodological Approach and Review Design</w:t>
            </w:r>
            <w:r w:rsidR="00B16549">
              <w:rPr>
                <w:noProof/>
                <w:webHidden/>
              </w:rPr>
              <w:tab/>
            </w:r>
            <w:r>
              <w:rPr>
                <w:noProof/>
                <w:webHidden/>
              </w:rPr>
              <w:fldChar w:fldCharType="begin"/>
            </w:r>
            <w:r w:rsidR="00B16549">
              <w:rPr>
                <w:noProof/>
                <w:webHidden/>
              </w:rPr>
              <w:instrText xml:space="preserve"> PAGEREF _Toc238727172 \h </w:instrText>
            </w:r>
            <w:r>
              <w:rPr>
                <w:noProof/>
                <w:webHidden/>
              </w:rPr>
            </w:r>
            <w:r>
              <w:rPr>
                <w:noProof/>
                <w:webHidden/>
              </w:rPr>
              <w:fldChar w:fldCharType="separate"/>
            </w:r>
            <w:r w:rsidR="00B16549">
              <w:rPr>
                <w:noProof/>
                <w:webHidden/>
              </w:rPr>
              <w:t>15</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73" w:history="1">
            <w:r w:rsidR="00B16549" w:rsidRPr="00FA6638">
              <w:rPr>
                <w:rStyle w:val="Hyperlink"/>
                <w:noProof/>
              </w:rPr>
              <w:t>3.3. Review Question and PICo Framework</w:t>
            </w:r>
            <w:r w:rsidR="00B16549">
              <w:rPr>
                <w:noProof/>
                <w:webHidden/>
              </w:rPr>
              <w:tab/>
            </w:r>
            <w:r>
              <w:rPr>
                <w:noProof/>
                <w:webHidden/>
              </w:rPr>
              <w:fldChar w:fldCharType="begin"/>
            </w:r>
            <w:r w:rsidR="00B16549">
              <w:rPr>
                <w:noProof/>
                <w:webHidden/>
              </w:rPr>
              <w:instrText xml:space="preserve"> PAGEREF _Toc238727173 \h </w:instrText>
            </w:r>
            <w:r>
              <w:rPr>
                <w:noProof/>
                <w:webHidden/>
              </w:rPr>
            </w:r>
            <w:r>
              <w:rPr>
                <w:noProof/>
                <w:webHidden/>
              </w:rPr>
              <w:fldChar w:fldCharType="separate"/>
            </w:r>
            <w:r w:rsidR="00B16549">
              <w:rPr>
                <w:noProof/>
                <w:webHidden/>
              </w:rPr>
              <w:t>16</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74" w:history="1">
            <w:r w:rsidR="00B16549" w:rsidRPr="00FA6638">
              <w:rPr>
                <w:rStyle w:val="Hyperlink"/>
                <w:noProof/>
              </w:rPr>
              <w:t>3.4. Review Protocol and Reporting Framework</w:t>
            </w:r>
            <w:r w:rsidR="00B16549">
              <w:rPr>
                <w:noProof/>
                <w:webHidden/>
              </w:rPr>
              <w:tab/>
            </w:r>
            <w:r>
              <w:rPr>
                <w:noProof/>
                <w:webHidden/>
              </w:rPr>
              <w:fldChar w:fldCharType="begin"/>
            </w:r>
            <w:r w:rsidR="00B16549">
              <w:rPr>
                <w:noProof/>
                <w:webHidden/>
              </w:rPr>
              <w:instrText xml:space="preserve"> PAGEREF _Toc238727174 \h </w:instrText>
            </w:r>
            <w:r>
              <w:rPr>
                <w:noProof/>
                <w:webHidden/>
              </w:rPr>
            </w:r>
            <w:r>
              <w:rPr>
                <w:noProof/>
                <w:webHidden/>
              </w:rPr>
              <w:fldChar w:fldCharType="separate"/>
            </w:r>
            <w:r w:rsidR="00B16549">
              <w:rPr>
                <w:noProof/>
                <w:webHidden/>
              </w:rPr>
              <w:t>17</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75" w:history="1">
            <w:r w:rsidR="00B16549" w:rsidRPr="00FA6638">
              <w:rPr>
                <w:rStyle w:val="Hyperlink"/>
                <w:noProof/>
              </w:rPr>
              <w:t>3.5. Information Sources and Search Strategy</w:t>
            </w:r>
            <w:r w:rsidR="00B16549">
              <w:rPr>
                <w:noProof/>
                <w:webHidden/>
              </w:rPr>
              <w:tab/>
            </w:r>
            <w:r>
              <w:rPr>
                <w:noProof/>
                <w:webHidden/>
              </w:rPr>
              <w:fldChar w:fldCharType="begin"/>
            </w:r>
            <w:r w:rsidR="00B16549">
              <w:rPr>
                <w:noProof/>
                <w:webHidden/>
              </w:rPr>
              <w:instrText xml:space="preserve"> PAGEREF _Toc238727175 \h </w:instrText>
            </w:r>
            <w:r>
              <w:rPr>
                <w:noProof/>
                <w:webHidden/>
              </w:rPr>
            </w:r>
            <w:r>
              <w:rPr>
                <w:noProof/>
                <w:webHidden/>
              </w:rPr>
              <w:fldChar w:fldCharType="separate"/>
            </w:r>
            <w:r w:rsidR="00B16549">
              <w:rPr>
                <w:noProof/>
                <w:webHidden/>
              </w:rPr>
              <w:t>17</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76" w:history="1">
            <w:r w:rsidR="00B16549" w:rsidRPr="00FA6638">
              <w:rPr>
                <w:rStyle w:val="Hyperlink"/>
                <w:noProof/>
              </w:rPr>
              <w:t>3.6. Eligibility Criteria</w:t>
            </w:r>
            <w:r w:rsidR="00B16549">
              <w:rPr>
                <w:noProof/>
                <w:webHidden/>
              </w:rPr>
              <w:tab/>
            </w:r>
            <w:r>
              <w:rPr>
                <w:noProof/>
                <w:webHidden/>
              </w:rPr>
              <w:fldChar w:fldCharType="begin"/>
            </w:r>
            <w:r w:rsidR="00B16549">
              <w:rPr>
                <w:noProof/>
                <w:webHidden/>
              </w:rPr>
              <w:instrText xml:space="preserve"> PAGEREF _Toc238727176 \h </w:instrText>
            </w:r>
            <w:r>
              <w:rPr>
                <w:noProof/>
                <w:webHidden/>
              </w:rPr>
            </w:r>
            <w:r>
              <w:rPr>
                <w:noProof/>
                <w:webHidden/>
              </w:rPr>
              <w:fldChar w:fldCharType="separate"/>
            </w:r>
            <w:r w:rsidR="00B16549">
              <w:rPr>
                <w:noProof/>
                <w:webHidden/>
              </w:rPr>
              <w:t>19</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77" w:history="1">
            <w:r w:rsidR="00B16549" w:rsidRPr="00FA6638">
              <w:rPr>
                <w:rStyle w:val="Hyperlink"/>
                <w:noProof/>
              </w:rPr>
              <w:t>3.7. Study Identification and Selection</w:t>
            </w:r>
            <w:r w:rsidR="00B16549">
              <w:rPr>
                <w:noProof/>
                <w:webHidden/>
              </w:rPr>
              <w:tab/>
            </w:r>
            <w:r>
              <w:rPr>
                <w:noProof/>
                <w:webHidden/>
              </w:rPr>
              <w:fldChar w:fldCharType="begin"/>
            </w:r>
            <w:r w:rsidR="00B16549">
              <w:rPr>
                <w:noProof/>
                <w:webHidden/>
              </w:rPr>
              <w:instrText xml:space="preserve"> PAGEREF _Toc238727177 \h </w:instrText>
            </w:r>
            <w:r>
              <w:rPr>
                <w:noProof/>
                <w:webHidden/>
              </w:rPr>
            </w:r>
            <w:r>
              <w:rPr>
                <w:noProof/>
                <w:webHidden/>
              </w:rPr>
              <w:fldChar w:fldCharType="separate"/>
            </w:r>
            <w:r w:rsidR="00B16549">
              <w:rPr>
                <w:noProof/>
                <w:webHidden/>
              </w:rPr>
              <w:t>20</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78" w:history="1">
            <w:r w:rsidR="00B16549" w:rsidRPr="00FA6638">
              <w:rPr>
                <w:rStyle w:val="Hyperlink"/>
                <w:noProof/>
              </w:rPr>
              <w:t>3.8. Critical Appraisal of Included Studies</w:t>
            </w:r>
            <w:r w:rsidR="00B16549">
              <w:rPr>
                <w:noProof/>
                <w:webHidden/>
              </w:rPr>
              <w:tab/>
            </w:r>
            <w:r>
              <w:rPr>
                <w:noProof/>
                <w:webHidden/>
              </w:rPr>
              <w:fldChar w:fldCharType="begin"/>
            </w:r>
            <w:r w:rsidR="00B16549">
              <w:rPr>
                <w:noProof/>
                <w:webHidden/>
              </w:rPr>
              <w:instrText xml:space="preserve"> PAGEREF _Toc238727178 \h </w:instrText>
            </w:r>
            <w:r>
              <w:rPr>
                <w:noProof/>
                <w:webHidden/>
              </w:rPr>
            </w:r>
            <w:r>
              <w:rPr>
                <w:noProof/>
                <w:webHidden/>
              </w:rPr>
              <w:fldChar w:fldCharType="separate"/>
            </w:r>
            <w:r w:rsidR="00B16549">
              <w:rPr>
                <w:noProof/>
                <w:webHidden/>
              </w:rPr>
              <w:t>21</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79" w:history="1">
            <w:r w:rsidR="00B16549" w:rsidRPr="00FA6638">
              <w:rPr>
                <w:rStyle w:val="Hyperlink"/>
                <w:noProof/>
              </w:rPr>
              <w:t>3.9. Data Extraction</w:t>
            </w:r>
            <w:r w:rsidR="00B16549">
              <w:rPr>
                <w:noProof/>
                <w:webHidden/>
              </w:rPr>
              <w:tab/>
            </w:r>
            <w:r>
              <w:rPr>
                <w:noProof/>
                <w:webHidden/>
              </w:rPr>
              <w:fldChar w:fldCharType="begin"/>
            </w:r>
            <w:r w:rsidR="00B16549">
              <w:rPr>
                <w:noProof/>
                <w:webHidden/>
              </w:rPr>
              <w:instrText xml:space="preserve"> PAGEREF _Toc238727179 \h </w:instrText>
            </w:r>
            <w:r>
              <w:rPr>
                <w:noProof/>
                <w:webHidden/>
              </w:rPr>
            </w:r>
            <w:r>
              <w:rPr>
                <w:noProof/>
                <w:webHidden/>
              </w:rPr>
              <w:fldChar w:fldCharType="separate"/>
            </w:r>
            <w:r w:rsidR="00B16549">
              <w:rPr>
                <w:noProof/>
                <w:webHidden/>
              </w:rPr>
              <w:t>21</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80" w:history="1">
            <w:r w:rsidR="00B16549" w:rsidRPr="00FA6638">
              <w:rPr>
                <w:rStyle w:val="Hyperlink"/>
                <w:noProof/>
              </w:rPr>
              <w:t>3.10. Data Synthesis and Analysis</w:t>
            </w:r>
            <w:r w:rsidR="00B16549">
              <w:rPr>
                <w:noProof/>
                <w:webHidden/>
              </w:rPr>
              <w:tab/>
            </w:r>
            <w:r>
              <w:rPr>
                <w:noProof/>
                <w:webHidden/>
              </w:rPr>
              <w:fldChar w:fldCharType="begin"/>
            </w:r>
            <w:r w:rsidR="00B16549">
              <w:rPr>
                <w:noProof/>
                <w:webHidden/>
              </w:rPr>
              <w:instrText xml:space="preserve"> PAGEREF _Toc238727180 \h </w:instrText>
            </w:r>
            <w:r>
              <w:rPr>
                <w:noProof/>
                <w:webHidden/>
              </w:rPr>
            </w:r>
            <w:r>
              <w:rPr>
                <w:noProof/>
                <w:webHidden/>
              </w:rPr>
              <w:fldChar w:fldCharType="separate"/>
            </w:r>
            <w:r w:rsidR="00B16549">
              <w:rPr>
                <w:noProof/>
                <w:webHidden/>
              </w:rPr>
              <w:t>22</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81" w:history="1">
            <w:r w:rsidR="00B16549" w:rsidRPr="00FA6638">
              <w:rPr>
                <w:rStyle w:val="Hyperlink"/>
                <w:noProof/>
              </w:rPr>
              <w:t>3.11. Rigour, Trustworthiness and Reflexivity</w:t>
            </w:r>
            <w:r w:rsidR="00B16549">
              <w:rPr>
                <w:noProof/>
                <w:webHidden/>
              </w:rPr>
              <w:tab/>
            </w:r>
            <w:r>
              <w:rPr>
                <w:noProof/>
                <w:webHidden/>
              </w:rPr>
              <w:fldChar w:fldCharType="begin"/>
            </w:r>
            <w:r w:rsidR="00B16549">
              <w:rPr>
                <w:noProof/>
                <w:webHidden/>
              </w:rPr>
              <w:instrText xml:space="preserve"> PAGEREF _Toc238727181 \h </w:instrText>
            </w:r>
            <w:r>
              <w:rPr>
                <w:noProof/>
                <w:webHidden/>
              </w:rPr>
            </w:r>
            <w:r>
              <w:rPr>
                <w:noProof/>
                <w:webHidden/>
              </w:rPr>
              <w:fldChar w:fldCharType="separate"/>
            </w:r>
            <w:r w:rsidR="00B16549">
              <w:rPr>
                <w:noProof/>
                <w:webHidden/>
              </w:rPr>
              <w:t>23</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82" w:history="1">
            <w:r w:rsidR="00B16549" w:rsidRPr="00FA6638">
              <w:rPr>
                <w:rStyle w:val="Hyperlink"/>
                <w:noProof/>
              </w:rPr>
              <w:t>3.12. Ethical Considerations and Data Management</w:t>
            </w:r>
            <w:r w:rsidR="00B16549">
              <w:rPr>
                <w:noProof/>
                <w:webHidden/>
              </w:rPr>
              <w:tab/>
            </w:r>
            <w:r>
              <w:rPr>
                <w:noProof/>
                <w:webHidden/>
              </w:rPr>
              <w:fldChar w:fldCharType="begin"/>
            </w:r>
            <w:r w:rsidR="00B16549">
              <w:rPr>
                <w:noProof/>
                <w:webHidden/>
              </w:rPr>
              <w:instrText xml:space="preserve"> PAGEREF _Toc238727182 \h </w:instrText>
            </w:r>
            <w:r>
              <w:rPr>
                <w:noProof/>
                <w:webHidden/>
              </w:rPr>
            </w:r>
            <w:r>
              <w:rPr>
                <w:noProof/>
                <w:webHidden/>
              </w:rPr>
              <w:fldChar w:fldCharType="separate"/>
            </w:r>
            <w:r w:rsidR="00B16549">
              <w:rPr>
                <w:noProof/>
                <w:webHidden/>
              </w:rPr>
              <w:t>24</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83" w:history="1">
            <w:r w:rsidR="00B16549" w:rsidRPr="00FA6638">
              <w:rPr>
                <w:rStyle w:val="Hyperlink"/>
                <w:noProof/>
              </w:rPr>
              <w:t>3.13. Methodological Strengths and Limitations</w:t>
            </w:r>
            <w:r w:rsidR="00B16549">
              <w:rPr>
                <w:noProof/>
                <w:webHidden/>
              </w:rPr>
              <w:tab/>
            </w:r>
            <w:r>
              <w:rPr>
                <w:noProof/>
                <w:webHidden/>
              </w:rPr>
              <w:fldChar w:fldCharType="begin"/>
            </w:r>
            <w:r w:rsidR="00B16549">
              <w:rPr>
                <w:noProof/>
                <w:webHidden/>
              </w:rPr>
              <w:instrText xml:space="preserve"> PAGEREF _Toc238727183 \h </w:instrText>
            </w:r>
            <w:r>
              <w:rPr>
                <w:noProof/>
                <w:webHidden/>
              </w:rPr>
            </w:r>
            <w:r>
              <w:rPr>
                <w:noProof/>
                <w:webHidden/>
              </w:rPr>
              <w:fldChar w:fldCharType="separate"/>
            </w:r>
            <w:r w:rsidR="00B16549">
              <w:rPr>
                <w:noProof/>
                <w:webHidden/>
              </w:rPr>
              <w:t>24</w:t>
            </w:r>
            <w:r>
              <w:rPr>
                <w:noProof/>
                <w:webHidden/>
              </w:rPr>
              <w:fldChar w:fldCharType="end"/>
            </w:r>
          </w:hyperlink>
        </w:p>
        <w:p w:rsidR="00B16549" w:rsidRDefault="00C65A08">
          <w:pPr>
            <w:pStyle w:val="TOC1"/>
            <w:tabs>
              <w:tab w:val="right" w:leader="dot" w:pos="8636"/>
            </w:tabs>
            <w:rPr>
              <w:rFonts w:asciiTheme="minorHAnsi" w:eastAsiaTheme="minorEastAsia" w:hAnsiTheme="minorHAnsi"/>
              <w:noProof/>
              <w:kern w:val="2"/>
              <w:sz w:val="24"/>
              <w:szCs w:val="24"/>
            </w:rPr>
          </w:pPr>
          <w:hyperlink w:anchor="_Toc238727184" w:history="1">
            <w:r w:rsidR="00B16549" w:rsidRPr="00FA6638">
              <w:rPr>
                <w:rStyle w:val="Hyperlink"/>
                <w:noProof/>
              </w:rPr>
              <w:t>Chapter 4. Data Extraction and Evaluation</w:t>
            </w:r>
            <w:r w:rsidR="00B16549">
              <w:rPr>
                <w:noProof/>
                <w:webHidden/>
              </w:rPr>
              <w:tab/>
            </w:r>
            <w:r>
              <w:rPr>
                <w:noProof/>
                <w:webHidden/>
              </w:rPr>
              <w:fldChar w:fldCharType="begin"/>
            </w:r>
            <w:r w:rsidR="00B16549">
              <w:rPr>
                <w:noProof/>
                <w:webHidden/>
              </w:rPr>
              <w:instrText xml:space="preserve"> PAGEREF _Toc238727184 \h </w:instrText>
            </w:r>
            <w:r>
              <w:rPr>
                <w:noProof/>
                <w:webHidden/>
              </w:rPr>
            </w:r>
            <w:r>
              <w:rPr>
                <w:noProof/>
                <w:webHidden/>
              </w:rPr>
              <w:fldChar w:fldCharType="separate"/>
            </w:r>
            <w:r w:rsidR="00B16549">
              <w:rPr>
                <w:noProof/>
                <w:webHidden/>
              </w:rPr>
              <w:t>25</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85" w:history="1">
            <w:r w:rsidR="00B16549" w:rsidRPr="00FA6638">
              <w:rPr>
                <w:rStyle w:val="Hyperlink"/>
                <w:noProof/>
              </w:rPr>
              <w:t>4.1. Introduction</w:t>
            </w:r>
            <w:r w:rsidR="00B16549">
              <w:rPr>
                <w:noProof/>
                <w:webHidden/>
              </w:rPr>
              <w:tab/>
            </w:r>
            <w:r>
              <w:rPr>
                <w:noProof/>
                <w:webHidden/>
              </w:rPr>
              <w:fldChar w:fldCharType="begin"/>
            </w:r>
            <w:r w:rsidR="00B16549">
              <w:rPr>
                <w:noProof/>
                <w:webHidden/>
              </w:rPr>
              <w:instrText xml:space="preserve"> PAGEREF _Toc238727185 \h </w:instrText>
            </w:r>
            <w:r>
              <w:rPr>
                <w:noProof/>
                <w:webHidden/>
              </w:rPr>
            </w:r>
            <w:r>
              <w:rPr>
                <w:noProof/>
                <w:webHidden/>
              </w:rPr>
              <w:fldChar w:fldCharType="separate"/>
            </w:r>
            <w:r w:rsidR="00B16549">
              <w:rPr>
                <w:noProof/>
                <w:webHidden/>
              </w:rPr>
              <w:t>25</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86" w:history="1">
            <w:r w:rsidR="00B16549" w:rsidRPr="00FA6638">
              <w:rPr>
                <w:rStyle w:val="Hyperlink"/>
                <w:noProof/>
              </w:rPr>
              <w:t>4.2. Data Extraction and Study Characteristics</w:t>
            </w:r>
            <w:r w:rsidR="00B16549">
              <w:rPr>
                <w:noProof/>
                <w:webHidden/>
              </w:rPr>
              <w:tab/>
            </w:r>
            <w:r>
              <w:rPr>
                <w:noProof/>
                <w:webHidden/>
              </w:rPr>
              <w:fldChar w:fldCharType="begin"/>
            </w:r>
            <w:r w:rsidR="00B16549">
              <w:rPr>
                <w:noProof/>
                <w:webHidden/>
              </w:rPr>
              <w:instrText xml:space="preserve"> PAGEREF _Toc238727186 \h </w:instrText>
            </w:r>
            <w:r>
              <w:rPr>
                <w:noProof/>
                <w:webHidden/>
              </w:rPr>
            </w:r>
            <w:r>
              <w:rPr>
                <w:noProof/>
                <w:webHidden/>
              </w:rPr>
              <w:fldChar w:fldCharType="separate"/>
            </w:r>
            <w:r w:rsidR="00B16549">
              <w:rPr>
                <w:noProof/>
                <w:webHidden/>
              </w:rPr>
              <w:t>25</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87" w:history="1">
            <w:r w:rsidR="00B16549" w:rsidRPr="00FA6638">
              <w:rPr>
                <w:rStyle w:val="Hyperlink"/>
                <w:noProof/>
              </w:rPr>
              <w:t>4.3. Critical Appraisal and Quality Assessment</w:t>
            </w:r>
            <w:r w:rsidR="00B16549">
              <w:rPr>
                <w:noProof/>
                <w:webHidden/>
              </w:rPr>
              <w:tab/>
            </w:r>
            <w:r>
              <w:rPr>
                <w:noProof/>
                <w:webHidden/>
              </w:rPr>
              <w:fldChar w:fldCharType="begin"/>
            </w:r>
            <w:r w:rsidR="00B16549">
              <w:rPr>
                <w:noProof/>
                <w:webHidden/>
              </w:rPr>
              <w:instrText xml:space="preserve"> PAGEREF _Toc238727187 \h </w:instrText>
            </w:r>
            <w:r>
              <w:rPr>
                <w:noProof/>
                <w:webHidden/>
              </w:rPr>
            </w:r>
            <w:r>
              <w:rPr>
                <w:noProof/>
                <w:webHidden/>
              </w:rPr>
              <w:fldChar w:fldCharType="separate"/>
            </w:r>
            <w:r w:rsidR="00B16549">
              <w:rPr>
                <w:noProof/>
                <w:webHidden/>
              </w:rPr>
              <w:t>28</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88" w:history="1">
            <w:r w:rsidR="00B16549" w:rsidRPr="00FA6638">
              <w:rPr>
                <w:rStyle w:val="Hyperlink"/>
                <w:noProof/>
              </w:rPr>
              <w:t>4.4. Critical Appraisal Tools</w:t>
            </w:r>
            <w:r w:rsidR="00B16549">
              <w:rPr>
                <w:noProof/>
                <w:webHidden/>
              </w:rPr>
              <w:tab/>
            </w:r>
            <w:r>
              <w:rPr>
                <w:noProof/>
                <w:webHidden/>
              </w:rPr>
              <w:fldChar w:fldCharType="begin"/>
            </w:r>
            <w:r w:rsidR="00B16549">
              <w:rPr>
                <w:noProof/>
                <w:webHidden/>
              </w:rPr>
              <w:instrText xml:space="preserve"> PAGEREF _Toc238727188 \h </w:instrText>
            </w:r>
            <w:r>
              <w:rPr>
                <w:noProof/>
                <w:webHidden/>
              </w:rPr>
            </w:r>
            <w:r>
              <w:rPr>
                <w:noProof/>
                <w:webHidden/>
              </w:rPr>
              <w:fldChar w:fldCharType="separate"/>
            </w:r>
            <w:r w:rsidR="00B16549">
              <w:rPr>
                <w:noProof/>
                <w:webHidden/>
              </w:rPr>
              <w:t>30</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89" w:history="1">
            <w:r w:rsidR="00B16549" w:rsidRPr="00FA6638">
              <w:rPr>
                <w:rStyle w:val="Hyperlink"/>
                <w:noProof/>
              </w:rPr>
              <w:t>4.5. Evaluation of the Qualitative Studies</w:t>
            </w:r>
            <w:r w:rsidR="00B16549">
              <w:rPr>
                <w:noProof/>
                <w:webHidden/>
              </w:rPr>
              <w:tab/>
            </w:r>
            <w:r>
              <w:rPr>
                <w:noProof/>
                <w:webHidden/>
              </w:rPr>
              <w:fldChar w:fldCharType="begin"/>
            </w:r>
            <w:r w:rsidR="00B16549">
              <w:rPr>
                <w:noProof/>
                <w:webHidden/>
              </w:rPr>
              <w:instrText xml:space="preserve"> PAGEREF _Toc238727189 \h </w:instrText>
            </w:r>
            <w:r>
              <w:rPr>
                <w:noProof/>
                <w:webHidden/>
              </w:rPr>
            </w:r>
            <w:r>
              <w:rPr>
                <w:noProof/>
                <w:webHidden/>
              </w:rPr>
              <w:fldChar w:fldCharType="separate"/>
            </w:r>
            <w:r w:rsidR="00B16549">
              <w:rPr>
                <w:noProof/>
                <w:webHidden/>
              </w:rPr>
              <w:t>31</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90" w:history="1">
            <w:r w:rsidR="00B16549" w:rsidRPr="00FA6638">
              <w:rPr>
                <w:rStyle w:val="Hyperlink"/>
                <w:noProof/>
              </w:rPr>
              <w:t>4.6. Evaluation of the Mixed-Methods Study</w:t>
            </w:r>
            <w:r w:rsidR="00B16549">
              <w:rPr>
                <w:noProof/>
                <w:webHidden/>
              </w:rPr>
              <w:tab/>
            </w:r>
            <w:r>
              <w:rPr>
                <w:noProof/>
                <w:webHidden/>
              </w:rPr>
              <w:fldChar w:fldCharType="begin"/>
            </w:r>
            <w:r w:rsidR="00B16549">
              <w:rPr>
                <w:noProof/>
                <w:webHidden/>
              </w:rPr>
              <w:instrText xml:space="preserve"> PAGEREF _Toc238727190 \h </w:instrText>
            </w:r>
            <w:r>
              <w:rPr>
                <w:noProof/>
                <w:webHidden/>
              </w:rPr>
            </w:r>
            <w:r>
              <w:rPr>
                <w:noProof/>
                <w:webHidden/>
              </w:rPr>
              <w:fldChar w:fldCharType="separate"/>
            </w:r>
            <w:r w:rsidR="00B16549">
              <w:rPr>
                <w:noProof/>
                <w:webHidden/>
              </w:rPr>
              <w:t>32</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91" w:history="1">
            <w:r w:rsidR="00B16549" w:rsidRPr="00FA6638">
              <w:rPr>
                <w:rStyle w:val="Hyperlink"/>
                <w:noProof/>
              </w:rPr>
              <w:t>4.7. Overall Quality of the Evidence Base</w:t>
            </w:r>
            <w:r w:rsidR="00B16549">
              <w:rPr>
                <w:noProof/>
                <w:webHidden/>
              </w:rPr>
              <w:tab/>
            </w:r>
            <w:r>
              <w:rPr>
                <w:noProof/>
                <w:webHidden/>
              </w:rPr>
              <w:fldChar w:fldCharType="begin"/>
            </w:r>
            <w:r w:rsidR="00B16549">
              <w:rPr>
                <w:noProof/>
                <w:webHidden/>
              </w:rPr>
              <w:instrText xml:space="preserve"> PAGEREF _Toc238727191 \h </w:instrText>
            </w:r>
            <w:r>
              <w:rPr>
                <w:noProof/>
                <w:webHidden/>
              </w:rPr>
            </w:r>
            <w:r>
              <w:rPr>
                <w:noProof/>
                <w:webHidden/>
              </w:rPr>
              <w:fldChar w:fldCharType="separate"/>
            </w:r>
            <w:r w:rsidR="00B16549">
              <w:rPr>
                <w:noProof/>
                <w:webHidden/>
              </w:rPr>
              <w:t>33</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92" w:history="1">
            <w:r w:rsidR="00B16549" w:rsidRPr="00FA6638">
              <w:rPr>
                <w:rStyle w:val="Hyperlink"/>
                <w:noProof/>
              </w:rPr>
              <w:t>4.8. Chapter Summary</w:t>
            </w:r>
            <w:r w:rsidR="00B16549">
              <w:rPr>
                <w:noProof/>
                <w:webHidden/>
              </w:rPr>
              <w:tab/>
            </w:r>
            <w:r>
              <w:rPr>
                <w:noProof/>
                <w:webHidden/>
              </w:rPr>
              <w:fldChar w:fldCharType="begin"/>
            </w:r>
            <w:r w:rsidR="00B16549">
              <w:rPr>
                <w:noProof/>
                <w:webHidden/>
              </w:rPr>
              <w:instrText xml:space="preserve"> PAGEREF _Toc238727192 \h </w:instrText>
            </w:r>
            <w:r>
              <w:rPr>
                <w:noProof/>
                <w:webHidden/>
              </w:rPr>
            </w:r>
            <w:r>
              <w:rPr>
                <w:noProof/>
                <w:webHidden/>
              </w:rPr>
              <w:fldChar w:fldCharType="separate"/>
            </w:r>
            <w:r w:rsidR="00B16549">
              <w:rPr>
                <w:noProof/>
                <w:webHidden/>
              </w:rPr>
              <w:t>33</w:t>
            </w:r>
            <w:r>
              <w:rPr>
                <w:noProof/>
                <w:webHidden/>
              </w:rPr>
              <w:fldChar w:fldCharType="end"/>
            </w:r>
          </w:hyperlink>
        </w:p>
        <w:p w:rsidR="00B16549" w:rsidRDefault="00C65A08">
          <w:pPr>
            <w:pStyle w:val="TOC1"/>
            <w:tabs>
              <w:tab w:val="right" w:leader="dot" w:pos="8636"/>
            </w:tabs>
            <w:rPr>
              <w:rFonts w:asciiTheme="minorHAnsi" w:eastAsiaTheme="minorEastAsia" w:hAnsiTheme="minorHAnsi"/>
              <w:noProof/>
              <w:kern w:val="2"/>
              <w:sz w:val="24"/>
              <w:szCs w:val="24"/>
            </w:rPr>
          </w:pPr>
          <w:hyperlink w:anchor="_Toc238727193" w:history="1">
            <w:r w:rsidR="00B16549" w:rsidRPr="00FA6638">
              <w:rPr>
                <w:rStyle w:val="Hyperlink"/>
                <w:noProof/>
              </w:rPr>
              <w:t>Chapter 5. Data Analysis and Synthesis</w:t>
            </w:r>
            <w:r w:rsidR="00B16549">
              <w:rPr>
                <w:noProof/>
                <w:webHidden/>
              </w:rPr>
              <w:tab/>
            </w:r>
            <w:r>
              <w:rPr>
                <w:noProof/>
                <w:webHidden/>
              </w:rPr>
              <w:fldChar w:fldCharType="begin"/>
            </w:r>
            <w:r w:rsidR="00B16549">
              <w:rPr>
                <w:noProof/>
                <w:webHidden/>
              </w:rPr>
              <w:instrText xml:space="preserve"> PAGEREF _Toc238727193 \h </w:instrText>
            </w:r>
            <w:r>
              <w:rPr>
                <w:noProof/>
                <w:webHidden/>
              </w:rPr>
            </w:r>
            <w:r>
              <w:rPr>
                <w:noProof/>
                <w:webHidden/>
              </w:rPr>
              <w:fldChar w:fldCharType="separate"/>
            </w:r>
            <w:r w:rsidR="00B16549">
              <w:rPr>
                <w:noProof/>
                <w:webHidden/>
              </w:rPr>
              <w:t>35</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94" w:history="1">
            <w:r w:rsidR="00B16549" w:rsidRPr="00FA6638">
              <w:rPr>
                <w:rStyle w:val="Hyperlink"/>
                <w:noProof/>
              </w:rPr>
              <w:t>5.1. Introduction</w:t>
            </w:r>
            <w:r w:rsidR="00B16549">
              <w:rPr>
                <w:noProof/>
                <w:webHidden/>
              </w:rPr>
              <w:tab/>
            </w:r>
            <w:r>
              <w:rPr>
                <w:noProof/>
                <w:webHidden/>
              </w:rPr>
              <w:fldChar w:fldCharType="begin"/>
            </w:r>
            <w:r w:rsidR="00B16549">
              <w:rPr>
                <w:noProof/>
                <w:webHidden/>
              </w:rPr>
              <w:instrText xml:space="preserve"> PAGEREF _Toc238727194 \h </w:instrText>
            </w:r>
            <w:r>
              <w:rPr>
                <w:noProof/>
                <w:webHidden/>
              </w:rPr>
            </w:r>
            <w:r>
              <w:rPr>
                <w:noProof/>
                <w:webHidden/>
              </w:rPr>
              <w:fldChar w:fldCharType="separate"/>
            </w:r>
            <w:r w:rsidR="00B16549">
              <w:rPr>
                <w:noProof/>
                <w:webHidden/>
              </w:rPr>
              <w:t>35</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195" w:history="1">
            <w:r w:rsidR="00B16549" w:rsidRPr="00FA6638">
              <w:rPr>
                <w:rStyle w:val="Hyperlink"/>
                <w:noProof/>
              </w:rPr>
              <w:t>5.2. Thematic Synthesis</w:t>
            </w:r>
            <w:r w:rsidR="00B16549">
              <w:rPr>
                <w:noProof/>
                <w:webHidden/>
              </w:rPr>
              <w:tab/>
            </w:r>
            <w:r>
              <w:rPr>
                <w:noProof/>
                <w:webHidden/>
              </w:rPr>
              <w:fldChar w:fldCharType="begin"/>
            </w:r>
            <w:r w:rsidR="00B16549">
              <w:rPr>
                <w:noProof/>
                <w:webHidden/>
              </w:rPr>
              <w:instrText xml:space="preserve"> PAGEREF _Toc238727195 \h </w:instrText>
            </w:r>
            <w:r>
              <w:rPr>
                <w:noProof/>
                <w:webHidden/>
              </w:rPr>
            </w:r>
            <w:r>
              <w:rPr>
                <w:noProof/>
                <w:webHidden/>
              </w:rPr>
              <w:fldChar w:fldCharType="separate"/>
            </w:r>
            <w:r w:rsidR="00B16549">
              <w:rPr>
                <w:noProof/>
                <w:webHidden/>
              </w:rPr>
              <w:t>35</w:t>
            </w:r>
            <w:r>
              <w:rPr>
                <w:noProof/>
                <w:webHidden/>
              </w:rPr>
              <w:fldChar w:fldCharType="end"/>
            </w:r>
          </w:hyperlink>
        </w:p>
        <w:p w:rsidR="00B16549" w:rsidRDefault="00C65A08">
          <w:pPr>
            <w:pStyle w:val="TOC3"/>
            <w:tabs>
              <w:tab w:val="right" w:leader="dot" w:pos="8636"/>
            </w:tabs>
            <w:rPr>
              <w:rFonts w:asciiTheme="minorHAnsi" w:eastAsiaTheme="minorEastAsia" w:hAnsiTheme="minorHAnsi"/>
              <w:noProof/>
              <w:kern w:val="2"/>
              <w:sz w:val="24"/>
              <w:szCs w:val="24"/>
            </w:rPr>
          </w:pPr>
          <w:hyperlink w:anchor="_Toc238727196" w:history="1">
            <w:r w:rsidR="00B16549" w:rsidRPr="00FA6638">
              <w:rPr>
                <w:rStyle w:val="Hyperlink"/>
                <w:noProof/>
              </w:rPr>
              <w:t>5.2.1. Theme One: Structural Barriers and Difficult Service Navigation</w:t>
            </w:r>
            <w:r w:rsidR="00B16549">
              <w:rPr>
                <w:noProof/>
                <w:webHidden/>
              </w:rPr>
              <w:tab/>
            </w:r>
            <w:r>
              <w:rPr>
                <w:noProof/>
                <w:webHidden/>
              </w:rPr>
              <w:fldChar w:fldCharType="begin"/>
            </w:r>
            <w:r w:rsidR="00B16549">
              <w:rPr>
                <w:noProof/>
                <w:webHidden/>
              </w:rPr>
              <w:instrText xml:space="preserve"> PAGEREF _Toc238727196 \h </w:instrText>
            </w:r>
            <w:r>
              <w:rPr>
                <w:noProof/>
                <w:webHidden/>
              </w:rPr>
            </w:r>
            <w:r>
              <w:rPr>
                <w:noProof/>
                <w:webHidden/>
              </w:rPr>
              <w:fldChar w:fldCharType="separate"/>
            </w:r>
            <w:r w:rsidR="00B16549">
              <w:rPr>
                <w:noProof/>
                <w:webHidden/>
              </w:rPr>
              <w:t>36</w:t>
            </w:r>
            <w:r>
              <w:rPr>
                <w:noProof/>
                <w:webHidden/>
              </w:rPr>
              <w:fldChar w:fldCharType="end"/>
            </w:r>
          </w:hyperlink>
        </w:p>
        <w:p w:rsidR="00B16549" w:rsidRDefault="00C65A08">
          <w:pPr>
            <w:pStyle w:val="TOC3"/>
            <w:tabs>
              <w:tab w:val="right" w:leader="dot" w:pos="8636"/>
            </w:tabs>
            <w:rPr>
              <w:rFonts w:asciiTheme="minorHAnsi" w:eastAsiaTheme="minorEastAsia" w:hAnsiTheme="minorHAnsi"/>
              <w:noProof/>
              <w:kern w:val="2"/>
              <w:sz w:val="24"/>
              <w:szCs w:val="24"/>
            </w:rPr>
          </w:pPr>
          <w:hyperlink w:anchor="_Toc238727197" w:history="1">
            <w:r w:rsidR="00B16549" w:rsidRPr="00FA6638">
              <w:rPr>
                <w:rStyle w:val="Hyperlink"/>
                <w:noProof/>
              </w:rPr>
              <w:t>5.2.2. Theme Two: Communication, Trust and Relational Safety</w:t>
            </w:r>
            <w:r w:rsidR="00B16549">
              <w:rPr>
                <w:noProof/>
                <w:webHidden/>
              </w:rPr>
              <w:tab/>
            </w:r>
            <w:r>
              <w:rPr>
                <w:noProof/>
                <w:webHidden/>
              </w:rPr>
              <w:fldChar w:fldCharType="begin"/>
            </w:r>
            <w:r w:rsidR="00B16549">
              <w:rPr>
                <w:noProof/>
                <w:webHidden/>
              </w:rPr>
              <w:instrText xml:space="preserve"> PAGEREF _Toc238727197 \h </w:instrText>
            </w:r>
            <w:r>
              <w:rPr>
                <w:noProof/>
                <w:webHidden/>
              </w:rPr>
            </w:r>
            <w:r>
              <w:rPr>
                <w:noProof/>
                <w:webHidden/>
              </w:rPr>
              <w:fldChar w:fldCharType="separate"/>
            </w:r>
            <w:r w:rsidR="00B16549">
              <w:rPr>
                <w:noProof/>
                <w:webHidden/>
              </w:rPr>
              <w:t>37</w:t>
            </w:r>
            <w:r>
              <w:rPr>
                <w:noProof/>
                <w:webHidden/>
              </w:rPr>
              <w:fldChar w:fldCharType="end"/>
            </w:r>
          </w:hyperlink>
        </w:p>
        <w:p w:rsidR="00B16549" w:rsidRDefault="00C65A08">
          <w:pPr>
            <w:pStyle w:val="TOC3"/>
            <w:tabs>
              <w:tab w:val="right" w:leader="dot" w:pos="8636"/>
            </w:tabs>
            <w:rPr>
              <w:rFonts w:asciiTheme="minorHAnsi" w:eastAsiaTheme="minorEastAsia" w:hAnsiTheme="minorHAnsi"/>
              <w:noProof/>
              <w:kern w:val="2"/>
              <w:sz w:val="24"/>
              <w:szCs w:val="24"/>
            </w:rPr>
          </w:pPr>
          <w:hyperlink w:anchor="_Toc238727198" w:history="1">
            <w:r w:rsidR="00B16549" w:rsidRPr="00FA6638">
              <w:rPr>
                <w:rStyle w:val="Hyperlink"/>
                <w:noProof/>
              </w:rPr>
              <w:t>5.2.3. Theme Three: Social, Cultural and Identity-Related Barriers</w:t>
            </w:r>
            <w:r w:rsidR="00B16549">
              <w:rPr>
                <w:noProof/>
                <w:webHidden/>
              </w:rPr>
              <w:tab/>
            </w:r>
            <w:r>
              <w:rPr>
                <w:noProof/>
                <w:webHidden/>
              </w:rPr>
              <w:fldChar w:fldCharType="begin"/>
            </w:r>
            <w:r w:rsidR="00B16549">
              <w:rPr>
                <w:noProof/>
                <w:webHidden/>
              </w:rPr>
              <w:instrText xml:space="preserve"> PAGEREF _Toc238727198 \h </w:instrText>
            </w:r>
            <w:r>
              <w:rPr>
                <w:noProof/>
                <w:webHidden/>
              </w:rPr>
            </w:r>
            <w:r>
              <w:rPr>
                <w:noProof/>
                <w:webHidden/>
              </w:rPr>
              <w:fldChar w:fldCharType="separate"/>
            </w:r>
            <w:r w:rsidR="00B16549">
              <w:rPr>
                <w:noProof/>
                <w:webHidden/>
              </w:rPr>
              <w:t>39</w:t>
            </w:r>
            <w:r>
              <w:rPr>
                <w:noProof/>
                <w:webHidden/>
              </w:rPr>
              <w:fldChar w:fldCharType="end"/>
            </w:r>
          </w:hyperlink>
        </w:p>
        <w:p w:rsidR="00B16549" w:rsidRDefault="00C65A08">
          <w:pPr>
            <w:pStyle w:val="TOC3"/>
            <w:tabs>
              <w:tab w:val="right" w:leader="dot" w:pos="8636"/>
            </w:tabs>
            <w:rPr>
              <w:rFonts w:asciiTheme="minorHAnsi" w:eastAsiaTheme="minorEastAsia" w:hAnsiTheme="minorHAnsi"/>
              <w:noProof/>
              <w:kern w:val="2"/>
              <w:sz w:val="24"/>
              <w:szCs w:val="24"/>
            </w:rPr>
          </w:pPr>
          <w:hyperlink w:anchor="_Toc238727199" w:history="1">
            <w:r w:rsidR="00B16549" w:rsidRPr="00FA6638">
              <w:rPr>
                <w:rStyle w:val="Hyperlink"/>
                <w:noProof/>
              </w:rPr>
              <w:t>5.2.4. Theme Four: Service Fit, Flexibility and Alternative Routes to Engagement</w:t>
            </w:r>
            <w:r w:rsidR="00B16549">
              <w:rPr>
                <w:noProof/>
                <w:webHidden/>
              </w:rPr>
              <w:tab/>
            </w:r>
            <w:r>
              <w:rPr>
                <w:noProof/>
                <w:webHidden/>
              </w:rPr>
              <w:fldChar w:fldCharType="begin"/>
            </w:r>
            <w:r w:rsidR="00B16549">
              <w:rPr>
                <w:noProof/>
                <w:webHidden/>
              </w:rPr>
              <w:instrText xml:space="preserve"> PAGEREF _Toc238727199 \h </w:instrText>
            </w:r>
            <w:r>
              <w:rPr>
                <w:noProof/>
                <w:webHidden/>
              </w:rPr>
            </w:r>
            <w:r>
              <w:rPr>
                <w:noProof/>
                <w:webHidden/>
              </w:rPr>
              <w:fldChar w:fldCharType="separate"/>
            </w:r>
            <w:r w:rsidR="00B16549">
              <w:rPr>
                <w:noProof/>
                <w:webHidden/>
              </w:rPr>
              <w:t>40</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200" w:history="1">
            <w:r w:rsidR="00B16549" w:rsidRPr="00FA6638">
              <w:rPr>
                <w:rStyle w:val="Hyperlink"/>
                <w:noProof/>
              </w:rPr>
              <w:t>5.3. Integration Across the Access-to-Engagement Pathway</w:t>
            </w:r>
            <w:r w:rsidR="00B16549">
              <w:rPr>
                <w:noProof/>
                <w:webHidden/>
              </w:rPr>
              <w:tab/>
            </w:r>
            <w:r>
              <w:rPr>
                <w:noProof/>
                <w:webHidden/>
              </w:rPr>
              <w:fldChar w:fldCharType="begin"/>
            </w:r>
            <w:r w:rsidR="00B16549">
              <w:rPr>
                <w:noProof/>
                <w:webHidden/>
              </w:rPr>
              <w:instrText xml:space="preserve"> PAGEREF _Toc238727200 \h </w:instrText>
            </w:r>
            <w:r>
              <w:rPr>
                <w:noProof/>
                <w:webHidden/>
              </w:rPr>
            </w:r>
            <w:r>
              <w:rPr>
                <w:noProof/>
                <w:webHidden/>
              </w:rPr>
              <w:fldChar w:fldCharType="separate"/>
            </w:r>
            <w:r w:rsidR="00B16549">
              <w:rPr>
                <w:noProof/>
                <w:webHidden/>
              </w:rPr>
              <w:t>41</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201" w:history="1">
            <w:r w:rsidR="00B16549" w:rsidRPr="00FA6638">
              <w:rPr>
                <w:rStyle w:val="Hyperlink"/>
                <w:noProof/>
              </w:rPr>
              <w:t>5.4. Areas of Variation and Contradictory Findings</w:t>
            </w:r>
            <w:r w:rsidR="00B16549">
              <w:rPr>
                <w:noProof/>
                <w:webHidden/>
              </w:rPr>
              <w:tab/>
            </w:r>
            <w:r>
              <w:rPr>
                <w:noProof/>
                <w:webHidden/>
              </w:rPr>
              <w:fldChar w:fldCharType="begin"/>
            </w:r>
            <w:r w:rsidR="00B16549">
              <w:rPr>
                <w:noProof/>
                <w:webHidden/>
              </w:rPr>
              <w:instrText xml:space="preserve"> PAGEREF _Toc238727201 \h </w:instrText>
            </w:r>
            <w:r>
              <w:rPr>
                <w:noProof/>
                <w:webHidden/>
              </w:rPr>
            </w:r>
            <w:r>
              <w:rPr>
                <w:noProof/>
                <w:webHidden/>
              </w:rPr>
              <w:fldChar w:fldCharType="separate"/>
            </w:r>
            <w:r w:rsidR="00B16549">
              <w:rPr>
                <w:noProof/>
                <w:webHidden/>
              </w:rPr>
              <w:t>42</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202" w:history="1">
            <w:r w:rsidR="00B16549" w:rsidRPr="00FA6638">
              <w:rPr>
                <w:rStyle w:val="Hyperlink"/>
                <w:noProof/>
              </w:rPr>
              <w:t>5.5. Chapter Summary</w:t>
            </w:r>
            <w:r w:rsidR="00B16549">
              <w:rPr>
                <w:noProof/>
                <w:webHidden/>
              </w:rPr>
              <w:tab/>
            </w:r>
            <w:r>
              <w:rPr>
                <w:noProof/>
                <w:webHidden/>
              </w:rPr>
              <w:fldChar w:fldCharType="begin"/>
            </w:r>
            <w:r w:rsidR="00B16549">
              <w:rPr>
                <w:noProof/>
                <w:webHidden/>
              </w:rPr>
              <w:instrText xml:space="preserve"> PAGEREF _Toc238727202 \h </w:instrText>
            </w:r>
            <w:r>
              <w:rPr>
                <w:noProof/>
                <w:webHidden/>
              </w:rPr>
            </w:r>
            <w:r>
              <w:rPr>
                <w:noProof/>
                <w:webHidden/>
              </w:rPr>
              <w:fldChar w:fldCharType="separate"/>
            </w:r>
            <w:r w:rsidR="00B16549">
              <w:rPr>
                <w:noProof/>
                <w:webHidden/>
              </w:rPr>
              <w:t>43</w:t>
            </w:r>
            <w:r>
              <w:rPr>
                <w:noProof/>
                <w:webHidden/>
              </w:rPr>
              <w:fldChar w:fldCharType="end"/>
            </w:r>
          </w:hyperlink>
        </w:p>
        <w:p w:rsidR="00B16549" w:rsidRDefault="00C65A08">
          <w:pPr>
            <w:pStyle w:val="TOC1"/>
            <w:tabs>
              <w:tab w:val="right" w:leader="dot" w:pos="8636"/>
            </w:tabs>
            <w:rPr>
              <w:rFonts w:asciiTheme="minorHAnsi" w:eastAsiaTheme="minorEastAsia" w:hAnsiTheme="minorHAnsi"/>
              <w:noProof/>
              <w:kern w:val="2"/>
              <w:sz w:val="24"/>
              <w:szCs w:val="24"/>
            </w:rPr>
          </w:pPr>
          <w:hyperlink w:anchor="_Toc238727203" w:history="1">
            <w:r w:rsidR="00B16549" w:rsidRPr="00FA6638">
              <w:rPr>
                <w:rStyle w:val="Hyperlink"/>
                <w:noProof/>
              </w:rPr>
              <w:t>Chapter 6. Discussion</w:t>
            </w:r>
            <w:r w:rsidR="00B16549">
              <w:rPr>
                <w:noProof/>
                <w:webHidden/>
              </w:rPr>
              <w:tab/>
            </w:r>
            <w:r>
              <w:rPr>
                <w:noProof/>
                <w:webHidden/>
              </w:rPr>
              <w:fldChar w:fldCharType="begin"/>
            </w:r>
            <w:r w:rsidR="00B16549">
              <w:rPr>
                <w:noProof/>
                <w:webHidden/>
              </w:rPr>
              <w:instrText xml:space="preserve"> PAGEREF _Toc238727203 \h </w:instrText>
            </w:r>
            <w:r>
              <w:rPr>
                <w:noProof/>
                <w:webHidden/>
              </w:rPr>
            </w:r>
            <w:r>
              <w:rPr>
                <w:noProof/>
                <w:webHidden/>
              </w:rPr>
              <w:fldChar w:fldCharType="separate"/>
            </w:r>
            <w:r w:rsidR="00B16549">
              <w:rPr>
                <w:noProof/>
                <w:webHidden/>
              </w:rPr>
              <w:t>44</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204" w:history="1">
            <w:r w:rsidR="00B16549" w:rsidRPr="00FA6638">
              <w:rPr>
                <w:rStyle w:val="Hyperlink"/>
                <w:noProof/>
              </w:rPr>
              <w:t>6.1. Introduction</w:t>
            </w:r>
            <w:r w:rsidR="00B16549">
              <w:rPr>
                <w:noProof/>
                <w:webHidden/>
              </w:rPr>
              <w:tab/>
            </w:r>
            <w:r>
              <w:rPr>
                <w:noProof/>
                <w:webHidden/>
              </w:rPr>
              <w:fldChar w:fldCharType="begin"/>
            </w:r>
            <w:r w:rsidR="00B16549">
              <w:rPr>
                <w:noProof/>
                <w:webHidden/>
              </w:rPr>
              <w:instrText xml:space="preserve"> PAGEREF _Toc238727204 \h </w:instrText>
            </w:r>
            <w:r>
              <w:rPr>
                <w:noProof/>
                <w:webHidden/>
              </w:rPr>
            </w:r>
            <w:r>
              <w:rPr>
                <w:noProof/>
                <w:webHidden/>
              </w:rPr>
              <w:fldChar w:fldCharType="separate"/>
            </w:r>
            <w:r w:rsidR="00B16549">
              <w:rPr>
                <w:noProof/>
                <w:webHidden/>
              </w:rPr>
              <w:t>44</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205" w:history="1">
            <w:r w:rsidR="00B16549" w:rsidRPr="00FA6638">
              <w:rPr>
                <w:rStyle w:val="Hyperlink"/>
                <w:noProof/>
              </w:rPr>
              <w:t>6.2. Structural Barriers and Difficult Service Navigation</w:t>
            </w:r>
            <w:r w:rsidR="00B16549">
              <w:rPr>
                <w:noProof/>
                <w:webHidden/>
              </w:rPr>
              <w:tab/>
            </w:r>
            <w:r>
              <w:rPr>
                <w:noProof/>
                <w:webHidden/>
              </w:rPr>
              <w:fldChar w:fldCharType="begin"/>
            </w:r>
            <w:r w:rsidR="00B16549">
              <w:rPr>
                <w:noProof/>
                <w:webHidden/>
              </w:rPr>
              <w:instrText xml:space="preserve"> PAGEREF _Toc238727205 \h </w:instrText>
            </w:r>
            <w:r>
              <w:rPr>
                <w:noProof/>
                <w:webHidden/>
              </w:rPr>
            </w:r>
            <w:r>
              <w:rPr>
                <w:noProof/>
                <w:webHidden/>
              </w:rPr>
              <w:fldChar w:fldCharType="separate"/>
            </w:r>
            <w:r w:rsidR="00B16549">
              <w:rPr>
                <w:noProof/>
                <w:webHidden/>
              </w:rPr>
              <w:t>44</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206" w:history="1">
            <w:r w:rsidR="00B16549" w:rsidRPr="00FA6638">
              <w:rPr>
                <w:rStyle w:val="Hyperlink"/>
                <w:noProof/>
              </w:rPr>
              <w:t>6.3. Communication, Trust and Relational Safety</w:t>
            </w:r>
            <w:r w:rsidR="00B16549">
              <w:rPr>
                <w:noProof/>
                <w:webHidden/>
              </w:rPr>
              <w:tab/>
            </w:r>
            <w:r>
              <w:rPr>
                <w:noProof/>
                <w:webHidden/>
              </w:rPr>
              <w:fldChar w:fldCharType="begin"/>
            </w:r>
            <w:r w:rsidR="00B16549">
              <w:rPr>
                <w:noProof/>
                <w:webHidden/>
              </w:rPr>
              <w:instrText xml:space="preserve"> PAGEREF _Toc238727206 \h </w:instrText>
            </w:r>
            <w:r>
              <w:rPr>
                <w:noProof/>
                <w:webHidden/>
              </w:rPr>
            </w:r>
            <w:r>
              <w:rPr>
                <w:noProof/>
                <w:webHidden/>
              </w:rPr>
              <w:fldChar w:fldCharType="separate"/>
            </w:r>
            <w:r w:rsidR="00B16549">
              <w:rPr>
                <w:noProof/>
                <w:webHidden/>
              </w:rPr>
              <w:t>45</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207" w:history="1">
            <w:r w:rsidR="00B16549" w:rsidRPr="00FA6638">
              <w:rPr>
                <w:rStyle w:val="Hyperlink"/>
                <w:noProof/>
              </w:rPr>
              <w:t>6.4. Social, Cultural and Identity-Related Barriers</w:t>
            </w:r>
            <w:r w:rsidR="00B16549">
              <w:rPr>
                <w:noProof/>
                <w:webHidden/>
              </w:rPr>
              <w:tab/>
            </w:r>
            <w:r>
              <w:rPr>
                <w:noProof/>
                <w:webHidden/>
              </w:rPr>
              <w:fldChar w:fldCharType="begin"/>
            </w:r>
            <w:r w:rsidR="00B16549">
              <w:rPr>
                <w:noProof/>
                <w:webHidden/>
              </w:rPr>
              <w:instrText xml:space="preserve"> PAGEREF _Toc238727207 \h </w:instrText>
            </w:r>
            <w:r>
              <w:rPr>
                <w:noProof/>
                <w:webHidden/>
              </w:rPr>
            </w:r>
            <w:r>
              <w:rPr>
                <w:noProof/>
                <w:webHidden/>
              </w:rPr>
              <w:fldChar w:fldCharType="separate"/>
            </w:r>
            <w:r w:rsidR="00B16549">
              <w:rPr>
                <w:noProof/>
                <w:webHidden/>
              </w:rPr>
              <w:t>46</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208" w:history="1">
            <w:r w:rsidR="00B16549" w:rsidRPr="00FA6638">
              <w:rPr>
                <w:rStyle w:val="Hyperlink"/>
                <w:noProof/>
              </w:rPr>
              <w:t>6.5. Service Fit, Flexibility and Alternative Routes to Engagement</w:t>
            </w:r>
            <w:r w:rsidR="00B16549">
              <w:rPr>
                <w:noProof/>
                <w:webHidden/>
              </w:rPr>
              <w:tab/>
            </w:r>
            <w:r>
              <w:rPr>
                <w:noProof/>
                <w:webHidden/>
              </w:rPr>
              <w:fldChar w:fldCharType="begin"/>
            </w:r>
            <w:r w:rsidR="00B16549">
              <w:rPr>
                <w:noProof/>
                <w:webHidden/>
              </w:rPr>
              <w:instrText xml:space="preserve"> PAGEREF _Toc238727208 \h </w:instrText>
            </w:r>
            <w:r>
              <w:rPr>
                <w:noProof/>
                <w:webHidden/>
              </w:rPr>
            </w:r>
            <w:r>
              <w:rPr>
                <w:noProof/>
                <w:webHidden/>
              </w:rPr>
              <w:fldChar w:fldCharType="separate"/>
            </w:r>
            <w:r w:rsidR="00B16549">
              <w:rPr>
                <w:noProof/>
                <w:webHidden/>
              </w:rPr>
              <w:t>46</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209" w:history="1">
            <w:r w:rsidR="00B16549" w:rsidRPr="00FA6638">
              <w:rPr>
                <w:rStyle w:val="Hyperlink"/>
                <w:noProof/>
              </w:rPr>
              <w:t>6.6. Interpretation and Implications</w:t>
            </w:r>
            <w:r w:rsidR="00B16549">
              <w:rPr>
                <w:noProof/>
                <w:webHidden/>
              </w:rPr>
              <w:tab/>
            </w:r>
            <w:r>
              <w:rPr>
                <w:noProof/>
                <w:webHidden/>
              </w:rPr>
              <w:fldChar w:fldCharType="begin"/>
            </w:r>
            <w:r w:rsidR="00B16549">
              <w:rPr>
                <w:noProof/>
                <w:webHidden/>
              </w:rPr>
              <w:instrText xml:space="preserve"> PAGEREF _Toc238727209 \h </w:instrText>
            </w:r>
            <w:r>
              <w:rPr>
                <w:noProof/>
                <w:webHidden/>
              </w:rPr>
            </w:r>
            <w:r>
              <w:rPr>
                <w:noProof/>
                <w:webHidden/>
              </w:rPr>
              <w:fldChar w:fldCharType="separate"/>
            </w:r>
            <w:r w:rsidR="00B16549">
              <w:rPr>
                <w:noProof/>
                <w:webHidden/>
              </w:rPr>
              <w:t>47</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210" w:history="1">
            <w:r w:rsidR="00B16549" w:rsidRPr="00FA6638">
              <w:rPr>
                <w:rStyle w:val="Hyperlink"/>
                <w:noProof/>
              </w:rPr>
              <w:t>6.7. Strengths and Limitations</w:t>
            </w:r>
            <w:r w:rsidR="00B16549">
              <w:rPr>
                <w:noProof/>
                <w:webHidden/>
              </w:rPr>
              <w:tab/>
            </w:r>
            <w:r>
              <w:rPr>
                <w:noProof/>
                <w:webHidden/>
              </w:rPr>
              <w:fldChar w:fldCharType="begin"/>
            </w:r>
            <w:r w:rsidR="00B16549">
              <w:rPr>
                <w:noProof/>
                <w:webHidden/>
              </w:rPr>
              <w:instrText xml:space="preserve"> PAGEREF _Toc238727210 \h </w:instrText>
            </w:r>
            <w:r>
              <w:rPr>
                <w:noProof/>
                <w:webHidden/>
              </w:rPr>
            </w:r>
            <w:r>
              <w:rPr>
                <w:noProof/>
                <w:webHidden/>
              </w:rPr>
              <w:fldChar w:fldCharType="separate"/>
            </w:r>
            <w:r w:rsidR="00B16549">
              <w:rPr>
                <w:noProof/>
                <w:webHidden/>
              </w:rPr>
              <w:t>49</w:t>
            </w:r>
            <w:r>
              <w:rPr>
                <w:noProof/>
                <w:webHidden/>
              </w:rPr>
              <w:fldChar w:fldCharType="end"/>
            </w:r>
          </w:hyperlink>
        </w:p>
        <w:p w:rsidR="00B16549" w:rsidRDefault="00C65A08">
          <w:pPr>
            <w:pStyle w:val="TOC1"/>
            <w:tabs>
              <w:tab w:val="right" w:leader="dot" w:pos="8636"/>
            </w:tabs>
            <w:rPr>
              <w:rFonts w:asciiTheme="minorHAnsi" w:eastAsiaTheme="minorEastAsia" w:hAnsiTheme="minorHAnsi"/>
              <w:noProof/>
              <w:kern w:val="2"/>
              <w:sz w:val="24"/>
              <w:szCs w:val="24"/>
            </w:rPr>
          </w:pPr>
          <w:hyperlink w:anchor="_Toc238727211" w:history="1">
            <w:r w:rsidR="00B16549" w:rsidRPr="00FA6638">
              <w:rPr>
                <w:rStyle w:val="Hyperlink"/>
                <w:noProof/>
              </w:rPr>
              <w:t>Chapter 7. Conclusion and Recommendations</w:t>
            </w:r>
            <w:r w:rsidR="00B16549">
              <w:rPr>
                <w:noProof/>
                <w:webHidden/>
              </w:rPr>
              <w:tab/>
            </w:r>
            <w:r>
              <w:rPr>
                <w:noProof/>
                <w:webHidden/>
              </w:rPr>
              <w:fldChar w:fldCharType="begin"/>
            </w:r>
            <w:r w:rsidR="00B16549">
              <w:rPr>
                <w:noProof/>
                <w:webHidden/>
              </w:rPr>
              <w:instrText xml:space="preserve"> PAGEREF _Toc238727211 \h </w:instrText>
            </w:r>
            <w:r>
              <w:rPr>
                <w:noProof/>
                <w:webHidden/>
              </w:rPr>
            </w:r>
            <w:r>
              <w:rPr>
                <w:noProof/>
                <w:webHidden/>
              </w:rPr>
              <w:fldChar w:fldCharType="separate"/>
            </w:r>
            <w:r w:rsidR="00B16549">
              <w:rPr>
                <w:noProof/>
                <w:webHidden/>
              </w:rPr>
              <w:t>50</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212" w:history="1">
            <w:r w:rsidR="00B16549" w:rsidRPr="00FA6638">
              <w:rPr>
                <w:rStyle w:val="Hyperlink"/>
                <w:noProof/>
              </w:rPr>
              <w:t>7.1. Implications of Findings</w:t>
            </w:r>
            <w:r w:rsidR="00B16549">
              <w:rPr>
                <w:noProof/>
                <w:webHidden/>
              </w:rPr>
              <w:tab/>
            </w:r>
            <w:r>
              <w:rPr>
                <w:noProof/>
                <w:webHidden/>
              </w:rPr>
              <w:fldChar w:fldCharType="begin"/>
            </w:r>
            <w:r w:rsidR="00B16549">
              <w:rPr>
                <w:noProof/>
                <w:webHidden/>
              </w:rPr>
              <w:instrText xml:space="preserve"> PAGEREF _Toc238727212 \h </w:instrText>
            </w:r>
            <w:r>
              <w:rPr>
                <w:noProof/>
                <w:webHidden/>
              </w:rPr>
            </w:r>
            <w:r>
              <w:rPr>
                <w:noProof/>
                <w:webHidden/>
              </w:rPr>
              <w:fldChar w:fldCharType="separate"/>
            </w:r>
            <w:r w:rsidR="00B16549">
              <w:rPr>
                <w:noProof/>
                <w:webHidden/>
              </w:rPr>
              <w:t>50</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213" w:history="1">
            <w:r w:rsidR="00B16549" w:rsidRPr="00FA6638">
              <w:rPr>
                <w:rStyle w:val="Hyperlink"/>
                <w:noProof/>
              </w:rPr>
              <w:t>7.2. Recommendations for Practice</w:t>
            </w:r>
            <w:r w:rsidR="00B16549">
              <w:rPr>
                <w:noProof/>
                <w:webHidden/>
              </w:rPr>
              <w:tab/>
            </w:r>
            <w:r>
              <w:rPr>
                <w:noProof/>
                <w:webHidden/>
              </w:rPr>
              <w:fldChar w:fldCharType="begin"/>
            </w:r>
            <w:r w:rsidR="00B16549">
              <w:rPr>
                <w:noProof/>
                <w:webHidden/>
              </w:rPr>
              <w:instrText xml:space="preserve"> PAGEREF _Toc238727213 \h </w:instrText>
            </w:r>
            <w:r>
              <w:rPr>
                <w:noProof/>
                <w:webHidden/>
              </w:rPr>
            </w:r>
            <w:r>
              <w:rPr>
                <w:noProof/>
                <w:webHidden/>
              </w:rPr>
              <w:fldChar w:fldCharType="separate"/>
            </w:r>
            <w:r w:rsidR="00B16549">
              <w:rPr>
                <w:noProof/>
                <w:webHidden/>
              </w:rPr>
              <w:t>50</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214" w:history="1">
            <w:r w:rsidR="00B16549" w:rsidRPr="00FA6638">
              <w:rPr>
                <w:rStyle w:val="Hyperlink"/>
                <w:noProof/>
              </w:rPr>
              <w:t>7.3. Recommendations for Future Research</w:t>
            </w:r>
            <w:r w:rsidR="00B16549">
              <w:rPr>
                <w:noProof/>
                <w:webHidden/>
              </w:rPr>
              <w:tab/>
            </w:r>
            <w:r>
              <w:rPr>
                <w:noProof/>
                <w:webHidden/>
              </w:rPr>
              <w:fldChar w:fldCharType="begin"/>
            </w:r>
            <w:r w:rsidR="00B16549">
              <w:rPr>
                <w:noProof/>
                <w:webHidden/>
              </w:rPr>
              <w:instrText xml:space="preserve"> PAGEREF _Toc238727214 \h </w:instrText>
            </w:r>
            <w:r>
              <w:rPr>
                <w:noProof/>
                <w:webHidden/>
              </w:rPr>
            </w:r>
            <w:r>
              <w:rPr>
                <w:noProof/>
                <w:webHidden/>
              </w:rPr>
              <w:fldChar w:fldCharType="separate"/>
            </w:r>
            <w:r w:rsidR="00B16549">
              <w:rPr>
                <w:noProof/>
                <w:webHidden/>
              </w:rPr>
              <w:t>51</w:t>
            </w:r>
            <w:r>
              <w:rPr>
                <w:noProof/>
                <w:webHidden/>
              </w:rPr>
              <w:fldChar w:fldCharType="end"/>
            </w:r>
          </w:hyperlink>
        </w:p>
        <w:p w:rsidR="00B16549" w:rsidRDefault="00C65A08">
          <w:pPr>
            <w:pStyle w:val="TOC2"/>
            <w:tabs>
              <w:tab w:val="right" w:leader="dot" w:pos="8636"/>
            </w:tabs>
            <w:rPr>
              <w:rFonts w:asciiTheme="minorHAnsi" w:eastAsiaTheme="minorEastAsia" w:hAnsiTheme="minorHAnsi"/>
              <w:noProof/>
              <w:kern w:val="2"/>
              <w:sz w:val="24"/>
              <w:szCs w:val="24"/>
            </w:rPr>
          </w:pPr>
          <w:hyperlink w:anchor="_Toc238727215" w:history="1">
            <w:r w:rsidR="00B16549" w:rsidRPr="00FA6638">
              <w:rPr>
                <w:rStyle w:val="Hyperlink"/>
                <w:noProof/>
              </w:rPr>
              <w:t>7.4. Conclusion</w:t>
            </w:r>
            <w:r w:rsidR="00B16549">
              <w:rPr>
                <w:noProof/>
                <w:webHidden/>
              </w:rPr>
              <w:tab/>
            </w:r>
            <w:r>
              <w:rPr>
                <w:noProof/>
                <w:webHidden/>
              </w:rPr>
              <w:fldChar w:fldCharType="begin"/>
            </w:r>
            <w:r w:rsidR="00B16549">
              <w:rPr>
                <w:noProof/>
                <w:webHidden/>
              </w:rPr>
              <w:instrText xml:space="preserve"> PAGEREF _Toc238727215 \h </w:instrText>
            </w:r>
            <w:r>
              <w:rPr>
                <w:noProof/>
                <w:webHidden/>
              </w:rPr>
            </w:r>
            <w:r>
              <w:rPr>
                <w:noProof/>
                <w:webHidden/>
              </w:rPr>
              <w:fldChar w:fldCharType="separate"/>
            </w:r>
            <w:r w:rsidR="00B16549">
              <w:rPr>
                <w:noProof/>
                <w:webHidden/>
              </w:rPr>
              <w:t>51</w:t>
            </w:r>
            <w:r>
              <w:rPr>
                <w:noProof/>
                <w:webHidden/>
              </w:rPr>
              <w:fldChar w:fldCharType="end"/>
            </w:r>
          </w:hyperlink>
        </w:p>
        <w:p w:rsidR="00B16549" w:rsidRDefault="00C65A08">
          <w:pPr>
            <w:pStyle w:val="TOC1"/>
            <w:tabs>
              <w:tab w:val="right" w:leader="dot" w:pos="8636"/>
            </w:tabs>
            <w:rPr>
              <w:rFonts w:asciiTheme="minorHAnsi" w:eastAsiaTheme="minorEastAsia" w:hAnsiTheme="minorHAnsi"/>
              <w:noProof/>
              <w:kern w:val="2"/>
              <w:sz w:val="24"/>
              <w:szCs w:val="24"/>
            </w:rPr>
          </w:pPr>
          <w:hyperlink w:anchor="_Toc238727216" w:history="1">
            <w:r w:rsidR="00B16549" w:rsidRPr="00FA6638">
              <w:rPr>
                <w:rStyle w:val="Hyperlink"/>
                <w:noProof/>
              </w:rPr>
              <w:t>References</w:t>
            </w:r>
            <w:r w:rsidR="00B16549">
              <w:rPr>
                <w:noProof/>
                <w:webHidden/>
              </w:rPr>
              <w:tab/>
            </w:r>
            <w:r>
              <w:rPr>
                <w:noProof/>
                <w:webHidden/>
              </w:rPr>
              <w:fldChar w:fldCharType="begin"/>
            </w:r>
            <w:r w:rsidR="00B16549">
              <w:rPr>
                <w:noProof/>
                <w:webHidden/>
              </w:rPr>
              <w:instrText xml:space="preserve"> PAGEREF _Toc238727216 \h </w:instrText>
            </w:r>
            <w:r>
              <w:rPr>
                <w:noProof/>
                <w:webHidden/>
              </w:rPr>
            </w:r>
            <w:r>
              <w:rPr>
                <w:noProof/>
                <w:webHidden/>
              </w:rPr>
              <w:fldChar w:fldCharType="separate"/>
            </w:r>
            <w:r w:rsidR="00B16549">
              <w:rPr>
                <w:noProof/>
                <w:webHidden/>
              </w:rPr>
              <w:t>53</w:t>
            </w:r>
            <w:r>
              <w:rPr>
                <w:noProof/>
                <w:webHidden/>
              </w:rPr>
              <w:fldChar w:fldCharType="end"/>
            </w:r>
          </w:hyperlink>
        </w:p>
        <w:p w:rsidR="00386FA8" w:rsidRDefault="00C65A08">
          <w:r>
            <w:rPr>
              <w:b/>
              <w:bCs/>
              <w:noProof/>
            </w:rPr>
            <w:fldChar w:fldCharType="end"/>
          </w:r>
        </w:p>
      </w:sdtContent>
    </w:sdt>
    <w:p w:rsidR="000B7728" w:rsidRDefault="000B7728">
      <w:pPr>
        <w:spacing w:after="160"/>
        <w:jc w:val="left"/>
        <w:rPr>
          <w:rFonts w:cstheme="majorBidi"/>
          <w:b/>
          <w:color w:val="000000" w:themeColor="text1"/>
          <w:sz w:val="28"/>
          <w:szCs w:val="40"/>
        </w:rPr>
      </w:pPr>
      <w:r>
        <w:br w:type="page"/>
      </w:r>
    </w:p>
    <w:p w:rsidR="000B7728" w:rsidRDefault="000B7728" w:rsidP="000B7728">
      <w:pPr>
        <w:pStyle w:val="Heading1"/>
        <w:numPr>
          <w:ilvl w:val="0"/>
          <w:numId w:val="0"/>
        </w:numPr>
        <w:rPr>
          <w:rFonts w:eastAsia="Times New Roman"/>
          <w:sz w:val="28"/>
        </w:rPr>
      </w:pPr>
      <w:bookmarkStart w:id="4" w:name="_Toc238727159"/>
      <w:r>
        <w:rPr>
          <w:rFonts w:eastAsia="Arial"/>
          <w:sz w:val="28"/>
        </w:rPr>
        <w:lastRenderedPageBreak/>
        <w:t>List of tables</w:t>
      </w:r>
      <w:bookmarkEnd w:id="4"/>
    </w:p>
    <w:p w:rsidR="00B16549" w:rsidRDefault="00C65A08">
      <w:pPr>
        <w:pStyle w:val="TableofFigures"/>
        <w:tabs>
          <w:tab w:val="right" w:leader="dot" w:pos="8636"/>
        </w:tabs>
        <w:rPr>
          <w:rFonts w:asciiTheme="minorHAnsi" w:eastAsiaTheme="minorEastAsia" w:hAnsiTheme="minorHAnsi"/>
          <w:noProof/>
          <w:kern w:val="2"/>
          <w:sz w:val="24"/>
          <w:szCs w:val="24"/>
        </w:rPr>
      </w:pPr>
      <w:r>
        <w:fldChar w:fldCharType="begin"/>
      </w:r>
      <w:r w:rsidR="000B7728">
        <w:instrText xml:space="preserve"> TOC \c "Table" </w:instrText>
      </w:r>
      <w:r>
        <w:fldChar w:fldCharType="separate"/>
      </w:r>
      <w:r w:rsidR="00B16549">
        <w:rPr>
          <w:noProof/>
        </w:rPr>
        <w:t>Table 3.1. PICo framework</w:t>
      </w:r>
      <w:r w:rsidR="00B16549">
        <w:rPr>
          <w:noProof/>
        </w:rPr>
        <w:tab/>
      </w:r>
      <w:r>
        <w:rPr>
          <w:noProof/>
        </w:rPr>
        <w:fldChar w:fldCharType="begin"/>
      </w:r>
      <w:r w:rsidR="00B16549">
        <w:rPr>
          <w:noProof/>
        </w:rPr>
        <w:instrText xml:space="preserve"> PAGEREF _Toc238727241 \h </w:instrText>
      </w:r>
      <w:r>
        <w:rPr>
          <w:noProof/>
        </w:rPr>
      </w:r>
      <w:r>
        <w:rPr>
          <w:noProof/>
        </w:rPr>
        <w:fldChar w:fldCharType="separate"/>
      </w:r>
      <w:r w:rsidR="00B16549">
        <w:rPr>
          <w:noProof/>
        </w:rPr>
        <w:t>16</w:t>
      </w:r>
      <w:r>
        <w:rPr>
          <w:noProof/>
        </w:rPr>
        <w:fldChar w:fldCharType="end"/>
      </w:r>
    </w:p>
    <w:p w:rsidR="00B16549" w:rsidRDefault="00B16549">
      <w:pPr>
        <w:pStyle w:val="TableofFigures"/>
        <w:tabs>
          <w:tab w:val="right" w:leader="dot" w:pos="8636"/>
        </w:tabs>
        <w:rPr>
          <w:rFonts w:asciiTheme="minorHAnsi" w:eastAsiaTheme="minorEastAsia" w:hAnsiTheme="minorHAnsi"/>
          <w:noProof/>
          <w:kern w:val="2"/>
          <w:sz w:val="24"/>
          <w:szCs w:val="24"/>
        </w:rPr>
      </w:pPr>
      <w:r>
        <w:rPr>
          <w:noProof/>
        </w:rPr>
        <w:t>Table 3.2. Core search concepts and indicative terms</w:t>
      </w:r>
      <w:r>
        <w:rPr>
          <w:noProof/>
        </w:rPr>
        <w:tab/>
      </w:r>
      <w:r w:rsidR="00C65A08">
        <w:rPr>
          <w:noProof/>
        </w:rPr>
        <w:fldChar w:fldCharType="begin"/>
      </w:r>
      <w:r>
        <w:rPr>
          <w:noProof/>
        </w:rPr>
        <w:instrText xml:space="preserve"> PAGEREF _Toc238727242 \h </w:instrText>
      </w:r>
      <w:r w:rsidR="00C65A08">
        <w:rPr>
          <w:noProof/>
        </w:rPr>
      </w:r>
      <w:r w:rsidR="00C65A08">
        <w:rPr>
          <w:noProof/>
        </w:rPr>
        <w:fldChar w:fldCharType="separate"/>
      </w:r>
      <w:r>
        <w:rPr>
          <w:noProof/>
        </w:rPr>
        <w:t>18</w:t>
      </w:r>
      <w:r w:rsidR="00C65A08">
        <w:rPr>
          <w:noProof/>
        </w:rPr>
        <w:fldChar w:fldCharType="end"/>
      </w:r>
    </w:p>
    <w:p w:rsidR="00B16549" w:rsidRDefault="00B16549">
      <w:pPr>
        <w:pStyle w:val="TableofFigures"/>
        <w:tabs>
          <w:tab w:val="right" w:leader="dot" w:pos="8636"/>
        </w:tabs>
        <w:rPr>
          <w:rFonts w:asciiTheme="minorHAnsi" w:eastAsiaTheme="minorEastAsia" w:hAnsiTheme="minorHAnsi"/>
          <w:noProof/>
          <w:kern w:val="2"/>
          <w:sz w:val="24"/>
          <w:szCs w:val="24"/>
        </w:rPr>
      </w:pPr>
      <w:r>
        <w:rPr>
          <w:noProof/>
        </w:rPr>
        <w:t>Table 3.3. Inclusion and exclusion criteria</w:t>
      </w:r>
      <w:r>
        <w:rPr>
          <w:noProof/>
        </w:rPr>
        <w:tab/>
      </w:r>
      <w:r w:rsidR="00C65A08">
        <w:rPr>
          <w:noProof/>
        </w:rPr>
        <w:fldChar w:fldCharType="begin"/>
      </w:r>
      <w:r>
        <w:rPr>
          <w:noProof/>
        </w:rPr>
        <w:instrText xml:space="preserve"> PAGEREF _Toc238727243 \h </w:instrText>
      </w:r>
      <w:r w:rsidR="00C65A08">
        <w:rPr>
          <w:noProof/>
        </w:rPr>
      </w:r>
      <w:r w:rsidR="00C65A08">
        <w:rPr>
          <w:noProof/>
        </w:rPr>
        <w:fldChar w:fldCharType="separate"/>
      </w:r>
      <w:r>
        <w:rPr>
          <w:noProof/>
        </w:rPr>
        <w:t>19</w:t>
      </w:r>
      <w:r w:rsidR="00C65A08">
        <w:rPr>
          <w:noProof/>
        </w:rPr>
        <w:fldChar w:fldCharType="end"/>
      </w:r>
    </w:p>
    <w:p w:rsidR="00B16549" w:rsidRDefault="00B16549">
      <w:pPr>
        <w:pStyle w:val="TableofFigures"/>
        <w:tabs>
          <w:tab w:val="right" w:leader="dot" w:pos="8636"/>
        </w:tabs>
        <w:rPr>
          <w:rFonts w:asciiTheme="minorHAnsi" w:eastAsiaTheme="minorEastAsia" w:hAnsiTheme="minorHAnsi"/>
          <w:noProof/>
          <w:kern w:val="2"/>
          <w:sz w:val="24"/>
          <w:szCs w:val="24"/>
        </w:rPr>
      </w:pPr>
      <w:r>
        <w:rPr>
          <w:noProof/>
        </w:rPr>
        <w:t>Table 3.4. Data extraction fields</w:t>
      </w:r>
      <w:r>
        <w:rPr>
          <w:noProof/>
        </w:rPr>
        <w:tab/>
      </w:r>
      <w:r w:rsidR="00C65A08">
        <w:rPr>
          <w:noProof/>
        </w:rPr>
        <w:fldChar w:fldCharType="begin"/>
      </w:r>
      <w:r>
        <w:rPr>
          <w:noProof/>
        </w:rPr>
        <w:instrText xml:space="preserve"> PAGEREF _Toc238727244 \h </w:instrText>
      </w:r>
      <w:r w:rsidR="00C65A08">
        <w:rPr>
          <w:noProof/>
        </w:rPr>
      </w:r>
      <w:r w:rsidR="00C65A08">
        <w:rPr>
          <w:noProof/>
        </w:rPr>
        <w:fldChar w:fldCharType="separate"/>
      </w:r>
      <w:r>
        <w:rPr>
          <w:noProof/>
        </w:rPr>
        <w:t>22</w:t>
      </w:r>
      <w:r w:rsidR="00C65A08">
        <w:rPr>
          <w:noProof/>
        </w:rPr>
        <w:fldChar w:fldCharType="end"/>
      </w:r>
    </w:p>
    <w:p w:rsidR="00B16549" w:rsidRDefault="00B16549">
      <w:pPr>
        <w:pStyle w:val="TableofFigures"/>
        <w:tabs>
          <w:tab w:val="right" w:leader="dot" w:pos="8636"/>
        </w:tabs>
        <w:rPr>
          <w:rFonts w:asciiTheme="minorHAnsi" w:eastAsiaTheme="minorEastAsia" w:hAnsiTheme="minorHAnsi"/>
          <w:noProof/>
          <w:kern w:val="2"/>
          <w:sz w:val="24"/>
          <w:szCs w:val="24"/>
        </w:rPr>
      </w:pPr>
      <w:r>
        <w:rPr>
          <w:noProof/>
        </w:rPr>
        <w:t>Table 4.1. Characteristics of the 14 included studies</w:t>
      </w:r>
      <w:r>
        <w:rPr>
          <w:noProof/>
        </w:rPr>
        <w:tab/>
      </w:r>
      <w:r w:rsidR="00C65A08">
        <w:rPr>
          <w:noProof/>
        </w:rPr>
        <w:fldChar w:fldCharType="begin"/>
      </w:r>
      <w:r>
        <w:rPr>
          <w:noProof/>
        </w:rPr>
        <w:instrText xml:space="preserve"> PAGEREF _Toc238727245 \h </w:instrText>
      </w:r>
      <w:r w:rsidR="00C65A08">
        <w:rPr>
          <w:noProof/>
        </w:rPr>
      </w:r>
      <w:r w:rsidR="00C65A08">
        <w:rPr>
          <w:noProof/>
        </w:rPr>
        <w:fldChar w:fldCharType="separate"/>
      </w:r>
      <w:r>
        <w:rPr>
          <w:noProof/>
        </w:rPr>
        <w:t>26</w:t>
      </w:r>
      <w:r w:rsidR="00C65A08">
        <w:rPr>
          <w:noProof/>
        </w:rPr>
        <w:fldChar w:fldCharType="end"/>
      </w:r>
    </w:p>
    <w:p w:rsidR="00B16549" w:rsidRDefault="00B16549">
      <w:pPr>
        <w:pStyle w:val="TableofFigures"/>
        <w:tabs>
          <w:tab w:val="right" w:leader="dot" w:pos="8636"/>
        </w:tabs>
        <w:rPr>
          <w:rFonts w:asciiTheme="minorHAnsi" w:eastAsiaTheme="minorEastAsia" w:hAnsiTheme="minorHAnsi"/>
          <w:noProof/>
          <w:kern w:val="2"/>
          <w:sz w:val="24"/>
          <w:szCs w:val="24"/>
        </w:rPr>
      </w:pPr>
      <w:r>
        <w:rPr>
          <w:noProof/>
        </w:rPr>
        <w:t>Table 4.2. Summary of critical appraisal</w:t>
      </w:r>
      <w:r>
        <w:rPr>
          <w:noProof/>
        </w:rPr>
        <w:tab/>
      </w:r>
      <w:r w:rsidR="00C65A08">
        <w:rPr>
          <w:noProof/>
        </w:rPr>
        <w:fldChar w:fldCharType="begin"/>
      </w:r>
      <w:r>
        <w:rPr>
          <w:noProof/>
        </w:rPr>
        <w:instrText xml:space="preserve"> PAGEREF _Toc238727246 \h </w:instrText>
      </w:r>
      <w:r w:rsidR="00C65A08">
        <w:rPr>
          <w:noProof/>
        </w:rPr>
      </w:r>
      <w:r w:rsidR="00C65A08">
        <w:rPr>
          <w:noProof/>
        </w:rPr>
        <w:fldChar w:fldCharType="separate"/>
      </w:r>
      <w:r>
        <w:rPr>
          <w:noProof/>
        </w:rPr>
        <w:t>29</w:t>
      </w:r>
      <w:r w:rsidR="00C65A08">
        <w:rPr>
          <w:noProof/>
        </w:rPr>
        <w:fldChar w:fldCharType="end"/>
      </w:r>
    </w:p>
    <w:p w:rsidR="00B16549" w:rsidRDefault="00B16549">
      <w:pPr>
        <w:pStyle w:val="TableofFigures"/>
        <w:tabs>
          <w:tab w:val="right" w:leader="dot" w:pos="8636"/>
        </w:tabs>
        <w:rPr>
          <w:rFonts w:asciiTheme="minorHAnsi" w:eastAsiaTheme="minorEastAsia" w:hAnsiTheme="minorHAnsi"/>
          <w:noProof/>
          <w:kern w:val="2"/>
          <w:sz w:val="24"/>
          <w:szCs w:val="24"/>
        </w:rPr>
      </w:pPr>
      <w:r>
        <w:rPr>
          <w:noProof/>
        </w:rPr>
        <w:t>Table 5.1. Final themes and contributing studies</w:t>
      </w:r>
      <w:r>
        <w:rPr>
          <w:noProof/>
        </w:rPr>
        <w:tab/>
      </w:r>
      <w:r w:rsidR="00C65A08">
        <w:rPr>
          <w:noProof/>
        </w:rPr>
        <w:fldChar w:fldCharType="begin"/>
      </w:r>
      <w:r>
        <w:rPr>
          <w:noProof/>
        </w:rPr>
        <w:instrText xml:space="preserve"> PAGEREF _Toc238727247 \h </w:instrText>
      </w:r>
      <w:r w:rsidR="00C65A08">
        <w:rPr>
          <w:noProof/>
        </w:rPr>
      </w:r>
      <w:r w:rsidR="00C65A08">
        <w:rPr>
          <w:noProof/>
        </w:rPr>
        <w:fldChar w:fldCharType="separate"/>
      </w:r>
      <w:r>
        <w:rPr>
          <w:noProof/>
        </w:rPr>
        <w:t>35</w:t>
      </w:r>
      <w:r w:rsidR="00C65A08">
        <w:rPr>
          <w:noProof/>
        </w:rPr>
        <w:fldChar w:fldCharType="end"/>
      </w:r>
    </w:p>
    <w:p w:rsidR="000B7728" w:rsidRPr="000B7728" w:rsidRDefault="00C65A08" w:rsidP="000B7728">
      <w:pPr>
        <w:sectPr w:rsidR="000B7728" w:rsidRPr="000B7728" w:rsidSect="000B7728">
          <w:footerReference w:type="default" r:id="rId10"/>
          <w:pgSz w:w="12240" w:h="15840"/>
          <w:pgMar w:top="1440" w:right="1797" w:bottom="1440" w:left="1797" w:header="720" w:footer="720" w:gutter="0"/>
          <w:pgNumType w:fmt="lowerRoman" w:start="1"/>
          <w:cols w:space="720"/>
          <w:docGrid w:linePitch="360"/>
        </w:sectPr>
      </w:pPr>
      <w:r>
        <w:fldChar w:fldCharType="end"/>
      </w:r>
    </w:p>
    <w:p w:rsidR="00AE3CE1" w:rsidRDefault="00AE3CE1" w:rsidP="00867166">
      <w:pPr>
        <w:pStyle w:val="Heading1"/>
      </w:pPr>
      <w:bookmarkStart w:id="5" w:name="_Toc238727160"/>
      <w:r>
        <w:rPr>
          <w:rFonts w:eastAsia="Arial"/>
        </w:rPr>
        <w:lastRenderedPageBreak/>
        <w:t>Introduction and Background</w:t>
      </w:r>
      <w:bookmarkEnd w:id="5"/>
    </w:p>
    <w:p w:rsidR="00AE3CE1" w:rsidRDefault="00AE3CE1" w:rsidP="00867166">
      <w:r>
        <w:t>Mental health problems among young adults have become a major public health concern in the UK. Young adulthood involves important transitions in education, employment, relationships, housing and increasing independence, which can increase vulnerability while also affecting when and how support is sought. A large meta-analysis found that 62.5% of individuals with any mental disorder experienced its onset before the age of 25, confirming the importance of timely identification and intervention during this period (Kessler et al., 2005; McGorry et al., 2011; Solmi et al., 2022). In England, the prevalence of common mental health conditions among 16 to 24-year-olds increased from 18.9% in 2014 to 25.8% in 2023 to 2024 (NHS Digital, 2025b). Service contact is also substantial: 4,129,290 people were known to be in contact with NHS-funded secondary mental health, learning disability and autism services during 2024 to 2025 (NHS Digital, 2025a). These patterns make timely access to appropriate community-based support a central public health and service-delivery concern.</w:t>
      </w:r>
    </w:p>
    <w:p w:rsidR="00686731" w:rsidRDefault="00AE3CE1" w:rsidP="00686731">
      <w:r>
        <w:t xml:space="preserve">Community-based mental health services include primary-care mental health support, community mental health teams, voluntary-sector counselling, university support and Youth Information, Advice and Counselling services. They are intended to provide earlier, less restrictive and more continuous support outside acute or inpatient care. For example, community youth hubs may offer self-referral, choice of location, counselling, practical advice and support for wider social needs, which can make services easier to approach and remain engaged with (Hassan et al., 2022; McGorry, 2007; McGorry, Bates and Birchwood, 2013; McGorry et al., 2022). However, access is not equally achievable. </w:t>
      </w:r>
      <w:r w:rsidR="00686731">
        <w:t>Stigma, embarrassment, low mental health literacy, concerns about confidentiality and uncertainty about where to seek help puts a lid on disclosure and getting the support sought at an early age (Gulliver, Griffiths and Christensen, 2010; Mitchell, McMillan and Hagan, 2017). Other UK evidence also shows that fear of judgement, lack of trust, lack of awareness of services available and concern about consequences of disclosure are all identified as barriers to disclosure (Macdonald and Lucas, 2025). These barriers can interact in each other's presence. A young adult might be aware of distress but not share this due to stigma and when they choose to disclose this, they might not be clear on the referral pathway and/or experience delay.</w:t>
      </w:r>
    </w:p>
    <w:p w:rsidR="00AE3CE1" w:rsidRDefault="00686731" w:rsidP="00686731">
      <w:r>
        <w:lastRenderedPageBreak/>
        <w:t>But there are structural barriers that makes this pathway more complex. There is uneven reporting of inequalities in adult mental health service access in the UK with evidence that inequalities may be greater among marginalised groups (Lowther-Payne et al., 2023). Low levels of continuity, high eligibility criteria, denied referrals or waiting times can lead to loss of trust, especially when transitioning from Child and Adolescent Mental Health Services to Adult Services (Appleton et al., 2021; Punton, Dodd and McNeill, 2022). Between 2012 to 2013 and 2021 to 2022, Ward et al. (2025) reported that the number of admissions aged 5 to 18 in acute medical wards for mental health conditions rose by 65.0% (from 24,198 to 39,925) whilst all-cause admissions increased by 10.1%. An increase of 514.6% in admissions of eating disorders.</w:t>
      </w:r>
      <w:r w:rsidR="00AE3CE1">
        <w:t xml:space="preserve"> The study concerns acute wards and a younger population, so it does not directly demonstrate barriers to community-based services for young adults. It nevertheless provides contextual evidence of rising severity and pressure across the wider system. As the authors could not establish why admissions rose, it would be inappropriate to claim that poor community access caused the increase. Instead, the findings strengthen the rationale for examining whether earlier, clearer and more continuous community pathways could help address unmet need before difficulties escalate.</w:t>
      </w:r>
    </w:p>
    <w:p w:rsidR="00AE3CE1" w:rsidRDefault="00AE3CE1" w:rsidP="00867166">
      <w:r>
        <w:t xml:space="preserve">Access is therefore understood as a pathway rather than a single referral or appointment. The Patient-Centred Access to Healthcare Framework describes access as an interaction between service characteristics and people's abilities to perceive a need, seek help, reach services, obtain care and engage with that care (Levesque, Harris and Russell, 2013). For young adults, this pathway may involve recognising distress, deciding to seek help, identifying a suitable service, completing referral and assessment, waiting, attending a first contact and deciding whether to continue. Barriers can arise at each stage, so reaching a service does not necessarily mean that meaningful early engagement has occurred (Aguirre Velasco et al., 2020; Radez et al., 2021). Existing UK evidence tends to examine these stages separately, including help-seeking attitudes, waiting-list experiences, transition between child and adult services, inequalities and particular settings such as universities or voluntary organisations. Consequently, there is limited integrated understanding of how structural, social, cultural and intersectional barriers accumulate across the complete access-to-early-engagement pathway for young adults. This qualitative systematic review addresses that gap by </w:t>
      </w:r>
      <w:r>
        <w:lastRenderedPageBreak/>
        <w:t>synthesising published evidence on how these barriers influence whether young adults reach appropriate support and remain engaged during early care.</w:t>
      </w:r>
    </w:p>
    <w:p w:rsidR="00AE3CE1" w:rsidRDefault="00AE3CE1" w:rsidP="00AE3CE1">
      <w:pPr>
        <w:spacing w:after="160"/>
        <w:jc w:val="left"/>
        <w:rPr>
          <w:rFonts w:cstheme="majorBidi"/>
          <w:b/>
          <w:color w:val="000000" w:themeColor="text1"/>
          <w:sz w:val="32"/>
          <w:szCs w:val="40"/>
        </w:rPr>
      </w:pPr>
      <w:r>
        <w:br w:type="page"/>
      </w:r>
    </w:p>
    <w:p w:rsidR="00AE3CE1" w:rsidRPr="00AE3CE1" w:rsidRDefault="00AE3CE1" w:rsidP="00AE3CE1">
      <w:pPr>
        <w:pStyle w:val="Heading1"/>
      </w:pPr>
      <w:bookmarkStart w:id="6" w:name="_Toc238727161"/>
      <w:r w:rsidRPr="00AE3CE1">
        <w:rPr>
          <w:rFonts w:eastAsia="Arial"/>
        </w:rPr>
        <w:lastRenderedPageBreak/>
        <w:t>Literature Review</w:t>
      </w:r>
      <w:bookmarkEnd w:id="6"/>
    </w:p>
    <w:p w:rsidR="00AE3CE1" w:rsidRPr="00AE3CE1" w:rsidRDefault="00AE3CE1" w:rsidP="00AE3CE1">
      <w:pPr>
        <w:pStyle w:val="Heading2"/>
        <w:rPr>
          <w:rFonts w:eastAsia="MS Gothic"/>
        </w:rPr>
      </w:pPr>
      <w:bookmarkStart w:id="7" w:name="_Toc238727162"/>
      <w:r w:rsidRPr="00AE3CE1">
        <w:rPr>
          <w:rFonts w:eastAsia="Arial"/>
        </w:rPr>
        <w:t>Introduction</w:t>
      </w:r>
      <w:bookmarkEnd w:id="7"/>
    </w:p>
    <w:p w:rsidR="00AE3CE1" w:rsidRPr="00AE3CE1" w:rsidRDefault="00AE3CE1" w:rsidP="00AE3CE1">
      <w:pPr>
        <w:spacing w:after="120"/>
        <w:rPr>
          <w:rFonts w:cs="Times New Roman"/>
        </w:rPr>
      </w:pPr>
      <w:r w:rsidRPr="00AE3CE1">
        <w:rPr>
          <w:rFonts w:cs="Times New Roman"/>
        </w:rPr>
        <w:t>This chapter critically reviews evidence on barriers to access and early engagement in community-based mental health services among young adults in the United Kingdom. For this thesis, young adults are principally those aged 18 to 25, although studies using closely overlapping youth age ranges are considered where their findings illuminate the transition into adult care. Community-based mental health services refer to non-inpatient provision, including National Health Service community teams, talking therapies, primary-care-linked support, voluntary-sector services and university-linked provision. Access is understood as the process through which a person recognises a need, seeks support, reaches an appropriate service and receives care. Early engagement extends beyond attendance to include understanding the pathway, developing trust, participating in initial care and deciding whether to continue.</w:t>
      </w:r>
    </w:p>
    <w:p w:rsidR="00AE3CE1" w:rsidRPr="00AE3CE1" w:rsidRDefault="00AE3CE1" w:rsidP="00AE3CE1">
      <w:pPr>
        <w:spacing w:after="120"/>
        <w:rPr>
          <w:rFonts w:cs="Times New Roman"/>
        </w:rPr>
      </w:pPr>
      <w:r w:rsidRPr="00AE3CE1">
        <w:rPr>
          <w:rFonts w:cs="Times New Roman"/>
        </w:rPr>
        <w:t>The review is organised around interconnected themes rather than isolated studies. It first considers rising mental health need and pressure on UK services, then examines how access is conceptualised through the Patient-Centred Access to Healthcare Framework. The subsequent sections synthesise structural barriers, social and cultural influences, early engagement and intersectional inequalities. Throughout, attention is given to where findings converge, where differences in population or setting limit comparison, and how the available evidence supports the systematic review question. The chapter concludes by identifying the need to integrate evidence that is currently dispersed across help-seeking, waiting, transition, inequality and engagement research.</w:t>
      </w:r>
    </w:p>
    <w:p w:rsidR="00AE3CE1" w:rsidRPr="00AE3CE1" w:rsidRDefault="00AE3CE1" w:rsidP="00AE3CE1">
      <w:pPr>
        <w:pStyle w:val="Heading2"/>
        <w:rPr>
          <w:rFonts w:eastAsia="MS Gothic"/>
        </w:rPr>
      </w:pPr>
      <w:bookmarkStart w:id="8" w:name="_Toc238727163"/>
      <w:r w:rsidRPr="00AE3CE1">
        <w:rPr>
          <w:rFonts w:eastAsia="Arial"/>
        </w:rPr>
        <w:t>Mental health need and service pressure among young people and young adults in the UK</w:t>
      </w:r>
      <w:bookmarkEnd w:id="8"/>
    </w:p>
    <w:p w:rsidR="00AE3CE1" w:rsidRPr="00AE3CE1" w:rsidRDefault="00AE3CE1" w:rsidP="00867166">
      <w:pPr>
        <w:rPr>
          <w:rFonts w:cs="Times New Roman"/>
        </w:rPr>
      </w:pPr>
      <w:r>
        <w:t xml:space="preserve">Young adulthood combines increasing independence with changes in education, employment, housing and relationships, while many mental disorders first emerge by this period (Solmi et al., 2022). NHS Digital (2025b) reported that common mental health conditions affected 25.8% of 16- to 24-year-olds in England in 2023 to 2024, compared with 18.9% in 2014. The age category is wider than the review's principal 18-to-25 range and the survey does not identify service barriers directly. Nevertheless, the increase establishes the scale of need against which access must be evaluated (Storrie, Ahern </w:t>
      </w:r>
      <w:r>
        <w:lastRenderedPageBreak/>
        <w:t>and Tuckett, 2010; Macaskill, 2013; Auerbach et al., 2018; Bruffaerts et al., 2018). Salaheddin and Mason (2016) add more specific evidence from UK adults aged 18 to 25: 35% of respondents who reported an emotional or mental health difficulty had sought neither formal nor informal help, indicating that rising need does not translate automatically into service contact.</w:t>
      </w:r>
    </w:p>
    <w:p w:rsidR="00AE3CE1" w:rsidRPr="00AE3CE1" w:rsidRDefault="00686731" w:rsidP="00867166">
      <w:pPr>
        <w:rPr>
          <w:rFonts w:cs="Times New Roman"/>
        </w:rPr>
      </w:pPr>
      <w:r w:rsidRPr="00686731">
        <w:rPr>
          <w:rFonts w:cs="Times New Roman"/>
        </w:rPr>
        <w:t>Pressure is also visible at service level. In 2024 to 2025, in England, there were 4.13 million individuals that came into contact with secondary mental health, learning disability and autism services, according to NHS Digital (2025a). The NHS Long Term Plan included community provision as a key priority for earlier intervention, continuity and support away from hospital but, in isolation, demonstrating timely and equitable access through increased contact cannot be demonstrated (NHS England, 2019). This separation is significant as utilisation data are silent on those who drop out of services, are turned away at referral and those on waiting lists. Lowther-Payne et al. (2023) also reported that in the UK, access to research is frequently via referrals, contacts and admissions, although these measures do not reflect the entire journey to accessing research or how it is perceived as being right</w:t>
      </w:r>
      <w:r w:rsidR="00AE3CE1" w:rsidRPr="00AE3CE1">
        <w:rPr>
          <w:rFonts w:cs="Times New Roman"/>
        </w:rPr>
        <w:t>.</w:t>
      </w:r>
    </w:p>
    <w:p w:rsidR="00AE3CE1" w:rsidRPr="00AE3CE1" w:rsidRDefault="00AE3CE1" w:rsidP="00AE3CE1">
      <w:pPr>
        <w:spacing w:after="120"/>
        <w:rPr>
          <w:rFonts w:cs="Times New Roman"/>
        </w:rPr>
      </w:pPr>
      <w:r w:rsidRPr="00AE3CE1">
        <w:rPr>
          <w:rFonts w:cs="Times New Roman"/>
        </w:rPr>
        <w:t>Ward et al. (2025) provide contextual evidence of escalating pressure elsewhere in the youth mental health system. Among people aged 5 to 18 admitted to acute medical wards in England, annual admissions for mental health concerns rose from 24,198 in 2012 to 2013 to 39,925 in 2021 to 2022, an increase of 65.0%, while all-cause admissions increased by 10.1%. In 2021 to 2022, self-harm accounted for 53.4% of mental-health-related admissions; admissions among girls aged 11 to 15 rose by 112.8%, and eating-disorder admissions by 514.6%. In addition, 13.4% of those admitted for mental health concerns experienced readmission within six months. These results demonstrate increased acuity and recurrent demand, but they cannot establish that inadequate community access caused hospital admission. The cohort concerns children and adolescents rather than the target young-adult population and examines acute wards rather than community services. Its contribution is therefore to strengthen the wider rationale for timely support, not to serve as direct evidence of community access barriers.</w:t>
      </w:r>
    </w:p>
    <w:p w:rsidR="00AE3CE1" w:rsidRPr="00AE3CE1" w:rsidRDefault="00AE3CE1" w:rsidP="00AE3CE1">
      <w:pPr>
        <w:spacing w:after="120"/>
        <w:rPr>
          <w:rFonts w:cs="Times New Roman"/>
        </w:rPr>
      </w:pPr>
      <w:r w:rsidRPr="00AE3CE1">
        <w:rPr>
          <w:rFonts w:cs="Times New Roman"/>
        </w:rPr>
        <w:t xml:space="preserve">Evidence from community settings shows why service contact should not be equated with effective access. The Community Mental Health Survey qualitative report identified recurring concerns about communication, coordination, practical access and the </w:t>
      </w:r>
      <w:r w:rsidRPr="00AE3CE1">
        <w:rPr>
          <w:rFonts w:cs="Times New Roman"/>
        </w:rPr>
        <w:lastRenderedPageBreak/>
        <w:t xml:space="preserve">experience of care among people already in contact with services (NHS England, 2026). </w:t>
      </w:r>
      <w:r w:rsidR="00686731" w:rsidRPr="00AE3CE1">
        <w:rPr>
          <w:rFonts w:cs="Times New Roman"/>
        </w:rPr>
        <w:t>These complements</w:t>
      </w:r>
      <w:r w:rsidRPr="00AE3CE1">
        <w:rPr>
          <w:rFonts w:cs="Times New Roman"/>
        </w:rPr>
        <w:t xml:space="preserve"> Ward et al. (2025) by showing pressure at a different point in the system: acute admissions indicate growing severity, whereas community feedback reveals weaknesses that can persist after access has nominally occurred. However, neither source is specific to young adults aged 18 to 25. The literature therefore supports a substantial service problem while also revealing an age-specific evidence gap concerning how young adults encounter and interpret the route into community-based care.</w:t>
      </w:r>
    </w:p>
    <w:p w:rsidR="00AE3CE1" w:rsidRPr="00AE3CE1" w:rsidRDefault="00AE3CE1" w:rsidP="00AE3CE1">
      <w:pPr>
        <w:pStyle w:val="Heading2"/>
        <w:rPr>
          <w:rFonts w:eastAsia="MS Gothic"/>
        </w:rPr>
      </w:pPr>
      <w:bookmarkStart w:id="9" w:name="_Toc238727164"/>
      <w:r w:rsidRPr="00AE3CE1">
        <w:rPr>
          <w:rFonts w:eastAsia="Arial"/>
        </w:rPr>
        <w:t>Conceptualising access as a process</w:t>
      </w:r>
      <w:bookmarkEnd w:id="9"/>
    </w:p>
    <w:p w:rsidR="00AE3CE1" w:rsidRPr="00AE3CE1" w:rsidRDefault="00AE3CE1" w:rsidP="00AE3CE1">
      <w:pPr>
        <w:spacing w:after="120"/>
        <w:rPr>
          <w:rFonts w:cs="Times New Roman"/>
        </w:rPr>
      </w:pPr>
      <w:r w:rsidRPr="00AE3CE1">
        <w:rPr>
          <w:rFonts w:cs="Times New Roman"/>
        </w:rPr>
        <w:t>The principal conceptual model used in this thesis is the Patient-Centred Access to Healthcare Framework developed by Levesque, Harris and Russell (2013). The framework defines access as an interaction between service characteristics and people’s abilities. Service dimensions include approachability, acceptability, availability and accommodation, affordability, and appropriateness; corresponding population abilities are the abilities to perceive need, seek care, reach services, pay or manage resource demands, and engage. This model is stronger than a narrow definition based on referral or attendance because it shows that access can fail before contact, during navigation or after care begins. It also prevents responsibility being placed solely on the individual by recognising that service design can enable or restrict each ability.</w:t>
      </w:r>
    </w:p>
    <w:p w:rsidR="00AE3CE1" w:rsidRPr="00AE3CE1" w:rsidRDefault="00AE3CE1" w:rsidP="00867166">
      <w:pPr>
        <w:rPr>
          <w:rFonts w:cs="Times New Roman"/>
        </w:rPr>
      </w:pPr>
      <w:r>
        <w:t>Help-seeking research develops the early stages of this framework. Rickwood and Thomas (2012) define help-seeking as communication undertaken to obtain understanding, advice, information, treatment or support, while Mitchell, McMillan and Hagan (2017) emphasise recognition, decision-making and communication among young adults. Together, these perspectives show that informal and formal routes are connected (Rickwood et al., 2005; Rickwood, Deane and Wilson, 2007; Jorm, 2012). A young adult may first disclose to friends, relatives, university staff or a general practitioner, and the response at that point can facilitate or obstruct later referral. Salaheddin and Mason (2016) support this interpretation by identifying difficulty recognising or expressing concerns, self-reliance, stigma and access difficulties within the same UK young-adult sample, suggesting that personal and structural barriers cannot be separated neatly.</w:t>
      </w:r>
    </w:p>
    <w:p w:rsidR="00AE3CE1" w:rsidRPr="00AE3CE1" w:rsidRDefault="00AE3CE1" w:rsidP="00AE3CE1">
      <w:pPr>
        <w:spacing w:after="120"/>
        <w:rPr>
          <w:rFonts w:cs="Times New Roman"/>
        </w:rPr>
      </w:pPr>
      <w:r w:rsidRPr="00AE3CE1">
        <w:rPr>
          <w:rFonts w:cs="Times New Roman"/>
        </w:rPr>
        <w:lastRenderedPageBreak/>
        <w:t>The Patient-Centred Access to Healthcare Framework is useful for organising evidence across the access-to-engagement pathway, but it was developed for healthcare access generally rather than specifically for UK youth mental health services (Levesque, Harris and Russell, 2013). Its 'ability to pay' dimension is also less directly applicable to NHS care than in insurance-based systems. Lowther-Payne et al. (2023) found no reviewed UK studies that identified ability to pay as a direct access dimension, although indirect costs such as transport, time and digital access remain relevant. The framework is therefore used as a sensitising structure rather than a rigid classification, allowing age, identity and service context to modify how need recognition, help-seeking, referral, assessment, first contact and engagement are experienced.</w:t>
      </w:r>
    </w:p>
    <w:p w:rsidR="00AE3CE1" w:rsidRPr="00AE3CE1" w:rsidRDefault="00AE3CE1" w:rsidP="00AE3CE1">
      <w:pPr>
        <w:pStyle w:val="Heading2"/>
        <w:rPr>
          <w:rFonts w:eastAsia="MS Gothic"/>
        </w:rPr>
      </w:pPr>
      <w:bookmarkStart w:id="10" w:name="_Toc238727165"/>
      <w:r w:rsidRPr="00AE3CE1">
        <w:rPr>
          <w:rFonts w:eastAsia="Arial"/>
        </w:rPr>
        <w:t>Structural and service-level barriers</w:t>
      </w:r>
      <w:bookmarkEnd w:id="10"/>
    </w:p>
    <w:p w:rsidR="00686731" w:rsidRDefault="00686731" w:rsidP="00686731">
      <w:r>
        <w:t>Structural barriers are those that are related to the organisation, resourcing and connections of services (McGorry et al., 2014; Malla et al., 2016). Service level issues such as complicated pathways and long waiting times are frequently mentioned as difficulties to access and engagement by children and young people (Anderson et al., 2017) and fragmented pathways and poor service fit were shown to have a detrimental effect on those experiencing multiple disadvantage (Moreton, Welford and Collinson, 2022). The two types of studies have a different focus; the first one is a synthesis of a wide range of youth literature and the second study one is focussed on a larger disadvantaged population. The fact that they overlap, however, suggests that it is possible for the system to create the illusion of "exclusion," even if the participants are not reluctant to seek assistance. Anderson et al. (2017) also pointed out that many of the studies used small convenience samples, and therefore, the frequency of the themes cannot be determined.</w:t>
      </w:r>
    </w:p>
    <w:p w:rsidR="00686731" w:rsidRDefault="00686731" w:rsidP="00686731">
      <w:r>
        <w:t xml:space="preserve">One of the challenges which is clearly visible between referral and care is waiting. Punton, Dodd and McNeill (2022) determined that waiting lists for the UK youth are a times of uncertainty, deterioration and loss of confidence, instead of being a neutral waiting interval. This further develops the access framework as availability is not the same as the presence of a service, but rather when a service is available when it is still usable. Other studies on service levels also found length of wait is an issue (Anderson et al, 2017) and NHS England (2026) noted problems with communication and co-ordination in the community. The uniformity in qualitative, review and survey findings reinforce the overall finding that waiting can cause disengagement prior to seeking </w:t>
      </w:r>
      <w:r>
        <w:lastRenderedPageBreak/>
        <w:t>treatments; however, because of differences in services and definition of waiting-lists, direct comparisons are not possible.</w:t>
      </w:r>
    </w:p>
    <w:p w:rsidR="00686731" w:rsidRDefault="00686731" w:rsidP="00686731">
      <w:r>
        <w:t>There are related forms of discontinuity as a result of referral thresholds and rejection. Appleton et al (2021) researched the young people who slipped through the gaps between child and adult services and discovered they were rejected for referral, unsure and lost support on multiple occasions. Their findings demonstrate the way that an administrative choice may be communicated buttressed with expressions of relationship that suggest that distress isn't legitimate and/or that the individual is unwelcome. The trend is echoed throughout the service literature, with Kirk et al. (2023), (based on nine services in England and Wales), noting that open access and self-referral/support at the point of need are key aspects of accessibility. It's a big difference. Appleton et al. (2021) show the impact of threshold-based exclusion and Kirk et al. (2023) show the features of services that can help to minimise threshold-based exclusion.</w:t>
      </w:r>
    </w:p>
    <w:p w:rsidR="00686731" w:rsidRDefault="00686731" w:rsidP="00686731">
      <w:r>
        <w:t>The developmental boundary of Transition helps to make referral problems more manageable. There is likely to be a lack of continuity in the chronological transfer between CAMHS and adult services in terms of thresholds, the culture and expectations of the services. Singh and Tuomainen (2015) note that transition remains a gap in mental health systems and Rosina et al. (2025) summarise the qualitative evidence of suboptimal handover transitions and lack of preparation and support with the relationship. Appleton et al. (2021) illustrate the lived out effects of these arrangements, through experiences of repeated rejection. While these studies reinforce each other, the majority of the studies are on the 16-18 transition point, and not the 18-25 transition. Their relevance is found in the fact that they can be used to illustrate the experience of discontinuity that they may have had in early childhood and how this impacts on the trust they have in adult community services (Appleton et al., 2019; Hovish et al., 2012; Paul et al., 2013; Paul et al., 2015; Singh et al., 2010; Hill, Wilde and Tickle, 2019).</w:t>
      </w:r>
    </w:p>
    <w:p w:rsidR="00686731" w:rsidRDefault="00686731" w:rsidP="00686731">
      <w:r>
        <w:t xml:space="preserve">Communication is cross-curricular with regards to waiting, referral and transition. Late, confusing or poor-quality information (written in a manner that young adults do not understand very well) can fail to let young adults know whether they are accepted, what they need to do and where they can find supports. Kirk et al. (2023) identified open access as a key component of accessible services and Memon et al. (2016) identified a lack of access to services, language barriers and poor communication between </w:t>
      </w:r>
      <w:r>
        <w:lastRenderedPageBreak/>
        <w:t>providers and patients as key factors in the lack of access to services among black and minority ethnic communities in southeast England. All ages of adults were used in the study carried out by Memon et al., (2016), and thus, the results might not apply to all young adults. It has nevertheless shown that the communication barriers are not limited to the difficulty in understanding the words in the letter, but include limited English proficiency, cultural understanding and explanation. Communication should thus be considered a condition of access and not just an administrative courtesy.</w:t>
      </w:r>
    </w:p>
    <w:p w:rsidR="00686731" w:rsidRDefault="00686731" w:rsidP="00686731">
      <w:pPr>
        <w:pStyle w:val="Heading2"/>
      </w:pPr>
      <w:bookmarkStart w:id="11" w:name="_Toc238727166"/>
      <w:r>
        <w:t>Social and cultural barriers to help-seeking</w:t>
      </w:r>
      <w:bookmarkEnd w:id="11"/>
    </w:p>
    <w:p w:rsidR="00686731" w:rsidRDefault="00686731" w:rsidP="00686731">
      <w:r>
        <w:t>Social and cultural barriers influence the process of recognition, disclosure and formal help-seeking of distress. Gulliver, Griffiths and Christensen (2010) found stigma, confidentiality issues, lack of mental health literacy and self-reliance to be common obstacles in all youth studies (Aguirre Velasco et al., 2020; Radez et al., 2021). This arrangement is to the same extent seen in the UK evidence. Salaheddin and Mason (2016) reported stigmatising beliefs, lack of identification/expression of concerns, self-reliance and lack of help-seeking among a sample only aged between 18 and 25. The agreement between the international and the UK study reaffirms the persistence of these barriers but again due to the online cross-sectional sample of the UK study, it is possible that those with less digital access and those who are less willing to talk about mental health are underrepresented.</w:t>
      </w:r>
    </w:p>
    <w:p w:rsidR="00686731" w:rsidRDefault="00686731" w:rsidP="00686731">
      <w:r>
        <w:t>Stigma works on the level of expected discrimination, shame (as experienced by people seeking mental health support) and fear of the stigma attached to accessing services (Eisenberg et al., 2009; Golberstein, Eisenberg and Gollust, 2009; Nam et al., 2010; Schnyder et al., 2017). The quantitative and qualitative studies conducted by Clement et al. (2015) indicated that stigma generally had a negative impact on help-seeking and the study by Salaheddin and Mason (2016) demonstrated the relevance of stigma to young adults in the UK. Burke, John and Hanna (2022) propose a gendered reason, as young men viewed disclosure of emotional experiences to be dangerous in the light of a masculine expectation of endurance and self-reliance. These studies show there are multiple attitudes formed into stigma. This is related to factors such as identity, social norms and perceived safety around disclosure and reporting which in turn may account for resistance to accessing health services.</w:t>
      </w:r>
    </w:p>
    <w:p w:rsidR="00686731" w:rsidRDefault="00686731" w:rsidP="00686731">
      <w:r>
        <w:lastRenderedPageBreak/>
        <w:t>Need recognition and navigation are both influenced by mental health, and service literacy. Macdonald and Lucas (2025) identified young people in the UK as describing a lack of clarity regarding both what constitutes the services and the ramifications of disclosure and appropriate support. This is aligned with the perspective of Mitchell, McMillan and Hagan (2017) that distress and finding appropriate help are challenging. The evidence indicates that there are two interrelated, but separable, issues: mental health literacy – regarding understanding distress; and service literacy – regarding understanding pathways, eligibility and provision available. Focusing on one without the other risks interventions only focussing on young people's knowledge, and on complex systems staying the same (Ebert et al., 2019).</w:t>
      </w:r>
    </w:p>
    <w:p w:rsidR="00686731" w:rsidRDefault="00686731" w:rsidP="00686731">
      <w:r>
        <w:t>Confidentiality is best thought of within the context of trust at the time of disclosing information and at first contact. Young adults can be involved in multiple networks (family, education, employment and community) and uncertainty about information sharing can have a significant impact. Confidentiality is a recurring obstacle (Gulliver, Griffiths and Christensen 2010) and there are fears of ‘unwanted outcomes of seeking help’ (MacDonald and Lucas 2025). Those results suggest that services can minimize uncertainty by making confidentiality and any limitations to it understandable up front and in a layman's terms. The evidence also highlights that, however, where formal assurances are unlikely to be enough as institutional trust is already undermined due to past experiences of discrimination or rejection.</w:t>
      </w:r>
    </w:p>
    <w:p w:rsidR="00AE3CE1" w:rsidRPr="00AE3CE1" w:rsidRDefault="00686731" w:rsidP="00686731">
      <w:pPr>
        <w:rPr>
          <w:rFonts w:cs="Times New Roman"/>
        </w:rPr>
      </w:pPr>
      <w:r>
        <w:t>Culture plays a role in terms of understanding distress and acceptability of services. Language barriers, cultural insensitivity and discrimination and power imbalances were all found to affect access among minority ethnic populations (Memon et al., 2016) and Morgan et al., 2005; Barnett et al., 2019) and gendered norms among young men (Burke, John and Hanna, 2022). Lowther-Payne et al. (2023) also found that expected racism and service inappropriateness were common challenges in all the inequality studies in the UK. It is important to be cautious when interpreting findings as cultural groups may not be resistant to seeking help. Instead, they suggest that there is a problem of miscommunication or mismatch of offering language, expectations or past experience with users of the various service models. This places the emphasis for analysis away from the idea of cultural resistance, towards service acceptability and responsiveness.</w:t>
      </w:r>
      <w:r w:rsidR="00AE3CE1">
        <w:t>.</w:t>
      </w:r>
    </w:p>
    <w:p w:rsidR="00AE3CE1" w:rsidRPr="00AE3CE1" w:rsidRDefault="00AE3CE1" w:rsidP="00AE3CE1">
      <w:pPr>
        <w:pStyle w:val="Heading2"/>
        <w:rPr>
          <w:rFonts w:eastAsia="MS Gothic"/>
        </w:rPr>
      </w:pPr>
      <w:bookmarkStart w:id="12" w:name="_Toc238727167"/>
      <w:r w:rsidRPr="00AE3CE1">
        <w:rPr>
          <w:rFonts w:eastAsia="Arial"/>
        </w:rPr>
        <w:lastRenderedPageBreak/>
        <w:t>Early engagement, first contact and disengagement</w:t>
      </w:r>
      <w:bookmarkEnd w:id="12"/>
    </w:p>
    <w:p w:rsidR="00AE3CE1" w:rsidRPr="00AE3CE1" w:rsidRDefault="00AE3CE1" w:rsidP="00867166">
      <w:pPr>
        <w:rPr>
          <w:rFonts w:cs="Times New Roman"/>
        </w:rPr>
      </w:pPr>
      <w:r>
        <w:t>Early engagement refers to the initial development of a workable relationship with care. It includes reaching and attending first contact, understanding what the service offers, feeling able to participate, developing sufficient trust and deciding whether to return. This definition is wider than attendance alone because a person can be present at an appointment without feeling heard or willing to continue (Shirk and Karver, 2003; Karver et al., 2006; de Haan et al., 2013). Jones, Hassett and Sclare (2017) similarly conceptualised engagement among 16- to 18-year-olds as beginning during help-seeking and involving both behavioural participation and subjective readiness. Their sample falls just below the principal age range of this review, but it is directly relevant to the transition into young adulthood.</w:t>
      </w:r>
    </w:p>
    <w:p w:rsidR="00AE3CE1" w:rsidRPr="00AE3CE1" w:rsidRDefault="00AE3CE1" w:rsidP="00AE3CE1">
      <w:pPr>
        <w:spacing w:after="120"/>
        <w:rPr>
          <w:rFonts w:cs="Times New Roman"/>
        </w:rPr>
      </w:pPr>
      <w:r w:rsidRPr="00AE3CE1">
        <w:rPr>
          <w:rFonts w:cs="Times New Roman"/>
        </w:rPr>
        <w:t>Negative experiences before first contact can shape engagement before a therapeutic relationship has formed. Punton, Dodd and McNeill (2022) show that waiting can produce worsening distress and reduced confidence, while Appleton et al. (2021) demonstrate how referral rejection and discontinuity contribute to a narrative of not being wanted by services. Read together, these studies challenge explanations that attribute disengagement primarily to low motivation. Withdrawal may instead represent a response to repeated uncertainty, perceived invalidation or a pathway that demands sustained effort without providing reciprocal support.</w:t>
      </w:r>
    </w:p>
    <w:p w:rsidR="00AE3CE1" w:rsidRPr="00AE3CE1" w:rsidRDefault="00AE3CE1" w:rsidP="00AE3CE1">
      <w:pPr>
        <w:spacing w:after="120"/>
        <w:rPr>
          <w:rFonts w:cs="Times New Roman"/>
        </w:rPr>
      </w:pPr>
      <w:r w:rsidRPr="00AE3CE1">
        <w:rPr>
          <w:rFonts w:cs="Times New Roman"/>
        </w:rPr>
        <w:t>Once contact occurs, relational and developmental appropriateness become central. Jones, Hassett and Sclare (2017) found that clinician qualities, the clinic environment, transparency and developmental fit influenced engagement. Kirk et al. (2023) similarly identified therapeutic relationships, relational continuity and personalisation as key components of acceptable and accessible services across nine English and Welsh settings. Plaistow et al. (2014) also reported that young people valued respectful relationships, accessible information and involvement in care, while noting that minority ethnic groups and those who disengaged were underrepresented. The convergence across studies supports the importance of relational quality, but the sampling gap means that evidence may be weighted toward people who remained sufficiently engaged to participate in research.</w:t>
      </w:r>
    </w:p>
    <w:p w:rsidR="00AE3CE1" w:rsidRPr="00AE3CE1" w:rsidRDefault="00AE3CE1" w:rsidP="00867166">
      <w:r>
        <w:t xml:space="preserve">Service fit links relational quality to practical organisation. Moreton, Welford and Collinson (2022) show how rigid provision can exclude people with overlapping needs, </w:t>
      </w:r>
      <w:r>
        <w:lastRenderedPageBreak/>
        <w:t>while Hassan et al. (2022) found that self-referral, choice of location, timely support, a non-clinical environment and attention to wider social problems facilitated access and engagement in a voluntary-sector service in a disadvantaged area. These findings contrast with threshold-driven and discontinuous pathways reported by Appleton et al. (2021) and Punton, Dodd and McNeill (2022). Hassan et al. (2022) evaluated one regional model, so its features cannot be assumed to transfer unchanged across the UK. The broader implication is that engagement depends on services adapting to developmental and social realities rather than requiring young adults to adapt entirely to institutional routines.</w:t>
      </w:r>
    </w:p>
    <w:p w:rsidR="00AE3CE1" w:rsidRPr="00AE3CE1" w:rsidRDefault="00AE3CE1" w:rsidP="00AE3CE1">
      <w:pPr>
        <w:pStyle w:val="Heading2"/>
        <w:rPr>
          <w:rFonts w:eastAsia="MS Gothic"/>
        </w:rPr>
      </w:pPr>
      <w:bookmarkStart w:id="13" w:name="_Toc238727168"/>
      <w:r w:rsidRPr="00AE3CE1">
        <w:rPr>
          <w:rFonts w:eastAsia="Arial"/>
        </w:rPr>
        <w:t>Inequalities and intersectional barriers</w:t>
      </w:r>
      <w:bookmarkEnd w:id="13"/>
    </w:p>
    <w:p w:rsidR="00AE3CE1" w:rsidRPr="00AE3CE1" w:rsidRDefault="00AE3CE1" w:rsidP="00867166">
      <w:pPr>
        <w:rPr>
          <w:rFonts w:cs="Times New Roman"/>
        </w:rPr>
      </w:pPr>
      <w:r>
        <w:t>Inequality refers to systematic differences in the opportunity to obtain appropriate care, while intersectionality explains how social positions and systems of disadvantage interact to produce distinct experiences (Viner et al., 2012; Reiss, 2013). Lowther-Payne et al. (2023) found differences in access associated with age, ethnicity, deprivation, disability and other characteristics, but also showed that UK studies define and measure access inconsistently. This inconsistency matters because equality in referral rates does not necessarily imply equality in waiting, appropriateness or engagement. A pathway perspective is therefore required to examine where unequal experiences emerge and how they accumulate.</w:t>
      </w:r>
    </w:p>
    <w:p w:rsidR="00AE3CE1" w:rsidRPr="00AE3CE1" w:rsidRDefault="00AE3CE1" w:rsidP="00867166">
      <w:pPr>
        <w:rPr>
          <w:rFonts w:cs="Times New Roman"/>
        </w:rPr>
      </w:pPr>
      <w:r>
        <w:t>Intersectionality does not mean simply listing several disadvantages. It examines how categories such as ethnicity, gender, disability, class and migration status operate together within social and institutional contexts (Kapilashrami and Hankivsky, 2018; Bowleg, 2012; Bauer, 2014). A young adult who is disabled, from a low-income household and belongs to a minoritised ethnic group may encounter inaccessible communication, transport difficulties, anticipated discrimination and limited-service choice as an interconnected experience. Lowther-Payne et al. (2023) support this interpretation by showing that stigma, availability, trust and appropriateness recur across multiple population dimensions, although the evidence base rarely analyses these dimensions simultaneously.</w:t>
      </w:r>
    </w:p>
    <w:p w:rsidR="00686731" w:rsidRPr="00686731" w:rsidRDefault="00686731" w:rsidP="00686731">
      <w:pPr>
        <w:spacing w:after="120"/>
        <w:rPr>
          <w:rFonts w:cs="Times New Roman"/>
        </w:rPr>
      </w:pPr>
      <w:r w:rsidRPr="00686731">
        <w:rPr>
          <w:rFonts w:cs="Times New Roman"/>
        </w:rPr>
        <w:t xml:space="preserve">We can see this in care-experienced young adults, who demonstrate a range of experiences of access as a result of their historical relationships with institutions. When seeking professional mental health help, young and Melia (2024) identified that care </w:t>
      </w:r>
      <w:r w:rsidRPr="00686731">
        <w:rPr>
          <w:rFonts w:cs="Times New Roman"/>
        </w:rPr>
        <w:lastRenderedPageBreak/>
        <w:t>leavers talked of being misunderstood, unsupported and alone. These experiences relate to structural discontinuity and relational mistrust: a service can be available but the prior experiences of the discontinuity and/or the lack of effectiveness of professional support can lead to a lack of safety to engage with the service. The study is about barriers in the adolescent stage and is limited to the population of the study as it cannot be generalised to all young adults. Its contribution is to illustrate how service histories become a part of the access pathway, rather than background characteristics.</w:t>
      </w:r>
    </w:p>
    <w:p w:rsidR="00686731" w:rsidRPr="00686731" w:rsidRDefault="00686731" w:rsidP="00686731">
      <w:pPr>
        <w:spacing w:after="120"/>
        <w:rPr>
          <w:rFonts w:cs="Times New Roman"/>
        </w:rPr>
      </w:pPr>
      <w:r w:rsidRPr="00686731">
        <w:rPr>
          <w:rFonts w:cs="Times New Roman"/>
        </w:rPr>
        <w:t>Socio-economic disadvantage has an impact on the resources that are needed to access and maintain care. Hassan et al. (2022) identified that flexible location, timely support, and self-referral and attention to wider social needs were important in a disadvantaged area, and may not be appropriate for young people living in unstable circumstances. While digital provision can allow greater flexibility, it also can reproduce that of exclusion (Hollis et al., 2015; Naslund et al., 2016; Fleming et al., 2018; Lattie et al., 2019; Pretorius, Chambers and Coyle, 2019; Borghouts et al., 2021). Greer et al. (2019) indicates that individuals who used mental health services in South London suffer from digital exclusion because they had limited skills, a lack of access to technology, and deprivation of materials. Their sample was not age-specific, but it applies in the context of referral, appointment information/therapy being delivered online. Socio-economic access is thus not only related to the health sector costs but also to time, transport, devices, data and privacy and stability.</w:t>
      </w:r>
    </w:p>
    <w:p w:rsidR="00AE3CE1" w:rsidRPr="00AE3CE1" w:rsidRDefault="00686731" w:rsidP="00686731">
      <w:pPr>
        <w:spacing w:after="120"/>
        <w:rPr>
          <w:rFonts w:cs="Times New Roman"/>
        </w:rPr>
      </w:pPr>
      <w:r w:rsidRPr="00686731">
        <w:rPr>
          <w:rFonts w:cs="Times New Roman"/>
        </w:rPr>
        <w:t>The approachability and acceptability are further influenced by ethnicity, language and culture. In addition to the previously mentioned barriers, other UK studies highlighted anticipated racism and lack of appropriate services as barriers (Lowther-Payne et al., 2023), and Memon et al., (2016) identified limited English proficiency, poor communication, cultural insensitivity and discrimination. These findings should be interpreted with caution as it may not reflect unwillingness in minority communities. They rather refer to inequities in accessing information about services, expressing distress and accessing culturally competent care. There is still very little evidence available relating to young adults in the UK and broad terms such as ‘minority ethnic’ can disguise significant variations between different communities. This restriction makes the argument for a systematic synthesis that documents population, context and stage of access even stronger, than explaining through ethnicity as a single explanatory variable.</w:t>
      </w:r>
    </w:p>
    <w:p w:rsidR="00AE3CE1" w:rsidRPr="00AE3CE1" w:rsidRDefault="00AE3CE1" w:rsidP="00AE3CE1">
      <w:pPr>
        <w:pStyle w:val="Heading2"/>
        <w:rPr>
          <w:rFonts w:eastAsia="MS Gothic"/>
        </w:rPr>
      </w:pPr>
      <w:bookmarkStart w:id="14" w:name="_Toc238727169"/>
      <w:r w:rsidRPr="00AE3CE1">
        <w:rPr>
          <w:rFonts w:eastAsia="Arial"/>
        </w:rPr>
        <w:lastRenderedPageBreak/>
        <w:t>Synthesis and literature gap</w:t>
      </w:r>
      <w:bookmarkEnd w:id="14"/>
    </w:p>
    <w:p w:rsidR="00AE3CE1" w:rsidRPr="00AE3CE1" w:rsidRDefault="00AE3CE1" w:rsidP="00AE3CE1">
      <w:pPr>
        <w:spacing w:after="120"/>
        <w:rPr>
          <w:rFonts w:cs="Times New Roman"/>
        </w:rPr>
      </w:pPr>
      <w:r w:rsidRPr="00AE3CE1">
        <w:rPr>
          <w:rFonts w:cs="Times New Roman"/>
        </w:rPr>
        <w:t>Across the literature, barriers operate as a sequence and often reinforce one another. Difficulty recognising distress or fear of judgement may delay disclosure; unclear referral routes and thresholds can then convert help-seeking into uncertainty or rejection; waiting and poor communication may reduce trust; and an impersonal or culturally inappropriate first contact can prompt disengagement. The evidence therefore supports an access-to-engagement pathway in which individual abilities and service characteristics interact. It also shows that engagement is not solely a property of the young adult. It is produced relationally through the accessibility, responsiveness and continuity of services.</w:t>
      </w:r>
    </w:p>
    <w:p w:rsidR="00AE3CE1" w:rsidRPr="00AE3CE1" w:rsidRDefault="00AE3CE1" w:rsidP="00AE3CE1">
      <w:pPr>
        <w:spacing w:after="120"/>
        <w:rPr>
          <w:rFonts w:cs="Times New Roman"/>
        </w:rPr>
      </w:pPr>
      <w:r w:rsidRPr="00AE3CE1">
        <w:rPr>
          <w:rFonts w:cs="Times New Roman"/>
        </w:rPr>
        <w:t>The evidence base remains fragmented in several ways. Help-seeking reviews concentrate mainly on attitudes before formal contact, waiting-list studies examine one stage after referral, transition research focuses heavily on the boundary between child and adult services, and inequality studies often quantify contact without establishing whether care was appropriate or sustained. Age ranges and definitions of community provision also vary, and people who disengage or never reach services are frequently underrepresented. Consequently, the literature identifies many barriers but provides less integrated understanding of how they combine across the full pathway for UK young adults aged 18 to 25.</w:t>
      </w:r>
    </w:p>
    <w:p w:rsidR="00AE3CE1" w:rsidRPr="00AE3CE1" w:rsidRDefault="00686731" w:rsidP="00AE3CE1">
      <w:pPr>
        <w:spacing w:after="120"/>
        <w:rPr>
          <w:rFonts w:cs="Times New Roman"/>
        </w:rPr>
      </w:pPr>
      <w:r w:rsidRPr="00686731">
        <w:rPr>
          <w:rFonts w:cs="Times New Roman"/>
        </w:rPr>
        <w:t>This systematic review aims to fill this gap by identifying, appraising and thematically synthesising published evidence in the UK in the areas of need recognition, help-seeking, referral, assessment, waiting, first contact and early engagement. It is not to say that barriers are new, but rather to explore how barriers relate to each other, where there are converging or diverging findings, and which population groups or pathway stages are under-researched. Such an integrated approach is required for recommendations that go beyond adding more services to enhancing clarity, continuity, cultural responsiveness, developmental fit and trust along community-based mental health pathways</w:t>
      </w:r>
      <w:r w:rsidR="00AE3CE1" w:rsidRPr="00AE3CE1">
        <w:rPr>
          <w:rFonts w:cs="Times New Roman"/>
        </w:rPr>
        <w:t>.</w:t>
      </w:r>
    </w:p>
    <w:p w:rsidR="00AE3CE1" w:rsidRDefault="00AE3CE1">
      <w:pPr>
        <w:spacing w:after="160"/>
        <w:jc w:val="left"/>
        <w:rPr>
          <w:rFonts w:ascii="Calibri" w:eastAsia="MS Gothic" w:hAnsi="Calibri" w:cs="Times New Roman"/>
          <w:b/>
          <w:bCs/>
          <w:sz w:val="32"/>
          <w:szCs w:val="28"/>
        </w:rPr>
      </w:pPr>
      <w:r>
        <w:rPr>
          <w:rFonts w:cs="Times New Roman"/>
          <w:b/>
          <w:bCs/>
          <w:szCs w:val="28"/>
        </w:rPr>
        <w:br w:type="page"/>
      </w:r>
    </w:p>
    <w:p w:rsidR="00AE3CE1" w:rsidRDefault="00AE3CE1" w:rsidP="00AE3CE1">
      <w:pPr>
        <w:pStyle w:val="Heading1"/>
      </w:pPr>
      <w:bookmarkStart w:id="15" w:name="_Toc238727170"/>
      <w:r>
        <w:rPr>
          <w:rFonts w:eastAsia="Arial"/>
        </w:rPr>
        <w:lastRenderedPageBreak/>
        <w:t>Methodology</w:t>
      </w:r>
      <w:bookmarkEnd w:id="15"/>
    </w:p>
    <w:p w:rsidR="00AE3CE1" w:rsidRDefault="00AE3CE1" w:rsidP="00AE3CE1">
      <w:pPr>
        <w:pStyle w:val="Heading2"/>
      </w:pPr>
      <w:bookmarkStart w:id="16" w:name="_Toc238727171"/>
      <w:r>
        <w:rPr>
          <w:rFonts w:eastAsia="Arial"/>
        </w:rPr>
        <w:t>Introduction</w:t>
      </w:r>
      <w:bookmarkEnd w:id="16"/>
    </w:p>
    <w:p w:rsidR="00686731" w:rsidRDefault="00686731" w:rsidP="00686731">
      <w:r>
        <w:t>This chapter describes the methodology for a systematic review of the published evidence of barriers to access and early engagement in the community-based mental health services for young adults in the UK. The study is secondary research and thus, does not require any recruitment, interviews, questionnaires, audio recording or collection of personal information. It is meant to discover, evaluate and combine previous empirical research in an open and replicable manner.</w:t>
      </w:r>
    </w:p>
    <w:p w:rsidR="00686731" w:rsidRDefault="00686731" w:rsidP="00686731">
      <w:pPr>
        <w:pStyle w:val="Heading2"/>
      </w:pPr>
      <w:bookmarkStart w:id="17" w:name="_Toc238727172"/>
      <w:r>
        <w:t>Methodological Approach and Review Design</w:t>
      </w:r>
      <w:bookmarkEnd w:id="17"/>
    </w:p>
    <w:p w:rsidR="00686731" w:rsidRDefault="00686731" w:rsidP="00686731">
      <w:r>
        <w:t>Research can be done using quantitative, qualitative or mixed-methods. Quantitative research looks at measurable variables and the patterns of numbers to potentially aid in estimating prevalence, association, and effect. Strengths are that it is standardised, it is comparable and it has the potential for statistical generalisation. But quantitative evidence can offer only limited information about how people make sense of their experiences of services, what barriers might deter them from seeking help or how multiple barriers might be experienced along an access pathway (Creswell and Creswell, 2018).</w:t>
      </w:r>
    </w:p>
    <w:p w:rsidR="00686731" w:rsidRDefault="00686731" w:rsidP="00686731">
      <w:r>
        <w:t>According to Malterud (2001) the qualitative research deals with experiences, meanings, relationships and social processes. The questionnaire is particularly relevant for stigma, trust, confidentiality, rejection, cultural fit, service navigation and disengagement, as these can only be understood in part by the numerical measurement. The main strength is the rich content and enlightening nature of participants' stories. Its drawbacks are that it has smaller numbers of samples and there is a variation in quality of reporting and results that are analytically transferable but not statistically generalisable.</w:t>
      </w:r>
    </w:p>
    <w:p w:rsidR="00686731" w:rsidRDefault="00686731" w:rsidP="00686731">
      <w:r>
        <w:t>Mixed-methods research can be used to bring together quantitative and qualitative evidence and can be used to get breadth and depth. It is helpful if the review is trying to incorporate numbers with explanations that are experiential. However, the use of mixed methods synthesis adds to the methodological complexity as different types of evidence will need to be appraised and synthesised in different ways. It could also be the case that certain studies may have higher rankings in one section than the other, giving it its own individual consideration (Hong et al., 2018).</w:t>
      </w:r>
    </w:p>
    <w:p w:rsidR="00686731" w:rsidRDefault="00686731" w:rsidP="00686731">
      <w:r>
        <w:lastRenderedPageBreak/>
        <w:t>The qualitative systematic review was chosen because the review question focused on experiences of access barriers and how these affected early engagement – as opposed to the incidence of, or effect of, one particular barrier, or of one particular intervention. Qualitative studies and mixed methods studies with qualitative results that were readily extractable were systematically located. The systematic approach was chosen over the traditional narrative review as it required the question to be predefined, explicit criteria for the selection of evidence, reproducible searching, transparent screening, formal appraisal and structured synthesis of evidence, which helps to minimize the risk of selective use of evidence (Booth, Sutton and Papaioannou, 2016; Gough, Oliver and Thomas, 2017; Munn et al., 2018).</w:t>
      </w:r>
    </w:p>
    <w:p w:rsidR="00686731" w:rsidRDefault="00686731" w:rsidP="00686731">
      <w:r>
        <w:t>A review was undertaken which had an interpretive approach. The findings were interpreted within their organisational and social contexts of access and kept within the boundaries of the findings of the included studies. It facilitated the analysis of tangible conditions of service (waiting times, referral thresholds) but also of relational aspects of service, for example, organizational mistrust, expected judgment, loss of confidence.</w:t>
      </w:r>
    </w:p>
    <w:p w:rsidR="00686731" w:rsidRDefault="00686731" w:rsidP="00686731">
      <w:pPr>
        <w:pStyle w:val="Heading2"/>
      </w:pPr>
      <w:bookmarkStart w:id="18" w:name="_Toc238727173"/>
      <w:r>
        <w:t>Review Question and PICo Framework</w:t>
      </w:r>
      <w:bookmarkEnd w:id="18"/>
    </w:p>
    <w:p w:rsidR="00AE3CE1" w:rsidRDefault="00686731" w:rsidP="00686731">
      <w:r>
        <w:t>The PICo framework was used for the review question as it defines the Population, the phenomenon of Interest and the Context but does not outline an intervention or comparator which is required for quantitative studies. The framework offers a straight-forward basis for eligibility criteria and search concepts</w:t>
      </w:r>
      <w:r w:rsidR="00AE3CE1">
        <w:t>.</w:t>
      </w:r>
    </w:p>
    <w:p w:rsidR="00B16549" w:rsidRDefault="00B16549" w:rsidP="00B16549">
      <w:pPr>
        <w:pStyle w:val="Caption"/>
        <w:keepNext/>
      </w:pPr>
      <w:bookmarkStart w:id="19" w:name="_Toc238727241"/>
      <w:r>
        <w:t xml:space="preserve">Table </w:t>
      </w:r>
      <w:fldSimple w:instr=" STYLEREF 1 \s ">
        <w:r>
          <w:rPr>
            <w:noProof/>
          </w:rPr>
          <w:t>3</w:t>
        </w:r>
      </w:fldSimple>
      <w:r>
        <w:t>.</w:t>
      </w:r>
      <w:fldSimple w:instr=" SEQ Table \* ARABIC \s 1 ">
        <w:r>
          <w:rPr>
            <w:noProof/>
          </w:rPr>
          <w:t>1</w:t>
        </w:r>
      </w:fldSimple>
      <w:r>
        <w:t xml:space="preserve">. </w:t>
      </w:r>
      <w:r w:rsidRPr="00353F77">
        <w:t>PICo framework</w:t>
      </w:r>
      <w:bookmarkEnd w:id="19"/>
    </w:p>
    <w:tbl>
      <w:tblPr>
        <w:tblStyle w:val="TableGrid"/>
        <w:tblW w:w="0" w:type="auto"/>
        <w:jc w:val="center"/>
        <w:tblLook w:val="04A0"/>
      </w:tblPr>
      <w:tblGrid>
        <w:gridCol w:w="1253"/>
        <w:gridCol w:w="2133"/>
        <w:gridCol w:w="5420"/>
      </w:tblGrid>
      <w:tr w:rsidR="00AE3CE1" w:rsidRPr="00AE3CE1" w:rsidTr="00686731">
        <w:trPr>
          <w:tblHeader/>
          <w:jc w:val="center"/>
        </w:trPr>
        <w:tc>
          <w:tcPr>
            <w:tcW w:w="0" w:type="auto"/>
            <w:shd w:val="clear" w:color="auto" w:fill="D9EAF7"/>
            <w:tcMar>
              <w:top w:w="60" w:type="dxa"/>
              <w:left w:w="80" w:type="dxa"/>
              <w:bottom w:w="60" w:type="dxa"/>
              <w:right w:w="80" w:type="dxa"/>
            </w:tcMar>
            <w:vAlign w:val="center"/>
          </w:tcPr>
          <w:p w:rsidR="00AE3CE1" w:rsidRPr="00AE3CE1" w:rsidRDefault="00AE3CE1" w:rsidP="00686731">
            <w:pPr>
              <w:spacing w:after="0"/>
              <w:jc w:val="center"/>
              <w:rPr>
                <w:b/>
                <w:bCs/>
                <w:sz w:val="24"/>
                <w:szCs w:val="24"/>
              </w:rPr>
            </w:pPr>
            <w:r w:rsidRPr="00AE3CE1">
              <w:rPr>
                <w:b/>
                <w:bCs/>
                <w:szCs w:val="24"/>
              </w:rPr>
              <w:t>PICo element</w:t>
            </w:r>
          </w:p>
        </w:tc>
        <w:tc>
          <w:tcPr>
            <w:tcW w:w="0" w:type="auto"/>
            <w:shd w:val="clear" w:color="auto" w:fill="D9EAF7"/>
            <w:tcMar>
              <w:top w:w="60" w:type="dxa"/>
              <w:left w:w="80" w:type="dxa"/>
              <w:bottom w:w="60" w:type="dxa"/>
              <w:right w:w="80" w:type="dxa"/>
            </w:tcMar>
            <w:vAlign w:val="center"/>
          </w:tcPr>
          <w:p w:rsidR="00AE3CE1" w:rsidRPr="00AE3CE1" w:rsidRDefault="00AE3CE1" w:rsidP="00686731">
            <w:pPr>
              <w:spacing w:after="0"/>
              <w:jc w:val="center"/>
              <w:rPr>
                <w:b/>
                <w:bCs/>
                <w:sz w:val="24"/>
                <w:szCs w:val="24"/>
              </w:rPr>
            </w:pPr>
            <w:r w:rsidRPr="00AE3CE1">
              <w:rPr>
                <w:b/>
                <w:bCs/>
                <w:szCs w:val="24"/>
              </w:rPr>
              <w:t>Definition</w:t>
            </w:r>
          </w:p>
        </w:tc>
        <w:tc>
          <w:tcPr>
            <w:tcW w:w="0" w:type="auto"/>
            <w:shd w:val="clear" w:color="auto" w:fill="D9EAF7"/>
            <w:tcMar>
              <w:top w:w="60" w:type="dxa"/>
              <w:left w:w="80" w:type="dxa"/>
              <w:bottom w:w="60" w:type="dxa"/>
              <w:right w:w="80" w:type="dxa"/>
            </w:tcMar>
            <w:vAlign w:val="center"/>
          </w:tcPr>
          <w:p w:rsidR="00AE3CE1" w:rsidRPr="00AE3CE1" w:rsidRDefault="00AE3CE1" w:rsidP="00686731">
            <w:pPr>
              <w:spacing w:after="0"/>
              <w:jc w:val="center"/>
              <w:rPr>
                <w:b/>
                <w:bCs/>
                <w:sz w:val="24"/>
                <w:szCs w:val="24"/>
              </w:rPr>
            </w:pPr>
            <w:r w:rsidRPr="00AE3CE1">
              <w:rPr>
                <w:b/>
                <w:bCs/>
                <w:szCs w:val="24"/>
              </w:rPr>
              <w:t>Application to the review</w:t>
            </w:r>
          </w:p>
        </w:tc>
      </w:tr>
      <w:tr w:rsidR="00AE3CE1" w:rsidRPr="00AE3CE1" w:rsidTr="00686731">
        <w:trPr>
          <w:jc w:val="center"/>
        </w:trPr>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Population</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Young adults</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People principally aged 18-25 years. Broader samples were eligible only when young-adult findings were separately extractable, more than half of participants were within this range, or the study explicitly focused on young adults and reported a mean age within this range.</w:t>
            </w:r>
          </w:p>
        </w:tc>
      </w:tr>
      <w:tr w:rsidR="00AE3CE1" w:rsidRPr="00AE3CE1" w:rsidTr="00686731">
        <w:trPr>
          <w:jc w:val="center"/>
        </w:trPr>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Interest</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 xml:space="preserve">Barriers to access </w:t>
            </w:r>
            <w:r w:rsidRPr="00AE3CE1">
              <w:rPr>
                <w:szCs w:val="24"/>
              </w:rPr>
              <w:lastRenderedPageBreak/>
              <w:t>and early engagement</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lastRenderedPageBreak/>
              <w:t xml:space="preserve">Structural, practical, social, cultural, relational and </w:t>
            </w:r>
            <w:r w:rsidRPr="00AE3CE1">
              <w:rPr>
                <w:szCs w:val="24"/>
              </w:rPr>
              <w:lastRenderedPageBreak/>
              <w:t>intersectional barriers affecting help-seeking, referral, assessment, first contact, continuation or disengagement.</w:t>
            </w:r>
          </w:p>
        </w:tc>
      </w:tr>
      <w:tr w:rsidR="00AE3CE1" w:rsidRPr="00AE3CE1" w:rsidTr="00686731">
        <w:trPr>
          <w:jc w:val="center"/>
        </w:trPr>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lastRenderedPageBreak/>
              <w:t>Context</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Community-based mental health services in the United Kingdom</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NHS community services, talking therapies, primary-care-linked mental health support, voluntary-sector provision, university-linked services and comparable non-inpatient settings in England, Scotland, Wales and Northern Ireland.</w:t>
            </w:r>
          </w:p>
        </w:tc>
      </w:tr>
    </w:tbl>
    <w:p w:rsidR="00AE3CE1" w:rsidRDefault="00AE3CE1" w:rsidP="00AE3CE1">
      <w:r>
        <w:t>The access-to-engagement pathway comprised recognising need, seeking help, navigating referral, undergoing assessment, reaching first contact and maintaining early engagement. It guided extraction and comparison without excluding relevant findings that fell outside predetermined categories.</w:t>
      </w:r>
    </w:p>
    <w:p w:rsidR="00AE3CE1" w:rsidRDefault="00AE3CE1" w:rsidP="00AE3CE1">
      <w:pPr>
        <w:pStyle w:val="Heading2"/>
      </w:pPr>
      <w:bookmarkStart w:id="20" w:name="_Toc238727174"/>
      <w:r>
        <w:rPr>
          <w:rFonts w:eastAsia="Arial"/>
        </w:rPr>
        <w:t>Review Protocol and Reporting Framework</w:t>
      </w:r>
      <w:bookmarkEnd w:id="20"/>
    </w:p>
    <w:p w:rsidR="00AE3CE1" w:rsidRDefault="00AE3CE1" w:rsidP="00867166">
      <w:r>
        <w:t>An a priori review protocol defined the question, databases, search concepts, eligibility criteria, screening procedure, appraisal tools, extraction fields and synthesis method before formal screening (Moher et al., 2015). Establishing these decisions in advance reduced the likelihood that methods would be altered in response to preferred findings. Any amendments were recorded and justified in the review audit trail.</w:t>
      </w:r>
    </w:p>
    <w:p w:rsidR="00AE3CE1" w:rsidRDefault="00AE3CE1" w:rsidP="00AE3CE1">
      <w:r>
        <w:t>Reporting followed the Preferred Reporting Items for Systematic Reviews and Meta-Analyses 2020 statement. PRISMA 2020 provides a 27-item framework and flow diagram for documenting identification, screening, eligibility and inclusion (Page et al., 2021). Search reporting was also informed by PRISMA-S, which supports reproducible reporting of databases, platforms, search strategies, limits, dates and supplementary methods (Rethlefsen et al., 2021).</w:t>
      </w:r>
    </w:p>
    <w:p w:rsidR="00AE3CE1" w:rsidRDefault="00AE3CE1" w:rsidP="00AE3CE1">
      <w:pPr>
        <w:pStyle w:val="Heading2"/>
      </w:pPr>
      <w:bookmarkStart w:id="21" w:name="_Toc238727175"/>
      <w:r>
        <w:rPr>
          <w:rFonts w:eastAsia="Arial"/>
        </w:rPr>
        <w:t>Information Sources and Search Strategy</w:t>
      </w:r>
      <w:bookmarkEnd w:id="21"/>
    </w:p>
    <w:p w:rsidR="00AE3CE1" w:rsidRDefault="00AE3CE1" w:rsidP="00AE3CE1">
      <w:r>
        <w:t xml:space="preserve">The search strategy covered MEDLINE through PubMed, CINAHL, PsycINFO and Scopus because these sources provide complementary coverage of medicine, nursing, psychology, social science and health-service research. Reference lists of included </w:t>
      </w:r>
      <w:r>
        <w:lastRenderedPageBreak/>
        <w:t>studies and relevant systematic reviews were checked for additional eligible papers, and forward citation searching was used to identify later studies citing key papers.</w:t>
      </w:r>
    </w:p>
    <w:p w:rsidR="00AE3CE1" w:rsidRDefault="00AE3CE1" w:rsidP="00AE3CE1">
      <w:r>
        <w:t>Official reports from NHS bodies, government departments and regulators were used only to contextualise service demand, policy and provision. They were not included in the thematic synthesis unless they reported an empirical qualitative study that met all eligibility criteria. This maintained a coherent empirical evidence base while allowing authoritative policy material to support the background.</w:t>
      </w:r>
    </w:p>
    <w:p w:rsidR="00AE3CE1" w:rsidRDefault="00AE3CE1" w:rsidP="00AE3CE1">
      <w:r>
        <w:t>The search covered publications from January 2010 to July 2026 and was limited to English-language material because translation resources were not available. No restriction was applied by gender, ethnicity or diagnosis so that variation and intersectional inequality could be examined.</w:t>
      </w:r>
    </w:p>
    <w:p w:rsidR="00AE3CE1" w:rsidRDefault="00AE3CE1" w:rsidP="00AE3CE1">
      <w:r>
        <w:t>Search terms were organised into four concept blocks and combined with Boolean operators. Synonyms within each block were linked with OR and the blocks were connected with AND. Truncation and database-specific subject headings, including Medical Subject Headings where available, were used to improve sensitivity. The strategy was checked against known relevant papers and refined where retrieval was excessively broad or failed to identify key studies.</w:t>
      </w:r>
    </w:p>
    <w:p w:rsidR="00B16549" w:rsidRDefault="00B16549" w:rsidP="00B16549">
      <w:pPr>
        <w:pStyle w:val="Caption"/>
        <w:keepNext/>
      </w:pPr>
      <w:bookmarkStart w:id="22" w:name="_Toc238727242"/>
      <w:r>
        <w:t xml:space="preserve">Table </w:t>
      </w:r>
      <w:fldSimple w:instr=" STYLEREF 1 \s ">
        <w:r>
          <w:rPr>
            <w:noProof/>
          </w:rPr>
          <w:t>3</w:t>
        </w:r>
      </w:fldSimple>
      <w:r>
        <w:t>.</w:t>
      </w:r>
      <w:fldSimple w:instr=" SEQ Table \* ARABIC \s 1 ">
        <w:r>
          <w:rPr>
            <w:noProof/>
          </w:rPr>
          <w:t>2</w:t>
        </w:r>
      </w:fldSimple>
      <w:r>
        <w:t xml:space="preserve">. </w:t>
      </w:r>
      <w:r w:rsidRPr="00F16476">
        <w:t>Core search concepts and indicative terms</w:t>
      </w:r>
      <w:bookmarkEnd w:id="22"/>
    </w:p>
    <w:tbl>
      <w:tblPr>
        <w:tblStyle w:val="TableGrid"/>
        <w:tblW w:w="0" w:type="auto"/>
        <w:jc w:val="center"/>
        <w:tblLook w:val="04A0"/>
      </w:tblPr>
      <w:tblGrid>
        <w:gridCol w:w="1237"/>
        <w:gridCol w:w="1755"/>
        <w:gridCol w:w="5814"/>
      </w:tblGrid>
      <w:tr w:rsidR="00AE3CE1" w:rsidRPr="00AE3CE1" w:rsidTr="00686731">
        <w:trPr>
          <w:tblHeader/>
          <w:jc w:val="center"/>
        </w:trPr>
        <w:tc>
          <w:tcPr>
            <w:tcW w:w="0" w:type="auto"/>
            <w:shd w:val="clear" w:color="auto" w:fill="D9EAF7"/>
            <w:tcMar>
              <w:top w:w="60" w:type="dxa"/>
              <w:left w:w="80" w:type="dxa"/>
              <w:bottom w:w="60" w:type="dxa"/>
              <w:right w:w="80" w:type="dxa"/>
            </w:tcMar>
            <w:vAlign w:val="center"/>
          </w:tcPr>
          <w:p w:rsidR="00AE3CE1" w:rsidRPr="00AE3CE1" w:rsidRDefault="00AE3CE1" w:rsidP="00686731">
            <w:pPr>
              <w:spacing w:after="0"/>
              <w:jc w:val="center"/>
              <w:rPr>
                <w:b/>
                <w:bCs/>
                <w:sz w:val="24"/>
                <w:szCs w:val="24"/>
              </w:rPr>
            </w:pPr>
            <w:r w:rsidRPr="00AE3CE1">
              <w:rPr>
                <w:b/>
                <w:bCs/>
                <w:szCs w:val="24"/>
              </w:rPr>
              <w:t>Concept block</w:t>
            </w:r>
          </w:p>
        </w:tc>
        <w:tc>
          <w:tcPr>
            <w:tcW w:w="0" w:type="auto"/>
            <w:shd w:val="clear" w:color="auto" w:fill="D9EAF7"/>
            <w:tcMar>
              <w:top w:w="60" w:type="dxa"/>
              <w:left w:w="80" w:type="dxa"/>
              <w:bottom w:w="60" w:type="dxa"/>
              <w:right w:w="80" w:type="dxa"/>
            </w:tcMar>
            <w:vAlign w:val="center"/>
          </w:tcPr>
          <w:p w:rsidR="00AE3CE1" w:rsidRPr="00AE3CE1" w:rsidRDefault="00AE3CE1" w:rsidP="00686731">
            <w:pPr>
              <w:spacing w:after="0"/>
              <w:jc w:val="center"/>
              <w:rPr>
                <w:b/>
                <w:bCs/>
                <w:sz w:val="24"/>
                <w:szCs w:val="24"/>
              </w:rPr>
            </w:pPr>
            <w:r w:rsidRPr="00AE3CE1">
              <w:rPr>
                <w:b/>
                <w:bCs/>
                <w:szCs w:val="24"/>
              </w:rPr>
              <w:t>Core concept</w:t>
            </w:r>
          </w:p>
        </w:tc>
        <w:tc>
          <w:tcPr>
            <w:tcW w:w="0" w:type="auto"/>
            <w:shd w:val="clear" w:color="auto" w:fill="D9EAF7"/>
            <w:tcMar>
              <w:top w:w="60" w:type="dxa"/>
              <w:left w:w="80" w:type="dxa"/>
              <w:bottom w:w="60" w:type="dxa"/>
              <w:right w:w="80" w:type="dxa"/>
            </w:tcMar>
            <w:vAlign w:val="center"/>
          </w:tcPr>
          <w:p w:rsidR="00AE3CE1" w:rsidRPr="00AE3CE1" w:rsidRDefault="00AE3CE1" w:rsidP="00686731">
            <w:pPr>
              <w:spacing w:after="0"/>
              <w:jc w:val="center"/>
              <w:rPr>
                <w:b/>
                <w:bCs/>
                <w:sz w:val="24"/>
                <w:szCs w:val="24"/>
              </w:rPr>
            </w:pPr>
            <w:r w:rsidRPr="00AE3CE1">
              <w:rPr>
                <w:b/>
                <w:bCs/>
                <w:szCs w:val="24"/>
              </w:rPr>
              <w:t>Indicative search terms</w:t>
            </w:r>
          </w:p>
        </w:tc>
      </w:tr>
      <w:tr w:rsidR="00AE3CE1" w:rsidRPr="00AE3CE1" w:rsidTr="00686731">
        <w:trPr>
          <w:jc w:val="center"/>
        </w:trPr>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1</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Population</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"young adult*" OR "young people" OR youth OR "emerging adult*" OR student*</w:t>
            </w:r>
          </w:p>
        </w:tc>
      </w:tr>
      <w:tr w:rsidR="00AE3CE1" w:rsidRPr="00AE3CE1" w:rsidTr="00686731">
        <w:trPr>
          <w:jc w:val="center"/>
        </w:trPr>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2</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Mental health services</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"community mental health" OR "mental health service*" OR "talking therap*" OR "psychological support" OR "voluntary sector"</w:t>
            </w:r>
          </w:p>
        </w:tc>
      </w:tr>
      <w:tr w:rsidR="00AE3CE1" w:rsidRPr="00AE3CE1" w:rsidTr="00686731">
        <w:trPr>
          <w:jc w:val="center"/>
        </w:trPr>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3</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Access and engagement</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access* OR help-seeking OR referral OR assessment OR waiting OR engagement OR disengagement OR retention</w:t>
            </w:r>
          </w:p>
        </w:tc>
      </w:tr>
      <w:tr w:rsidR="00AE3CE1" w:rsidRPr="00AE3CE1" w:rsidTr="00686731">
        <w:trPr>
          <w:jc w:val="center"/>
        </w:trPr>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4</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Barriers and UK context</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 xml:space="preserve">barrier* OR stigma OR trust OR confidentiality OR inequality AND ("United Kingdom" OR UK OR England </w:t>
            </w:r>
            <w:r w:rsidRPr="00AE3CE1">
              <w:rPr>
                <w:szCs w:val="24"/>
              </w:rPr>
              <w:lastRenderedPageBreak/>
              <w:t>OR Scotland OR Wales OR "Northern Ireland")</w:t>
            </w:r>
          </w:p>
        </w:tc>
      </w:tr>
    </w:tbl>
    <w:p w:rsidR="00AE3CE1" w:rsidRDefault="00AE3CE1" w:rsidP="00AE3CE1">
      <w:r>
        <w:lastRenderedPageBreak/>
        <w:t>The combined search used the following core structure: ("young adult*" OR "young people" OR youth OR "emerging adult*") AND ("community mental health" OR "mental health service*" OR "talking therap*" OR "psychological support") AND (access* OR help-seeking OR referral OR waiting OR engagement OR disengagement) AND (barrier* OR stigma OR trust OR confidentiality OR inequality) AND ("United Kingdom" OR UK OR England OR Scotland OR Wales OR "Northern Ireland"). Syntax was adapted to the indexing and search functions of each database.</w:t>
      </w:r>
    </w:p>
    <w:p w:rsidR="00AE3CE1" w:rsidRDefault="00AE3CE1" w:rsidP="00AE3CE1">
      <w:pPr>
        <w:pStyle w:val="Heading2"/>
      </w:pPr>
      <w:bookmarkStart w:id="23" w:name="_Toc238727176"/>
      <w:r>
        <w:rPr>
          <w:rFonts w:eastAsia="Arial"/>
        </w:rPr>
        <w:t>Eligibility Criteria</w:t>
      </w:r>
      <w:bookmarkEnd w:id="23"/>
    </w:p>
    <w:p w:rsidR="00AE3CE1" w:rsidRDefault="00AE3CE1" w:rsidP="00AE3CE1">
      <w:r>
        <w:t>Eligibility criteria were applied at title and abstract screening and again during full-text assessment. The criteria maintained direct alignment with the population, phenomenon and service context of the review.</w:t>
      </w:r>
    </w:p>
    <w:p w:rsidR="00B16549" w:rsidRDefault="00B16549" w:rsidP="00B16549">
      <w:pPr>
        <w:pStyle w:val="Caption"/>
        <w:keepNext/>
      </w:pPr>
      <w:bookmarkStart w:id="24" w:name="_Toc238727243"/>
      <w:r>
        <w:t xml:space="preserve">Table </w:t>
      </w:r>
      <w:fldSimple w:instr=" STYLEREF 1 \s ">
        <w:r>
          <w:rPr>
            <w:noProof/>
          </w:rPr>
          <w:t>3</w:t>
        </w:r>
      </w:fldSimple>
      <w:r>
        <w:t>.</w:t>
      </w:r>
      <w:fldSimple w:instr=" SEQ Table \* ARABIC \s 1 ">
        <w:r>
          <w:rPr>
            <w:noProof/>
          </w:rPr>
          <w:t>3</w:t>
        </w:r>
      </w:fldSimple>
      <w:r>
        <w:t xml:space="preserve">. </w:t>
      </w:r>
      <w:r w:rsidRPr="006B2F6A">
        <w:t>Inclusion and exclusion criteria</w:t>
      </w:r>
      <w:bookmarkEnd w:id="24"/>
    </w:p>
    <w:tbl>
      <w:tblPr>
        <w:tblStyle w:val="TableGrid"/>
        <w:tblW w:w="0" w:type="auto"/>
        <w:tblLook w:val="04A0"/>
      </w:tblPr>
      <w:tblGrid>
        <w:gridCol w:w="1469"/>
        <w:gridCol w:w="3934"/>
        <w:gridCol w:w="3403"/>
      </w:tblGrid>
      <w:tr w:rsidR="00AE3CE1" w:rsidRPr="00AE3CE1" w:rsidTr="00686731">
        <w:trPr>
          <w:tblHeader/>
        </w:trPr>
        <w:tc>
          <w:tcPr>
            <w:tcW w:w="0" w:type="auto"/>
            <w:shd w:val="clear" w:color="auto" w:fill="D9EAF7"/>
            <w:tcMar>
              <w:top w:w="60" w:type="dxa"/>
              <w:left w:w="80" w:type="dxa"/>
              <w:bottom w:w="60" w:type="dxa"/>
              <w:right w:w="80" w:type="dxa"/>
            </w:tcMar>
            <w:vAlign w:val="center"/>
          </w:tcPr>
          <w:p w:rsidR="00AE3CE1" w:rsidRPr="00AE3CE1" w:rsidRDefault="00AE3CE1" w:rsidP="00686731">
            <w:pPr>
              <w:spacing w:after="0"/>
              <w:jc w:val="center"/>
              <w:rPr>
                <w:sz w:val="24"/>
                <w:szCs w:val="32"/>
              </w:rPr>
            </w:pPr>
            <w:r w:rsidRPr="00AE3CE1">
              <w:rPr>
                <w:b/>
                <w:szCs w:val="32"/>
              </w:rPr>
              <w:t>Criterion</w:t>
            </w:r>
          </w:p>
        </w:tc>
        <w:tc>
          <w:tcPr>
            <w:tcW w:w="0" w:type="auto"/>
            <w:shd w:val="clear" w:color="auto" w:fill="D9EAF7"/>
            <w:tcMar>
              <w:top w:w="60" w:type="dxa"/>
              <w:left w:w="80" w:type="dxa"/>
              <w:bottom w:w="60" w:type="dxa"/>
              <w:right w:w="80" w:type="dxa"/>
            </w:tcMar>
            <w:vAlign w:val="center"/>
          </w:tcPr>
          <w:p w:rsidR="00AE3CE1" w:rsidRPr="00AE3CE1" w:rsidRDefault="00AE3CE1" w:rsidP="00686731">
            <w:pPr>
              <w:spacing w:after="0"/>
              <w:jc w:val="center"/>
              <w:rPr>
                <w:sz w:val="24"/>
                <w:szCs w:val="32"/>
              </w:rPr>
            </w:pPr>
            <w:r w:rsidRPr="00AE3CE1">
              <w:rPr>
                <w:b/>
                <w:szCs w:val="32"/>
              </w:rPr>
              <w:t>Include</w:t>
            </w:r>
          </w:p>
        </w:tc>
        <w:tc>
          <w:tcPr>
            <w:tcW w:w="0" w:type="auto"/>
            <w:shd w:val="clear" w:color="auto" w:fill="D9EAF7"/>
            <w:tcMar>
              <w:top w:w="60" w:type="dxa"/>
              <w:left w:w="80" w:type="dxa"/>
              <w:bottom w:w="60" w:type="dxa"/>
              <w:right w:w="80" w:type="dxa"/>
            </w:tcMar>
            <w:vAlign w:val="center"/>
          </w:tcPr>
          <w:p w:rsidR="00AE3CE1" w:rsidRPr="00AE3CE1" w:rsidRDefault="00AE3CE1" w:rsidP="00686731">
            <w:pPr>
              <w:spacing w:after="0"/>
              <w:jc w:val="center"/>
              <w:rPr>
                <w:sz w:val="24"/>
                <w:szCs w:val="32"/>
              </w:rPr>
            </w:pPr>
            <w:r w:rsidRPr="00AE3CE1">
              <w:rPr>
                <w:b/>
                <w:szCs w:val="32"/>
              </w:rPr>
              <w:t>Exclude</w:t>
            </w:r>
          </w:p>
        </w:tc>
      </w:tr>
      <w:tr w:rsidR="00AE3CE1" w:rsidRPr="00AE3CE1" w:rsidTr="00686731">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Population</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32"/>
              </w:rPr>
            </w:pPr>
            <w:r w:rsidRPr="00AE3CE1">
              <w:rPr>
                <w:szCs w:val="32"/>
              </w:rPr>
              <w:t>Young adults aged 18-25; broader samples only when relevant findings were separable, a majority of participants were 18-25, or the study explicitly focused on young adults with a mean age within this range.</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32"/>
              </w:rPr>
            </w:pPr>
            <w:r w:rsidRPr="00AE3CE1">
              <w:rPr>
                <w:szCs w:val="32"/>
              </w:rPr>
              <w:t>Studies confined to children under 18, studies predominantly involving adults older than 25, or mixed-age studies where young-adult findings could not be distinguished.</w:t>
            </w:r>
          </w:p>
        </w:tc>
      </w:tr>
      <w:tr w:rsidR="00AE3CE1" w:rsidRPr="00AE3CE1" w:rsidTr="00686731">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Geography</w:t>
            </w:r>
          </w:p>
        </w:tc>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Research conducted in the United Kingdom or reporting separately extractable UK findings.</w:t>
            </w:r>
          </w:p>
        </w:tc>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Non-UK studies without separately extractable UK evidence.</w:t>
            </w:r>
          </w:p>
        </w:tc>
      </w:tr>
      <w:tr w:rsidR="00AE3CE1" w:rsidRPr="00AE3CE1" w:rsidTr="00686731">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Setting</w:t>
            </w:r>
          </w:p>
        </w:tc>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Community-based and non-inpatient mental health support, including NHS, primary-care-linked, voluntary-sector and university-linked provision.</w:t>
            </w:r>
          </w:p>
        </w:tc>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Inpatient, forensic or emergency care without a clear connection to community access or early engagement.</w:t>
            </w:r>
          </w:p>
        </w:tc>
      </w:tr>
      <w:tr w:rsidR="00AE3CE1" w:rsidRPr="00AE3CE1" w:rsidTr="00686731">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lastRenderedPageBreak/>
              <w:t>Phenomenon</w:t>
            </w:r>
          </w:p>
        </w:tc>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Barriers or facilitators relating to recognising need, help-seeking, referral, assessment, waiting, first contact, continuation or disengagement.</w:t>
            </w:r>
          </w:p>
        </w:tc>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Studies concerned only with symptoms, diagnosis, prevalence or treatment effectiveness without access or engagement findings.</w:t>
            </w:r>
          </w:p>
        </w:tc>
      </w:tr>
      <w:tr w:rsidR="00AE3CE1" w:rsidRPr="00AE3CE1" w:rsidTr="00686731">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Design</w:t>
            </w:r>
          </w:p>
        </w:tc>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Qualitative empirical studies and mixed-methods studies with clearly extractable qualitative findings.</w:t>
            </w:r>
          </w:p>
        </w:tc>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Quantitative-only studies, reviews, protocols, editorials, commentaries and opinion pieces.</w:t>
            </w:r>
          </w:p>
        </w:tc>
      </w:tr>
      <w:tr w:rsidR="00AE3CE1" w:rsidRPr="00AE3CE1" w:rsidTr="00686731">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Publication</w:t>
            </w:r>
          </w:p>
        </w:tc>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Peer-reviewed full-text journal articles.</w:t>
            </w:r>
          </w:p>
        </w:tc>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Abstract-only records, dissertations, book reviews and publications without sufficient methodological detail.</w:t>
            </w:r>
          </w:p>
        </w:tc>
      </w:tr>
      <w:tr w:rsidR="00AE3CE1" w:rsidRPr="00AE3CE1" w:rsidTr="00686731">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Language</w:t>
            </w:r>
          </w:p>
        </w:tc>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English.</w:t>
            </w:r>
          </w:p>
        </w:tc>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Publications not available in English.</w:t>
            </w:r>
          </w:p>
        </w:tc>
      </w:tr>
      <w:tr w:rsidR="00AE3CE1" w:rsidRPr="00AE3CE1" w:rsidTr="00686731">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Date</w:t>
            </w:r>
          </w:p>
        </w:tc>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January 2010 to July 2026.</w:t>
            </w:r>
          </w:p>
        </w:tc>
        <w:tc>
          <w:tcPr>
            <w:tcW w:w="0" w:type="auto"/>
            <w:tcMar>
              <w:top w:w="60" w:type="dxa"/>
              <w:left w:w="80" w:type="dxa"/>
              <w:bottom w:w="60" w:type="dxa"/>
              <w:right w:w="80" w:type="dxa"/>
            </w:tcMar>
            <w:vAlign w:val="center"/>
          </w:tcPr>
          <w:p w:rsidR="00AE3CE1" w:rsidRPr="00AE3CE1" w:rsidRDefault="00AE3CE1" w:rsidP="00686731">
            <w:pPr>
              <w:spacing w:after="0"/>
              <w:jc w:val="left"/>
              <w:rPr>
                <w:sz w:val="24"/>
                <w:szCs w:val="32"/>
              </w:rPr>
            </w:pPr>
            <w:r w:rsidRPr="00AE3CE1">
              <w:rPr>
                <w:szCs w:val="32"/>
              </w:rPr>
              <w:t>Published before January 2010.</w:t>
            </w:r>
          </w:p>
        </w:tc>
      </w:tr>
    </w:tbl>
    <w:p w:rsidR="00AE3CE1" w:rsidRDefault="00AE3CE1" w:rsidP="00AE3CE1">
      <w:r>
        <w:t>Age was not treated as a purely administrative filter. Studies with samples extending below 18 or above 25 were retained only when young-adult findings were separately extractable, more than half of participants were within the 18-25 range, or the study explicitly focused on a young-adult population and reported a mean age within that range. Studies dominated by participants older than 25 were excluded. The rationale for borderline age decisions was recorded consistently.</w:t>
      </w:r>
    </w:p>
    <w:p w:rsidR="00AE3CE1" w:rsidRDefault="00AE3CE1" w:rsidP="00AE3CE1">
      <w:pPr>
        <w:pStyle w:val="Heading2"/>
      </w:pPr>
      <w:bookmarkStart w:id="25" w:name="_Toc238727177"/>
      <w:r>
        <w:rPr>
          <w:rFonts w:eastAsia="Arial"/>
        </w:rPr>
        <w:t>Study Identification and Selection</w:t>
      </w:r>
      <w:bookmarkEnd w:id="25"/>
    </w:p>
    <w:p w:rsidR="00AE3CE1" w:rsidRDefault="00AE3CE1" w:rsidP="00AE3CE1">
      <w:r>
        <w:t>Search results were combined in a single reference library and exact duplicates were removed before screening. Records with minor differences in titles, author names or publication details were also checked manually.</w:t>
      </w:r>
    </w:p>
    <w:p w:rsidR="00AE3CE1" w:rsidRDefault="00AE3CE1" w:rsidP="00AE3CE1">
      <w:r>
        <w:t xml:space="preserve">Study selection was completed in two stages. Titles and abstracts were first screened against the eligibility criteria, with potentially relevant or uncertain records proceeding to full-text assessment. Full texts were then assessed against every criterion and </w:t>
      </w:r>
      <w:r>
        <w:lastRenderedPageBreak/>
        <w:t>exclusions were recorded under consistent categories, including wrong population, non-UK setting, wrong service context, absence of access or engagement findings, or ineligible design.</w:t>
      </w:r>
    </w:p>
    <w:p w:rsidR="00AE3CE1" w:rsidRDefault="00AE3CE1" w:rsidP="00AE3CE1">
      <w:r>
        <w:t>Screening was undertaken systematically by one researcher. Borderline decisions were rechecked for consistency and ambiguous cases were considered against the predefined criteria. The selection process was documented using PRISMA 2020 principles without reconstructing unsupported identification-stage counts.</w:t>
      </w:r>
    </w:p>
    <w:p w:rsidR="00AE3CE1" w:rsidRDefault="00AE3CE1" w:rsidP="00AE3CE1">
      <w:pPr>
        <w:pStyle w:val="Heading2"/>
      </w:pPr>
      <w:bookmarkStart w:id="26" w:name="_Toc238727178"/>
      <w:r>
        <w:rPr>
          <w:rFonts w:eastAsia="Arial"/>
        </w:rPr>
        <w:t>Critical Appraisal of Included Studies</w:t>
      </w:r>
      <w:bookmarkEnd w:id="26"/>
    </w:p>
    <w:p w:rsidR="00AE3CE1" w:rsidRDefault="00AE3CE1" w:rsidP="00867166">
      <w:r>
        <w:t>Methodological quality was assessed before synthesis. Qualitative studies were appraised with the Critical Appraisal Skills Programme qualitative checklist, which examines clarity of aims, appropriateness of methodology and design, recruitment, data collection, researcher-participant relationships, ethics, analytical rigour, presentation of findings and research value (CASP, 2018; Tong, Sainsbury and Craig, 2007; Carroll, Booth and Lloyd-Jones, 2012; O’Brien et al., 2014).</w:t>
      </w:r>
    </w:p>
    <w:p w:rsidR="00AE3CE1" w:rsidRDefault="00AE3CE1" w:rsidP="00AE3CE1">
      <w:r>
        <w:t>The Mixed Methods Appraisal Tool was used where a study contributed both qualitative and quantitative components (Hong et al., 2018). Appraisal findings were recorded as reasoned judgements rather than numerical scores. Moderate limitations did not automatically lead to exclusion; instead, methodological quality informed the weight placed on evidence during synthesis.</w:t>
      </w:r>
    </w:p>
    <w:p w:rsidR="00AE3CE1" w:rsidRDefault="00AE3CE1" w:rsidP="00AE3CE1">
      <w:pPr>
        <w:pStyle w:val="Heading2"/>
      </w:pPr>
      <w:bookmarkStart w:id="27" w:name="_Toc238727179"/>
      <w:r>
        <w:rPr>
          <w:rFonts w:eastAsia="Arial"/>
        </w:rPr>
        <w:t>Data Extraction</w:t>
      </w:r>
      <w:bookmarkEnd w:id="27"/>
    </w:p>
    <w:p w:rsidR="00AE3CE1" w:rsidRDefault="00AE3CE1" w:rsidP="00AE3CE1">
      <w:r>
        <w:t>A standardised extraction form was used to collect comparable information from each included study. It was piloted on two papers before full extraction. Data were taken from methods, findings and discussion sections while maintaining a distinction between participant data, primary-author interpretations and the reviewer's later synthesis.</w:t>
      </w:r>
    </w:p>
    <w:p w:rsidR="00B16549" w:rsidRDefault="00B16549" w:rsidP="00B16549">
      <w:pPr>
        <w:pStyle w:val="Caption"/>
        <w:keepNext/>
      </w:pPr>
      <w:bookmarkStart w:id="28" w:name="_Toc238727244"/>
      <w:r>
        <w:t xml:space="preserve">Table </w:t>
      </w:r>
      <w:fldSimple w:instr=" STYLEREF 1 \s ">
        <w:r>
          <w:rPr>
            <w:noProof/>
          </w:rPr>
          <w:t>3</w:t>
        </w:r>
      </w:fldSimple>
      <w:r>
        <w:t>.</w:t>
      </w:r>
      <w:fldSimple w:instr=" SEQ Table \* ARABIC \s 1 ">
        <w:r>
          <w:rPr>
            <w:noProof/>
          </w:rPr>
          <w:t>4</w:t>
        </w:r>
      </w:fldSimple>
      <w:r>
        <w:t xml:space="preserve">. </w:t>
      </w:r>
      <w:r w:rsidRPr="00A13242">
        <w:t>Data extraction fields</w:t>
      </w:r>
      <w:bookmarkEnd w:id="28"/>
    </w:p>
    <w:tbl>
      <w:tblPr>
        <w:tblStyle w:val="TableGrid"/>
        <w:tblW w:w="0" w:type="auto"/>
        <w:jc w:val="center"/>
        <w:tblLook w:val="04A0"/>
      </w:tblPr>
      <w:tblGrid>
        <w:gridCol w:w="1896"/>
        <w:gridCol w:w="6910"/>
      </w:tblGrid>
      <w:tr w:rsidR="00AE3CE1" w:rsidRPr="00AE3CE1" w:rsidTr="00686731">
        <w:trPr>
          <w:tblHeader/>
          <w:jc w:val="center"/>
        </w:trPr>
        <w:tc>
          <w:tcPr>
            <w:tcW w:w="0" w:type="auto"/>
            <w:shd w:val="clear" w:color="auto" w:fill="D9EAF7"/>
            <w:tcMar>
              <w:top w:w="60" w:type="dxa"/>
              <w:left w:w="80" w:type="dxa"/>
              <w:bottom w:w="60" w:type="dxa"/>
              <w:right w:w="80" w:type="dxa"/>
            </w:tcMar>
            <w:vAlign w:val="center"/>
          </w:tcPr>
          <w:p w:rsidR="00AE3CE1" w:rsidRPr="00AE3CE1" w:rsidRDefault="00AE3CE1" w:rsidP="00686731">
            <w:pPr>
              <w:spacing w:after="0"/>
              <w:jc w:val="center"/>
              <w:rPr>
                <w:b/>
                <w:bCs/>
                <w:sz w:val="24"/>
                <w:szCs w:val="24"/>
              </w:rPr>
            </w:pPr>
            <w:r w:rsidRPr="00AE3CE1">
              <w:rPr>
                <w:b/>
                <w:bCs/>
                <w:szCs w:val="24"/>
              </w:rPr>
              <w:t>Field</w:t>
            </w:r>
          </w:p>
        </w:tc>
        <w:tc>
          <w:tcPr>
            <w:tcW w:w="0" w:type="auto"/>
            <w:shd w:val="clear" w:color="auto" w:fill="D9EAF7"/>
            <w:tcMar>
              <w:top w:w="60" w:type="dxa"/>
              <w:left w:w="80" w:type="dxa"/>
              <w:bottom w:w="60" w:type="dxa"/>
              <w:right w:w="80" w:type="dxa"/>
            </w:tcMar>
            <w:vAlign w:val="center"/>
          </w:tcPr>
          <w:p w:rsidR="00AE3CE1" w:rsidRPr="00AE3CE1" w:rsidRDefault="00AE3CE1" w:rsidP="00686731">
            <w:pPr>
              <w:spacing w:after="0"/>
              <w:jc w:val="center"/>
              <w:rPr>
                <w:b/>
                <w:bCs/>
                <w:sz w:val="24"/>
                <w:szCs w:val="24"/>
              </w:rPr>
            </w:pPr>
            <w:r w:rsidRPr="00AE3CE1">
              <w:rPr>
                <w:b/>
                <w:bCs/>
                <w:szCs w:val="24"/>
              </w:rPr>
              <w:t>Information to be recorded</w:t>
            </w:r>
          </w:p>
        </w:tc>
      </w:tr>
      <w:tr w:rsidR="00AE3CE1" w:rsidRPr="00AE3CE1" w:rsidTr="00686731">
        <w:trPr>
          <w:jc w:val="center"/>
        </w:trPr>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Bibliographic details</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Author, year, title and publication source.</w:t>
            </w:r>
          </w:p>
        </w:tc>
      </w:tr>
      <w:tr w:rsidR="00AE3CE1" w:rsidRPr="00AE3CE1" w:rsidTr="00686731">
        <w:trPr>
          <w:jc w:val="center"/>
        </w:trPr>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Study purpose</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Research aim or question.</w:t>
            </w:r>
          </w:p>
        </w:tc>
      </w:tr>
      <w:tr w:rsidR="00AE3CE1" w:rsidRPr="00AE3CE1" w:rsidTr="00686731">
        <w:trPr>
          <w:jc w:val="center"/>
        </w:trPr>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lastRenderedPageBreak/>
              <w:t>Setting</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UK nation, locality and type of community-based service.</w:t>
            </w:r>
          </w:p>
        </w:tc>
      </w:tr>
      <w:tr w:rsidR="00AE3CE1" w:rsidRPr="00AE3CE1" w:rsidTr="00686731">
        <w:trPr>
          <w:jc w:val="center"/>
        </w:trPr>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Design and methods</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Qualitative or mixed-methods design, recruitment and data collection.</w:t>
            </w:r>
          </w:p>
        </w:tc>
      </w:tr>
      <w:tr w:rsidR="00AE3CE1" w:rsidRPr="00AE3CE1" w:rsidTr="00686731">
        <w:trPr>
          <w:jc w:val="center"/>
        </w:trPr>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Sample</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Number, age range and relevant demographic characteristics.</w:t>
            </w:r>
          </w:p>
        </w:tc>
      </w:tr>
      <w:tr w:rsidR="00AE3CE1" w:rsidRPr="00AE3CE1" w:rsidTr="00686731">
        <w:trPr>
          <w:jc w:val="center"/>
        </w:trPr>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Access stage</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Need recognition, help-seeking, referral, assessment, waiting, first contact or early engagement.</w:t>
            </w:r>
          </w:p>
        </w:tc>
      </w:tr>
      <w:tr w:rsidR="00AE3CE1" w:rsidRPr="00AE3CE1" w:rsidTr="00686731">
        <w:trPr>
          <w:jc w:val="center"/>
        </w:trPr>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Findings</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Reported barriers, facilitators, participant quotations and author interpretations.</w:t>
            </w:r>
          </w:p>
        </w:tc>
      </w:tr>
      <w:tr w:rsidR="00AE3CE1" w:rsidRPr="00AE3CE1" w:rsidTr="00686731">
        <w:trPr>
          <w:jc w:val="center"/>
        </w:trPr>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Equity factors</w:t>
            </w:r>
          </w:p>
        </w:tc>
        <w:tc>
          <w:tcPr>
            <w:tcW w:w="0" w:type="auto"/>
            <w:tcMar>
              <w:top w:w="60" w:type="dxa"/>
              <w:left w:w="80" w:type="dxa"/>
              <w:bottom w:w="60" w:type="dxa"/>
              <w:right w:w="80" w:type="dxa"/>
            </w:tcMar>
            <w:vAlign w:val="center"/>
          </w:tcPr>
          <w:p w:rsidR="00AE3CE1" w:rsidRPr="00AE3CE1" w:rsidRDefault="00AE3CE1" w:rsidP="00686731">
            <w:pPr>
              <w:spacing w:after="0"/>
              <w:rPr>
                <w:sz w:val="24"/>
                <w:szCs w:val="24"/>
              </w:rPr>
            </w:pPr>
            <w:r w:rsidRPr="00AE3CE1">
              <w:rPr>
                <w:szCs w:val="24"/>
              </w:rPr>
              <w:t>Ethnicity, gender, disability, socioeconomic position, care experience and other relevant intersections.</w:t>
            </w:r>
          </w:p>
        </w:tc>
      </w:tr>
    </w:tbl>
    <w:p w:rsidR="00AE3CE1" w:rsidRDefault="00AE3CE1" w:rsidP="00AE3CE1">
      <w:r>
        <w:t>A separate field recorded CASP or MMAT judgements and study limitations. Extracted information was checked against the source article to reduce transcription error and preserve the meaning of reported findings.</w:t>
      </w:r>
    </w:p>
    <w:p w:rsidR="00AE3CE1" w:rsidRDefault="00AE3CE1" w:rsidP="00AE3CE1">
      <w:pPr>
        <w:pStyle w:val="Heading2"/>
      </w:pPr>
      <w:bookmarkStart w:id="29" w:name="_Toc238727180"/>
      <w:r>
        <w:rPr>
          <w:rFonts w:eastAsia="Arial"/>
        </w:rPr>
        <w:t>Data Synthesis and Analysis</w:t>
      </w:r>
      <w:bookmarkEnd w:id="29"/>
    </w:p>
    <w:p w:rsidR="00AE3CE1" w:rsidRDefault="00AE3CE1" w:rsidP="00867166">
      <w:r>
        <w:t>Qualitative findings were synthesised using the thematic synthesis method developed by Thomas and Harden (2008) (Braun and Clarke, 2006; Atkins et al., 2008; Sandelowski and Barroso, 2007; Braun and Clarke, 2021). This method supported transparent movement from findings reported in primary studies to broader interpretations across studies while maintaining a clear link between conclusions and source evidence.</w:t>
      </w:r>
    </w:p>
    <w:p w:rsidR="00AE3CE1" w:rsidRDefault="00AE3CE1" w:rsidP="00AE3CE1">
      <w:r>
        <w:t>The first stage involved line-by-line coding of relevant findings. Codes captured both observable service barriers, such as complex referral routes, waiting times and eligibility thresholds, and experiential meanings, such as shame, uncertainty, mistrust, anticipated judgement and withdrawal.</w:t>
      </w:r>
    </w:p>
    <w:p w:rsidR="00AE3CE1" w:rsidRDefault="00AE3CE1" w:rsidP="00AE3CE1">
      <w:r>
        <w:t>In the second stage, related codes were grouped into descriptive themes that summarised recurring patterns across studies. Themes were revised against coded extracts and the full set of included studies so that similarities and differences were retained.</w:t>
      </w:r>
    </w:p>
    <w:p w:rsidR="00AE3CE1" w:rsidRDefault="00AE3CE1" w:rsidP="00AE3CE1">
      <w:r>
        <w:lastRenderedPageBreak/>
        <w:t>The third stage generated analytical themes addressing how barriers influenced early engagement and interacted across the access pathway. Analysis moved beyond description by examining mechanisms, differences between groups and relationships between service organisation and young adults' responses. Contradictory, minority and context-specific findings were retained rather than absorbed into an artificial consensus.</w:t>
      </w:r>
    </w:p>
    <w:p w:rsidR="00AE3CE1" w:rsidRDefault="00AE3CE1" w:rsidP="00AE3CE1">
      <w:r>
        <w:t>Levesque, Harris and Russell's (2013) patient-centred access model was used as a sensitising framework after initial inductive coding. Its dimensions of approachability, acceptability, availability, affordability and appropriateness, together with people's abilities to perceive, seek, reach, pay and engage, supported interpretation of access as an interaction between services and populations. It was not used as a fixed coding template.</w:t>
      </w:r>
    </w:p>
    <w:p w:rsidR="00AE3CE1" w:rsidRDefault="00AE3CE1" w:rsidP="00867166">
      <w:r>
        <w:t>Narrative comparison accompanied the thematic synthesis. Study characteristics and themes were compared across service types, age ranges and equity-related groups where the evidence permitted, following principles of preliminary synthesis, exploration of relationships and assessment of robustness (Popay et al., 2006; Tong et al., 2012). Statistical meta-analysis was not undertaken because the evidence was predominantly qualitative and heterogeneous.</w:t>
      </w:r>
    </w:p>
    <w:p w:rsidR="00AE3CE1" w:rsidRDefault="00AE3CE1" w:rsidP="00AE3CE1">
      <w:pPr>
        <w:pStyle w:val="Heading2"/>
      </w:pPr>
      <w:bookmarkStart w:id="30" w:name="_Toc238727181"/>
      <w:r>
        <w:rPr>
          <w:rFonts w:eastAsia="Arial"/>
        </w:rPr>
        <w:t>Rigour, Trustworthiness and Reflexivity</w:t>
      </w:r>
      <w:bookmarkEnd w:id="30"/>
    </w:p>
    <w:p w:rsidR="00686731" w:rsidRDefault="00686731" w:rsidP="00686731">
      <w:r>
        <w:t>Credibility, dependability, reflexivity and transparency were used as the means of supporting rigour. Careful coding, keeping track of links to source extracts, taking into account contradictory evidence and using appraisal findings when assessing the strength of themes (Aromataris et al., 2024; Nowell et al., 2017) strengthened credibility.</w:t>
      </w:r>
    </w:p>
    <w:p w:rsidR="00686731" w:rsidRDefault="00686731" w:rsidP="00686731">
      <w:r>
        <w:t>Dependability was related to consistency of the review process and traceability. The audit trail included the protocol, search strategy, screening decisions, appraisal records, extraction tables and coding notes and theme-development records.</w:t>
      </w:r>
    </w:p>
    <w:p w:rsidR="00686731" w:rsidRDefault="00686731" w:rsidP="00686731">
      <w:r>
        <w:t>Reflexivity meant that the selection, coding and interpretation were critically examined in terms of how the prior knowledge and theoretical preferences could affect them (Finlay, 2002). Assumptions and hard choices were recorded to allow for the checking of interpretations against the evidence, and not taken for granted.</w:t>
      </w:r>
    </w:p>
    <w:p w:rsidR="00686731" w:rsidRDefault="00686731" w:rsidP="00686731">
      <w:r>
        <w:lastRenderedPageBreak/>
        <w:t>Transparency was facilitated by clearly stated eligibility criteria, a systematic appraisal, documented extraction and explanation of the synthesis steps. This was especially the case in a review that was mainly written by one researcher (Aromataris et al., 2024).</w:t>
      </w:r>
    </w:p>
    <w:p w:rsidR="00686731" w:rsidRDefault="00686731" w:rsidP="00686731">
      <w:pPr>
        <w:pStyle w:val="Heading2"/>
      </w:pPr>
      <w:bookmarkStart w:id="31" w:name="_Toc238727182"/>
      <w:r>
        <w:t>Ethical Considerations and Data Management</w:t>
      </w:r>
      <w:bookmarkEnd w:id="31"/>
    </w:p>
    <w:p w:rsidR="00686731" w:rsidRDefault="00686731" w:rsidP="00686731">
      <w:r>
        <w:t>No interviews were conducted, no consent was obtained, no identifiable data was collected and there was no recruitment of participants for this review and published secondary data was used. An ethics approval for participants was thus not necessary. All research integrity and responsible data management and academic conduct requirements of the University were upheld during the study.</w:t>
      </w:r>
    </w:p>
    <w:p w:rsidR="00686731" w:rsidRDefault="00686731" w:rsidP="00686731">
      <w:r>
        <w:t>Ethical practice involved proper referencing, no plagiarism, truthful reporting of results and no misrepresentation of results. The mental health accounts were used sensitively and project files were kept in the University-approved storage and protected with a password. Full text articles were not shared if they were copyrighted.</w:t>
      </w:r>
    </w:p>
    <w:p w:rsidR="00686731" w:rsidRDefault="00686731" w:rsidP="00686731">
      <w:pPr>
        <w:pStyle w:val="Heading2"/>
      </w:pPr>
      <w:bookmarkStart w:id="32" w:name="_Toc238727183"/>
      <w:r>
        <w:t>Methodological Strengths and Limitations</w:t>
      </w:r>
      <w:bookmarkEnd w:id="32"/>
    </w:p>
    <w:p w:rsidR="00686731" w:rsidRDefault="00686731" w:rsidP="00686731">
      <w:r>
        <w:t>There were a number of strengths to the methodology. PICo had clear population, phenomenon and context; multiple disciplinary information sources broadened the coverage; there were no selective use of evidence due to explicit eligibility criteria and formal appraisal and thematic synthesis was closely matched with the experiential review question.</w:t>
      </w:r>
    </w:p>
    <w:p w:rsidR="00AE3CE1" w:rsidRDefault="00686731" w:rsidP="00686731">
      <w:r>
        <w:t>Restrictions were English language and peer-review and the different indexation of qualitative research, the different definition of community services and young adulthood and the single reviewer. These limitations were taken into account in the interpretation of the findings in terms of their robustness and transferability.</w:t>
      </w:r>
    </w:p>
    <w:p w:rsidR="00AE3CE1" w:rsidRDefault="00AE3CE1">
      <w:pPr>
        <w:spacing w:after="160"/>
        <w:jc w:val="left"/>
      </w:pPr>
      <w:r>
        <w:br w:type="page"/>
      </w:r>
    </w:p>
    <w:p w:rsidR="00AE3CE1" w:rsidRDefault="00AE3CE1" w:rsidP="00AE3CE1">
      <w:pPr>
        <w:pStyle w:val="Heading1"/>
      </w:pPr>
      <w:bookmarkStart w:id="33" w:name="_Toc238727184"/>
      <w:r>
        <w:rPr>
          <w:rFonts w:eastAsia="Arial"/>
        </w:rPr>
        <w:lastRenderedPageBreak/>
        <w:t>Data Extraction and Evaluation</w:t>
      </w:r>
      <w:bookmarkEnd w:id="33"/>
    </w:p>
    <w:p w:rsidR="00AE3CE1" w:rsidRDefault="00AE3CE1" w:rsidP="00AE3CE1">
      <w:pPr>
        <w:pStyle w:val="Heading2"/>
      </w:pPr>
      <w:bookmarkStart w:id="34" w:name="_Toc238727185"/>
      <w:r>
        <w:rPr>
          <w:rFonts w:eastAsia="Arial"/>
        </w:rPr>
        <w:t>Introduction</w:t>
      </w:r>
      <w:bookmarkEnd w:id="34"/>
    </w:p>
    <w:p w:rsidR="00AE3CE1" w:rsidRDefault="00AE3CE1" w:rsidP="00AE3CE1">
      <w:r>
        <w:t>Fourteen empirical studies were evaluated for methodological quality and relevance to barriers affecting access and early engagement in community-based mental health services among young adults in the United Kingdom. The evidence comprised thirteen primarily qualitative studies and one mixed-methods process evaluation with an extractable qualitative component. Data extraction captured study setting, sample, design, analysis, access or engagement focus and methodological limitations. Qualitative studies were assessed using the Critical Appraisal Skills Programme (CASP) Qualitative Checklist, while the mixed-methods study was assessed using the Mixed Methods Appraisal Tool (MMAT).</w:t>
      </w:r>
    </w:p>
    <w:p w:rsidR="00AE3CE1" w:rsidRDefault="00AE3CE1" w:rsidP="00AE3CE1">
      <w:pPr>
        <w:pStyle w:val="Heading2"/>
      </w:pPr>
      <w:bookmarkStart w:id="35" w:name="_Toc238727186"/>
      <w:r>
        <w:rPr>
          <w:rFonts w:eastAsia="Arial"/>
        </w:rPr>
        <w:t>Data Extraction and Study Characteristics</w:t>
      </w:r>
      <w:bookmarkEnd w:id="35"/>
    </w:p>
    <w:p w:rsidR="00AE3CE1" w:rsidRDefault="00AE3CE1" w:rsidP="00AE3CE1">
      <w:r>
        <w:t>The included studies were published between 2020 and 2026 and were concentrated mainly in England. Settings included transitions between Child and Adolescent Mental Health Services and Adult Mental Health Services, university mental health provision, voluntary-sector youth services, Early Support Hubs, community interventions and digital peer support. This range allowed comparison across different entry points to care, although the geographical concentration limits transferability across all four UK nations.</w:t>
      </w:r>
    </w:p>
    <w:p w:rsidR="000B7728" w:rsidRPr="00686731" w:rsidRDefault="00AE3CE1" w:rsidP="00686731">
      <w:r>
        <w:t>Sample sizes ranged from seven participants in in-depth interpretative studies to 73 participants in co-creation panels. Interviews were the most common data-collection method, with focus groups, open-text survey responses, co-creation panels and documentary material used in some studies. Broader age samples were retained only where they met the stated young-adult eligibility rule. Barnett et al. (2021), for example, included 16 students aged 20-27, of whom nine were aged 20-24, while Sagar-Ouriaghli et al. (2020) reported a mean age of 21.9 despite a wider range of 18-31. Byrom et al. (2022) was treated consistently as a qualitative study because the authors explicitly described a qualitative design using open-text survey data and interviews.</w:t>
      </w:r>
    </w:p>
    <w:p w:rsidR="00686731" w:rsidRDefault="00686731" w:rsidP="00686731">
      <w:pPr>
        <w:pStyle w:val="Caption"/>
        <w:keepNext/>
      </w:pPr>
      <w:bookmarkStart w:id="36" w:name="_Toc238727245"/>
      <w:r>
        <w:t xml:space="preserve">Table </w:t>
      </w:r>
      <w:fldSimple w:instr=" STYLEREF 1 \s ">
        <w:r w:rsidR="00B16549">
          <w:rPr>
            <w:noProof/>
          </w:rPr>
          <w:t>4</w:t>
        </w:r>
      </w:fldSimple>
      <w:r w:rsidR="00B16549">
        <w:t>.</w:t>
      </w:r>
      <w:fldSimple w:instr=" SEQ Table \* ARABIC \s 1 ">
        <w:r w:rsidR="00B16549">
          <w:rPr>
            <w:noProof/>
          </w:rPr>
          <w:t>1</w:t>
        </w:r>
      </w:fldSimple>
      <w:r>
        <w:t xml:space="preserve">. </w:t>
      </w:r>
      <w:r w:rsidRPr="002D3322">
        <w:t>Characteristics of the 14 included studies</w:t>
      </w:r>
      <w:bookmarkEnd w:id="36"/>
    </w:p>
    <w:tbl>
      <w:tblPr>
        <w:tblStyle w:val="TableGrid"/>
        <w:tblW w:w="0" w:type="auto"/>
        <w:jc w:val="center"/>
        <w:tblLook w:val="04A0"/>
      </w:tblPr>
      <w:tblGrid>
        <w:gridCol w:w="1258"/>
        <w:gridCol w:w="2193"/>
        <w:gridCol w:w="2801"/>
        <w:gridCol w:w="2514"/>
      </w:tblGrid>
      <w:tr w:rsidR="00AE3CE1" w:rsidRPr="00686731" w:rsidTr="00686731">
        <w:trPr>
          <w:cantSplit/>
          <w:tblHeader/>
          <w:jc w:val="center"/>
        </w:trPr>
        <w:tc>
          <w:tcPr>
            <w:tcW w:w="0" w:type="auto"/>
            <w:shd w:val="clear" w:color="auto" w:fill="D9D9D9"/>
            <w:tcMar>
              <w:top w:w="60" w:type="dxa"/>
              <w:left w:w="60" w:type="dxa"/>
              <w:bottom w:w="60" w:type="dxa"/>
              <w:right w:w="60" w:type="dxa"/>
            </w:tcMar>
          </w:tcPr>
          <w:p w:rsidR="00AE3CE1" w:rsidRPr="00686731" w:rsidRDefault="00AE3CE1" w:rsidP="00686731">
            <w:pPr>
              <w:spacing w:after="0"/>
              <w:jc w:val="center"/>
              <w:rPr>
                <w:rFonts w:cs="Arial"/>
                <w:b/>
                <w:bCs/>
              </w:rPr>
            </w:pPr>
            <w:r w:rsidRPr="00686731">
              <w:rPr>
                <w:rFonts w:cs="Arial"/>
                <w:b/>
                <w:bCs/>
              </w:rPr>
              <w:t>Study</w:t>
            </w:r>
          </w:p>
        </w:tc>
        <w:tc>
          <w:tcPr>
            <w:tcW w:w="0" w:type="auto"/>
            <w:shd w:val="clear" w:color="auto" w:fill="D9D9D9"/>
            <w:tcMar>
              <w:top w:w="60" w:type="dxa"/>
              <w:left w:w="60" w:type="dxa"/>
              <w:bottom w:w="60" w:type="dxa"/>
              <w:right w:w="60" w:type="dxa"/>
            </w:tcMar>
          </w:tcPr>
          <w:p w:rsidR="00AE3CE1" w:rsidRPr="00686731" w:rsidRDefault="00AE3CE1" w:rsidP="00686731">
            <w:pPr>
              <w:spacing w:after="0"/>
              <w:jc w:val="center"/>
              <w:rPr>
                <w:rFonts w:cs="Arial"/>
                <w:b/>
                <w:bCs/>
              </w:rPr>
            </w:pPr>
            <w:r w:rsidRPr="00686731">
              <w:rPr>
                <w:rFonts w:cs="Arial"/>
                <w:b/>
                <w:bCs/>
              </w:rPr>
              <w:t>Sample and setting</w:t>
            </w:r>
          </w:p>
        </w:tc>
        <w:tc>
          <w:tcPr>
            <w:tcW w:w="0" w:type="auto"/>
            <w:shd w:val="clear" w:color="auto" w:fill="D9D9D9"/>
            <w:tcMar>
              <w:top w:w="60" w:type="dxa"/>
              <w:left w:w="60" w:type="dxa"/>
              <w:bottom w:w="60" w:type="dxa"/>
              <w:right w:w="60" w:type="dxa"/>
            </w:tcMar>
          </w:tcPr>
          <w:p w:rsidR="00AE3CE1" w:rsidRPr="00686731" w:rsidRDefault="00AE3CE1" w:rsidP="00686731">
            <w:pPr>
              <w:spacing w:after="0"/>
              <w:jc w:val="center"/>
              <w:rPr>
                <w:rFonts w:cs="Arial"/>
                <w:b/>
                <w:bCs/>
              </w:rPr>
            </w:pPr>
            <w:r w:rsidRPr="00686731">
              <w:rPr>
                <w:rFonts w:cs="Arial"/>
                <w:b/>
                <w:bCs/>
              </w:rPr>
              <w:t>Design and analysis</w:t>
            </w:r>
          </w:p>
        </w:tc>
        <w:tc>
          <w:tcPr>
            <w:tcW w:w="0" w:type="auto"/>
            <w:shd w:val="clear" w:color="auto" w:fill="D9D9D9"/>
            <w:tcMar>
              <w:top w:w="60" w:type="dxa"/>
              <w:left w:w="60" w:type="dxa"/>
              <w:bottom w:w="60" w:type="dxa"/>
              <w:right w:w="60" w:type="dxa"/>
            </w:tcMar>
          </w:tcPr>
          <w:p w:rsidR="00AE3CE1" w:rsidRPr="00686731" w:rsidRDefault="00AE3CE1" w:rsidP="00686731">
            <w:pPr>
              <w:spacing w:after="0"/>
              <w:jc w:val="center"/>
              <w:rPr>
                <w:rFonts w:cs="Arial"/>
                <w:b/>
                <w:bCs/>
              </w:rPr>
            </w:pPr>
            <w:r w:rsidRPr="00686731">
              <w:rPr>
                <w:rFonts w:cs="Arial"/>
                <w:b/>
                <w:bCs/>
              </w:rPr>
              <w:t>Review-relevant focus</w:t>
            </w:r>
          </w:p>
        </w:tc>
      </w:tr>
      <w:tr w:rsidR="00AE3CE1" w:rsidRPr="00686731" w:rsidTr="00686731">
        <w:trPr>
          <w:cantSplit/>
          <w:jc w:val="center"/>
        </w:trPr>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lastRenderedPageBreak/>
              <w:t>Appleton et al. (2021)</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15 young people and 15 parents; 19 UK transition stories; mean young-person age 19.4</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Narrative interviews; thematic analysis</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Rejected referrals, thresholds, discontinuity and falling between child and adult services</w:t>
            </w:r>
          </w:p>
        </w:tc>
      </w:tr>
      <w:tr w:rsidR="00AE3CE1" w:rsidRPr="00686731" w:rsidTr="00686731">
        <w:trPr>
          <w:cantSplit/>
          <w:jc w:val="center"/>
        </w:trPr>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Barnett et al. (2021)</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16 students; 9 aged 20-24 and 7 aged 25-27; one inner-city UK university</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Interviews plus confirmatory focus group; thematic analysis</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Access processes, short-term provision, waiting, personalisation and feeling abandoned</w:t>
            </w:r>
          </w:p>
        </w:tc>
      </w:tr>
      <w:tr w:rsidR="00AE3CE1" w:rsidRPr="00686731" w:rsidTr="00686731">
        <w:trPr>
          <w:cantSplit/>
          <w:jc w:val="center"/>
        </w:trPr>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Bhaila, Sela and Tribe (2025)</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7 second-generation British Pakistani men aged 20-24</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Semi-structured interviews; interpretative phenomenological analysis</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Cultural expectations, masculinity, stigma, self-reliance and scepticism about therapy</w:t>
            </w:r>
          </w:p>
        </w:tc>
      </w:tr>
      <w:tr w:rsidR="00AE3CE1" w:rsidRPr="00686731" w:rsidTr="00686731">
        <w:trPr>
          <w:cantSplit/>
          <w:jc w:val="center"/>
        </w:trPr>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Byrom et al. (2022)</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100 survey respondents and 18 interviewees; 82% of total sample aged 18-24</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Qualitative study using open-text survey responses and interviews; content and thematic analysis</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Eating-disorder support, service awareness, thresholds, continuity and early service experiences</w:t>
            </w:r>
          </w:p>
        </w:tc>
      </w:tr>
      <w:tr w:rsidR="00AE3CE1" w:rsidRPr="00686731" w:rsidTr="00686731">
        <w:trPr>
          <w:cantSplit/>
          <w:jc w:val="center"/>
        </w:trPr>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Cliffe et al. (2024)</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11 UK young adults aged 18-24 using a peer-support app</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Interviews; reflexive thematic analysis</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Digital accessibility, peer validation, coping skills and limits of informal support</w:t>
            </w:r>
          </w:p>
        </w:tc>
      </w:tr>
      <w:tr w:rsidR="00AE3CE1" w:rsidRPr="00686731" w:rsidTr="00686731">
        <w:trPr>
          <w:cantSplit/>
          <w:jc w:val="center"/>
        </w:trPr>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Grice-Jackson et al. (2026)</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34 participants, including 19 young people aged 16-25, in Brighton and Hove</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Interviews, focus groups and document review; framework analysis</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System, service and individual barriers; community assets and place-based solutions</w:t>
            </w:r>
          </w:p>
        </w:tc>
      </w:tr>
      <w:tr w:rsidR="00AE3CE1" w:rsidRPr="00686731" w:rsidTr="00686731">
        <w:trPr>
          <w:cantSplit/>
          <w:jc w:val="center"/>
        </w:trPr>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lastRenderedPageBreak/>
              <w:t>Hassan et al. (2022)</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36 participants, including 24 young people aged 16-25, in North West England</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Interviews and focus groups; thematic analysis</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Voluntary-sector youth hubs, self-referral, flexibility, non-clinical settings and relational support</w:t>
            </w:r>
          </w:p>
        </w:tc>
      </w:tr>
      <w:tr w:rsidR="00AE3CE1" w:rsidRPr="00686731" w:rsidTr="00686731">
        <w:trPr>
          <w:cantSplit/>
          <w:jc w:val="center"/>
        </w:trPr>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Oha et al. (2025)</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10 young people aged 16-25 plus intervention staff in the East of England</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Mixed-methods process evaluation; qualitative thematic analysis and quantitative outcome/service data</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Place-based support, third spaces, wellbeing navigation, trust and transition-related gaps</w:t>
            </w:r>
          </w:p>
        </w:tc>
      </w:tr>
      <w:tr w:rsidR="00AE3CE1" w:rsidRPr="00686731" w:rsidTr="00686731">
        <w:trPr>
          <w:cantSplit/>
          <w:jc w:val="center"/>
        </w:trPr>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Priestley et al. (2022)</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73 students or student officers across six UK co-creation panels</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Co-creation panels; grounded thematic analysis</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University service access, fragmentation, communication, coordination and inclusion</w:t>
            </w:r>
          </w:p>
        </w:tc>
      </w:tr>
      <w:tr w:rsidR="00AE3CE1" w:rsidRPr="00686731" w:rsidTr="00686731">
        <w:trPr>
          <w:cantSplit/>
          <w:jc w:val="center"/>
        </w:trPr>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Punton, Dodd and McNeill (2022)</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7 UK young adults aged 19-22</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Interviews; interpretative phenomenological analysis</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Waiting-list experiences, deterioration, alternative support and negative beliefs about services</w:t>
            </w:r>
          </w:p>
        </w:tc>
      </w:tr>
      <w:tr w:rsidR="00AE3CE1" w:rsidRPr="00686731" w:rsidTr="00686731">
        <w:trPr>
          <w:cantSplit/>
          <w:jc w:val="center"/>
        </w:trPr>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Radez et al. (2024)</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12 Eastern European young people aged 18-25 in Oxfordshire</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Interviews; reflexive thematic analysis</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Cultural tension, family influence, service trust and help-seeking decisions</w:t>
            </w:r>
          </w:p>
        </w:tc>
      </w:tr>
      <w:tr w:rsidR="00AE3CE1" w:rsidRPr="00686731" w:rsidTr="00686731">
        <w:trPr>
          <w:cantSplit/>
          <w:jc w:val="center"/>
        </w:trPr>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Sagar-Ouriaghli et al. (2020)</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24 male students; mean age 21.9, range 18-31, at a London university</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Three focus groups; thematic analysis</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Masculinity, vulnerability, confidentiality, service knowledge and engagement strategies</w:t>
            </w:r>
          </w:p>
        </w:tc>
      </w:tr>
      <w:tr w:rsidR="00AE3CE1" w:rsidRPr="00686731" w:rsidTr="00686731">
        <w:trPr>
          <w:cantSplit/>
          <w:jc w:val="center"/>
        </w:trPr>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lastRenderedPageBreak/>
              <w:t>Tickell et al. (2024)</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12 adult students who had self-harmed at one UK university</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Two interviews per participant; reflexive thematic analysis</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Perceived severity, judgement, fear of consequences, flexibility and help-seeking pathways</w:t>
            </w:r>
          </w:p>
        </w:tc>
      </w:tr>
      <w:tr w:rsidR="00AE3CE1" w:rsidRPr="00686731" w:rsidTr="00686731">
        <w:trPr>
          <w:cantSplit/>
          <w:jc w:val="center"/>
        </w:trPr>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Wright et al. (2026)</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20 young people aged 16-25 who used eight Early Support Hubs across England</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Semi-structured interviews; codebook thematic analysis</w:t>
            </w:r>
          </w:p>
        </w:tc>
        <w:tc>
          <w:tcPr>
            <w:tcW w:w="0" w:type="auto"/>
            <w:tcMar>
              <w:top w:w="60" w:type="dxa"/>
              <w:left w:w="60" w:type="dxa"/>
              <w:bottom w:w="60" w:type="dxa"/>
              <w:right w:w="60" w:type="dxa"/>
            </w:tcMar>
          </w:tcPr>
          <w:p w:rsidR="00AE3CE1" w:rsidRPr="00686731" w:rsidRDefault="00AE3CE1" w:rsidP="00686731">
            <w:pPr>
              <w:spacing w:after="0"/>
              <w:rPr>
                <w:rFonts w:cs="Arial"/>
              </w:rPr>
            </w:pPr>
            <w:r w:rsidRPr="00686731">
              <w:rPr>
                <w:rFonts w:cs="Arial"/>
              </w:rPr>
              <w:t>Open access, holistic support, community, youth-led practice, capacity and reach</w:t>
            </w:r>
          </w:p>
        </w:tc>
      </w:tr>
    </w:tbl>
    <w:p w:rsidR="00AE3CE1" w:rsidRDefault="00AE3CE1" w:rsidP="00AE3CE1">
      <w:pPr>
        <w:pStyle w:val="Heading2"/>
      </w:pPr>
      <w:bookmarkStart w:id="37" w:name="_Toc238727187"/>
      <w:r>
        <w:rPr>
          <w:rFonts w:eastAsia="Arial"/>
        </w:rPr>
        <w:t>Critical Appraisal and Quality Assessment</w:t>
      </w:r>
      <w:bookmarkEnd w:id="37"/>
    </w:p>
    <w:p w:rsidR="00AE3CE1" w:rsidRDefault="00AE3CE1" w:rsidP="00867166">
      <w:r>
        <w:t>Critical appraisal assessed clarity of aims, appropriateness of design, recruitment, data collection, researcher influence, ethical reporting, analytical rigour and the value of the findings. Relevance to the review question was considered separately from methodological quality so that a highly relevant study was not assumed to be methodologically strong. Appraisal judgements were expressed as high or moderate confidence rather than numerical scores because CASP and MMAT are intended to support structured critical judgement rather than produce a validated total score (CASP, 2018; Hong et al., 2018).</w:t>
      </w:r>
    </w:p>
    <w:p w:rsidR="00AE3CE1" w:rsidRDefault="00AE3CE1" w:rsidP="00AE3CE1">
      <w:r>
        <w:t>Nine qualitative studies were judged to provide high confidence and four provided moderate confidence. The mixed-methods study provided moderate confidence. Moderate judgements reflected limitations in transferability, sampling, reflexive reporting or integration of methods rather than evidence being unusable. No study was excluded solely because of moderate limitations; instead, methodological quality informed the weight placed on its findings.</w:t>
      </w:r>
    </w:p>
    <w:p w:rsidR="00FD3FBE" w:rsidRDefault="00FD3FBE" w:rsidP="00FD3FBE">
      <w:pPr>
        <w:pStyle w:val="Caption"/>
        <w:keepNext/>
      </w:pPr>
      <w:bookmarkStart w:id="38" w:name="_Toc238727246"/>
      <w:r>
        <w:t xml:space="preserve">Table </w:t>
      </w:r>
      <w:fldSimple w:instr=" STYLEREF 1 \s ">
        <w:r w:rsidR="00B16549">
          <w:rPr>
            <w:noProof/>
          </w:rPr>
          <w:t>4</w:t>
        </w:r>
      </w:fldSimple>
      <w:r w:rsidR="00B16549">
        <w:t>.</w:t>
      </w:r>
      <w:fldSimple w:instr=" SEQ Table \* ARABIC \s 1 ">
        <w:r w:rsidR="00B16549">
          <w:rPr>
            <w:noProof/>
          </w:rPr>
          <w:t>2</w:t>
        </w:r>
      </w:fldSimple>
      <w:r>
        <w:t xml:space="preserve">. </w:t>
      </w:r>
      <w:r w:rsidRPr="006F5D19">
        <w:t>Summary of critical appraisal</w:t>
      </w:r>
      <w:bookmarkEnd w:id="38"/>
    </w:p>
    <w:tbl>
      <w:tblPr>
        <w:tblStyle w:val="TableGrid"/>
        <w:tblW w:w="0" w:type="auto"/>
        <w:tblLook w:val="04A0"/>
      </w:tblPr>
      <w:tblGrid>
        <w:gridCol w:w="1617"/>
        <w:gridCol w:w="1123"/>
        <w:gridCol w:w="6026"/>
      </w:tblGrid>
      <w:tr w:rsidR="00AE3CE1" w:rsidRPr="00AE3CE1" w:rsidTr="00FD3FBE">
        <w:trPr>
          <w:cantSplit/>
          <w:tblHeader/>
        </w:trPr>
        <w:tc>
          <w:tcPr>
            <w:tcW w:w="0" w:type="auto"/>
            <w:shd w:val="clear" w:color="auto" w:fill="D9D9D9"/>
            <w:tcMar>
              <w:top w:w="60" w:type="dxa"/>
              <w:left w:w="60" w:type="dxa"/>
              <w:bottom w:w="60" w:type="dxa"/>
              <w:right w:w="60" w:type="dxa"/>
            </w:tcMar>
          </w:tcPr>
          <w:p w:rsidR="00AE3CE1" w:rsidRPr="00FD3FBE" w:rsidRDefault="00AE3CE1" w:rsidP="00FD3FBE">
            <w:pPr>
              <w:jc w:val="center"/>
              <w:rPr>
                <w:b/>
                <w:bCs/>
                <w:sz w:val="24"/>
              </w:rPr>
            </w:pPr>
            <w:r w:rsidRPr="00FD3FBE">
              <w:rPr>
                <w:b/>
                <w:bCs/>
              </w:rPr>
              <w:t>Study</w:t>
            </w:r>
          </w:p>
        </w:tc>
        <w:tc>
          <w:tcPr>
            <w:tcW w:w="0" w:type="auto"/>
            <w:shd w:val="clear" w:color="auto" w:fill="D9D9D9"/>
            <w:tcMar>
              <w:top w:w="60" w:type="dxa"/>
              <w:left w:w="60" w:type="dxa"/>
              <w:bottom w:w="60" w:type="dxa"/>
              <w:right w:w="60" w:type="dxa"/>
            </w:tcMar>
          </w:tcPr>
          <w:p w:rsidR="00AE3CE1" w:rsidRPr="00FD3FBE" w:rsidRDefault="00AE3CE1" w:rsidP="00FD3FBE">
            <w:pPr>
              <w:jc w:val="center"/>
              <w:rPr>
                <w:b/>
                <w:bCs/>
                <w:sz w:val="24"/>
              </w:rPr>
            </w:pPr>
            <w:r w:rsidRPr="00FD3FBE">
              <w:rPr>
                <w:b/>
                <w:bCs/>
              </w:rPr>
              <w:t>Appraisal</w:t>
            </w:r>
          </w:p>
        </w:tc>
        <w:tc>
          <w:tcPr>
            <w:tcW w:w="0" w:type="auto"/>
            <w:shd w:val="clear" w:color="auto" w:fill="D9D9D9"/>
            <w:tcMar>
              <w:top w:w="60" w:type="dxa"/>
              <w:left w:w="60" w:type="dxa"/>
              <w:bottom w:w="60" w:type="dxa"/>
              <w:right w:w="60" w:type="dxa"/>
            </w:tcMar>
          </w:tcPr>
          <w:p w:rsidR="00AE3CE1" w:rsidRPr="00FD3FBE" w:rsidRDefault="00AE3CE1" w:rsidP="00FD3FBE">
            <w:pPr>
              <w:jc w:val="center"/>
              <w:rPr>
                <w:b/>
                <w:bCs/>
                <w:sz w:val="24"/>
              </w:rPr>
            </w:pPr>
            <w:r w:rsidRPr="00FD3FBE">
              <w:rPr>
                <w:b/>
                <w:bCs/>
              </w:rPr>
              <w:t>Main methodological consideration</w:t>
            </w:r>
          </w:p>
        </w:tc>
      </w:tr>
      <w:tr w:rsidR="00AE3CE1" w:rsidRPr="00AE3CE1" w:rsidTr="00FD3FBE">
        <w:trPr>
          <w:cantSplit/>
        </w:trPr>
        <w:tc>
          <w:tcPr>
            <w:tcW w:w="0" w:type="auto"/>
            <w:tcMar>
              <w:top w:w="60" w:type="dxa"/>
              <w:left w:w="60" w:type="dxa"/>
              <w:bottom w:w="60" w:type="dxa"/>
              <w:right w:w="60" w:type="dxa"/>
            </w:tcMar>
          </w:tcPr>
          <w:p w:rsidR="00AE3CE1" w:rsidRPr="00AE3CE1" w:rsidRDefault="00AE3CE1" w:rsidP="00FD3FBE">
            <w:pPr>
              <w:rPr>
                <w:sz w:val="24"/>
              </w:rPr>
            </w:pPr>
            <w:r w:rsidRPr="00AE3CE1">
              <w:lastRenderedPageBreak/>
              <w:t>Appleton et al. (2021)</w:t>
            </w:r>
          </w:p>
        </w:tc>
        <w:tc>
          <w:tcPr>
            <w:tcW w:w="0" w:type="auto"/>
            <w:tcMar>
              <w:top w:w="60" w:type="dxa"/>
              <w:left w:w="60" w:type="dxa"/>
              <w:bottom w:w="60" w:type="dxa"/>
              <w:right w:w="60" w:type="dxa"/>
            </w:tcMar>
          </w:tcPr>
          <w:p w:rsidR="00AE3CE1" w:rsidRPr="00AE3CE1" w:rsidRDefault="00AE3CE1" w:rsidP="00FD3FBE">
            <w:pPr>
              <w:rPr>
                <w:sz w:val="24"/>
              </w:rPr>
            </w:pPr>
            <w:r w:rsidRPr="00AE3CE1">
              <w:t>High</w:t>
            </w:r>
          </w:p>
        </w:tc>
        <w:tc>
          <w:tcPr>
            <w:tcW w:w="0" w:type="auto"/>
            <w:tcMar>
              <w:top w:w="60" w:type="dxa"/>
              <w:left w:w="60" w:type="dxa"/>
              <w:bottom w:w="60" w:type="dxa"/>
              <w:right w:w="60" w:type="dxa"/>
            </w:tcMar>
          </w:tcPr>
          <w:p w:rsidR="00AE3CE1" w:rsidRPr="00AE3CE1" w:rsidRDefault="00AE3CE1" w:rsidP="00FD3FBE">
            <w:pPr>
              <w:rPr>
                <w:sz w:val="24"/>
              </w:rPr>
            </w:pPr>
            <w:r w:rsidRPr="00AE3CE1">
              <w:t>Multiple perspectives and clear thematic analysis; retrospective accounts and no participant validation.</w:t>
            </w:r>
          </w:p>
        </w:tc>
      </w:tr>
      <w:tr w:rsidR="00AE3CE1" w:rsidRPr="00AE3CE1" w:rsidTr="00FD3FBE">
        <w:trPr>
          <w:cantSplit/>
        </w:trPr>
        <w:tc>
          <w:tcPr>
            <w:tcW w:w="0" w:type="auto"/>
            <w:tcMar>
              <w:top w:w="60" w:type="dxa"/>
              <w:left w:w="60" w:type="dxa"/>
              <w:bottom w:w="60" w:type="dxa"/>
              <w:right w:w="60" w:type="dxa"/>
            </w:tcMar>
          </w:tcPr>
          <w:p w:rsidR="00AE3CE1" w:rsidRPr="00AE3CE1" w:rsidRDefault="00AE3CE1" w:rsidP="00FD3FBE">
            <w:pPr>
              <w:rPr>
                <w:sz w:val="24"/>
              </w:rPr>
            </w:pPr>
            <w:r w:rsidRPr="00AE3CE1">
              <w:t>Barnett et al. (2021)</w:t>
            </w:r>
          </w:p>
        </w:tc>
        <w:tc>
          <w:tcPr>
            <w:tcW w:w="0" w:type="auto"/>
            <w:tcMar>
              <w:top w:w="60" w:type="dxa"/>
              <w:left w:w="60" w:type="dxa"/>
              <w:bottom w:w="60" w:type="dxa"/>
              <w:right w:w="60" w:type="dxa"/>
            </w:tcMar>
          </w:tcPr>
          <w:p w:rsidR="00AE3CE1" w:rsidRPr="00AE3CE1" w:rsidRDefault="00AE3CE1" w:rsidP="00FD3FBE">
            <w:pPr>
              <w:rPr>
                <w:sz w:val="24"/>
              </w:rPr>
            </w:pPr>
            <w:r w:rsidRPr="00AE3CE1">
              <w:t>High</w:t>
            </w:r>
          </w:p>
        </w:tc>
        <w:tc>
          <w:tcPr>
            <w:tcW w:w="0" w:type="auto"/>
            <w:tcMar>
              <w:top w:w="60" w:type="dxa"/>
              <w:left w:w="60" w:type="dxa"/>
              <w:bottom w:w="60" w:type="dxa"/>
              <w:right w:w="60" w:type="dxa"/>
            </w:tcMar>
          </w:tcPr>
          <w:p w:rsidR="00AE3CE1" w:rsidRPr="00AE3CE1" w:rsidRDefault="00AE3CE1" w:rsidP="00FD3FBE">
            <w:pPr>
              <w:rPr>
                <w:sz w:val="24"/>
              </w:rPr>
            </w:pPr>
            <w:r w:rsidRPr="00AE3CE1">
              <w:t>Interview data strengthened by a confirmatory focus group; 56% were aged 20-24, while the remainder were 25-27, and the single-university sample limits transferability.</w:t>
            </w:r>
          </w:p>
        </w:tc>
      </w:tr>
      <w:tr w:rsidR="00AE3CE1" w:rsidRPr="00AE3CE1" w:rsidTr="00FD3FBE">
        <w:trPr>
          <w:cantSplit/>
        </w:trPr>
        <w:tc>
          <w:tcPr>
            <w:tcW w:w="0" w:type="auto"/>
            <w:tcMar>
              <w:top w:w="60" w:type="dxa"/>
              <w:left w:w="60" w:type="dxa"/>
              <w:bottom w:w="60" w:type="dxa"/>
              <w:right w:w="60" w:type="dxa"/>
            </w:tcMar>
          </w:tcPr>
          <w:p w:rsidR="00AE3CE1" w:rsidRPr="00AE3CE1" w:rsidRDefault="00AE3CE1" w:rsidP="00FD3FBE">
            <w:pPr>
              <w:rPr>
                <w:sz w:val="24"/>
              </w:rPr>
            </w:pPr>
            <w:r w:rsidRPr="00AE3CE1">
              <w:t>Bhaila, Sela and Tribe (2025)</w:t>
            </w:r>
          </w:p>
        </w:tc>
        <w:tc>
          <w:tcPr>
            <w:tcW w:w="0" w:type="auto"/>
            <w:tcMar>
              <w:top w:w="60" w:type="dxa"/>
              <w:left w:w="60" w:type="dxa"/>
              <w:bottom w:w="60" w:type="dxa"/>
              <w:right w:w="60" w:type="dxa"/>
            </w:tcMar>
          </w:tcPr>
          <w:p w:rsidR="00AE3CE1" w:rsidRPr="00AE3CE1" w:rsidRDefault="00AE3CE1" w:rsidP="00FD3FBE">
            <w:pPr>
              <w:rPr>
                <w:sz w:val="24"/>
              </w:rPr>
            </w:pPr>
            <w:r w:rsidRPr="00AE3CE1">
              <w:t>High</w:t>
            </w:r>
          </w:p>
        </w:tc>
        <w:tc>
          <w:tcPr>
            <w:tcW w:w="0" w:type="auto"/>
            <w:tcMar>
              <w:top w:w="60" w:type="dxa"/>
              <w:left w:w="60" w:type="dxa"/>
              <w:bottom w:w="60" w:type="dxa"/>
              <w:right w:w="60" w:type="dxa"/>
            </w:tcMar>
          </w:tcPr>
          <w:p w:rsidR="00AE3CE1" w:rsidRPr="00AE3CE1" w:rsidRDefault="00AE3CE1" w:rsidP="00FD3FBE">
            <w:pPr>
              <w:rPr>
                <w:sz w:val="24"/>
              </w:rPr>
            </w:pPr>
            <w:r w:rsidRPr="00AE3CE1">
              <w:t>Appropriate interpretative phenomenological analysis and clear reflexivity; small, highly specific sample.</w:t>
            </w:r>
          </w:p>
        </w:tc>
      </w:tr>
      <w:tr w:rsidR="00AE3CE1" w:rsidRPr="00AE3CE1" w:rsidTr="00FD3FBE">
        <w:trPr>
          <w:cantSplit/>
        </w:trPr>
        <w:tc>
          <w:tcPr>
            <w:tcW w:w="0" w:type="auto"/>
            <w:tcMar>
              <w:top w:w="60" w:type="dxa"/>
              <w:left w:w="60" w:type="dxa"/>
              <w:bottom w:w="60" w:type="dxa"/>
              <w:right w:w="60" w:type="dxa"/>
            </w:tcMar>
          </w:tcPr>
          <w:p w:rsidR="00AE3CE1" w:rsidRPr="00AE3CE1" w:rsidRDefault="00AE3CE1" w:rsidP="00FD3FBE">
            <w:pPr>
              <w:rPr>
                <w:sz w:val="24"/>
              </w:rPr>
            </w:pPr>
            <w:r w:rsidRPr="00AE3CE1">
              <w:t>Byrom et al. (2022)</w:t>
            </w:r>
          </w:p>
        </w:tc>
        <w:tc>
          <w:tcPr>
            <w:tcW w:w="0" w:type="auto"/>
            <w:tcMar>
              <w:top w:w="60" w:type="dxa"/>
              <w:left w:w="60" w:type="dxa"/>
              <w:bottom w:w="60" w:type="dxa"/>
              <w:right w:w="60" w:type="dxa"/>
            </w:tcMar>
          </w:tcPr>
          <w:p w:rsidR="00AE3CE1" w:rsidRPr="00AE3CE1" w:rsidRDefault="00AE3CE1" w:rsidP="00FD3FBE">
            <w:pPr>
              <w:rPr>
                <w:sz w:val="24"/>
              </w:rPr>
            </w:pPr>
            <w:r w:rsidRPr="00AE3CE1">
              <w:t>High</w:t>
            </w:r>
          </w:p>
        </w:tc>
        <w:tc>
          <w:tcPr>
            <w:tcW w:w="0" w:type="auto"/>
            <w:tcMar>
              <w:top w:w="60" w:type="dxa"/>
              <w:left w:w="60" w:type="dxa"/>
              <w:bottom w:w="60" w:type="dxa"/>
              <w:right w:w="60" w:type="dxa"/>
            </w:tcMar>
          </w:tcPr>
          <w:p w:rsidR="00AE3CE1" w:rsidRPr="00AE3CE1" w:rsidRDefault="00AE3CE1" w:rsidP="00FD3FBE">
            <w:pPr>
              <w:rPr>
                <w:sz w:val="24"/>
              </w:rPr>
            </w:pPr>
            <w:r w:rsidRPr="00AE3CE1">
              <w:t>Rich qualitative survey and interview evidence with reflexive co-production; self-selection, diagnosis-specific focus and some participants over 25 limit transferability.</w:t>
            </w:r>
          </w:p>
        </w:tc>
      </w:tr>
      <w:tr w:rsidR="00AE3CE1" w:rsidRPr="00AE3CE1" w:rsidTr="00FD3FBE">
        <w:trPr>
          <w:cantSplit/>
        </w:trPr>
        <w:tc>
          <w:tcPr>
            <w:tcW w:w="0" w:type="auto"/>
            <w:tcMar>
              <w:top w:w="60" w:type="dxa"/>
              <w:left w:w="60" w:type="dxa"/>
              <w:bottom w:w="60" w:type="dxa"/>
              <w:right w:w="60" w:type="dxa"/>
            </w:tcMar>
          </w:tcPr>
          <w:p w:rsidR="00AE3CE1" w:rsidRPr="00AE3CE1" w:rsidRDefault="00AE3CE1" w:rsidP="00FD3FBE">
            <w:pPr>
              <w:rPr>
                <w:sz w:val="24"/>
              </w:rPr>
            </w:pPr>
            <w:r w:rsidRPr="00AE3CE1">
              <w:t>Cliffe et al. (2024)</w:t>
            </w:r>
          </w:p>
        </w:tc>
        <w:tc>
          <w:tcPr>
            <w:tcW w:w="0" w:type="auto"/>
            <w:tcMar>
              <w:top w:w="60" w:type="dxa"/>
              <w:left w:w="60" w:type="dxa"/>
              <w:bottom w:w="60" w:type="dxa"/>
              <w:right w:w="60" w:type="dxa"/>
            </w:tcMar>
          </w:tcPr>
          <w:p w:rsidR="00AE3CE1" w:rsidRPr="00AE3CE1" w:rsidRDefault="00AE3CE1" w:rsidP="00FD3FBE">
            <w:pPr>
              <w:rPr>
                <w:sz w:val="24"/>
              </w:rPr>
            </w:pPr>
            <w:r w:rsidRPr="00AE3CE1">
              <w:t>High</w:t>
            </w:r>
          </w:p>
        </w:tc>
        <w:tc>
          <w:tcPr>
            <w:tcW w:w="0" w:type="auto"/>
            <w:tcMar>
              <w:top w:w="60" w:type="dxa"/>
              <w:left w:w="60" w:type="dxa"/>
              <w:bottom w:w="60" w:type="dxa"/>
              <w:right w:w="60" w:type="dxa"/>
            </w:tcMar>
          </w:tcPr>
          <w:p w:rsidR="00AE3CE1" w:rsidRPr="00AE3CE1" w:rsidRDefault="00AE3CE1" w:rsidP="00FD3FBE">
            <w:pPr>
              <w:rPr>
                <w:sz w:val="24"/>
              </w:rPr>
            </w:pPr>
            <w:r w:rsidRPr="00AE3CE1">
              <w:t>Transparent reflexive analysis and clear participant evidence; small sample from one digital platform.</w:t>
            </w:r>
          </w:p>
        </w:tc>
      </w:tr>
      <w:tr w:rsidR="00AE3CE1" w:rsidRPr="00AE3CE1" w:rsidTr="00FD3FBE">
        <w:trPr>
          <w:cantSplit/>
        </w:trPr>
        <w:tc>
          <w:tcPr>
            <w:tcW w:w="0" w:type="auto"/>
            <w:tcMar>
              <w:top w:w="60" w:type="dxa"/>
              <w:left w:w="60" w:type="dxa"/>
              <w:bottom w:w="60" w:type="dxa"/>
              <w:right w:w="60" w:type="dxa"/>
            </w:tcMar>
          </w:tcPr>
          <w:p w:rsidR="00AE3CE1" w:rsidRPr="00AE3CE1" w:rsidRDefault="00AE3CE1" w:rsidP="00FD3FBE">
            <w:pPr>
              <w:rPr>
                <w:sz w:val="24"/>
              </w:rPr>
            </w:pPr>
            <w:r w:rsidRPr="00AE3CE1">
              <w:t>Grice-Jackson et al. (2026)</w:t>
            </w:r>
          </w:p>
        </w:tc>
        <w:tc>
          <w:tcPr>
            <w:tcW w:w="0" w:type="auto"/>
            <w:tcMar>
              <w:top w:w="60" w:type="dxa"/>
              <w:left w:w="60" w:type="dxa"/>
              <w:bottom w:w="60" w:type="dxa"/>
              <w:right w:w="60" w:type="dxa"/>
            </w:tcMar>
          </w:tcPr>
          <w:p w:rsidR="00AE3CE1" w:rsidRPr="00AE3CE1" w:rsidRDefault="00AE3CE1" w:rsidP="00FD3FBE">
            <w:pPr>
              <w:rPr>
                <w:sz w:val="24"/>
              </w:rPr>
            </w:pPr>
            <w:r w:rsidRPr="00AE3CE1">
              <w:t>Moderate</w:t>
            </w:r>
          </w:p>
        </w:tc>
        <w:tc>
          <w:tcPr>
            <w:tcW w:w="0" w:type="auto"/>
            <w:tcMar>
              <w:top w:w="60" w:type="dxa"/>
              <w:left w:w="60" w:type="dxa"/>
              <w:bottom w:w="60" w:type="dxa"/>
              <w:right w:w="60" w:type="dxa"/>
            </w:tcMar>
          </w:tcPr>
          <w:p w:rsidR="00AE3CE1" w:rsidRPr="00AE3CE1" w:rsidRDefault="00AE3CE1" w:rsidP="00FD3FBE">
            <w:pPr>
              <w:rPr>
                <w:sz w:val="24"/>
              </w:rPr>
            </w:pPr>
            <w:r w:rsidRPr="00AE3CE1">
              <w:t>Broad triangulation across sources; local situational analysis combined documents and different stakeholder groups.</w:t>
            </w:r>
          </w:p>
        </w:tc>
      </w:tr>
      <w:tr w:rsidR="00AE3CE1" w:rsidRPr="00AE3CE1" w:rsidTr="00FD3FBE">
        <w:trPr>
          <w:cantSplit/>
        </w:trPr>
        <w:tc>
          <w:tcPr>
            <w:tcW w:w="0" w:type="auto"/>
            <w:tcMar>
              <w:top w:w="60" w:type="dxa"/>
              <w:left w:w="60" w:type="dxa"/>
              <w:bottom w:w="60" w:type="dxa"/>
              <w:right w:w="60" w:type="dxa"/>
            </w:tcMar>
          </w:tcPr>
          <w:p w:rsidR="00AE3CE1" w:rsidRPr="00AE3CE1" w:rsidRDefault="00AE3CE1" w:rsidP="00FD3FBE">
            <w:pPr>
              <w:rPr>
                <w:sz w:val="24"/>
              </w:rPr>
            </w:pPr>
            <w:r w:rsidRPr="00AE3CE1">
              <w:t>Hassan et al. (2022)</w:t>
            </w:r>
          </w:p>
        </w:tc>
        <w:tc>
          <w:tcPr>
            <w:tcW w:w="0" w:type="auto"/>
            <w:tcMar>
              <w:top w:w="60" w:type="dxa"/>
              <w:left w:w="60" w:type="dxa"/>
              <w:bottom w:w="60" w:type="dxa"/>
              <w:right w:w="60" w:type="dxa"/>
            </w:tcMar>
          </w:tcPr>
          <w:p w:rsidR="00AE3CE1" w:rsidRPr="00AE3CE1" w:rsidRDefault="00AE3CE1" w:rsidP="00FD3FBE">
            <w:pPr>
              <w:rPr>
                <w:sz w:val="24"/>
              </w:rPr>
            </w:pPr>
            <w:r w:rsidRPr="00AE3CE1">
              <w:t>High</w:t>
            </w:r>
          </w:p>
        </w:tc>
        <w:tc>
          <w:tcPr>
            <w:tcW w:w="0" w:type="auto"/>
            <w:tcMar>
              <w:top w:w="60" w:type="dxa"/>
              <w:left w:w="60" w:type="dxa"/>
              <w:bottom w:w="60" w:type="dxa"/>
              <w:right w:w="60" w:type="dxa"/>
            </w:tcMar>
          </w:tcPr>
          <w:p w:rsidR="00AE3CE1" w:rsidRPr="00AE3CE1" w:rsidRDefault="00AE3CE1" w:rsidP="00FD3FBE">
            <w:pPr>
              <w:rPr>
                <w:sz w:val="24"/>
              </w:rPr>
            </w:pPr>
            <w:r w:rsidRPr="00AE3CE1">
              <w:t>Multiple perspectives, public involvement and clear analysis; evaluation of one voluntary-sector organisation.</w:t>
            </w:r>
          </w:p>
        </w:tc>
      </w:tr>
      <w:tr w:rsidR="00AE3CE1" w:rsidRPr="00AE3CE1" w:rsidTr="00FD3FBE">
        <w:trPr>
          <w:cantSplit/>
        </w:trPr>
        <w:tc>
          <w:tcPr>
            <w:tcW w:w="0" w:type="auto"/>
            <w:tcMar>
              <w:top w:w="60" w:type="dxa"/>
              <w:left w:w="60" w:type="dxa"/>
              <w:bottom w:w="60" w:type="dxa"/>
              <w:right w:w="60" w:type="dxa"/>
            </w:tcMar>
          </w:tcPr>
          <w:p w:rsidR="00AE3CE1" w:rsidRPr="00AE3CE1" w:rsidRDefault="00AE3CE1" w:rsidP="00FD3FBE">
            <w:pPr>
              <w:rPr>
                <w:sz w:val="24"/>
              </w:rPr>
            </w:pPr>
            <w:r w:rsidRPr="00AE3CE1">
              <w:t>Oha et al. (2025)</w:t>
            </w:r>
          </w:p>
        </w:tc>
        <w:tc>
          <w:tcPr>
            <w:tcW w:w="0" w:type="auto"/>
            <w:tcMar>
              <w:top w:w="60" w:type="dxa"/>
              <w:left w:w="60" w:type="dxa"/>
              <w:bottom w:w="60" w:type="dxa"/>
              <w:right w:w="60" w:type="dxa"/>
            </w:tcMar>
          </w:tcPr>
          <w:p w:rsidR="00AE3CE1" w:rsidRPr="00AE3CE1" w:rsidRDefault="00AE3CE1" w:rsidP="00FD3FBE">
            <w:pPr>
              <w:rPr>
                <w:sz w:val="24"/>
              </w:rPr>
            </w:pPr>
            <w:r w:rsidRPr="00AE3CE1">
              <w:t>Moderate</w:t>
            </w:r>
          </w:p>
        </w:tc>
        <w:tc>
          <w:tcPr>
            <w:tcW w:w="0" w:type="auto"/>
            <w:tcMar>
              <w:top w:w="60" w:type="dxa"/>
              <w:left w:w="60" w:type="dxa"/>
              <w:bottom w:w="60" w:type="dxa"/>
              <w:right w:w="60" w:type="dxa"/>
            </w:tcMar>
          </w:tcPr>
          <w:p w:rsidR="00AE3CE1" w:rsidRPr="00AE3CE1" w:rsidRDefault="00AE3CE1" w:rsidP="00FD3FBE">
            <w:pPr>
              <w:rPr>
                <w:sz w:val="24"/>
              </w:rPr>
            </w:pPr>
            <w:r w:rsidRPr="00AE3CE1">
              <w:t>Appropriate mixed-methods process evaluation with useful qualitative evidence; small youth interview sample and incomplete integration of some quantitative and qualitative findings.</w:t>
            </w:r>
          </w:p>
        </w:tc>
      </w:tr>
      <w:tr w:rsidR="00AE3CE1" w:rsidRPr="00AE3CE1" w:rsidTr="00FD3FBE">
        <w:trPr>
          <w:cantSplit/>
        </w:trPr>
        <w:tc>
          <w:tcPr>
            <w:tcW w:w="0" w:type="auto"/>
            <w:tcMar>
              <w:top w:w="60" w:type="dxa"/>
              <w:left w:w="60" w:type="dxa"/>
              <w:bottom w:w="60" w:type="dxa"/>
              <w:right w:w="60" w:type="dxa"/>
            </w:tcMar>
          </w:tcPr>
          <w:p w:rsidR="00AE3CE1" w:rsidRPr="00AE3CE1" w:rsidRDefault="00AE3CE1" w:rsidP="00FD3FBE">
            <w:pPr>
              <w:rPr>
                <w:sz w:val="24"/>
              </w:rPr>
            </w:pPr>
            <w:r w:rsidRPr="00AE3CE1">
              <w:t>Priestley et al. (2022)</w:t>
            </w:r>
          </w:p>
        </w:tc>
        <w:tc>
          <w:tcPr>
            <w:tcW w:w="0" w:type="auto"/>
            <w:tcMar>
              <w:top w:w="60" w:type="dxa"/>
              <w:left w:w="60" w:type="dxa"/>
              <w:bottom w:w="60" w:type="dxa"/>
              <w:right w:w="60" w:type="dxa"/>
            </w:tcMar>
          </w:tcPr>
          <w:p w:rsidR="00AE3CE1" w:rsidRPr="00AE3CE1" w:rsidRDefault="00AE3CE1" w:rsidP="00FD3FBE">
            <w:pPr>
              <w:rPr>
                <w:sz w:val="24"/>
              </w:rPr>
            </w:pPr>
            <w:r w:rsidRPr="00AE3CE1">
              <w:t>Moderate</w:t>
            </w:r>
          </w:p>
        </w:tc>
        <w:tc>
          <w:tcPr>
            <w:tcW w:w="0" w:type="auto"/>
            <w:tcMar>
              <w:top w:w="60" w:type="dxa"/>
              <w:left w:w="60" w:type="dxa"/>
              <w:bottom w:w="60" w:type="dxa"/>
              <w:right w:w="60" w:type="dxa"/>
            </w:tcMar>
          </w:tcPr>
          <w:p w:rsidR="00AE3CE1" w:rsidRPr="00AE3CE1" w:rsidRDefault="00AE3CE1" w:rsidP="00FD3FBE">
            <w:pPr>
              <w:rPr>
                <w:sz w:val="24"/>
              </w:rPr>
            </w:pPr>
            <w:r w:rsidRPr="00AE3CE1">
              <w:t>National student perspectives and collaborative coding; ages were not reported and panels were relatively short.</w:t>
            </w:r>
          </w:p>
        </w:tc>
      </w:tr>
      <w:tr w:rsidR="00AE3CE1" w:rsidRPr="00AE3CE1" w:rsidTr="00FD3FBE">
        <w:trPr>
          <w:cantSplit/>
        </w:trPr>
        <w:tc>
          <w:tcPr>
            <w:tcW w:w="0" w:type="auto"/>
            <w:tcMar>
              <w:top w:w="60" w:type="dxa"/>
              <w:left w:w="60" w:type="dxa"/>
              <w:bottom w:w="60" w:type="dxa"/>
              <w:right w:w="60" w:type="dxa"/>
            </w:tcMar>
          </w:tcPr>
          <w:p w:rsidR="00AE3CE1" w:rsidRPr="00AE3CE1" w:rsidRDefault="00AE3CE1" w:rsidP="00FD3FBE">
            <w:pPr>
              <w:rPr>
                <w:sz w:val="24"/>
              </w:rPr>
            </w:pPr>
            <w:r w:rsidRPr="00AE3CE1">
              <w:lastRenderedPageBreak/>
              <w:t>Punton, Dodd and McNeill (2022)</w:t>
            </w:r>
          </w:p>
        </w:tc>
        <w:tc>
          <w:tcPr>
            <w:tcW w:w="0" w:type="auto"/>
            <w:tcMar>
              <w:top w:w="60" w:type="dxa"/>
              <w:left w:w="60" w:type="dxa"/>
              <w:bottom w:w="60" w:type="dxa"/>
              <w:right w:w="60" w:type="dxa"/>
            </w:tcMar>
          </w:tcPr>
          <w:p w:rsidR="00AE3CE1" w:rsidRPr="00AE3CE1" w:rsidRDefault="00AE3CE1" w:rsidP="00FD3FBE">
            <w:pPr>
              <w:rPr>
                <w:sz w:val="24"/>
              </w:rPr>
            </w:pPr>
            <w:r w:rsidRPr="00AE3CE1">
              <w:t>High</w:t>
            </w:r>
          </w:p>
        </w:tc>
        <w:tc>
          <w:tcPr>
            <w:tcW w:w="0" w:type="auto"/>
            <w:tcMar>
              <w:top w:w="60" w:type="dxa"/>
              <w:left w:w="60" w:type="dxa"/>
              <w:bottom w:w="60" w:type="dxa"/>
              <w:right w:w="60" w:type="dxa"/>
            </w:tcMar>
          </w:tcPr>
          <w:p w:rsidR="00AE3CE1" w:rsidRPr="00AE3CE1" w:rsidRDefault="00AE3CE1" w:rsidP="00FD3FBE">
            <w:pPr>
              <w:rPr>
                <w:sz w:val="24"/>
              </w:rPr>
            </w:pPr>
            <w:r w:rsidRPr="00AE3CE1">
              <w:t>Strong methodological fit and detailed interpretative analysis; seven self-selected participants.</w:t>
            </w:r>
          </w:p>
        </w:tc>
      </w:tr>
      <w:tr w:rsidR="00AE3CE1" w:rsidRPr="00AE3CE1" w:rsidTr="00FD3FBE">
        <w:trPr>
          <w:cantSplit/>
        </w:trPr>
        <w:tc>
          <w:tcPr>
            <w:tcW w:w="0" w:type="auto"/>
            <w:tcMar>
              <w:top w:w="60" w:type="dxa"/>
              <w:left w:w="60" w:type="dxa"/>
              <w:bottom w:w="60" w:type="dxa"/>
              <w:right w:w="60" w:type="dxa"/>
            </w:tcMar>
          </w:tcPr>
          <w:p w:rsidR="00AE3CE1" w:rsidRPr="00AE3CE1" w:rsidRDefault="00AE3CE1" w:rsidP="00FD3FBE">
            <w:pPr>
              <w:rPr>
                <w:sz w:val="24"/>
              </w:rPr>
            </w:pPr>
            <w:r w:rsidRPr="00AE3CE1">
              <w:t>Radez et al. (2024)</w:t>
            </w:r>
          </w:p>
        </w:tc>
        <w:tc>
          <w:tcPr>
            <w:tcW w:w="0" w:type="auto"/>
            <w:tcMar>
              <w:top w:w="60" w:type="dxa"/>
              <w:left w:w="60" w:type="dxa"/>
              <w:bottom w:w="60" w:type="dxa"/>
              <w:right w:w="60" w:type="dxa"/>
            </w:tcMar>
          </w:tcPr>
          <w:p w:rsidR="00AE3CE1" w:rsidRPr="00AE3CE1" w:rsidRDefault="00AE3CE1" w:rsidP="00FD3FBE">
            <w:pPr>
              <w:rPr>
                <w:sz w:val="24"/>
              </w:rPr>
            </w:pPr>
            <w:r w:rsidRPr="00AE3CE1">
              <w:t>High</w:t>
            </w:r>
          </w:p>
        </w:tc>
        <w:tc>
          <w:tcPr>
            <w:tcW w:w="0" w:type="auto"/>
            <w:tcMar>
              <w:top w:w="60" w:type="dxa"/>
              <w:left w:w="60" w:type="dxa"/>
              <w:bottom w:w="60" w:type="dxa"/>
              <w:right w:w="60" w:type="dxa"/>
            </w:tcMar>
          </w:tcPr>
          <w:p w:rsidR="00AE3CE1" w:rsidRPr="00AE3CE1" w:rsidRDefault="00AE3CE1" w:rsidP="00FD3FBE">
            <w:pPr>
              <w:rPr>
                <w:sz w:val="24"/>
              </w:rPr>
            </w:pPr>
            <w:r w:rsidRPr="00AE3CE1">
              <w:t>Clear cultural focus, reflexive thematic analysis and coherent themes; one locality and small sample.</w:t>
            </w:r>
          </w:p>
        </w:tc>
      </w:tr>
      <w:tr w:rsidR="00AE3CE1" w:rsidRPr="00AE3CE1" w:rsidTr="00FD3FBE">
        <w:trPr>
          <w:cantSplit/>
        </w:trPr>
        <w:tc>
          <w:tcPr>
            <w:tcW w:w="0" w:type="auto"/>
            <w:tcMar>
              <w:top w:w="60" w:type="dxa"/>
              <w:left w:w="60" w:type="dxa"/>
              <w:bottom w:w="60" w:type="dxa"/>
              <w:right w:w="60" w:type="dxa"/>
            </w:tcMar>
          </w:tcPr>
          <w:p w:rsidR="00AE3CE1" w:rsidRPr="00AE3CE1" w:rsidRDefault="00AE3CE1" w:rsidP="00FD3FBE">
            <w:pPr>
              <w:rPr>
                <w:sz w:val="24"/>
              </w:rPr>
            </w:pPr>
            <w:r w:rsidRPr="00AE3CE1">
              <w:t>Sagar-Ouriaghli et al. (2020)</w:t>
            </w:r>
          </w:p>
        </w:tc>
        <w:tc>
          <w:tcPr>
            <w:tcW w:w="0" w:type="auto"/>
            <w:tcMar>
              <w:top w:w="60" w:type="dxa"/>
              <w:left w:w="60" w:type="dxa"/>
              <w:bottom w:w="60" w:type="dxa"/>
              <w:right w:w="60" w:type="dxa"/>
            </w:tcMar>
          </w:tcPr>
          <w:p w:rsidR="00AE3CE1" w:rsidRPr="00AE3CE1" w:rsidRDefault="00AE3CE1" w:rsidP="00FD3FBE">
            <w:pPr>
              <w:rPr>
                <w:sz w:val="24"/>
              </w:rPr>
            </w:pPr>
            <w:r w:rsidRPr="00AE3CE1">
              <w:t>Moderate</w:t>
            </w:r>
          </w:p>
        </w:tc>
        <w:tc>
          <w:tcPr>
            <w:tcW w:w="0" w:type="auto"/>
            <w:tcMar>
              <w:top w:w="60" w:type="dxa"/>
              <w:left w:w="60" w:type="dxa"/>
              <w:bottom w:w="60" w:type="dxa"/>
              <w:right w:w="60" w:type="dxa"/>
            </w:tcMar>
          </w:tcPr>
          <w:p w:rsidR="00AE3CE1" w:rsidRPr="00AE3CE1" w:rsidRDefault="00AE3CE1" w:rsidP="00FD3FBE">
            <w:pPr>
              <w:rPr>
                <w:sz w:val="24"/>
              </w:rPr>
            </w:pPr>
            <w:r w:rsidRPr="00AE3CE1">
              <w:t>Clear focus-group design and thematic analysis; single-university volunteer sample and age range to 31 limit transferability despite a mean age of 21.9.</w:t>
            </w:r>
          </w:p>
        </w:tc>
      </w:tr>
      <w:tr w:rsidR="00AE3CE1" w:rsidRPr="00AE3CE1" w:rsidTr="00FD3FBE">
        <w:trPr>
          <w:cantSplit/>
        </w:trPr>
        <w:tc>
          <w:tcPr>
            <w:tcW w:w="0" w:type="auto"/>
            <w:tcMar>
              <w:top w:w="60" w:type="dxa"/>
              <w:left w:w="60" w:type="dxa"/>
              <w:bottom w:w="60" w:type="dxa"/>
              <w:right w:w="60" w:type="dxa"/>
            </w:tcMar>
          </w:tcPr>
          <w:p w:rsidR="00AE3CE1" w:rsidRPr="00AE3CE1" w:rsidRDefault="00AE3CE1" w:rsidP="00FD3FBE">
            <w:pPr>
              <w:rPr>
                <w:sz w:val="24"/>
              </w:rPr>
            </w:pPr>
            <w:r w:rsidRPr="00AE3CE1">
              <w:t>Tickell et al. (2024)</w:t>
            </w:r>
          </w:p>
        </w:tc>
        <w:tc>
          <w:tcPr>
            <w:tcW w:w="0" w:type="auto"/>
            <w:tcMar>
              <w:top w:w="60" w:type="dxa"/>
              <w:left w:w="60" w:type="dxa"/>
              <w:bottom w:w="60" w:type="dxa"/>
              <w:right w:w="60" w:type="dxa"/>
            </w:tcMar>
          </w:tcPr>
          <w:p w:rsidR="00AE3CE1" w:rsidRPr="00AE3CE1" w:rsidRDefault="00AE3CE1" w:rsidP="00FD3FBE">
            <w:pPr>
              <w:rPr>
                <w:sz w:val="24"/>
              </w:rPr>
            </w:pPr>
            <w:r w:rsidRPr="00AE3CE1">
              <w:t>High</w:t>
            </w:r>
          </w:p>
        </w:tc>
        <w:tc>
          <w:tcPr>
            <w:tcW w:w="0" w:type="auto"/>
            <w:tcMar>
              <w:top w:w="60" w:type="dxa"/>
              <w:left w:w="60" w:type="dxa"/>
              <w:bottom w:w="60" w:type="dxa"/>
              <w:right w:w="60" w:type="dxa"/>
            </w:tcMar>
          </w:tcPr>
          <w:p w:rsidR="00AE3CE1" w:rsidRPr="00AE3CE1" w:rsidRDefault="00AE3CE1" w:rsidP="00FD3FBE">
            <w:pPr>
              <w:rPr>
                <w:sz w:val="24"/>
              </w:rPr>
            </w:pPr>
            <w:r w:rsidRPr="00AE3CE1">
              <w:t>Repeated interviews and student involvement; one institution and a predominantly White female sample.</w:t>
            </w:r>
          </w:p>
        </w:tc>
      </w:tr>
      <w:tr w:rsidR="00AE3CE1" w:rsidRPr="00AE3CE1" w:rsidTr="00FD3FBE">
        <w:trPr>
          <w:cantSplit/>
        </w:trPr>
        <w:tc>
          <w:tcPr>
            <w:tcW w:w="0" w:type="auto"/>
            <w:tcMar>
              <w:top w:w="60" w:type="dxa"/>
              <w:left w:w="60" w:type="dxa"/>
              <w:bottom w:w="60" w:type="dxa"/>
              <w:right w:w="60" w:type="dxa"/>
            </w:tcMar>
          </w:tcPr>
          <w:p w:rsidR="00AE3CE1" w:rsidRPr="00AE3CE1" w:rsidRDefault="00AE3CE1" w:rsidP="00FD3FBE">
            <w:pPr>
              <w:rPr>
                <w:sz w:val="24"/>
              </w:rPr>
            </w:pPr>
            <w:r w:rsidRPr="00AE3CE1">
              <w:t>Wright et al. (2026)</w:t>
            </w:r>
          </w:p>
        </w:tc>
        <w:tc>
          <w:tcPr>
            <w:tcW w:w="0" w:type="auto"/>
            <w:tcMar>
              <w:top w:w="60" w:type="dxa"/>
              <w:left w:w="60" w:type="dxa"/>
              <w:bottom w:w="60" w:type="dxa"/>
              <w:right w:w="60" w:type="dxa"/>
            </w:tcMar>
          </w:tcPr>
          <w:p w:rsidR="00AE3CE1" w:rsidRPr="00AE3CE1" w:rsidRDefault="00AE3CE1" w:rsidP="00FD3FBE">
            <w:pPr>
              <w:rPr>
                <w:sz w:val="24"/>
              </w:rPr>
            </w:pPr>
            <w:r w:rsidRPr="00AE3CE1">
              <w:t>High</w:t>
            </w:r>
          </w:p>
        </w:tc>
        <w:tc>
          <w:tcPr>
            <w:tcW w:w="0" w:type="auto"/>
            <w:tcMar>
              <w:top w:w="60" w:type="dxa"/>
              <w:left w:w="60" w:type="dxa"/>
              <w:bottom w:w="60" w:type="dxa"/>
              <w:right w:w="60" w:type="dxa"/>
            </w:tcMar>
          </w:tcPr>
          <w:p w:rsidR="00AE3CE1" w:rsidRPr="00AE3CE1" w:rsidRDefault="00AE3CE1" w:rsidP="00FD3FBE">
            <w:pPr>
              <w:rPr>
                <w:sz w:val="24"/>
              </w:rPr>
            </w:pPr>
            <w:r w:rsidRPr="00AE3CE1">
              <w:t>Multi-site recruitment and transparent codebook analysis; included existing hub users and may favour engaged perspectives.</w:t>
            </w:r>
          </w:p>
        </w:tc>
      </w:tr>
    </w:tbl>
    <w:p w:rsidR="00AE3CE1" w:rsidRDefault="00AE3CE1" w:rsidP="00AE3CE1">
      <w:pPr>
        <w:pStyle w:val="Heading2"/>
      </w:pPr>
      <w:bookmarkStart w:id="39" w:name="_Toc238727188"/>
      <w:r>
        <w:rPr>
          <w:rFonts w:eastAsia="Arial"/>
        </w:rPr>
        <w:t>Critical Appraisal Tools</w:t>
      </w:r>
      <w:bookmarkEnd w:id="39"/>
    </w:p>
    <w:p w:rsidR="00FD3FBE" w:rsidRDefault="00FD3FBE" w:rsidP="00FD3FBE">
      <w:r>
        <w:t>The thirteen studies, which were mostly qualitative, were analysed using the CASP Qualitative Checklist. It has ten domains that include clear aims, suitability of qualitative methodology, research design, recruitment, data collection, researcher-participant relationships, ethical considerations, analytical rigour, clarity of findings and research value (CASP, 2018). These areas were suitable for research that relied primarily on data from interviews, focus groups and other experiential qualitative research. Specific focus was placed on: sampling congruent with the purpose of the study; clear analytic processes; evidence of themes in the participant data; and researcher's influence.</w:t>
      </w:r>
    </w:p>
    <w:p w:rsidR="00FD3FBE" w:rsidRDefault="00FD3FBE" w:rsidP="00FD3FBE">
      <w:r>
        <w:t xml:space="preserve">The study by Oha et al. (2025) is an application of MMAT as it explicitly incorporated qualitative and quantitative aspects. The appraisal took into account the quality of every component, the justification for combination of methods, how evidence was incorporated and if there were any inconsistencies in the process that were resolved (Hong et al., </w:t>
      </w:r>
      <w:r>
        <w:lastRenderedPageBreak/>
        <w:t>2018). This prevented the misclassification of qualitative studies with open text survey responses (e.g., Byrom et al., 2022) as mixed-methods studies.</w:t>
      </w:r>
    </w:p>
    <w:p w:rsidR="00FD3FBE" w:rsidRDefault="00FD3FBE" w:rsidP="00FD3FBE">
      <w:pPr>
        <w:pStyle w:val="Heading2"/>
      </w:pPr>
      <w:bookmarkStart w:id="40" w:name="_Toc238727189"/>
      <w:r>
        <w:t>Evaluation of the Qualitative Studies</w:t>
      </w:r>
      <w:bookmarkEnd w:id="40"/>
    </w:p>
    <w:p w:rsidR="00FD3FBE" w:rsidRDefault="00FD3FBE" w:rsidP="00FD3FBE">
      <w:r>
        <w:t>There was generally good congruence between the aims and methods of the qualitative studies. Narrative interviews were used to explore transition experiences (Appleton et al., 2021) and interpretative phenomenological analysis was used to explore detailed personal accounts (Punton, Dodd and McNeill, 2022; Bhaila, Sela and Tribe, 2025). Radez et al. (2024), Cliffe et al. (2024) and Tickell et al. (2024) applied reflexive thematic analysis, while Wright et al. (2026) applied a transparent codebook approach across a number of Early Support Hubs. These designs were appropriate for the issues of trust, stigma, service navigation and engagement as they maintained the contextual meaning of participants' experiences.</w:t>
      </w:r>
    </w:p>
    <w:p w:rsidR="00FD3FBE" w:rsidRDefault="00FD3FBE" w:rsidP="00FD3FBE">
      <w:r>
        <w:t>The most consistent limitations were the recruitment and sampling. Some studies used volunteers with prior experience of a service, university or online platform, potentially missing out on those young adults who were most disengaged from care. Cliffe et al. (2024) recruited from one peer-support app, Barnett et al. (2021) recruited from one university and Hassan et al. (2022) evaluated one voluntary-sector organisation. The small samples in Punton, Dodd and McNeill (2022), Bhaila, Sela and Tribe (2025) and Radez et al. (2024) were defensible for in-depth qualitative analysis with limited breadth. The results of these studies were therefore useful in providing explanations for mechanisms and meaning but not in providing estimates of the prevalence of specific barriers.</w:t>
      </w:r>
    </w:p>
    <w:p w:rsidR="00FD3FBE" w:rsidRDefault="00FD3FBE" w:rsidP="00FD3FBE">
      <w:r>
        <w:t>The age criterion needed to be further investigated. The age range of 20-27 was included in Barnett et al. (2021), but nine of the sixteen participants were in the age range of 20-24, which is the main age range. In a study specifically of male university students, Sagar-Ouriaghli et al. (2020) found a range of 18-31 with a mean age of 21.9. Byrom et al. (2022) found that 82% of the respondents were between 18 and 24 years old. These studies were kept under the pre-defined rule of keeping studies with broader samples if the evidence was still mostly focused on young adulthood. However, their broader age spans were considered as constraints for transferability.</w:t>
      </w:r>
    </w:p>
    <w:p w:rsidR="00FD3FBE" w:rsidRDefault="00FD3FBE" w:rsidP="00FD3FBE">
      <w:r>
        <w:lastRenderedPageBreak/>
        <w:t>Generally, the data collection was adequate and detailed. Semi-structured interviews enabled participants to share sensitive experiences and keep the focus on access and engagement. Barnett et al. (2021) complemented the interviews with a confirmatory focus group and Tickell et al. (2024) conducted two interviews with each participant to allow for reflection over time. Studies using focus groups, like Sagar-Ouriaghli et al. (2020), provided an opportunity for interaction among participants, but might have limited the participants' willingness to share highly personal experiences. Grice-Jackson et al. (2026) used a combination of interviews, focus groups and documents to enhance contextual triangulation and to introduce heterogeneity.</w:t>
      </w:r>
    </w:p>
    <w:p w:rsidR="00FD3FBE" w:rsidRDefault="00FD3FBE" w:rsidP="00FD3FBE">
      <w:r>
        <w:t>There were mixed levels of reflexive and ethical reporting. Reflexivity, positionality or collaborative interpretation was clearly described by Appleton et al. (2021), Cliffe et al. (2024), Radez et al. (2024), Tickell et al. (2024) and Wright et al. (2026). Co-production and the lived experience impact on the research process were also described by Byrom et al. (2022). Several other studies were less reflexive, and thus less transparent, regarding how the researcher's assumptions might have influenced interpretation. Generally, ethical reporting was satisfactory with consent and institutional/service level review described in published papers.</w:t>
      </w:r>
    </w:p>
    <w:p w:rsidR="00AE3CE1" w:rsidRDefault="00FD3FBE" w:rsidP="00FD3FBE">
      <w:r>
        <w:t>Analytical rigour was found to be highest in studies that explained coding and the development of themes and connections between participant evidence and interpretation. Interpretative phenomenological analysis in Punton, Dodd and McNeill (2022) and Bhaila, Sela and Tribe (2025) added depth and reflexive thematic approaches in Radez et al. (2024), Cliffe et al. (2024) and Tickell et al. (2024) made analytic decisions visible. Moderate confidence studies were still useful, but less certain due to shorter co-creation sessions, wider participant groups or less reflexive detail in the design of the service evaluations</w:t>
      </w:r>
      <w:r w:rsidR="00AE3CE1">
        <w:t>.</w:t>
      </w:r>
    </w:p>
    <w:p w:rsidR="00AE3CE1" w:rsidRDefault="00AE3CE1" w:rsidP="00AE3CE1">
      <w:pPr>
        <w:pStyle w:val="Heading2"/>
      </w:pPr>
      <w:bookmarkStart w:id="41" w:name="_Toc238727190"/>
      <w:r>
        <w:rPr>
          <w:rFonts w:eastAsia="Arial"/>
        </w:rPr>
        <w:t>Evaluation of the Mixed-Methods Study</w:t>
      </w:r>
      <w:bookmarkEnd w:id="41"/>
    </w:p>
    <w:p w:rsidR="00AE3CE1" w:rsidRDefault="00AE3CE1" w:rsidP="00AE3CE1">
      <w:r>
        <w:t>Oha et al. (2025) used a parallel mixed-methods process evaluation of a multi-component intervention for young people aged 16-25 in the East of England. Qualitative interviews and focus groups were combined with service-level indicators, wellbeing measures and cost information. The mixed design was appropriate to a process evaluation because it allowed implementation and participant experience to be considered alongside quantitative service outcomes.</w:t>
      </w:r>
    </w:p>
    <w:p w:rsidR="00AE3CE1" w:rsidRDefault="00AE3CE1" w:rsidP="00AE3CE1">
      <w:r>
        <w:lastRenderedPageBreak/>
        <w:t>The qualitative component was directly relevant to access and engagement, particularly in relation to third spaces, wellbeing navigation, trust and gaps in support. The study also used a co-produced logic model, which strengthened alignment between the intervention and evaluation. However, integration was incomplete in some areas. The authors reported that economic findings could not be fully triangulated with qualitative evidence, and the quantitative component used small pre-post samples without a controlled comparison. These limitations reduced confidence in claims about effectiveness but did not prevent use of the qualitative findings in the review. The study was therefore judged to provide moderate methodological confidence.</w:t>
      </w:r>
    </w:p>
    <w:p w:rsidR="00AE3CE1" w:rsidRDefault="00AE3CE1" w:rsidP="00AE3CE1">
      <w:pPr>
        <w:pStyle w:val="Heading2"/>
      </w:pPr>
      <w:bookmarkStart w:id="42" w:name="_Toc238727191"/>
      <w:r>
        <w:rPr>
          <w:rFonts w:eastAsia="Arial"/>
        </w:rPr>
        <w:t>Overall Quality of the Evidence Base</w:t>
      </w:r>
      <w:bookmarkEnd w:id="42"/>
    </w:p>
    <w:p w:rsidR="00AE3CE1" w:rsidRDefault="00AE3CE1" w:rsidP="00AE3CE1">
      <w:r>
        <w:t>The evidence base was sufficiently credible for qualitative synthesis. Its main strength was the use of direct accounts from young adults across statutory, university, voluntary-sector, community-hub and digital settings. Several studies used transparent qualitative analysis, participant quotations and reflexive procedures, and similar access problems were identified across different designs and contexts. This convergence increased confidence in recurring mechanisms such as waiting, thresholds, communication, trust, cultural acceptability and service flexibility.</w:t>
      </w:r>
    </w:p>
    <w:p w:rsidR="00AE3CE1" w:rsidRDefault="00AE3CE1" w:rsidP="00AE3CE1">
      <w:r>
        <w:t>Transferability remained the principal limitation. Most studies were conducted in England, several were university based, and many participants had already reached some form of support. Young adults who never sought help, disengaged before assessment or lived outside established educational and community networks were less visible. Evidence from Scotland, Wales and Northern Ireland was limited. Broader age samples and mixed stakeholder groups also required cautious interpretation. The evidence was therefore strongest for explaining patterns and mechanisms within the included contexts rather than representing all young adults across the United Kingdom.</w:t>
      </w:r>
    </w:p>
    <w:p w:rsidR="00AE3CE1" w:rsidRDefault="00AE3CE1" w:rsidP="00AE3CE1">
      <w:pPr>
        <w:pStyle w:val="Heading2"/>
      </w:pPr>
      <w:bookmarkStart w:id="43" w:name="_Toc238727192"/>
      <w:r>
        <w:rPr>
          <w:rFonts w:eastAsia="Arial"/>
        </w:rPr>
        <w:t>Chapter Summary</w:t>
      </w:r>
      <w:bookmarkEnd w:id="43"/>
    </w:p>
    <w:p w:rsidR="00AE3CE1" w:rsidRDefault="00FD3FBE" w:rsidP="00AE3CE1">
      <w:r w:rsidRPr="00FD3FBE">
        <w:t xml:space="preserve">A total of 14 included studies were identified that represent an evidence base with limited methodological credibility and unevenness. Thirteen mainly qualitative studies (CASP) and one mixed methods (MMAT) studies were appraised. The majority of studies demonstrated good methodological consistency and sufficient analytical thoroughness and typical constraints were small samples, wider age bands, recruitment </w:t>
      </w:r>
      <w:r w:rsidRPr="00FD3FBE">
        <w:lastRenderedPageBreak/>
        <w:t>of single-site, restricted reflexive reporting and location of studies focused in England. These restrictions were carried over to the interpretation instead of excluding automatically</w:t>
      </w:r>
      <w:r w:rsidR="00AE3CE1">
        <w:t>.</w:t>
      </w:r>
    </w:p>
    <w:p w:rsidR="00AE3CE1" w:rsidRDefault="00AE3CE1">
      <w:pPr>
        <w:spacing w:after="160"/>
        <w:jc w:val="left"/>
      </w:pPr>
      <w:r>
        <w:br w:type="page"/>
      </w:r>
    </w:p>
    <w:p w:rsidR="00AE3CE1" w:rsidRDefault="00AE3CE1" w:rsidP="00AE3CE1">
      <w:pPr>
        <w:pStyle w:val="Heading1"/>
      </w:pPr>
      <w:bookmarkStart w:id="44" w:name="_Toc238727193"/>
      <w:r>
        <w:rPr>
          <w:rFonts w:eastAsia="Arial"/>
        </w:rPr>
        <w:lastRenderedPageBreak/>
        <w:t>Data Analysis and Synthesis</w:t>
      </w:r>
      <w:bookmarkEnd w:id="44"/>
    </w:p>
    <w:p w:rsidR="00AE3CE1" w:rsidRDefault="00AE3CE1" w:rsidP="00AE3CE1">
      <w:pPr>
        <w:pStyle w:val="Heading2"/>
      </w:pPr>
      <w:bookmarkStart w:id="45" w:name="_Toc238727194"/>
      <w:r>
        <w:rPr>
          <w:rFonts w:eastAsia="Arial"/>
        </w:rPr>
        <w:t>Introduction</w:t>
      </w:r>
      <w:bookmarkEnd w:id="45"/>
    </w:p>
    <w:p w:rsidR="00FD3FBE" w:rsidRDefault="00FD3FBE" w:rsidP="00FD3FBE">
      <w:r>
        <w:t>Four interrelated themes emerged from the qualitative synthesis related to access and early engagement: structural barriers and difficult service navigation; communication, trust and relational safety; social, cultural and identity related barriers; and service fit, flexibility and alternative routes to engagement. Results were contrasted between studies to look for patterns, differences and contradictory evidence in the context of the studies.</w:t>
      </w:r>
    </w:p>
    <w:p w:rsidR="00FD3FBE" w:rsidRDefault="00FD3FBE" w:rsidP="00FD3FBE">
      <w:pPr>
        <w:pStyle w:val="Heading2"/>
      </w:pPr>
      <w:bookmarkStart w:id="46" w:name="_Toc238727195"/>
      <w:r>
        <w:t>Thematic Synthesis</w:t>
      </w:r>
      <w:bookmarkEnd w:id="46"/>
    </w:p>
    <w:p w:rsidR="00AE3CE1" w:rsidRDefault="00FD3FBE" w:rsidP="00FD3FBE">
      <w:r>
        <w:t>The qualitative findings were compared line by line and four themes were generated. The first three refer to barriers at service, relational and social levels and the fourth refers to features that facilitated access and early engagement. The themes were not independent of each other: structural delay may lead to a decrease in trust, cultural expectations may make disclosure more challenging, and a poor first response may lead to a reinforcement of previous concerns about seeking help</w:t>
      </w:r>
      <w:r w:rsidR="00AE3CE1">
        <w:t>.</w:t>
      </w:r>
    </w:p>
    <w:p w:rsidR="00FD3FBE" w:rsidRDefault="00FD3FBE" w:rsidP="00FD3FBE">
      <w:pPr>
        <w:pStyle w:val="Caption"/>
        <w:keepNext/>
      </w:pPr>
      <w:bookmarkStart w:id="47" w:name="_Toc238727247"/>
      <w:r>
        <w:t xml:space="preserve">Table </w:t>
      </w:r>
      <w:fldSimple w:instr=" STYLEREF 1 \s ">
        <w:r w:rsidR="00B16549">
          <w:rPr>
            <w:noProof/>
          </w:rPr>
          <w:t>5</w:t>
        </w:r>
      </w:fldSimple>
      <w:r w:rsidR="00B16549">
        <w:t>.</w:t>
      </w:r>
      <w:fldSimple w:instr=" SEQ Table \* ARABIC \s 1 ">
        <w:r w:rsidR="00B16549">
          <w:rPr>
            <w:noProof/>
          </w:rPr>
          <w:t>1</w:t>
        </w:r>
      </w:fldSimple>
      <w:r>
        <w:t xml:space="preserve">. </w:t>
      </w:r>
      <w:r w:rsidRPr="00613716">
        <w:t>Final themes and contributing studies</w:t>
      </w:r>
      <w:bookmarkEnd w:id="47"/>
    </w:p>
    <w:tbl>
      <w:tblPr>
        <w:tblStyle w:val="TableGrid"/>
        <w:tblW w:w="0" w:type="auto"/>
        <w:jc w:val="center"/>
        <w:tblLook w:val="04A0"/>
      </w:tblPr>
      <w:tblGrid>
        <w:gridCol w:w="2157"/>
        <w:gridCol w:w="3405"/>
        <w:gridCol w:w="3204"/>
      </w:tblGrid>
      <w:tr w:rsidR="00AE3CE1" w:rsidRPr="00AE3CE1" w:rsidTr="00FD3FBE">
        <w:trPr>
          <w:cantSplit/>
          <w:tblHeader/>
          <w:jc w:val="center"/>
        </w:trPr>
        <w:tc>
          <w:tcPr>
            <w:tcW w:w="0" w:type="auto"/>
            <w:shd w:val="clear" w:color="auto" w:fill="D9D9D9"/>
            <w:tcMar>
              <w:top w:w="60" w:type="dxa"/>
              <w:left w:w="60" w:type="dxa"/>
              <w:bottom w:w="60" w:type="dxa"/>
              <w:right w:w="60" w:type="dxa"/>
            </w:tcMar>
          </w:tcPr>
          <w:p w:rsidR="00AE3CE1" w:rsidRPr="00FD3FBE" w:rsidRDefault="00AE3CE1" w:rsidP="00FD3FBE">
            <w:pPr>
              <w:jc w:val="center"/>
              <w:rPr>
                <w:b/>
                <w:bCs/>
                <w:sz w:val="24"/>
              </w:rPr>
            </w:pPr>
            <w:r w:rsidRPr="00FD3FBE">
              <w:rPr>
                <w:b/>
                <w:bCs/>
              </w:rPr>
              <w:t>Theme</w:t>
            </w:r>
          </w:p>
        </w:tc>
        <w:tc>
          <w:tcPr>
            <w:tcW w:w="0" w:type="auto"/>
            <w:shd w:val="clear" w:color="auto" w:fill="D9D9D9"/>
            <w:tcMar>
              <w:top w:w="60" w:type="dxa"/>
              <w:left w:w="60" w:type="dxa"/>
              <w:bottom w:w="60" w:type="dxa"/>
              <w:right w:w="60" w:type="dxa"/>
            </w:tcMar>
          </w:tcPr>
          <w:p w:rsidR="00AE3CE1" w:rsidRPr="00FD3FBE" w:rsidRDefault="00AE3CE1" w:rsidP="00FD3FBE">
            <w:pPr>
              <w:jc w:val="center"/>
              <w:rPr>
                <w:b/>
                <w:bCs/>
                <w:sz w:val="24"/>
              </w:rPr>
            </w:pPr>
            <w:r w:rsidRPr="00FD3FBE">
              <w:rPr>
                <w:b/>
                <w:bCs/>
              </w:rPr>
              <w:t>Main contributing studies</w:t>
            </w:r>
          </w:p>
        </w:tc>
        <w:tc>
          <w:tcPr>
            <w:tcW w:w="0" w:type="auto"/>
            <w:shd w:val="clear" w:color="auto" w:fill="D9D9D9"/>
            <w:tcMar>
              <w:top w:w="60" w:type="dxa"/>
              <w:left w:w="60" w:type="dxa"/>
              <w:bottom w:w="60" w:type="dxa"/>
              <w:right w:w="60" w:type="dxa"/>
            </w:tcMar>
          </w:tcPr>
          <w:p w:rsidR="00AE3CE1" w:rsidRPr="00FD3FBE" w:rsidRDefault="00AE3CE1" w:rsidP="00FD3FBE">
            <w:pPr>
              <w:jc w:val="center"/>
              <w:rPr>
                <w:b/>
                <w:bCs/>
                <w:sz w:val="24"/>
              </w:rPr>
            </w:pPr>
            <w:r w:rsidRPr="00FD3FBE">
              <w:rPr>
                <w:b/>
                <w:bCs/>
              </w:rPr>
              <w:t>Central analytical finding</w:t>
            </w:r>
          </w:p>
        </w:tc>
      </w:tr>
      <w:tr w:rsidR="00AE3CE1" w:rsidRPr="00AE3CE1" w:rsidTr="00FD3FBE">
        <w:trPr>
          <w:cantSplit/>
          <w:jc w:val="center"/>
        </w:trPr>
        <w:tc>
          <w:tcPr>
            <w:tcW w:w="0" w:type="auto"/>
            <w:tcMar>
              <w:top w:w="60" w:type="dxa"/>
              <w:left w:w="60" w:type="dxa"/>
              <w:bottom w:w="60" w:type="dxa"/>
              <w:right w:w="60" w:type="dxa"/>
            </w:tcMar>
          </w:tcPr>
          <w:p w:rsidR="00AE3CE1" w:rsidRPr="00AE3CE1" w:rsidRDefault="00AE3CE1" w:rsidP="00FD3FBE">
            <w:pPr>
              <w:rPr>
                <w:sz w:val="24"/>
              </w:rPr>
            </w:pPr>
            <w:r w:rsidRPr="00AE3CE1">
              <w:t>1. Structural barriers and difficult service navigation</w:t>
            </w:r>
          </w:p>
        </w:tc>
        <w:tc>
          <w:tcPr>
            <w:tcW w:w="0" w:type="auto"/>
            <w:tcMar>
              <w:top w:w="60" w:type="dxa"/>
              <w:left w:w="60" w:type="dxa"/>
              <w:bottom w:w="60" w:type="dxa"/>
              <w:right w:w="60" w:type="dxa"/>
            </w:tcMar>
          </w:tcPr>
          <w:p w:rsidR="00AE5A4E" w:rsidRDefault="00BA5704" w:rsidP="00FD3FBE">
            <w:r>
              <w:t xml:space="preserve">Appleton et al. (2021); Barnett et al. (2021); Byrom et </w:t>
            </w:r>
            <w:r>
              <w:t>al. (2022); Grice-Jackson et al. (2026); Priestley et al. (2022); Punton, Dodd and McNeill (2022); Tickell et al. (2024)</w:t>
            </w:r>
          </w:p>
        </w:tc>
        <w:tc>
          <w:tcPr>
            <w:tcW w:w="0" w:type="auto"/>
            <w:tcMar>
              <w:top w:w="60" w:type="dxa"/>
              <w:left w:w="60" w:type="dxa"/>
              <w:bottom w:w="60" w:type="dxa"/>
              <w:right w:w="60" w:type="dxa"/>
            </w:tcMar>
          </w:tcPr>
          <w:p w:rsidR="00AE3CE1" w:rsidRPr="00AE3CE1" w:rsidRDefault="00AE3CE1" w:rsidP="00FD3FBE">
            <w:pPr>
              <w:rPr>
                <w:sz w:val="24"/>
              </w:rPr>
            </w:pPr>
            <w:r w:rsidRPr="00AE3CE1">
              <w:t>Thresholds, fragmented routes and waiting produced deterioration, uncertainty and disengagement.</w:t>
            </w:r>
          </w:p>
        </w:tc>
      </w:tr>
      <w:tr w:rsidR="00AE3CE1" w:rsidRPr="00AE3CE1" w:rsidTr="00FD3FBE">
        <w:trPr>
          <w:cantSplit/>
          <w:jc w:val="center"/>
        </w:trPr>
        <w:tc>
          <w:tcPr>
            <w:tcW w:w="0" w:type="auto"/>
            <w:tcMar>
              <w:top w:w="60" w:type="dxa"/>
              <w:left w:w="60" w:type="dxa"/>
              <w:bottom w:w="60" w:type="dxa"/>
              <w:right w:w="60" w:type="dxa"/>
            </w:tcMar>
          </w:tcPr>
          <w:p w:rsidR="00AE3CE1" w:rsidRPr="00AE3CE1" w:rsidRDefault="00AE3CE1" w:rsidP="00FD3FBE">
            <w:pPr>
              <w:rPr>
                <w:sz w:val="24"/>
              </w:rPr>
            </w:pPr>
            <w:r w:rsidRPr="00AE3CE1">
              <w:t>2. Communication, trust and relational safety</w:t>
            </w:r>
          </w:p>
        </w:tc>
        <w:tc>
          <w:tcPr>
            <w:tcW w:w="0" w:type="auto"/>
            <w:tcMar>
              <w:top w:w="60" w:type="dxa"/>
              <w:left w:w="60" w:type="dxa"/>
              <w:bottom w:w="60" w:type="dxa"/>
              <w:right w:w="60" w:type="dxa"/>
            </w:tcMar>
          </w:tcPr>
          <w:p w:rsidR="00AE5A4E" w:rsidRDefault="00BA5704" w:rsidP="00FD3FBE">
            <w:r>
              <w:t>Appleton et al. (2021); Barnett et al. (2021); Grice-Jackson et al. (2026); Hassan et al. (2022); Oha et al. (2025); Priestley et al. (2022); Wright et al. (2026)</w:t>
            </w:r>
          </w:p>
        </w:tc>
        <w:tc>
          <w:tcPr>
            <w:tcW w:w="0" w:type="auto"/>
            <w:tcMar>
              <w:top w:w="60" w:type="dxa"/>
              <w:left w:w="60" w:type="dxa"/>
              <w:bottom w:w="60" w:type="dxa"/>
              <w:right w:w="60" w:type="dxa"/>
            </w:tcMar>
          </w:tcPr>
          <w:p w:rsidR="00AE3CE1" w:rsidRPr="00AE3CE1" w:rsidRDefault="00AE3CE1" w:rsidP="00FD3FBE">
            <w:pPr>
              <w:rPr>
                <w:sz w:val="24"/>
              </w:rPr>
            </w:pPr>
            <w:r w:rsidRPr="00AE3CE1">
              <w:t>Clear information, continuity and respectful relationships shaped whether first contact became sustained engagement.</w:t>
            </w:r>
          </w:p>
        </w:tc>
      </w:tr>
      <w:tr w:rsidR="00AE3CE1" w:rsidRPr="00AE3CE1" w:rsidTr="00FD3FBE">
        <w:trPr>
          <w:cantSplit/>
          <w:jc w:val="center"/>
        </w:trPr>
        <w:tc>
          <w:tcPr>
            <w:tcW w:w="0" w:type="auto"/>
            <w:tcMar>
              <w:top w:w="60" w:type="dxa"/>
              <w:left w:w="60" w:type="dxa"/>
              <w:bottom w:w="60" w:type="dxa"/>
              <w:right w:w="60" w:type="dxa"/>
            </w:tcMar>
          </w:tcPr>
          <w:p w:rsidR="00AE3CE1" w:rsidRPr="00AE3CE1" w:rsidRDefault="00AE3CE1" w:rsidP="00FD3FBE">
            <w:pPr>
              <w:rPr>
                <w:sz w:val="24"/>
              </w:rPr>
            </w:pPr>
            <w:r w:rsidRPr="00AE3CE1">
              <w:lastRenderedPageBreak/>
              <w:t>3. Social, cultural and identity-related barriers</w:t>
            </w:r>
          </w:p>
        </w:tc>
        <w:tc>
          <w:tcPr>
            <w:tcW w:w="0" w:type="auto"/>
            <w:tcMar>
              <w:top w:w="60" w:type="dxa"/>
              <w:left w:w="60" w:type="dxa"/>
              <w:bottom w:w="60" w:type="dxa"/>
              <w:right w:w="60" w:type="dxa"/>
            </w:tcMar>
          </w:tcPr>
          <w:p w:rsidR="00AE5A4E" w:rsidRDefault="00BA5704" w:rsidP="00FD3FBE">
            <w:r>
              <w:t>Bhaila, Sela and Tribe (2025); Byrom et al. (2022); Radez et al. (2024); Sagar-Ouriaghli et al. (2020); Tickell et al. (2024)</w:t>
            </w:r>
          </w:p>
        </w:tc>
        <w:tc>
          <w:tcPr>
            <w:tcW w:w="0" w:type="auto"/>
            <w:tcMar>
              <w:top w:w="60" w:type="dxa"/>
              <w:left w:w="60" w:type="dxa"/>
              <w:bottom w:w="60" w:type="dxa"/>
              <w:right w:w="60" w:type="dxa"/>
            </w:tcMar>
          </w:tcPr>
          <w:p w:rsidR="00AE3CE1" w:rsidRPr="00AE3CE1" w:rsidRDefault="00AE3CE1" w:rsidP="00FD3FBE">
            <w:pPr>
              <w:rPr>
                <w:sz w:val="24"/>
              </w:rPr>
            </w:pPr>
            <w:r w:rsidRPr="00AE3CE1">
              <w:t>Stigma, masculinity, family expectations and beliefs about legitimate need influenced recognition, disclosure and trust.</w:t>
            </w:r>
          </w:p>
        </w:tc>
      </w:tr>
      <w:tr w:rsidR="00AE3CE1" w:rsidRPr="00AE3CE1" w:rsidTr="00FD3FBE">
        <w:trPr>
          <w:cantSplit/>
          <w:jc w:val="center"/>
        </w:trPr>
        <w:tc>
          <w:tcPr>
            <w:tcW w:w="0" w:type="auto"/>
            <w:tcMar>
              <w:top w:w="60" w:type="dxa"/>
              <w:left w:w="60" w:type="dxa"/>
              <w:bottom w:w="60" w:type="dxa"/>
              <w:right w:w="60" w:type="dxa"/>
            </w:tcMar>
          </w:tcPr>
          <w:p w:rsidR="00AE3CE1" w:rsidRPr="00AE3CE1" w:rsidRDefault="00AE3CE1" w:rsidP="00FD3FBE">
            <w:pPr>
              <w:rPr>
                <w:sz w:val="24"/>
              </w:rPr>
            </w:pPr>
            <w:r w:rsidRPr="00AE3CE1">
              <w:t>4. Service fit, flexibility and alternative routes</w:t>
            </w:r>
          </w:p>
        </w:tc>
        <w:tc>
          <w:tcPr>
            <w:tcW w:w="0" w:type="auto"/>
            <w:tcMar>
              <w:top w:w="60" w:type="dxa"/>
              <w:left w:w="60" w:type="dxa"/>
              <w:bottom w:w="60" w:type="dxa"/>
              <w:right w:w="60" w:type="dxa"/>
            </w:tcMar>
          </w:tcPr>
          <w:p w:rsidR="00AE5A4E" w:rsidRDefault="00BA5704" w:rsidP="00FD3FBE">
            <w:r>
              <w:t>Cliffe et al. (2024); Grice-Jackson et al. (2026); Hassan et al. (2022); Oha et al. (2025); Priestley et al. (2022); Wright et al</w:t>
            </w:r>
            <w:r>
              <w:t>. (2026)</w:t>
            </w:r>
          </w:p>
        </w:tc>
        <w:tc>
          <w:tcPr>
            <w:tcW w:w="0" w:type="auto"/>
            <w:tcMar>
              <w:top w:w="60" w:type="dxa"/>
              <w:left w:w="60" w:type="dxa"/>
              <w:bottom w:w="60" w:type="dxa"/>
              <w:right w:w="60" w:type="dxa"/>
            </w:tcMar>
          </w:tcPr>
          <w:p w:rsidR="00AE3CE1" w:rsidRPr="00AE3CE1" w:rsidRDefault="00AE3CE1" w:rsidP="00FD3FBE">
            <w:pPr>
              <w:rPr>
                <w:sz w:val="24"/>
              </w:rPr>
            </w:pPr>
            <w:r w:rsidRPr="00AE3CE1">
              <w:t>Open access, choice, youth-centred settings and peer or community support facilitated engagement but did not replace specialist care.</w:t>
            </w:r>
          </w:p>
        </w:tc>
      </w:tr>
    </w:tbl>
    <w:p w:rsidR="00AE3CE1" w:rsidRDefault="00AE3CE1" w:rsidP="00AE3CE1">
      <w:pPr>
        <w:pStyle w:val="Heading3"/>
      </w:pPr>
      <w:bookmarkStart w:id="48" w:name="_Toc238727196"/>
      <w:r>
        <w:rPr>
          <w:rFonts w:eastAsia="Arial"/>
        </w:rPr>
        <w:t>Theme One: Structural Barriers and Difficult Service Navigation</w:t>
      </w:r>
      <w:bookmarkEnd w:id="48"/>
    </w:p>
    <w:p w:rsidR="00FD3FBE" w:rsidRDefault="00FD3FBE" w:rsidP="00FD3FBE">
      <w:r>
        <w:t>The most constant was a lack of capacity, coupled with high thresholds and disjointed pathways, blocking access. Waiting was experienced as an active 'uncertain' time prior to therapy and not as a neutral time of waiting for therapy. Young adults in the Punton, Dodd and McNeill (2022) study highlighted increasing psychological and physical struggles, as well as decreased functioning and need for informal or private options whilst playing the waiting game. In a similar manner, experiences of delays, short time periods and confusing paths seemed to make students feel invisible or not supported in university environments. In all the studies, delay of support was cumulative – the longer the support was delayed, the more they questioned whether services could and/or would help (Barnett et al., 2021; Priestley et al., 2022; Punton, Dodd and McNeill, 2022).</w:t>
      </w:r>
    </w:p>
    <w:p w:rsidR="00AE3CE1" w:rsidRDefault="00FD3FBE" w:rsidP="00FD3FBE">
      <w:r>
        <w:t xml:space="preserve">Exclusion based on eligibility criteria was another form of exclusion. However, they did not necessarily feel they were 'ill enough' for Adult Mental Health Services when leaving CAMHS, and there was a high rate of unmet need (Appleton et al., 2021). Some of these were too complex to be supported by lower intensity provision and therefore 'between services'. A similar legitimacy issue was noted amongst students who self cut by Tickell et al. (2024). Participants felt that distress had to be at a certain threshold before it could be considered as 'real' distress and feared being seen as too distressed. Byrom et al. (2022) revealed thresholds by the different types of eating disorder; specifically with </w:t>
      </w:r>
      <w:r>
        <w:lastRenderedPageBreak/>
        <w:t>weight thresholds, participants were feeling a push towards seeking support before they were ready. These studies show that threshold systems rationed care simply weren't the answer. They influenced the nature of young adult's perception of the seriousness and legitimacy of their problems</w:t>
      </w:r>
      <w:r w:rsidR="00AE3CE1">
        <w:t xml:space="preserve"> (Appleton et al., 2021; Byrom et al., 2022; Tickell et al., 2024).</w:t>
      </w:r>
    </w:p>
    <w:p w:rsidR="00AE3CE1" w:rsidRDefault="00AE3CE1" w:rsidP="00AE3CE1">
      <w:r>
        <w:t>Fragmentation intensified the effects of thresholds and delay. Students described being passed between university, primary-care and specialist services, repeating their histories and receiving inconsistent explanations. Priestley et al. (2022) found that fragmented roles and poor coordination made it difficult for students to know which service to approach and what each service could provide. Barnett et al. (2021) similarly identified a need to simplify access and improve collaboration between university and external services. In Byrom et al. (2022), movement between home and university disrupted continuity because students could not easily maintain care across two locations. The same pattern was visible at transition from child to adult services, where poor preparation and weak coordination produced abrupt loss of support (Appleton et al., 2021; Barnett et al., 2021; Byrom et al., 2022; Priestley et al., 2022).</w:t>
      </w:r>
    </w:p>
    <w:p w:rsidR="00AE3CE1" w:rsidRDefault="00AE3CE1" w:rsidP="00AE3CE1">
      <w:r>
        <w:t>Place-based evidence confirmed that these problems extended beyond universities. Grice-Jackson et al. (2026) described a local system under strain, with limited funding, workforce shortages, siloed referrals and high access thresholds. Young people and professionals reported being passed between services and receiving support only when distress reached crisis level. Oha et al. (2025) also found that gaps between education, health and community provision weakened the coherence of a multi-component intervention. Across these contexts, service navigation placed substantial responsibility on young adults at the point when distress could reduce concentration, confidence and persistence. Structural barriers therefore affected early engagement before a therapeutic relationship had even begun (Grice-Jackson et al., 2026; Oha et al., 2025).</w:t>
      </w:r>
    </w:p>
    <w:p w:rsidR="00AE3CE1" w:rsidRDefault="00AE3CE1" w:rsidP="00AE3CE1">
      <w:pPr>
        <w:pStyle w:val="Heading3"/>
      </w:pPr>
      <w:bookmarkStart w:id="49" w:name="_Toc238727197"/>
      <w:r>
        <w:rPr>
          <w:rFonts w:eastAsia="Arial"/>
        </w:rPr>
        <w:t>Theme Two: Communication, Trust and Relational Safety</w:t>
      </w:r>
      <w:bookmarkEnd w:id="49"/>
    </w:p>
    <w:p w:rsidR="00AE3CE1" w:rsidRDefault="00AE3CE1" w:rsidP="00AE3CE1">
      <w:r>
        <w:t xml:space="preserve">Communication influenced whether organisational processes were experienced as manageable or rejecting. Participants wanted clear explanations about referral outcomes, waiting, available options and the next step in care. Where communication was limited, silence was interpreted as being forgotten, dismissed or left to manage alone. Appleton et al. (2021) showed that brief and impersonal assessments could be </w:t>
      </w:r>
      <w:r>
        <w:lastRenderedPageBreak/>
        <w:t>especially difficult for young people with anxiety or complex needs. Priestley et al. (2022) found that students were often uncertain about service roles, referral limits and how to return to support. In Barnett et al. (2021), poor follow-up and loss of contact contributed to feeling abandoned, ignored or invisible. These findings show that communication was part of care rather than an administrative addition to it (Appleton et al., 2021; Barnett et al., 2021; Priestley et al., 2022).</w:t>
      </w:r>
    </w:p>
    <w:p w:rsidR="00AE3CE1" w:rsidRDefault="00AE3CE1" w:rsidP="00AE3CE1">
      <w:r>
        <w:t>Relational quality was equally important. Young adults valued staff who listened, took them seriously and responded without judgement. Hassan et al. (2022) found that a non-hierarchical workforce and friendly, understanding staff enabled young people to speak openly soon after contact. Wright et al. (2026) similarly reported that continuity, familiarity and a sense of community helped hub users feel valued and cared for. In contrast, Grice-Jackson et al. (2026) found that rigid or overly clinical services could leave young people feeling disrespected, misunderstood or excluded. Relational safety therefore depended on both individual practitioner behaviour and the wider environment in which contact occurred (Grice-Jackson et al., 2026; Hassan et al., 2022; Wright et al., 2026).</w:t>
      </w:r>
    </w:p>
    <w:p w:rsidR="00AE3CE1" w:rsidRDefault="00AE3CE1" w:rsidP="00AE3CE1">
      <w:r>
        <w:t>Trust developed through consistency and was easily weakened by discontinuity. In Appleton et al. (2021), the ending of child-service care without an acceptable onward pathway produced feelings of abandonment. Byrom et al. (2022) found that repeated explanations to different professionals and poor communication between home and university services increased frustration and reduced confidence. Young people using Early Support Hubs valued being able to return to familiar staff, while Oha et al. (2025) found that gradual, relationship-based contact could reduce fear among young people who were hesitant to disclose distress. Trust was therefore not a fixed personal characteristic. It was produced or damaged through repeated service encounters (Appleton et al., 2021; Byrom et al., 2022; Oha et al., 2025; Wright et al., 2026).</w:t>
      </w:r>
    </w:p>
    <w:p w:rsidR="00AE3CE1" w:rsidRDefault="00AE3CE1" w:rsidP="00AE3CE1">
      <w:r>
        <w:t xml:space="preserve">The evidence also showed that peer and lived-experience relationships could provide a different form of safety. Cliffe et al. (2024) found that participants valued the familiarity, informality and shared understanding offered by a digital peer-support app. Peer responses could feel less intimidating than professional advice and helped users feel validated. Hassan et al. (2022) and Grice-Jackson et al. (2026) similarly identified the value of staff or community workers who understood young people's circumstances and </w:t>
      </w:r>
      <w:r>
        <w:lastRenderedPageBreak/>
        <w:t>could build trust outside highly clinical settings. However, peer support had limits. Cliffe et al. (2024) found that users felt pressure to respond and anxiety about causing harm, while the app was often viewed as a place to vent rather than resolve underlying difficulties. Relational safety could therefore support engagement, but it required boundaries and access to professional care when needs exceeded informal support (Cliffe et al., 2024; Grice-Jackson et al., 2026; Hassan et al., 2022).</w:t>
      </w:r>
    </w:p>
    <w:p w:rsidR="00AE3CE1" w:rsidRDefault="00AE3CE1" w:rsidP="00AE3CE1">
      <w:pPr>
        <w:pStyle w:val="Heading3"/>
      </w:pPr>
      <w:bookmarkStart w:id="50" w:name="_Toc238727198"/>
      <w:r>
        <w:rPr>
          <w:rFonts w:eastAsia="Arial"/>
        </w:rPr>
        <w:t>Theme Three: Social, Cultural and Identity-Related Barriers</w:t>
      </w:r>
      <w:bookmarkEnd w:id="50"/>
    </w:p>
    <w:p w:rsidR="00FD3FBE" w:rsidRDefault="00FD3FBE" w:rsidP="00FD3FBE">
      <w:r>
        <w:t>Beliefs related to strength and normality and legitimate need influenced help-seeking. Bhaila, Sela and Tribe (2025) concluded that many young second-generation British Pakistanis were often using their own maladaptive coping strategies to tackle distress, as going out and seeking support was an incongruent practice with the idea of self-reliance, family responsibility and masculine identity. The participants were sceptical about therapy, and did not ask, "How can someone who hasn't been through it know? Sagar-Ouriaghli et al. (2020) found similar issues with respect to male students, such as fears of vulnerability as well as not knowing what is confidential and seeing requesting help as going against boys' masculinity expectations. In both studies, lack of reluctance was not some simple issue of lack of awareness. It captured the social significance of disclosure as discussed by Bhaila, Sela and Tribe (2025), and Sagar-Ouriaghli et al. (2020).</w:t>
      </w:r>
    </w:p>
    <w:p w:rsidR="00FD3FBE" w:rsidRDefault="00FD3FBE" w:rsidP="00FD3FBE">
      <w:r>
        <w:t>The cultural and family environment may hinder or promote seeking assistance. Radez et al. (2024) stated that the young people in Eastern Europe experienced tension between various cultural interpretations and values, such as the transmission of mental health beliefs, notions of resilience and the importance of the family. Participants interpreted distress, while also being affected by the cultural messages received within the system about the need for services and information, and their expectation of coping without. More liberal attitudes can make professional assistance more acceptable and other judgemental or stigmatising attitudes can contribute to denial. This finding aligns with the previous study by Bhaila, Sela and Tribe (2025) which reported that participants thought there was a risk of family and friends misunderstanding or criticizing their actions. Thus, the synthesis indicates a fluid and dynamic understanding of culture as a dynamic relationship and expectation rather than an inherent attribute of an ethnic group (Bhaila, Sela and Tribe, 2025; Radez et al., 2024).</w:t>
      </w:r>
    </w:p>
    <w:p w:rsidR="00FD3FBE" w:rsidRDefault="00FD3FBE" w:rsidP="00FD3FBE">
      <w:r>
        <w:lastRenderedPageBreak/>
        <w:t>Similarly, diagnosis-specific and university contexts featured the presence of stigma. Self-stigma, shame and doubt around deserving help were identified to be delaying access to help for eating disorders from Byrom et al. (2022). According to Tickell et al. (2024) students who self-harmed were afraid of the external judgment, and whether or not their problems were serious enough to warrant formal intervention. Priestley et al. (2022) found stigma and fear of being noticed using university's supports were identified as barriers and Barnett et al. (2021) noted that there can be pressure on students to take limited provision as it was better than nothing. In all of these studies, stigma was related to service design. When care pathways were poorly explained or thresholds were set high, this reinforced young adult doubts about their care deserving and did not challenge these concerns (Barnett et al., 2021; Byrom et al., 2022; Priestley et al., 2022; Tickell et al., 2024).</w:t>
      </w:r>
    </w:p>
    <w:p w:rsidR="00FD3FBE" w:rsidRDefault="00FD3FBE" w:rsidP="00FD3FBE">
      <w:r>
        <w:t>Barriers were thus intersectional in nature, relating to identity. Gender and ethnicity, diagnosis, student status and family expectations influenced a sense of acceptability of services, and risk of disclosure. None of the evidence could be used to support one explanation for reluctance. Some participants wanted to interact with known individuals or individuals who were similar to them culturally, some wanted to remain anonymous and some wanted professional knowledge but were afraid of judgement and/or loss of control. This involved the ability to acknowledge the differences in services without making the presumption that all groups need the same format/messages (Bhaila, Sela and Tribe, 2025; Byrom et al., 2022; Radez et al., 2024; Sagar-Ouriaghli et al., 2020).</w:t>
      </w:r>
    </w:p>
    <w:p w:rsidR="00FD3FBE" w:rsidRDefault="00FD3FBE" w:rsidP="00FD3FBE">
      <w:pPr>
        <w:pStyle w:val="Heading3"/>
      </w:pPr>
      <w:bookmarkStart w:id="51" w:name="_Toc238727199"/>
      <w:r>
        <w:t>Theme Four: Service Fit, Flexibility and Alternative Routes to Engagement</w:t>
      </w:r>
      <w:bookmarkEnd w:id="51"/>
    </w:p>
    <w:p w:rsidR="00FD3FBE" w:rsidRDefault="00FD3FBE" w:rsidP="00FD3FBE">
      <w:r>
        <w:t>Low barriers to access and flexibility/support to accommodate young people's day-to-day life were the strongest facilitating factors. Hassan and colleagues (2022) reported that a non-clinical environment, suitable appointment times and choice of location, and self-referral, were factors which made it easier to approach a voluntary-sector Youth Information, Advice and Counselling service. Young people appreciated support which took into account social and practical issues as well as mental health. This outcome has also been found by Wright et al. (2026) among Early Support Hubs – namely open access (no referral needed), holistic support services, drop-ins, flexibility, and also a youth-first attitude. However, these models cut down on the decisions and administrative procedures prior to the contact which decreases the effort required for engagement (Hassan et al., 2022; Wright et al., 2026).</w:t>
      </w:r>
    </w:p>
    <w:p w:rsidR="00FD3FBE" w:rsidRDefault="00FD3FBE" w:rsidP="00FD3FBE">
      <w:r>
        <w:lastRenderedPageBreak/>
        <w:t>Acceptability was impacted by community location and community atmosphere. Hassan et al. (2022) compared and contrasted the welcoming, age-appropriate hubs to the clinical environments which were perceived as intimidating. Grice-Jackson et al., (2026) found that youth centres, voluntary organisations and familiar places in the community were assets that could enable provision of early relational support. Oha et al. (2025) identified that 'third spaces' and approaches based on creative practices were important in enabling young people to talk about the challenges in spaces that were related to their lives, but not to illness. In all the studies, thus, accessibility involved more than just the physical closeness or proximity (Grice-Jackson et al., 2026; Hassan et al., 2022; Oha et al., 2025).</w:t>
      </w:r>
    </w:p>
    <w:p w:rsidR="00FD3FBE" w:rsidRDefault="00FD3FBE" w:rsidP="00FD3FBE">
      <w:r>
        <w:t>Another aspect of service fit that was important was choice. Students in Barnett et al. (2021) desired options to choose treatment, a provider, the time and length of treatment, and Priestley et al. (2022) suggested having several different access points and need for triage and support outside of formal treatment. Among the hub users, Wright et al. (2026) discovered that they appreciate having options to select between helpful or functional and the social and therapeutic options of support. This flexibility is in contrast to the provision being fixed, with a time limit or for only certain conditions/who that doesn't feel right to participants. There is evidence to suggest that early engagement increased when services increased their flexibility to meet the needs of young adults rather than young adults modifying to a set pathway (Barnett et al., 2021; Priestley et al., 2022; Wright et al., 2026).</w:t>
      </w:r>
    </w:p>
    <w:p w:rsidR="00AE3CE1" w:rsidRDefault="00FD3FBE" w:rsidP="00FD3FBE">
      <w:r>
        <w:t>Alternative routes were a help but not the only answer. Cliffe et al., 2024 demonstrated that digital peer support provides anonymity and familiarity and shared experiences, thus being able to reach youth adults who were not interested in formal services. They did, however, recognise that there were problems that peer support could not resolve and that peer support could engender emotional responsibility for other potential users. Although Early Support Hubs were valued, Wright et al. (2026) found low levels of local awareness, small size and low levels of resources to support acute and/or complex needs. Oha et al. (2025) also noted that it was still challenging to reach youth that were not in school or employed or connected to existing community networks. So flexible provision can complement statutory care, however these provision needs to be visible and sustainable and there needs to be good pathways and connections to specialist provision</w:t>
      </w:r>
      <w:r w:rsidR="00AE3CE1">
        <w:t>(Cliffe et al., 2024; Oha et al., 2025; Wright et al., 2026).</w:t>
      </w:r>
    </w:p>
    <w:p w:rsidR="00AE3CE1" w:rsidRDefault="00AE3CE1" w:rsidP="00AE3CE1">
      <w:pPr>
        <w:pStyle w:val="Heading2"/>
      </w:pPr>
      <w:bookmarkStart w:id="52" w:name="_Toc238727200"/>
      <w:r>
        <w:rPr>
          <w:rFonts w:eastAsia="Arial"/>
        </w:rPr>
        <w:lastRenderedPageBreak/>
        <w:t>Integration Across the Access-to-Engagement Pathway</w:t>
      </w:r>
      <w:bookmarkEnd w:id="52"/>
    </w:p>
    <w:p w:rsidR="00AE3CE1" w:rsidRDefault="00AE3CE1" w:rsidP="00AE3CE1">
      <w:r>
        <w:t>The four themes formed a connected sequence across the access-to-engagement pathway. At the stage of recognising need, stigma, cultural expectations, masculinity and beliefs about severity influenced whether distress was understood as requiring support. During help-seeking, uncertainty about confidentiality, service awareness and fear of judgement affected disclosure. These early barriers were especially visible in the studies of British Pakistani men, Eastern European young people, male students, students who self-harmed and students with eating disorders (Bhaila, Sela and Tribe, 2025; Byrom et al., 2022; Radez et al., 2024; Sagar-Ouriaghli et al., 2020; Tickell et al., 2024).</w:t>
      </w:r>
    </w:p>
    <w:p w:rsidR="00AE3CE1" w:rsidRDefault="00AE3CE1" w:rsidP="00AE3CE1">
      <w:r>
        <w:t>At referral and assessment, the main barriers shifted from personal hesitation to service organisation. High thresholds, brief assessments, repeated referrals and the absence of joined-up care could transform help-seeking into an experience of rejection. Waiting then extended uncertainty and increased reliance on informal support while distress continued. By the time first contact occurred, some young adults had already developed negative expectations about care. The evidence therefore indicates that engagement cannot be judged only by whether a person attended an appointment. It was shaped by everything that occurred before that appointment (Appleton et al., 2021; Barnett et al., 2021; Priestley et al., 2022; Punton, Dodd and McNeill, 2022).</w:t>
      </w:r>
    </w:p>
    <w:p w:rsidR="00FD3FBE" w:rsidRDefault="00FD3FBE" w:rsidP="00FD3FBE">
      <w:r>
        <w:t>Communication, relational safety and service fit was a determining factor in first contact and early continuation. Choice and non-clinical settings, continuity and familiar staff fostered trust. Fast, de-personalised and rigid communication helped to reinforce concerns of lack of understanding and lack of responsive action from services. Thus, at times, disengagement was not necessarily an indication that a young adult was unmotivated, but instead that she/he was facing a number of barriers. Self-referral, flexible scheduling, community-based, peer connection, and youth-led practice, however, decreased the barriers to seeking help and receiving meaningful support (Cliffe et al., 2024; Grice-Jackson et al., 2026; Hassan et al., 2022; Oha et al., 2025; Wright et al., 2026).</w:t>
      </w:r>
    </w:p>
    <w:p w:rsidR="00FD3FBE" w:rsidRDefault="00FD3FBE" w:rsidP="00FD3FBE">
      <w:pPr>
        <w:pStyle w:val="Heading2"/>
      </w:pPr>
      <w:bookmarkStart w:id="53" w:name="_Toc238727201"/>
      <w:r>
        <w:t>Areas of Variation and Contradictory Findings</w:t>
      </w:r>
      <w:bookmarkEnd w:id="53"/>
    </w:p>
    <w:p w:rsidR="00AE3CE1" w:rsidRDefault="00FD3FBE" w:rsidP="00FD3FBE">
      <w:r>
        <w:t xml:space="preserve">Not all services or formats were shown to have the same effectiveness in the studies. Limits of treatment, long waiting times and poor co-ordination were experienced by </w:t>
      </w:r>
      <w:r>
        <w:lastRenderedPageBreak/>
        <w:t>some, whilst some participants described the support from the University as responsive and helpful. Few respondents to Byrom et al. (2022) indicated smooth, seamless access, and many identified with thresholds, several referrals and disjointed interventions. This variation indicates that service type was not a factor in engagement. Local capacity and local communication and individual contacts were also important factors</w:t>
      </w:r>
      <w:r w:rsidR="00AE3CE1">
        <w:t>(Barnett et al., 2021; Byrom et al., 2022; Priestley et al., 2022).</w:t>
      </w:r>
    </w:p>
    <w:p w:rsidR="00AE3CE1" w:rsidRDefault="00AE3CE1" w:rsidP="00AE3CE1">
      <w:r>
        <w:t>Preferences for delivery format also differed. Digital peer support and online access could reduce intimidation and increase anonymity, but Appleton et al. (2021) found that some young people did not consider online or group support appropriate to their needs. Sagar-Ouriaghli et al. (2020) reported disagreement among male students about preferred intervention formats. Hubs and community services were valued for flexibility, yet their limited reach and ability to manage complex needs restricted their role. These findings argue for meaningful choice rather than replacement of one standard pathway with another (Appleton et al., 2021; Cliffe et al., 2024; Sagar-Ouriaghli et al., 2020; Wright et al., 2026).</w:t>
      </w:r>
    </w:p>
    <w:p w:rsidR="00AE3CE1" w:rsidRDefault="00AE3CE1" w:rsidP="00AE3CE1">
      <w:r>
        <w:t>The evidence base itself was uneven. Most studies were conducted in England and several focused-on students or people already connected to a service. Young adults who had never reached support, lived outside major urban areas or were disconnected from education and community organisations were less visible. The themes are therefore well supported for the included contexts but should not be assumed to represent every young adult in the United Kingdom.</w:t>
      </w:r>
    </w:p>
    <w:p w:rsidR="00AE3CE1" w:rsidRDefault="00AE3CE1" w:rsidP="00AE3CE1">
      <w:pPr>
        <w:pStyle w:val="Heading2"/>
      </w:pPr>
      <w:bookmarkStart w:id="54" w:name="_Toc238727202"/>
      <w:r>
        <w:rPr>
          <w:rFonts w:eastAsia="Arial"/>
        </w:rPr>
        <w:t>Chapter Summary</w:t>
      </w:r>
      <w:bookmarkEnd w:id="54"/>
    </w:p>
    <w:p w:rsidR="00AE3CE1" w:rsidRDefault="00AE3CE1" w:rsidP="00AE3CE1">
      <w:r>
        <w:t>The synthesis identified four connected themes. Young adults encountered constrained and fragmented pathways, while communication and relational quality shaped whether service contact generated trust. Social and cultural meanings influenced recognition and disclosure of need, and flexible youth-centred provision created alternative routes to support. Barriers accumulated from need recognition through referral, waiting and first contact, meaning that early disengagement often reflected repeated obstacles rather than unwillingness to receive care. Community hubs, voluntary-sector support, peer approaches and personalised university provision offered important facilitators, although their impact was limited when awareness, capacity or links to specialist care were weak.</w:t>
      </w:r>
    </w:p>
    <w:p w:rsidR="00AE3CE1" w:rsidRDefault="00AE3CE1" w:rsidP="00AE3CE1"/>
    <w:p w:rsidR="00AE3CE1" w:rsidRDefault="00AE3CE1" w:rsidP="00AE3CE1">
      <w:pPr>
        <w:pStyle w:val="Heading1"/>
      </w:pPr>
      <w:bookmarkStart w:id="55" w:name="_Toc238727203"/>
      <w:r>
        <w:rPr>
          <w:rFonts w:eastAsia="Arial"/>
        </w:rPr>
        <w:t>Discussion</w:t>
      </w:r>
      <w:bookmarkEnd w:id="55"/>
    </w:p>
    <w:p w:rsidR="00AE3CE1" w:rsidRDefault="00AE3CE1" w:rsidP="00AE3CE1">
      <w:pPr>
        <w:pStyle w:val="Heading2"/>
      </w:pPr>
      <w:bookmarkStart w:id="56" w:name="_Toc238727204"/>
      <w:r>
        <w:rPr>
          <w:rFonts w:eastAsia="Arial"/>
        </w:rPr>
        <w:t>Introduction</w:t>
      </w:r>
      <w:bookmarkEnd w:id="56"/>
    </w:p>
    <w:p w:rsidR="00FD3FBE" w:rsidRDefault="00FD3FBE" w:rsidP="00FD3FBE">
      <w:r>
        <w:t>The purpose of the systematic review was to explore the barriers to accessing and to early engagement in community based mental health services in the United Kingdom for young adults. Four key findings emerged: structural barriers and difficult service navigation, communication, trust and relational safety, social, cultural and identity related barriers, and service fit, flexibility and alternative routes to engagement. The findings are broadly consistent with previous studies, and also demonstrate that barriers can be compounded at each step of care. This is significant because disengagement can be an indicator of multiple instances of delay, rejection or poor fit and not necessarily an indicator of a lack of motivation to receive support.</w:t>
      </w:r>
    </w:p>
    <w:p w:rsidR="00FD3FBE" w:rsidRDefault="00FD3FBE" w:rsidP="00FD3FBE">
      <w:pPr>
        <w:pStyle w:val="Heading2"/>
      </w:pPr>
      <w:bookmarkStart w:id="57" w:name="_Toc238727205"/>
      <w:r>
        <w:t>Structural Barriers and Difficult Service Navigation</w:t>
      </w:r>
      <w:bookmarkEnd w:id="57"/>
    </w:p>
    <w:p w:rsidR="00AE3CE1" w:rsidRDefault="00FD3FBE" w:rsidP="00FD3FBE">
      <w:r>
        <w:t>Structural barriers that were most consistent were waiting, eligibility thresholds, rejected referrals and fragmented pathways. These findings are consistent with those of Anderson et al (2017) who found complicated pathways and long waits in youth mental health services and Moreton, Welford and Collinson (2022) who found fragmentation amongst those with overlapping needs. Rejected referrals have been found to be an experience of not being worthy of support (Appleton et al., 2021) and waiting has been found to alter expectations of whether support will ever be available or worthwhile (Punton, Dodd and McNeill, 2022). So for young adults, the impact of not receiving treatment is even more serious – uncertainty and rejection can lead to a loss of confidence before treatment is even started</w:t>
      </w:r>
      <w:r w:rsidR="00AE3CE1">
        <w:t>.</w:t>
      </w:r>
    </w:p>
    <w:p w:rsidR="00AE3CE1" w:rsidRDefault="00AE3CE1" w:rsidP="00AE3CE1">
      <w:r>
        <w:t xml:space="preserve">Transition between Child and Adolescent Mental Health Services and adult services illustrates this problem. Rosina et al. (2025) and Singh and Tuomainen (2015) describe fragmented handovers and insufficient preparation, while Appleton et al. (2021) provide direct accounts of young people falling between services. Young adults may be expected to take greater responsibility for navigating care at the same time as they are managing education, employment, housing and changing relationships. Repeated referrals and repeated explanations therefore place the greatest navigational burden on </w:t>
      </w:r>
      <w:r>
        <w:lastRenderedPageBreak/>
        <w:t>people whose distress may already reduce concentration, confidence and persistence. A pathway organised in this way can favour those who are able to keep advocating for themselves rather than those with the greatest need.</w:t>
      </w:r>
    </w:p>
    <w:p w:rsidR="00AE3CE1" w:rsidRDefault="00AE3CE1" w:rsidP="00AE3CE1">
      <w:r>
        <w:t>Thresholds also shaped how young adults judged the legitimacy of their own distress. Tickell et al. (2024) found that students who self-harmed questioned whether they were sufficiently unwell to deserve help while also fearing the consequences of being judged too severe. Byrom et al. (2022) reported similar concerns within eating-disorder support, where participants described criteria that could appear to require deterioration before specialist help was available. This creates a risk that young adults delay further help-seeking, minimise symptoms or wait until difficulties become more severe. Early access therefore depends not only on the existence of services but on whether support can be reached before crisis or substantial deterioration.</w:t>
      </w:r>
    </w:p>
    <w:p w:rsidR="00AE3CE1" w:rsidRDefault="00AE3CE1" w:rsidP="00AE3CE1">
      <w:pPr>
        <w:pStyle w:val="Heading2"/>
      </w:pPr>
      <w:bookmarkStart w:id="58" w:name="_Toc238727206"/>
      <w:r>
        <w:rPr>
          <w:rFonts w:eastAsia="Arial"/>
        </w:rPr>
        <w:t>Communication, Trust and Relational Safety</w:t>
      </w:r>
      <w:bookmarkEnd w:id="58"/>
    </w:p>
    <w:p w:rsidR="00AE3CE1" w:rsidRDefault="00AE3CE1" w:rsidP="00AE3CE1">
      <w:r>
        <w:t>Communication functioned as both an organisational and relational component of access. Young adults needed clear information about referral outcomes, waiting, confidentiality, service roles and what would happen next. Kirk et al. (2023) similarly identified transparency, open access and relational continuity as important features of acceptable services, while Memon et al. (2016) highlighted communication and language barriers within minority ethnic communities. Where information was vague or absent, participants could interpret silence as being forgotten, rejected or left to manage alone. For a young person who has already overcome stigma or uncertainty to seek help, poor communication can therefore convert an administrative delay into a relational experience of not being valued.</w:t>
      </w:r>
    </w:p>
    <w:p w:rsidR="00FD3FBE" w:rsidRDefault="00FD3FBE" w:rsidP="00FD3FBE">
      <w:r>
        <w:t xml:space="preserve">Trust was not a trait of the person but was built up over time. Hassan et al. (2022) and Wright et al. (2026) identified that staff who listened, took them seriously and provided continuity was valued by young people, while Grice-Jackson et al. (2026) described how rigid and overly clinical services were alienating. These findings are similar to those of Jones, Hassett and Sclare (2017) and Plaistow et al. (2014) who highlighted transparency, clinician qualities and personalisation. The real-life implications of this are that if a young adult doesn't like the first time, they are unlikely to come back. A hasty evaluation or multiple retelling or impersonal communication can reinforce the concerns </w:t>
      </w:r>
      <w:r>
        <w:lastRenderedPageBreak/>
        <w:t>that support is not going to be beneficial, and respectful communication and continuity can make ongoing involvement seem worth the effort.</w:t>
      </w:r>
    </w:p>
    <w:p w:rsidR="00FD3FBE" w:rsidRDefault="00FD3FBE" w:rsidP="00FD3FBE">
      <w:pPr>
        <w:pStyle w:val="Heading2"/>
      </w:pPr>
      <w:bookmarkStart w:id="59" w:name="_Toc238727207"/>
      <w:r>
        <w:t>Social, Cultural and Identity-Related Barriers</w:t>
      </w:r>
      <w:bookmarkEnd w:id="59"/>
    </w:p>
    <w:p w:rsidR="00FD3FBE" w:rsidRDefault="00FD3FBE" w:rsidP="00FD3FBE">
      <w:r>
        <w:t>Stigma, self-reliance, masculinity, family expectations, confidentiality concerns, and beliefs about legitimate need were associated with the presence of distress, disclosure of distress and seeking professional help. This is in line with the findings of Gulliver, Griffiths and Christensen (2010), Clement et al. (2015) and Salaheddin and Mason (2016) which revealed stigma, self-reliance and difficulty expressing concerns as common challenges. The results provide a valuable qualification: These barriers were not in isolation. They engaged with expectations of the services understanding, respecting and/or responding appropriately to the person seeking help.</w:t>
      </w:r>
    </w:p>
    <w:p w:rsidR="00AE3CE1" w:rsidRDefault="00FD3FBE" w:rsidP="00FD3FBE">
      <w:r>
        <w:t>This interaction can be seen in the case of gendered expectations. Bhaila, Sela and Tribe (2025) and Sagar-Ouriaghli et al. (2020) identified that for some young men, disclosure was linked to feelings of vulnerability and they wanted to cope with distress on their own. Burke, John and Hanna (2022) also found a correlation between masculinity and emotional risk and informal help-seeking. Confidentiality, professional understanding and relevance of services available were also questioned by participants. This requires that the problem of reluctance be tackled not just through the encouragement of men to disclose more. If services are perceived as culturally or relationally unsafe, this may have limited impact if there is no service change</w:t>
      </w:r>
      <w:r w:rsidR="00AE3CE1">
        <w:t>.</w:t>
      </w:r>
    </w:p>
    <w:p w:rsidR="00AE3CE1" w:rsidRDefault="00AE3CE1" w:rsidP="00AE3CE1">
      <w:r>
        <w:t>Cultural and family contexts were similarly complex. Radez et al. (2024) described tension between different cultural expectations among Eastern European young adults, while Bhaila, Sela and Tribe (2025) identified concerns about whether professionals could understand culturally situated experiences. Memon et al. (2016) also found that language barriers, cultural insensitivity and discrimination affected mental health access. The implication is not that particular communities are inherently reluctant to seek help. Rather, help-seeking depends partly on whether services are perceived as acceptable, understandable and credible. Culturally responsive communication can therefore reduce uncertainty, whereas stereotyping or poor explanation may strengthen mistrust.</w:t>
      </w:r>
    </w:p>
    <w:p w:rsidR="00AE3CE1" w:rsidRDefault="00AE3CE1" w:rsidP="00AE3CE1">
      <w:pPr>
        <w:pStyle w:val="Heading2"/>
      </w:pPr>
      <w:bookmarkStart w:id="60" w:name="_Toc238727208"/>
      <w:r>
        <w:rPr>
          <w:rFonts w:eastAsia="Arial"/>
        </w:rPr>
        <w:lastRenderedPageBreak/>
        <w:t>Service Fit, Flexibility and Alternative Routes to Engagement</w:t>
      </w:r>
      <w:bookmarkEnd w:id="60"/>
    </w:p>
    <w:p w:rsidR="00AE3CE1" w:rsidRDefault="00AE3CE1" w:rsidP="00AE3CE1">
      <w:r>
        <w:t>Self-referral, flexible appointments, youth-friendly environments, community locations, continuity and choice made support easier to approach and remain engaged with. Hassan et al. (2022) and Wright et al. (2026) showed that youth hubs could reduce barriers associated with formal referral by allowing young people to enter through open or low-threshold routes. Oha et al. (2025) and Grice-Jackson et al. (2026) also identified the value of community settings that were less narrowly clinical. These findings support Kirk et al. (2023), who found that open access and support at the point of need were central to accessibility.</w:t>
      </w:r>
    </w:p>
    <w:p w:rsidR="00AE3CE1" w:rsidRDefault="00AE3CE1" w:rsidP="00AE3CE1">
      <w:r>
        <w:t>Flexibility matters because young adults may be balancing education, employment, housing instability, family responsibilities or limited resources. A service can therefore be technically available but practically unusable if appointments, locations or referral steps do not fit everyday circumstances. Moreton, Welford and Collinson (2022) similarly argue that rigid provision can exclude people with overlapping needs. The consequence is that missed appointments or withdrawal may be interpreted as poor engagement when they actually reflect a mismatch between service organisation and the person's circumstances.</w:t>
      </w:r>
    </w:p>
    <w:p w:rsidR="00FD3FBE" w:rsidRDefault="00FD3FBE" w:rsidP="00FD3FBE">
      <w:r>
        <w:t>There was an increased choice using digital and peer-support pathways but this did not reduce the need for specialist support. The emotional burden and limitations for peer support to be used when the difficulties were complex were also reported by Cliffe et al. (2024), who identified that peer support could provide anonymity, familiarity and validation. There were also some differences between preferences for participants, with some preferring the use of digital contact, others face-to-face contact and some specialist support. The value of flexible provision is therefore most likely to lie with its ability to extend opportunities for access to care whilst at the same time maintaining the clear pathway to professional services.</w:t>
      </w:r>
    </w:p>
    <w:p w:rsidR="00FD3FBE" w:rsidRDefault="00FD3FBE" w:rsidP="00FD3FBE">
      <w:pPr>
        <w:pStyle w:val="Heading2"/>
      </w:pPr>
      <w:bookmarkStart w:id="61" w:name="_Toc238727209"/>
      <w:r>
        <w:t>Interpretation and Implications</w:t>
      </w:r>
      <w:bookmarkEnd w:id="61"/>
    </w:p>
    <w:p w:rsidR="00FD3FBE" w:rsidRDefault="00FD3FBE" w:rsidP="00FD3FBE">
      <w:r>
        <w:t xml:space="preserve">The Patient-Centred Access to Healthcare Framework allows for better understanding of the findings, which cannot be summarised simply as resulting from the people's willingness to access for assistance. Appropriateness was indicated by communication, continuity, service fit or appropriateness for the young adult; availability and </w:t>
      </w:r>
      <w:r>
        <w:lastRenderedPageBreak/>
        <w:t>accommodation by waiting, capacity, flexibility; acceptability by stigma and culture; and approachability by knowing where to go for services (Levesque, Harris and Russell 2013). The results indicate that all these dimensions are of a long-term nature. The young adult may initially be reluctant due to stigma, may not be clear on how to access, wait for information and then have a lack of personal contact on initial contact. This latter can occur although a number of the individual steps may have been stuck.</w:t>
      </w:r>
    </w:p>
    <w:p w:rsidR="00FD3FBE" w:rsidRDefault="00FD3FBE" w:rsidP="00FD3FBE">
      <w:r>
        <w:t>The pathway interpretation is of importance in practice. This does not mean that the waiting time will not be of detriment if a practitioner with whom the patient comes in contact is not supportive, nor does it mean that quicker referral will make much difference if the first contact with a practitioner is invalidating. Avoidable referral complexity should therefore be minimised, there should be consistent and clear communication during waiting, confidentiality and eligibility need to be explained and continuity of services should be provided where possible. Low threshold community/voluntary service pathways can offer earlier supports, but need to be resourced and have connections with specialist services. The most robust suggestion is that access is determined by young adults' ability to achieve appropriate access to care and a workable relationship with it, rather than just the referral or attendance.</w:t>
      </w:r>
    </w:p>
    <w:p w:rsidR="00FD3FBE" w:rsidRDefault="00FD3FBE" w:rsidP="00FD3FBE">
      <w:r>
        <w:t>Inequality also affects the nature of the experience of these barriers. Information may not be easy to understand, a service may not seem safe, the ability to stay in care may depend upon gender/ethnicity or cultural background and socioeconomic status of the person. Lowther-Payne et al. (2023) identified that access inequalities are inconsistently measured in the UK and Kapilashrami and Hankivsky (2018) highlighted the interplay between social positions and not their independent operation. Evidence for gender, for ethnicity and student status, was the strongest but evidence for a disability, care experience and young adults outside education was less complete. Apparent equality of referral procedures can lead to unequal engagement in practice where players need to overcome different practical and relational barriers to become engaged.</w:t>
      </w:r>
    </w:p>
    <w:p w:rsidR="00AE3CE1" w:rsidRDefault="00FD3FBE" w:rsidP="00FD3FBE">
      <w:r>
        <w:t xml:space="preserve">These barriers can lead to increased distress, decreased trust, re-experiencing challenging events and increased reliance on informal supports for young adults while awaiting formal supports. These consequences are significant because early withdrawal can be seen as an individual's lack of attendance and/or continuation, despite the challenges that may have been experienced on the pathway leading up to this. </w:t>
      </w:r>
      <w:r>
        <w:lastRenderedPageBreak/>
        <w:t>Understanding disengagement in this way moves from a blame culture approach towards looking at how the characteristics of service design and communication and relational practice can impact engagement in services. It also allows for earlier, more nuanced and more sophisticated responses to distress before the issues intensify or a sense of failure in professionals' capabilities to assist becomes entrenched</w:t>
      </w:r>
      <w:r w:rsidR="00AE3CE1">
        <w:t>.</w:t>
      </w:r>
    </w:p>
    <w:p w:rsidR="00AE3CE1" w:rsidRDefault="00AE3CE1" w:rsidP="00AE3CE1">
      <w:pPr>
        <w:pStyle w:val="Heading2"/>
      </w:pPr>
      <w:bookmarkStart w:id="62" w:name="_Toc238727210"/>
      <w:r>
        <w:rPr>
          <w:rFonts w:eastAsia="Arial"/>
        </w:rPr>
        <w:t>Strengths and Limitations</w:t>
      </w:r>
      <w:bookmarkEnd w:id="62"/>
    </w:p>
    <w:p w:rsidR="00AE3CE1" w:rsidRDefault="00AE3CE1" w:rsidP="00AE3CE1">
      <w:r>
        <w:t>The review brought together qualitative evidence across statutory, university, voluntary-sector, community-hub and digital settings and connected barriers across need recognition, help-seeking, referral, waiting, first contact and early engagement. This allowed recurring mechanisms such as rejection, uncertainty, mistrust and service fit to be compared across contexts. However, most included studies were conducted in England, several involved students or people already connected to support, and some used broader age ranges than 18 to 25. Small qualitative samples were common, and young adults who never reached services were less visible. The synthesis is therefore strongest in explaining patterns and mechanisms rather than estimating how common each barrier is across the UK young-adult population.</w:t>
      </w:r>
    </w:p>
    <w:p w:rsidR="00AE3CE1" w:rsidRDefault="00AE3CE1">
      <w:pPr>
        <w:spacing w:after="160"/>
        <w:jc w:val="left"/>
      </w:pPr>
      <w:r>
        <w:br w:type="page"/>
      </w:r>
    </w:p>
    <w:p w:rsidR="00AE3CE1" w:rsidRDefault="00AE3CE1" w:rsidP="00AE3CE1">
      <w:pPr>
        <w:pStyle w:val="Heading1"/>
      </w:pPr>
      <w:bookmarkStart w:id="63" w:name="_Toc238727211"/>
      <w:r>
        <w:rPr>
          <w:rFonts w:eastAsia="Arial"/>
        </w:rPr>
        <w:lastRenderedPageBreak/>
        <w:t>Conclusion and Recommendations</w:t>
      </w:r>
      <w:bookmarkEnd w:id="63"/>
    </w:p>
    <w:p w:rsidR="00AE3CE1" w:rsidRDefault="00AE3CE1" w:rsidP="00AE3CE1">
      <w:pPr>
        <w:pStyle w:val="Heading2"/>
      </w:pPr>
      <w:bookmarkStart w:id="64" w:name="_Toc238727212"/>
      <w:r>
        <w:rPr>
          <w:rFonts w:eastAsia="Arial"/>
        </w:rPr>
        <w:t>Implications of Findings</w:t>
      </w:r>
      <w:bookmarkEnd w:id="64"/>
    </w:p>
    <w:p w:rsidR="003B664C" w:rsidRDefault="003B664C" w:rsidP="003B664C">
      <w:r>
        <w:t>Barriers to access and early engagement were not singular but rather the result of a complex interplay of structural, relational, social, cultural and identity-related barriers. Waiting, strict eligibility criteria and disjointed pathways may lead to a loss of confidence prior to the start of care and a lack of communication or an invalidating first experience may further erode trust. Stigma, self-reliance, cultural expectations and concern about judgement were factors that affected the seeking of help, and the impact of these factors was partly dependent on the understandability, flexibility and responsiveness of services. Meaningful access was thus not just about referral or attendance, but also about knowing the pathway, having trust in the service and feeling that the support was right for them.</w:t>
      </w:r>
    </w:p>
    <w:p w:rsidR="00AE3CE1" w:rsidRDefault="003B664C" w:rsidP="003B664C">
      <w:r>
        <w:t>Results suggest that early disengagement may be a result of a combination of barriers. A young adult might be reluctant to share distress, might not know where to go for help, might wait for information, and might receive help that is impersonal or not a good fit. On the other hand, self-referral, good communication, continuity, youth-friendly environments and flexible community support can help to minimize the effort needed to stay engaged. The practical implication is that access needs to be addressed along the entire pathway and not at a single access point</w:t>
      </w:r>
      <w:r w:rsidR="00AE3CE1">
        <w:t>.</w:t>
      </w:r>
    </w:p>
    <w:p w:rsidR="00AE3CE1" w:rsidRDefault="00AE3CE1" w:rsidP="00AE3CE1">
      <w:pPr>
        <w:pStyle w:val="Heading2"/>
      </w:pPr>
      <w:bookmarkStart w:id="65" w:name="_Toc238727213"/>
      <w:r>
        <w:rPr>
          <w:rFonts w:eastAsia="Arial"/>
        </w:rPr>
        <w:t>Recommendations for Practice</w:t>
      </w:r>
      <w:bookmarkEnd w:id="65"/>
    </w:p>
    <w:p w:rsidR="00AE3CE1" w:rsidRDefault="00AE3CE1" w:rsidP="00AE3CE1">
      <w:pPr>
        <w:pStyle w:val="ListParagraph"/>
        <w:numPr>
          <w:ilvl w:val="0"/>
          <w:numId w:val="4"/>
        </w:numPr>
      </w:pPr>
      <w:r w:rsidRPr="00AE3CE1">
        <w:rPr>
          <w:b/>
        </w:rPr>
        <w:t xml:space="preserve">Improve referral clarity and continuity. </w:t>
      </w:r>
      <w:r>
        <w:t>Services should provide clear information about eligibility, referral outcomes and the next available route to support. A declined referral should include an appropriate alternative rather than requiring the young adult to restart the process independently.</w:t>
      </w:r>
    </w:p>
    <w:p w:rsidR="00AE3CE1" w:rsidRDefault="00AE3CE1" w:rsidP="00AE3CE1">
      <w:pPr>
        <w:pStyle w:val="ListParagraph"/>
        <w:numPr>
          <w:ilvl w:val="0"/>
          <w:numId w:val="4"/>
        </w:numPr>
      </w:pPr>
      <w:r w:rsidRPr="00AE3CE1">
        <w:rPr>
          <w:b/>
        </w:rPr>
        <w:t xml:space="preserve">Provide active support during waiting periods. </w:t>
      </w:r>
      <w:r>
        <w:t>Young adults should receive realistic information about expected waiting, updates when circumstances change and suitable interim support where possible so that waiting does not become an inactive period of uncertainty.</w:t>
      </w:r>
    </w:p>
    <w:p w:rsidR="00AE3CE1" w:rsidRDefault="00AE3CE1" w:rsidP="00AE3CE1">
      <w:pPr>
        <w:pStyle w:val="ListParagraph"/>
        <w:numPr>
          <w:ilvl w:val="0"/>
          <w:numId w:val="4"/>
        </w:numPr>
      </w:pPr>
      <w:r w:rsidRPr="00AE3CE1">
        <w:rPr>
          <w:b/>
        </w:rPr>
        <w:t xml:space="preserve">Strengthen youth-friendly first contact. </w:t>
      </w:r>
      <w:r>
        <w:t xml:space="preserve">Initial assessment should prioritise respectful communication, clear explanation of confidentiality and sufficient </w:t>
      </w:r>
      <w:r>
        <w:lastRenderedPageBreak/>
        <w:t>opportunity for the young adult to describe concerns. First contact should be treated as a key stage of engagement.</w:t>
      </w:r>
    </w:p>
    <w:p w:rsidR="00AE3CE1" w:rsidRDefault="00AE3CE1" w:rsidP="00AE3CE1">
      <w:pPr>
        <w:pStyle w:val="ListParagraph"/>
        <w:numPr>
          <w:ilvl w:val="0"/>
          <w:numId w:val="4"/>
        </w:numPr>
      </w:pPr>
      <w:r w:rsidRPr="00AE3CE1">
        <w:rPr>
          <w:b/>
        </w:rPr>
        <w:t xml:space="preserve">Increase flexibility and low-threshold community access. </w:t>
      </w:r>
      <w:r>
        <w:t>Self-referral, flexible appointment arrangements, community locations and youth-centred environments should be used where appropriate to reduce unnecessary steps between recognising a need and receiving support.</w:t>
      </w:r>
    </w:p>
    <w:p w:rsidR="00AE3CE1" w:rsidRDefault="00AE3CE1" w:rsidP="00AE3CE1">
      <w:pPr>
        <w:pStyle w:val="ListParagraph"/>
        <w:numPr>
          <w:ilvl w:val="0"/>
          <w:numId w:val="4"/>
        </w:numPr>
      </w:pPr>
      <w:r w:rsidRPr="00AE3CE1">
        <w:rPr>
          <w:b/>
        </w:rPr>
        <w:t xml:space="preserve">Improve cultural responsiveness and accessibility. </w:t>
      </w:r>
      <w:r>
        <w:t>Information and care pathways should be understandable and responsive to language, disability, digital access, socioeconomic circumstances and different cultural meanings of distress without relying on assumptions about particular groups.</w:t>
      </w:r>
    </w:p>
    <w:p w:rsidR="00AE3CE1" w:rsidRDefault="00AE3CE1" w:rsidP="00AE3CE1">
      <w:pPr>
        <w:pStyle w:val="ListParagraph"/>
        <w:numPr>
          <w:ilvl w:val="0"/>
          <w:numId w:val="4"/>
        </w:numPr>
      </w:pPr>
      <w:r w:rsidRPr="00AE3CE1">
        <w:rPr>
          <w:b/>
        </w:rPr>
        <w:t xml:space="preserve">Connect community, voluntary, university and specialist provision. </w:t>
      </w:r>
      <w:r>
        <w:t>Early-support services should complement rather than replace specialist care. Clear escalation and referral links are needed so that young adults can move between levels of support without repeating the full access process.</w:t>
      </w:r>
    </w:p>
    <w:p w:rsidR="00AE3CE1" w:rsidRDefault="00AE3CE1" w:rsidP="00AE3CE1">
      <w:pPr>
        <w:pStyle w:val="Heading2"/>
      </w:pPr>
      <w:bookmarkStart w:id="66" w:name="_Toc238727214"/>
      <w:r>
        <w:rPr>
          <w:rFonts w:eastAsia="Arial"/>
        </w:rPr>
        <w:t>Recommendations for Future Research</w:t>
      </w:r>
      <w:bookmarkEnd w:id="66"/>
    </w:p>
    <w:p w:rsidR="00AE3CE1" w:rsidRDefault="00AE3CE1" w:rsidP="00AE3CE1">
      <w:r>
        <w:t>Future research should give greater attention to young adults who seek help but never reach a service, those who disengage before assessment and those outside universities or established support networks. More evidence from Scotland, Wales and Northern Ireland is needed to balance the predominantly English literature. Disability, socioeconomic disadvantage, care experience, migration and the interaction between these factors also require stronger representation.</w:t>
      </w:r>
    </w:p>
    <w:p w:rsidR="00AE3CE1" w:rsidRDefault="00AE3CE1" w:rsidP="00AE3CE1">
      <w:r>
        <w:t>Longitudinal research could examine how referral, waiting and first-contact experiences influence later service use rather than relying mainly on retrospective accounts. Evaluations of Early Support Hubs, voluntary-sector models and digital or peer-support routes should assess continuity, equity and movement into appropriate specialist care as well as satisfaction.</w:t>
      </w:r>
    </w:p>
    <w:p w:rsidR="00AE3CE1" w:rsidRDefault="00AE3CE1" w:rsidP="00AE3CE1">
      <w:pPr>
        <w:pStyle w:val="Heading2"/>
      </w:pPr>
      <w:bookmarkStart w:id="67" w:name="_Toc238727215"/>
      <w:r>
        <w:rPr>
          <w:rFonts w:eastAsia="Arial"/>
        </w:rPr>
        <w:t>Conclusion</w:t>
      </w:r>
      <w:bookmarkEnd w:id="67"/>
    </w:p>
    <w:p w:rsidR="00AE3CE1" w:rsidRDefault="00AE3CE1" w:rsidP="00AE3CE1">
      <w:r>
        <w:t xml:space="preserve">The qualitative systematic review concludes that barriers to community-based mental health support for young adults in the United Kingdom operate across a connected access-to-engagement pathway. Structural organisation influences whether help can be reached, social and cultural factors influence whether it is sought, and relational experiences influence whether contact develops into continued engagement. Waiting, </w:t>
      </w:r>
      <w:r>
        <w:lastRenderedPageBreak/>
        <w:t>thresholds, fragmented referral systems and poor communication can interact with stigma, self-reliance and mistrust, making disengagement an understandable response to repeated obstacles rather than evidence that a young adult does not want help.</w:t>
      </w:r>
    </w:p>
    <w:p w:rsidR="003B664C" w:rsidRDefault="003B664C" w:rsidP="003B664C">
      <w:r>
        <w:t>The evidence also yields clear conclusions for the main areas covered by the review. There can be a lack of continuity and a loss of trust even when help is sought due to waiting, eligibility criteria and service organisation. Stigma, cultural beliefs and past service experiences impact disclosure and trust, which is dependent on the credibility and respectfulness of services. Gender, ethnicity, student status and socioeconomic factors can interact and change the nature of the practical and relational barriers. These findings suggest that a service response that is both structurally and relationally and culturally responsive is needed instead of an individual responsibility to access.</w:t>
      </w:r>
    </w:p>
    <w:p w:rsidR="00AE3CE1" w:rsidRDefault="003B664C" w:rsidP="003B664C">
      <w:r>
        <w:t>The best overall conclusion is that access should be considered in terms of the ability of young adults to access appropriate support and to establish a workable relationship with it, rather than whether a referral or appointment is made. Services that are more likely to support early engagement have clear pathways, actively manage waiting, have a respectful first contact and flexible provision that can adapt to varying social and cultural situations. Linking statutory, community, voluntary, university and digital pathways and ensuring good access to specialist care provides the best foundation for earlier and more equitable engagement</w:t>
      </w:r>
      <w:r w:rsidR="00AE3CE1">
        <w:t>.</w:t>
      </w:r>
    </w:p>
    <w:p w:rsidR="00AE3CE1" w:rsidRDefault="00AE3CE1">
      <w:pPr>
        <w:spacing w:after="160"/>
        <w:jc w:val="left"/>
        <w:rPr>
          <w:rFonts w:eastAsiaTheme="majorEastAsia" w:cstheme="majorBidi"/>
          <w:b/>
          <w:color w:val="000000" w:themeColor="text1"/>
          <w:sz w:val="32"/>
          <w:szCs w:val="40"/>
        </w:rPr>
      </w:pPr>
      <w:r>
        <w:br w:type="page"/>
      </w:r>
    </w:p>
    <w:p w:rsidR="00AE3CE1" w:rsidRDefault="00AE3CE1" w:rsidP="001F47A0">
      <w:pPr>
        <w:pStyle w:val="Heading1"/>
        <w:numPr>
          <w:ilvl w:val="0"/>
          <w:numId w:val="0"/>
        </w:numPr>
        <w:jc w:val="both"/>
      </w:pPr>
      <w:bookmarkStart w:id="68" w:name="_Toc238727216"/>
      <w:r>
        <w:rPr>
          <w:rFonts w:eastAsia="Arial"/>
        </w:rPr>
        <w:lastRenderedPageBreak/>
        <w:t>References</w:t>
      </w:r>
      <w:bookmarkEnd w:id="68"/>
    </w:p>
    <w:p w:rsidR="00867166" w:rsidRDefault="00867166" w:rsidP="001F47A0">
      <w:pPr>
        <w:spacing w:after="120"/>
        <w:ind w:left="720" w:hanging="720"/>
      </w:pPr>
      <w:r>
        <w:t xml:space="preserve">Aguirre Velasco, A., Silva Santa Cruz, I., Billings, J., Jimenez, M. and Rowe, S. (2020) ‘What are the barriers, facilitators and interventions targeting help-seeking behaviours for common mental health problems in adolescents? A systematic review’, </w:t>
      </w:r>
      <w:r>
        <w:rPr>
          <w:rStyle w:val="Emphasis"/>
        </w:rPr>
        <w:t>BMC Psychiatry</w:t>
      </w:r>
      <w:r>
        <w:t xml:space="preserve">, 20, 293. Available at: </w:t>
      </w:r>
      <w:hyperlink r:id="rId11" w:history="1">
        <w:r>
          <w:rPr>
            <w:rStyle w:val="Hyperlink"/>
          </w:rPr>
          <w:t>https://doi.org/10.1186/s12888-020-02659-0</w:t>
        </w:r>
      </w:hyperlink>
      <w:r>
        <w:t>.</w:t>
      </w:r>
    </w:p>
    <w:p w:rsidR="00867166" w:rsidRDefault="00867166" w:rsidP="001F47A0">
      <w:pPr>
        <w:spacing w:after="120"/>
        <w:ind w:left="720" w:hanging="720"/>
      </w:pPr>
      <w:r>
        <w:t xml:space="preserve">Anderson, J., Howarth, E., Vainre, M., Jones, P.B. and Humphrey, A. (2017) ‘A scoping literature review of service-level barriers for access and engagement with mental health services for children and young people’, </w:t>
      </w:r>
      <w:r>
        <w:rPr>
          <w:rStyle w:val="Emphasis"/>
        </w:rPr>
        <w:t>Children and Youth Services Review</w:t>
      </w:r>
      <w:r>
        <w:t xml:space="preserve">, 77, pp. 164–176. Available at: </w:t>
      </w:r>
      <w:hyperlink r:id="rId12" w:history="1">
        <w:r>
          <w:rPr>
            <w:rStyle w:val="Hyperlink"/>
          </w:rPr>
          <w:t>https://doi.org/10.1016/j.childyouth.2017.04.017</w:t>
        </w:r>
      </w:hyperlink>
      <w:r>
        <w:t>.</w:t>
      </w:r>
    </w:p>
    <w:p w:rsidR="00867166" w:rsidRDefault="00867166" w:rsidP="001F47A0">
      <w:pPr>
        <w:spacing w:after="120"/>
        <w:ind w:left="720" w:hanging="720"/>
      </w:pPr>
      <w:r>
        <w:t xml:space="preserve">Appleton, R., Connell, C., Fairclough, E., Tuomainen, H. and Singh, S.P. (2019) ‘Outcomes of young people who reach the transition boundary of child and adolescent mental health services: a systematic review’, </w:t>
      </w:r>
      <w:r>
        <w:rPr>
          <w:rStyle w:val="Emphasis"/>
        </w:rPr>
        <w:t>European Child &amp; Adolescent Psychiatry</w:t>
      </w:r>
      <w:r>
        <w:t xml:space="preserve">, 28(11), pp. 1431–1446. Available at: </w:t>
      </w:r>
      <w:hyperlink r:id="rId13" w:history="1">
        <w:r>
          <w:rPr>
            <w:rStyle w:val="Hyperlink"/>
          </w:rPr>
          <w:t>https://doi.org/10.1007/s00787-019-01307-7</w:t>
        </w:r>
      </w:hyperlink>
      <w:r>
        <w:t>.</w:t>
      </w:r>
    </w:p>
    <w:p w:rsidR="00867166" w:rsidRDefault="00867166" w:rsidP="001F47A0">
      <w:pPr>
        <w:spacing w:after="120"/>
        <w:ind w:left="720" w:hanging="720"/>
      </w:pPr>
      <w:r>
        <w:t xml:space="preserve">Appleton, R., Elahi, F., Tuomainen, H., Canaway, A. and Singh, S.P. (2021) ‘I’m just a long history of people rejecting referrals’: experiences of young people who fell through the gap between child and adult mental health services’, </w:t>
      </w:r>
      <w:r>
        <w:rPr>
          <w:rStyle w:val="Emphasis"/>
        </w:rPr>
        <w:t>European Child &amp; Adolescent Psychiatry</w:t>
      </w:r>
      <w:r>
        <w:t xml:space="preserve">, 30(3), pp. 401–413. Available at: </w:t>
      </w:r>
      <w:hyperlink r:id="rId14" w:history="1">
        <w:r>
          <w:rPr>
            <w:rStyle w:val="Hyperlink"/>
          </w:rPr>
          <w:t>https://doi.org/10.1007/s00787-020-01526-3</w:t>
        </w:r>
      </w:hyperlink>
      <w:r>
        <w:t>.</w:t>
      </w:r>
    </w:p>
    <w:p w:rsidR="00867166" w:rsidRDefault="00867166" w:rsidP="001F47A0">
      <w:pPr>
        <w:spacing w:after="120"/>
        <w:ind w:left="720" w:hanging="720"/>
      </w:pPr>
      <w:r>
        <w:t xml:space="preserve">Aromataris, E., Lockwood, C., Porritt, K., Pilla, B. and Jordan, Z. (eds.) (2024) </w:t>
      </w:r>
      <w:r>
        <w:rPr>
          <w:rStyle w:val="Emphasis"/>
        </w:rPr>
        <w:t>JBI Manual for Evidence Synthesis</w:t>
      </w:r>
      <w:r>
        <w:t xml:space="preserve">. Adelaide: JBI. Available at: </w:t>
      </w:r>
      <w:hyperlink r:id="rId15" w:history="1">
        <w:r>
          <w:rPr>
            <w:rStyle w:val="Hyperlink"/>
          </w:rPr>
          <w:t>https://synthesismanual.jbi.global/</w:t>
        </w:r>
      </w:hyperlink>
      <w:r>
        <w:t xml:space="preserve"> (Accessed: 22 July 2026).</w:t>
      </w:r>
    </w:p>
    <w:p w:rsidR="00867166" w:rsidRDefault="00867166" w:rsidP="001F47A0">
      <w:pPr>
        <w:spacing w:after="120"/>
        <w:ind w:left="720" w:hanging="720"/>
      </w:pPr>
      <w:r>
        <w:t xml:space="preserve">Atkins, S., Lewin, S., Smith, H., Engel, M., Fretheim, A. and Volmink, J. (2008) ‘Conducting a meta-ethnography of qualitative literature: lessons learnt’, </w:t>
      </w:r>
      <w:r>
        <w:rPr>
          <w:rStyle w:val="Emphasis"/>
        </w:rPr>
        <w:t>BMC Medical Research Methodology</w:t>
      </w:r>
      <w:r>
        <w:t xml:space="preserve">, 8, 21. Available at: </w:t>
      </w:r>
      <w:hyperlink r:id="rId16" w:history="1">
        <w:r>
          <w:rPr>
            <w:rStyle w:val="Hyperlink"/>
          </w:rPr>
          <w:t>https://doi.org/10.1186/1471-2288-8-21</w:t>
        </w:r>
      </w:hyperlink>
      <w:r>
        <w:t>.</w:t>
      </w:r>
    </w:p>
    <w:p w:rsidR="00867166" w:rsidRDefault="00867166" w:rsidP="001F47A0">
      <w:pPr>
        <w:spacing w:after="120"/>
        <w:ind w:left="720" w:hanging="720"/>
      </w:pPr>
      <w:r>
        <w:t xml:space="preserve">Auerbach, R.P., Mortier, P., Bruffaerts, R., Alonso, J., Benjet, C., Cuijpers, P., Demyttenaere, K., Ebert, D.D., Green, J.G., Hasking, P., Murray, E., Nock, M.K., Pinder-Amaker, S., Sampson, N.A., Stein, D.J., Vilagut, G., Zaslavsky, A.M. and </w:t>
      </w:r>
      <w:r>
        <w:lastRenderedPageBreak/>
        <w:t xml:space="preserve">Kessler, R.C. (2018) ‘WHO World Mental Health Surveys International College Student Project: prevalence and distribution of mental disorders’, </w:t>
      </w:r>
      <w:r>
        <w:rPr>
          <w:rStyle w:val="Emphasis"/>
        </w:rPr>
        <w:t>Journal of Abnormal Psychology</w:t>
      </w:r>
      <w:r>
        <w:t xml:space="preserve">, 127(7), pp. 623–638. Available at: </w:t>
      </w:r>
      <w:hyperlink r:id="rId17" w:history="1">
        <w:r>
          <w:rPr>
            <w:rStyle w:val="Hyperlink"/>
          </w:rPr>
          <w:t>https://doi.org/10.1037/abn0000362</w:t>
        </w:r>
      </w:hyperlink>
      <w:r>
        <w:t>.</w:t>
      </w:r>
    </w:p>
    <w:p w:rsidR="00867166" w:rsidRDefault="00867166" w:rsidP="001F47A0">
      <w:pPr>
        <w:spacing w:after="120"/>
        <w:ind w:left="720" w:hanging="720"/>
      </w:pPr>
      <w:r>
        <w:t xml:space="preserve">Barnett, P., Arundell, L.-L., Matthews, H., Saunders, R. and Pilling, S. (2021) ‘Five hours to sort out your life’: qualitative study of the experiences of university students who access mental health support’, </w:t>
      </w:r>
      <w:r>
        <w:rPr>
          <w:rStyle w:val="Emphasis"/>
        </w:rPr>
        <w:t>BJPsych Open</w:t>
      </w:r>
      <w:r>
        <w:t xml:space="preserve">, 7, e118. Available at: </w:t>
      </w:r>
      <w:hyperlink r:id="rId18" w:history="1">
        <w:r>
          <w:rPr>
            <w:rStyle w:val="Hyperlink"/>
          </w:rPr>
          <w:t>https://doi.org/10.1192/bjo.2021.947</w:t>
        </w:r>
      </w:hyperlink>
      <w:r>
        <w:t>.</w:t>
      </w:r>
    </w:p>
    <w:p w:rsidR="00867166" w:rsidRDefault="00867166" w:rsidP="001F47A0">
      <w:pPr>
        <w:spacing w:after="120"/>
        <w:ind w:left="720" w:hanging="720"/>
      </w:pPr>
      <w:r>
        <w:t xml:space="preserve">Barnett, P., Mackay, E., Matthews, H., Gate, R., Greenwood, H., Ariyo, K., Bhui, K., Halvorsrud, K., Pilling, S. and Smith, S. (2019) ‘Ethnic variations in compulsory detention under the Mental Health Act: a systematic review and meta-analysis of international data’, </w:t>
      </w:r>
      <w:r>
        <w:rPr>
          <w:rStyle w:val="Emphasis"/>
        </w:rPr>
        <w:t>The Lancet Psychiatry</w:t>
      </w:r>
      <w:r>
        <w:t xml:space="preserve">, 6(4), pp. 305–317. Available at: </w:t>
      </w:r>
      <w:hyperlink r:id="rId19" w:history="1">
        <w:r>
          <w:rPr>
            <w:rStyle w:val="Hyperlink"/>
          </w:rPr>
          <w:t>https://doi.org/10.1016/S2215-0366(19)30027-6</w:t>
        </w:r>
      </w:hyperlink>
      <w:r>
        <w:t>.</w:t>
      </w:r>
    </w:p>
    <w:p w:rsidR="00867166" w:rsidRDefault="00867166" w:rsidP="001F47A0">
      <w:pPr>
        <w:spacing w:after="120"/>
        <w:ind w:left="720" w:hanging="720"/>
      </w:pPr>
      <w:r>
        <w:t xml:space="preserve">Bauer, G.R. (2014) ‘Incorporating intersectionality theory into population health research methodology: challenges and the potential to advance health equity’, </w:t>
      </w:r>
      <w:r>
        <w:rPr>
          <w:rStyle w:val="Emphasis"/>
        </w:rPr>
        <w:t>Social Science &amp; Medicine</w:t>
      </w:r>
      <w:r>
        <w:t xml:space="preserve">, 110, pp. 10–17. Available at: </w:t>
      </w:r>
      <w:hyperlink r:id="rId20" w:history="1">
        <w:r>
          <w:rPr>
            <w:rStyle w:val="Hyperlink"/>
          </w:rPr>
          <w:t>https://doi.org/10.1016/j.socscimed.2014.03.022</w:t>
        </w:r>
      </w:hyperlink>
      <w:r>
        <w:t>.</w:t>
      </w:r>
    </w:p>
    <w:p w:rsidR="00867166" w:rsidRDefault="00867166" w:rsidP="001F47A0">
      <w:pPr>
        <w:spacing w:after="120"/>
        <w:ind w:left="720" w:hanging="720"/>
      </w:pPr>
      <w:r>
        <w:t xml:space="preserve">Bhaila, M., Sela, H. and Tribe, R. (2025) ‘A qualitative study to explore young second-generation British Pakistani men’s experiences of help-seeking when distressed’, </w:t>
      </w:r>
      <w:r>
        <w:rPr>
          <w:rStyle w:val="Emphasis"/>
        </w:rPr>
        <w:t>Geopsychiatry</w:t>
      </w:r>
      <w:r>
        <w:t xml:space="preserve">, 2, 100024. Available at: </w:t>
      </w:r>
      <w:hyperlink r:id="rId21" w:history="1">
        <w:r>
          <w:rPr>
            <w:rStyle w:val="Hyperlink"/>
          </w:rPr>
          <w:t>https://doi.org/10.1016/j.geopsy.2025.100024</w:t>
        </w:r>
      </w:hyperlink>
      <w:r>
        <w:t>.</w:t>
      </w:r>
    </w:p>
    <w:p w:rsidR="00867166" w:rsidRDefault="00867166" w:rsidP="001F47A0">
      <w:pPr>
        <w:spacing w:after="120"/>
        <w:ind w:left="720" w:hanging="720"/>
      </w:pPr>
      <w:r>
        <w:t xml:space="preserve">Booth, A., Sutton, A. and Papaioannou, D. (2016) </w:t>
      </w:r>
      <w:r>
        <w:rPr>
          <w:rStyle w:val="Emphasis"/>
        </w:rPr>
        <w:t>Systematic Approaches to a Successful Literature Review</w:t>
      </w:r>
      <w:r>
        <w:t>. 2nd edn. London: Sage.</w:t>
      </w:r>
    </w:p>
    <w:p w:rsidR="00867166" w:rsidRDefault="00867166" w:rsidP="001F47A0">
      <w:pPr>
        <w:spacing w:after="120"/>
        <w:ind w:left="720" w:hanging="720"/>
      </w:pPr>
      <w:r>
        <w:t xml:space="preserve">Borghouts, J., Eikey, E., Mark, G., De Leon, C., Schueller, S.M., Schneider, M., Stadnick, N., Zheng, K., Mukamel, D. and Sorkin, D.H. (2021) ‘Barriers to and facilitators of user engagement with digital mental health interventions: systematic review’, </w:t>
      </w:r>
      <w:r>
        <w:rPr>
          <w:rStyle w:val="Emphasis"/>
        </w:rPr>
        <w:t>Journal of Medical Internet Research</w:t>
      </w:r>
      <w:r>
        <w:t xml:space="preserve">, 23(3), e24387. Available at: </w:t>
      </w:r>
      <w:hyperlink r:id="rId22" w:history="1">
        <w:r>
          <w:rPr>
            <w:rStyle w:val="Hyperlink"/>
          </w:rPr>
          <w:t>https://doi.org/10.2196/24387</w:t>
        </w:r>
      </w:hyperlink>
      <w:r>
        <w:t>.</w:t>
      </w:r>
    </w:p>
    <w:p w:rsidR="00867166" w:rsidRDefault="00867166" w:rsidP="001F47A0">
      <w:pPr>
        <w:spacing w:after="120"/>
        <w:ind w:left="720" w:hanging="720"/>
      </w:pPr>
      <w:r>
        <w:t xml:space="preserve">Bowleg, L. (2012) ‘The problem with the phrase women and minorities: intersectionality—an important theoretical framework for public health’, </w:t>
      </w:r>
      <w:r>
        <w:rPr>
          <w:rStyle w:val="Emphasis"/>
        </w:rPr>
        <w:t>American Journal of Public Health</w:t>
      </w:r>
      <w:r>
        <w:t xml:space="preserve">, 102(7), pp. 1267–1273. Available at: </w:t>
      </w:r>
      <w:hyperlink r:id="rId23" w:history="1">
        <w:r>
          <w:rPr>
            <w:rStyle w:val="Hyperlink"/>
          </w:rPr>
          <w:t>https://doi.org/10.2105/AJPH.2012.300750</w:t>
        </w:r>
      </w:hyperlink>
      <w:r>
        <w:t>.</w:t>
      </w:r>
    </w:p>
    <w:p w:rsidR="00867166" w:rsidRDefault="00867166" w:rsidP="001F47A0">
      <w:pPr>
        <w:spacing w:after="120"/>
        <w:ind w:left="720" w:hanging="720"/>
      </w:pPr>
      <w:r>
        <w:lastRenderedPageBreak/>
        <w:t xml:space="preserve">Braun, V. and Clarke, V. (2006) ‘Using thematic analysis in psychology’, </w:t>
      </w:r>
      <w:r>
        <w:rPr>
          <w:rStyle w:val="Emphasis"/>
        </w:rPr>
        <w:t>Qualitative Research in Psychology</w:t>
      </w:r>
      <w:r>
        <w:t xml:space="preserve">, 3(2), pp. 77–101. Available at: </w:t>
      </w:r>
      <w:hyperlink r:id="rId24" w:history="1">
        <w:r>
          <w:rPr>
            <w:rStyle w:val="Hyperlink"/>
          </w:rPr>
          <w:t>https://doi.org/10.1191/1478088706qp063oa</w:t>
        </w:r>
      </w:hyperlink>
      <w:r>
        <w:t>.</w:t>
      </w:r>
    </w:p>
    <w:p w:rsidR="00867166" w:rsidRDefault="00867166" w:rsidP="001F47A0">
      <w:pPr>
        <w:spacing w:after="120"/>
        <w:ind w:left="720" w:hanging="720"/>
      </w:pPr>
      <w:r>
        <w:t xml:space="preserve">Braun, V. and Clarke, V. (2021) ‘One size fits all? What counts as quality practice in (reflexive) thematic analysis?’, </w:t>
      </w:r>
      <w:r>
        <w:rPr>
          <w:rStyle w:val="Emphasis"/>
        </w:rPr>
        <w:t>Qualitative Research in Psychology</w:t>
      </w:r>
      <w:r>
        <w:t xml:space="preserve">, 18(3), pp. 328–352. Available at: </w:t>
      </w:r>
      <w:hyperlink r:id="rId25" w:history="1">
        <w:r>
          <w:rPr>
            <w:rStyle w:val="Hyperlink"/>
          </w:rPr>
          <w:t>https://doi.org/10.1080/14780887.2020.1769238</w:t>
        </w:r>
      </w:hyperlink>
      <w:r>
        <w:t>.</w:t>
      </w:r>
    </w:p>
    <w:p w:rsidR="00867166" w:rsidRDefault="00867166" w:rsidP="001F47A0">
      <w:pPr>
        <w:spacing w:after="120"/>
        <w:ind w:left="720" w:hanging="720"/>
      </w:pPr>
      <w:r>
        <w:t xml:space="preserve">Bruffaerts, R., Mortier, P., Kiekens, G., Auerbach, R.P., Cuijpers, P., Demyttenaere, K., Green, J.G., Nock, M.K. and Kessler, R.C. (2018) ‘Mental health problems in college freshmen: prevalence and academic functioning’, </w:t>
      </w:r>
      <w:r>
        <w:rPr>
          <w:rStyle w:val="Emphasis"/>
        </w:rPr>
        <w:t>Journal of Affective Disorders</w:t>
      </w:r>
      <w:r>
        <w:t xml:space="preserve">, 225, pp. 97–103. Available at: </w:t>
      </w:r>
      <w:hyperlink r:id="rId26" w:history="1">
        <w:r>
          <w:rPr>
            <w:rStyle w:val="Hyperlink"/>
          </w:rPr>
          <w:t>https://doi.org/10.1016/j.jad.2017.07.044</w:t>
        </w:r>
      </w:hyperlink>
      <w:r>
        <w:t>.</w:t>
      </w:r>
    </w:p>
    <w:p w:rsidR="00867166" w:rsidRDefault="00867166" w:rsidP="001F47A0">
      <w:pPr>
        <w:spacing w:after="120"/>
        <w:ind w:left="720" w:hanging="720"/>
      </w:pPr>
      <w:r>
        <w:t xml:space="preserve">Burke, L., John, M. and Hanna, P. (2022) ‘A qualitative exploration of how young men in the UK perceive and experience informal help-seeking for mental health difficulties’, </w:t>
      </w:r>
      <w:r>
        <w:rPr>
          <w:rStyle w:val="Emphasis"/>
        </w:rPr>
        <w:t>Children and Youth Services Review</w:t>
      </w:r>
      <w:r>
        <w:t xml:space="preserve">, 137, 106440. Available at: </w:t>
      </w:r>
      <w:hyperlink r:id="rId27" w:history="1">
        <w:r>
          <w:rPr>
            <w:rStyle w:val="Hyperlink"/>
          </w:rPr>
          <w:t>https://doi.org/10.1016/j.childyouth.2022.106440</w:t>
        </w:r>
      </w:hyperlink>
      <w:r>
        <w:t>.</w:t>
      </w:r>
    </w:p>
    <w:p w:rsidR="00867166" w:rsidRDefault="00867166" w:rsidP="001F47A0">
      <w:pPr>
        <w:spacing w:after="120"/>
        <w:ind w:left="720" w:hanging="720"/>
      </w:pPr>
      <w:r>
        <w:t xml:space="preserve">Byrom, N.C., Batchelor, R., Warner, H. and Stevenson, A. (2022) ‘Seeking support for an eating disorder: a qualitative analysis of the university student experience - accessibility of support for students’, </w:t>
      </w:r>
      <w:r>
        <w:rPr>
          <w:rStyle w:val="Emphasis"/>
        </w:rPr>
        <w:t>Journal of Eating Disorders</w:t>
      </w:r>
      <w:r>
        <w:t xml:space="preserve">, 10, 33. Available at: </w:t>
      </w:r>
      <w:hyperlink r:id="rId28" w:history="1">
        <w:r>
          <w:rPr>
            <w:rStyle w:val="Hyperlink"/>
          </w:rPr>
          <w:t>https://doi.org/10.1186/s40337-022-00562-5</w:t>
        </w:r>
      </w:hyperlink>
      <w:r>
        <w:t>.</w:t>
      </w:r>
    </w:p>
    <w:p w:rsidR="00867166" w:rsidRDefault="00867166" w:rsidP="001F47A0">
      <w:pPr>
        <w:spacing w:after="120"/>
        <w:ind w:left="720" w:hanging="720"/>
      </w:pPr>
      <w:r>
        <w:t xml:space="preserve">Carroll, C., Booth, A. and Lloyd-Jones, M. (2012) ‘Should we exclude inadequately reported studies from qualitative systematic reviews? An evaluation of sensitivity analyses in two case study reviews’, </w:t>
      </w:r>
      <w:r>
        <w:rPr>
          <w:rStyle w:val="Emphasis"/>
        </w:rPr>
        <w:t>Qualitative Health Research</w:t>
      </w:r>
      <w:r>
        <w:t xml:space="preserve">, 22(10), pp. 1425–1434. Available at: </w:t>
      </w:r>
      <w:hyperlink r:id="rId29" w:history="1">
        <w:r>
          <w:rPr>
            <w:rStyle w:val="Hyperlink"/>
          </w:rPr>
          <w:t>https://doi.org/10.1177/1049732312452937</w:t>
        </w:r>
      </w:hyperlink>
      <w:r>
        <w:t>.</w:t>
      </w:r>
    </w:p>
    <w:p w:rsidR="00867166" w:rsidRDefault="00867166" w:rsidP="001F47A0">
      <w:pPr>
        <w:spacing w:after="120"/>
        <w:ind w:left="720" w:hanging="720"/>
      </w:pPr>
      <w:r>
        <w:t xml:space="preserve">CASP (2018) </w:t>
      </w:r>
      <w:r>
        <w:rPr>
          <w:rStyle w:val="Emphasis"/>
        </w:rPr>
        <w:t>CASP Qualitative Checklist</w:t>
      </w:r>
      <w:r>
        <w:t xml:space="preserve">. Oxford: Critical Appraisal Skills Programme. Available at: </w:t>
      </w:r>
      <w:hyperlink r:id="rId30" w:history="1">
        <w:r>
          <w:rPr>
            <w:rStyle w:val="Hyperlink"/>
          </w:rPr>
          <w:t>https://casp-uk.net/casp-tools-checklists/qualitative-studies-checklist/</w:t>
        </w:r>
      </w:hyperlink>
      <w:r>
        <w:t xml:space="preserve"> (Accessed: 22 July 2026).</w:t>
      </w:r>
    </w:p>
    <w:p w:rsidR="00867166" w:rsidRDefault="00867166" w:rsidP="001F47A0">
      <w:pPr>
        <w:spacing w:after="120"/>
        <w:ind w:left="720" w:hanging="720"/>
      </w:pPr>
      <w:r>
        <w:t xml:space="preserve">Clement, S., Schauman, O., Graham, T., Maggioni, F., Evans-Lacko, S., Bezborodovs, N., Morgan, C., Rüsch, N., Brown, J.S.L. and Thornicroft, G. (2015) ‘What is the impact of mental health-related stigma on help-seeking? A systematic review of quantitative and qualitative studies’, </w:t>
      </w:r>
      <w:r>
        <w:rPr>
          <w:rStyle w:val="Emphasis"/>
        </w:rPr>
        <w:t>Psychological Medicine</w:t>
      </w:r>
      <w:r>
        <w:t xml:space="preserve">, 45(1), pp. 11–27. Available at: </w:t>
      </w:r>
      <w:hyperlink r:id="rId31" w:history="1">
        <w:r>
          <w:rPr>
            <w:rStyle w:val="Hyperlink"/>
          </w:rPr>
          <w:t>https://doi.org/10.1017/S0033291714000129</w:t>
        </w:r>
      </w:hyperlink>
      <w:r>
        <w:t>.</w:t>
      </w:r>
    </w:p>
    <w:p w:rsidR="00867166" w:rsidRDefault="00867166" w:rsidP="001F47A0">
      <w:pPr>
        <w:spacing w:after="120"/>
        <w:ind w:left="720" w:hanging="720"/>
      </w:pPr>
      <w:r>
        <w:lastRenderedPageBreak/>
        <w:t xml:space="preserve">Cliffe, B., Linton, M.-J., Haime, Z. and Biddle, L. (2024) ‘Young adults’ experiences of using a young person’s mental health peer support app: a qualitative interview study’, </w:t>
      </w:r>
      <w:r>
        <w:rPr>
          <w:rStyle w:val="Emphasis"/>
        </w:rPr>
        <w:t>PLOS Digital Health</w:t>
      </w:r>
      <w:r>
        <w:t xml:space="preserve">, 3(7), e0000556. Available at: </w:t>
      </w:r>
      <w:hyperlink r:id="rId32" w:history="1">
        <w:r>
          <w:rPr>
            <w:rStyle w:val="Hyperlink"/>
          </w:rPr>
          <w:t>https://doi.org/10.1371/journal.pdig.0000556</w:t>
        </w:r>
      </w:hyperlink>
      <w:r>
        <w:t>.</w:t>
      </w:r>
    </w:p>
    <w:p w:rsidR="00867166" w:rsidRDefault="00867166" w:rsidP="001F47A0">
      <w:pPr>
        <w:spacing w:after="120"/>
        <w:ind w:left="720" w:hanging="720"/>
      </w:pPr>
      <w:r>
        <w:t xml:space="preserve">Creswell, J.W. and Creswell, J.D. (2018) </w:t>
      </w:r>
      <w:r>
        <w:rPr>
          <w:rStyle w:val="Emphasis"/>
        </w:rPr>
        <w:t>Research Design: Qualitative, Quantitative, and Mixed Methods Approaches</w:t>
      </w:r>
      <w:r>
        <w:t>. 5th edn. Thousand Oaks, CA: Sage.</w:t>
      </w:r>
    </w:p>
    <w:p w:rsidR="00867166" w:rsidRDefault="00867166" w:rsidP="001F47A0">
      <w:pPr>
        <w:spacing w:after="120"/>
        <w:ind w:left="720" w:hanging="720"/>
      </w:pPr>
      <w:r>
        <w:t xml:space="preserve">de Haan, A.M., Boon, A.E., de Jong, J.T.V.M., Hoeve, M. and Vermeiren, R.R.J.M. (2013) ‘A meta-analytic review on treatment dropout in child and adolescent outpatient mental health care’, </w:t>
      </w:r>
      <w:r>
        <w:rPr>
          <w:rStyle w:val="Emphasis"/>
        </w:rPr>
        <w:t>Clinical Psychology Review</w:t>
      </w:r>
      <w:r>
        <w:t xml:space="preserve">, 33(5), pp. 698–711. Available at: </w:t>
      </w:r>
      <w:hyperlink r:id="rId33" w:history="1">
        <w:r>
          <w:rPr>
            <w:rStyle w:val="Hyperlink"/>
          </w:rPr>
          <w:t>https://doi.org/10.1016/j.cpr.2013.04.005</w:t>
        </w:r>
      </w:hyperlink>
      <w:r>
        <w:t>.</w:t>
      </w:r>
    </w:p>
    <w:p w:rsidR="00867166" w:rsidRDefault="00867166" w:rsidP="001F47A0">
      <w:pPr>
        <w:spacing w:after="120"/>
        <w:ind w:left="720" w:hanging="720"/>
      </w:pPr>
      <w:r>
        <w:t xml:space="preserve">Ebert, D.D., Franke, M., Kählke, F., Küchler, A.-M., Bruffaerts, R., Mortier, P., Karyotaki, E., Alonso, J., Cuijpers, P., Berking, M., Auerbach, R.P., Kessler, R.C. and Baumeister, H. (2019) ‘Increasing intentions to use mental health services among university students: results of a pilot randomized controlled trial within the World Health Organization’s World Mental Health International College Student Initiative’, </w:t>
      </w:r>
      <w:r>
        <w:rPr>
          <w:rStyle w:val="Emphasis"/>
        </w:rPr>
        <w:t>International Journal of Methods in Psychiatric Research</w:t>
      </w:r>
      <w:r>
        <w:t xml:space="preserve">, 28(2), e1754. Available at: </w:t>
      </w:r>
      <w:hyperlink r:id="rId34" w:history="1">
        <w:r>
          <w:rPr>
            <w:rStyle w:val="Hyperlink"/>
          </w:rPr>
          <w:t>https://doi.org/10.1002/mpr.1754</w:t>
        </w:r>
      </w:hyperlink>
      <w:r>
        <w:t>.</w:t>
      </w:r>
    </w:p>
    <w:p w:rsidR="00867166" w:rsidRDefault="00867166" w:rsidP="001F47A0">
      <w:pPr>
        <w:spacing w:after="120"/>
        <w:ind w:left="720" w:hanging="720"/>
      </w:pPr>
      <w:r>
        <w:t xml:space="preserve">Eisenberg, D., Downs, M.F., Golberstein, E. and Zivin, K. (2009) ‘Stigma and help seeking for mental health among college students’, </w:t>
      </w:r>
      <w:r>
        <w:rPr>
          <w:rStyle w:val="Emphasis"/>
        </w:rPr>
        <w:t>Medical Care Research and Review</w:t>
      </w:r>
      <w:r>
        <w:t xml:space="preserve">, 66(5), pp. 522–541. Available at: </w:t>
      </w:r>
      <w:hyperlink r:id="rId35" w:history="1">
        <w:r>
          <w:rPr>
            <w:rStyle w:val="Hyperlink"/>
          </w:rPr>
          <w:t>https://doi.org/10.1177/1077558709335173</w:t>
        </w:r>
      </w:hyperlink>
      <w:r>
        <w:t>.</w:t>
      </w:r>
    </w:p>
    <w:p w:rsidR="00867166" w:rsidRDefault="00867166" w:rsidP="001F47A0">
      <w:pPr>
        <w:spacing w:after="120"/>
        <w:ind w:left="720" w:hanging="720"/>
      </w:pPr>
      <w:r>
        <w:t xml:space="preserve">Finlay, L. (2002) ‘Negotiating the swamp: the opportunity and challenge of reflexivity in research practice’, </w:t>
      </w:r>
      <w:r>
        <w:rPr>
          <w:rStyle w:val="Emphasis"/>
        </w:rPr>
        <w:t>Qualitative Research</w:t>
      </w:r>
      <w:r>
        <w:t xml:space="preserve">, 2(2), pp. 209–230. Available at: </w:t>
      </w:r>
      <w:hyperlink r:id="rId36" w:history="1">
        <w:r>
          <w:rPr>
            <w:rStyle w:val="Hyperlink"/>
          </w:rPr>
          <w:t>https://doi.org/10.1177/146879410200200205</w:t>
        </w:r>
      </w:hyperlink>
      <w:r>
        <w:t>.</w:t>
      </w:r>
    </w:p>
    <w:p w:rsidR="00867166" w:rsidRDefault="00867166" w:rsidP="001F47A0">
      <w:pPr>
        <w:spacing w:after="120"/>
        <w:ind w:left="720" w:hanging="720"/>
      </w:pPr>
      <w:r>
        <w:t xml:space="preserve">Fleming, T., Bavin, L., Lucassen, M., Stasiak, K., Hopkins, S. and Merry, S. (2018) ‘Beyond the trial: systematic review of real-world uptake and engagement with digital self-help interventions for depression, low mood, or anxiety’, </w:t>
      </w:r>
      <w:r>
        <w:rPr>
          <w:rStyle w:val="Emphasis"/>
        </w:rPr>
        <w:t>Journal of Medical Internet Research</w:t>
      </w:r>
      <w:r>
        <w:t xml:space="preserve">, 20(6), e199. Available at: </w:t>
      </w:r>
      <w:hyperlink r:id="rId37" w:history="1">
        <w:r>
          <w:rPr>
            <w:rStyle w:val="Hyperlink"/>
          </w:rPr>
          <w:t>https://doi.org/10.2196/jmir.9275</w:t>
        </w:r>
      </w:hyperlink>
      <w:r>
        <w:t>.</w:t>
      </w:r>
    </w:p>
    <w:p w:rsidR="00867166" w:rsidRDefault="00867166" w:rsidP="001F47A0">
      <w:pPr>
        <w:spacing w:after="120"/>
        <w:ind w:left="720" w:hanging="720"/>
      </w:pPr>
      <w:r>
        <w:t xml:space="preserve">Golberstein, E., Eisenberg, D. and Gollust, S.E. (2009) ‘Perceived stigma and help-seeking behavior: longitudinal evidence from the Healthy Minds Study’, </w:t>
      </w:r>
      <w:r>
        <w:rPr>
          <w:rStyle w:val="Emphasis"/>
        </w:rPr>
        <w:lastRenderedPageBreak/>
        <w:t>Psychiatric Services</w:t>
      </w:r>
      <w:r>
        <w:t xml:space="preserve">, 60(9), pp. 1254–1256. Available at: </w:t>
      </w:r>
      <w:hyperlink r:id="rId38" w:history="1">
        <w:r>
          <w:rPr>
            <w:rStyle w:val="Hyperlink"/>
          </w:rPr>
          <w:t>https://doi.org/10.1176/appi.ps.60.9.1254</w:t>
        </w:r>
      </w:hyperlink>
      <w:r>
        <w:t>.</w:t>
      </w:r>
    </w:p>
    <w:p w:rsidR="00867166" w:rsidRDefault="00867166" w:rsidP="001F47A0">
      <w:pPr>
        <w:spacing w:after="120"/>
        <w:ind w:left="720" w:hanging="720"/>
      </w:pPr>
      <w:r>
        <w:t xml:space="preserve">Gough, D., Oliver, S. and Thomas, J. (eds.) (2017) </w:t>
      </w:r>
      <w:r>
        <w:rPr>
          <w:rStyle w:val="Emphasis"/>
        </w:rPr>
        <w:t>An Introduction to Systematic Reviews</w:t>
      </w:r>
      <w:r>
        <w:t>. 2nd edn. London: Sage.</w:t>
      </w:r>
    </w:p>
    <w:p w:rsidR="00867166" w:rsidRDefault="00867166" w:rsidP="001F47A0">
      <w:pPr>
        <w:spacing w:after="120"/>
        <w:ind w:left="720" w:hanging="720"/>
      </w:pPr>
      <w:r>
        <w:t xml:space="preserve">Greer, B., Robotham, D., Simblett, S., Curtis, H., Griffiths, H. and Wykes, T. (2019) ‘Digital exclusion among mental health service users: qualitative investigation’, </w:t>
      </w:r>
      <w:r>
        <w:rPr>
          <w:rStyle w:val="Emphasis"/>
        </w:rPr>
        <w:t>Journal of Medical Internet Research</w:t>
      </w:r>
      <w:r>
        <w:t xml:space="preserve">, 21(1), e11696. Available at: </w:t>
      </w:r>
      <w:hyperlink r:id="rId39" w:history="1">
        <w:r>
          <w:rPr>
            <w:rStyle w:val="Hyperlink"/>
          </w:rPr>
          <w:t>https://doi.org/10.2196/11696</w:t>
        </w:r>
      </w:hyperlink>
      <w:r>
        <w:t>.</w:t>
      </w:r>
    </w:p>
    <w:p w:rsidR="00867166" w:rsidRDefault="00867166" w:rsidP="001F47A0">
      <w:pPr>
        <w:spacing w:after="120"/>
        <w:ind w:left="720" w:hanging="720"/>
      </w:pPr>
      <w:r>
        <w:t xml:space="preserve">Grice-Jackson, T., Glass, D., Berry, C., Michelson, D., Fowler, D. and Van Marwijk, H. (2026) ‘Youth mental health in vulnerable communities: barriers, facilitators, and place-based solutions - a situational analysis from England’s southeast coast’, </w:t>
      </w:r>
      <w:r>
        <w:rPr>
          <w:rStyle w:val="Emphasis"/>
        </w:rPr>
        <w:t>Journal of Prevention</w:t>
      </w:r>
      <w:r>
        <w:t xml:space="preserve">. Available at: </w:t>
      </w:r>
      <w:hyperlink r:id="rId40" w:history="1">
        <w:r>
          <w:rPr>
            <w:rStyle w:val="Hyperlink"/>
          </w:rPr>
          <w:t>https://doi.org/10.1007/s10935-026-00918-6</w:t>
        </w:r>
      </w:hyperlink>
      <w:r>
        <w:t>.</w:t>
      </w:r>
    </w:p>
    <w:p w:rsidR="00867166" w:rsidRDefault="00867166" w:rsidP="001F47A0">
      <w:pPr>
        <w:spacing w:after="120"/>
        <w:ind w:left="720" w:hanging="720"/>
      </w:pPr>
      <w:r>
        <w:t xml:space="preserve">Gulliver, A., Griffiths, K.M. and Christensen, H. (2010) ‘Perceived barriers and facilitators to mental health help-seeking in young people: a systematic review’, </w:t>
      </w:r>
      <w:r>
        <w:rPr>
          <w:rStyle w:val="Emphasis"/>
        </w:rPr>
        <w:t>BMC Psychiatry</w:t>
      </w:r>
      <w:r>
        <w:t xml:space="preserve">, 10, 113. Available at: </w:t>
      </w:r>
      <w:hyperlink r:id="rId41" w:history="1">
        <w:r>
          <w:rPr>
            <w:rStyle w:val="Hyperlink"/>
          </w:rPr>
          <w:t>https://doi.org/10.1186/1471-244X-10-113</w:t>
        </w:r>
      </w:hyperlink>
      <w:r>
        <w:t>.</w:t>
      </w:r>
    </w:p>
    <w:p w:rsidR="00867166" w:rsidRDefault="00867166" w:rsidP="001F47A0">
      <w:pPr>
        <w:spacing w:after="120"/>
        <w:ind w:left="720" w:hanging="720"/>
      </w:pPr>
      <w:r>
        <w:t xml:space="preserve">Hassan, S.M., Worsley, J., Nolan, L., Fearon, N., Ring, A., Shelton, J., McEgan, D., Yameen, F., Morasae Khedmati, E. and Kullu, C. (2022) ‘An exploration of young people’s, parent/carers’, and professionals’ experiences of a voluntary sector organisation operating a Youth Information, Advice, and Counselling (YIAC) model in a disadvantaged area’, </w:t>
      </w:r>
      <w:r>
        <w:rPr>
          <w:rStyle w:val="Emphasis"/>
        </w:rPr>
        <w:t>BMC Health Services Research</w:t>
      </w:r>
      <w:r>
        <w:t xml:space="preserve">, 22, 383. Available at: </w:t>
      </w:r>
      <w:hyperlink r:id="rId42" w:history="1">
        <w:r>
          <w:rPr>
            <w:rStyle w:val="Hyperlink"/>
          </w:rPr>
          <w:t>https://doi.org/10.1186/s12913-022-07800-1</w:t>
        </w:r>
      </w:hyperlink>
      <w:r>
        <w:t>.</w:t>
      </w:r>
    </w:p>
    <w:p w:rsidR="00867166" w:rsidRDefault="00867166" w:rsidP="001F47A0">
      <w:pPr>
        <w:spacing w:after="120"/>
        <w:ind w:left="720" w:hanging="720"/>
      </w:pPr>
      <w:r>
        <w:rPr>
          <w:i/>
        </w:rPr>
        <w:t xml:space="preserve">Hill, A., Wilde, S. and Tickle, A. (2019) ‘Transition from Child and Adolescent Mental Health Services (CAMHS) to Adult Mental Health Services (AMHS): a meta-synthesis of parental and professional perspectives’, </w:t>
      </w:r>
      <w:r>
        <w:rPr>
          <w:rStyle w:val="Emphasis"/>
        </w:rPr>
        <w:t>Child and Adolescent Mental Health</w:t>
      </w:r>
      <w:r>
        <w:t xml:space="preserve">, 24(4), pp. 295–306. Available at: </w:t>
      </w:r>
      <w:hyperlink r:id="rId43" w:history="1">
        <w:r>
          <w:rPr>
            <w:rStyle w:val="Hyperlink"/>
          </w:rPr>
          <w:t>https://doi.org/10.1111/camh.12339</w:t>
        </w:r>
      </w:hyperlink>
      <w:r>
        <w:t>.</w:t>
      </w:r>
    </w:p>
    <w:p w:rsidR="00867166" w:rsidRDefault="00867166" w:rsidP="001F47A0">
      <w:pPr>
        <w:spacing w:after="120"/>
        <w:ind w:left="720" w:hanging="720"/>
      </w:pPr>
      <w:r>
        <w:t xml:space="preserve">Hollis, C., Morriss, R., Martin, J., Amani, S., Cotton, R., Denis, M. and Lewis, S. (2015) ‘Technological innovations in mental healthcare: harnessing the digital revolution’, </w:t>
      </w:r>
      <w:r>
        <w:rPr>
          <w:rStyle w:val="Emphasis"/>
        </w:rPr>
        <w:t>British Journal of Psychiatry</w:t>
      </w:r>
      <w:r>
        <w:t xml:space="preserve">, 206(4), pp. 263–265. Available at: </w:t>
      </w:r>
      <w:hyperlink r:id="rId44" w:history="1">
        <w:r>
          <w:rPr>
            <w:rStyle w:val="Hyperlink"/>
          </w:rPr>
          <w:t>https://doi.org/10.1192/bjp.bp.113.142612</w:t>
        </w:r>
      </w:hyperlink>
      <w:r>
        <w:t>.</w:t>
      </w:r>
    </w:p>
    <w:p w:rsidR="00867166" w:rsidRDefault="00867166" w:rsidP="001F47A0">
      <w:pPr>
        <w:spacing w:after="120"/>
        <w:ind w:left="720" w:hanging="720"/>
      </w:pPr>
      <w:r>
        <w:lastRenderedPageBreak/>
        <w:t xml:space="preserve">Hong, Q.N., Pluye, P., Fàbregues, S., Bartlett, G., Boardman, F., Cargo, M., Dagenais, P., Gagnon, M.-P., Griffiths, F., Nicolau, B., O’Cathain, A., Rousseau, M.-C. and Vedel, I. (2018) ‘The Mixed Methods Appraisal Tool (MMAT) version 2018 for information professionals and researchers’, </w:t>
      </w:r>
      <w:r>
        <w:rPr>
          <w:rStyle w:val="Emphasis"/>
        </w:rPr>
        <w:t>Education for Information</w:t>
      </w:r>
      <w:r>
        <w:t xml:space="preserve">, 34(4), pp. 285–291. Available at: </w:t>
      </w:r>
      <w:hyperlink r:id="rId45" w:history="1">
        <w:r>
          <w:rPr>
            <w:rStyle w:val="Hyperlink"/>
          </w:rPr>
          <w:t>https://doi.org/10.3233/EFI-180221</w:t>
        </w:r>
      </w:hyperlink>
      <w:r>
        <w:t>.</w:t>
      </w:r>
    </w:p>
    <w:p w:rsidR="00867166" w:rsidRDefault="00867166" w:rsidP="001F47A0">
      <w:pPr>
        <w:spacing w:after="120"/>
        <w:ind w:left="720" w:hanging="720"/>
      </w:pPr>
      <w:r>
        <w:t xml:space="preserve">Hovish, K., Weaver, T., Islam, Z., Paul, M. and Singh, S.P. (2012) ‘Transition experiences of mental health service users, parents, and professionals in the United Kingdom: a qualitative study’, </w:t>
      </w:r>
      <w:r>
        <w:rPr>
          <w:rStyle w:val="Emphasis"/>
        </w:rPr>
        <w:t>Psychiatric Rehabilitation Journal</w:t>
      </w:r>
      <w:r>
        <w:t xml:space="preserve">, 35(3), pp. 251–257. Available at: </w:t>
      </w:r>
      <w:hyperlink r:id="rId46" w:history="1">
        <w:r>
          <w:rPr>
            <w:rStyle w:val="Hyperlink"/>
          </w:rPr>
          <w:t>https://doi.org/10.2975/35.3.2012.251.257</w:t>
        </w:r>
      </w:hyperlink>
      <w:r>
        <w:t>.</w:t>
      </w:r>
    </w:p>
    <w:p w:rsidR="00867166" w:rsidRDefault="00867166" w:rsidP="001F47A0">
      <w:pPr>
        <w:spacing w:after="120"/>
        <w:ind w:left="720" w:hanging="720"/>
      </w:pPr>
      <w:r>
        <w:t xml:space="preserve">Jones, S., Hassett, A. and Sclare, I. (2017) ‘Experiences of engaging with mental health services in 16- to 18-year-olds: an interpretative phenomenological analysis’, </w:t>
      </w:r>
      <w:r>
        <w:rPr>
          <w:rStyle w:val="Emphasis"/>
        </w:rPr>
        <w:t>SAGE Open</w:t>
      </w:r>
      <w:r>
        <w:t xml:space="preserve">, 7(3), pp. 1–14. Available at: </w:t>
      </w:r>
      <w:hyperlink r:id="rId47" w:history="1">
        <w:r>
          <w:rPr>
            <w:rStyle w:val="Hyperlink"/>
          </w:rPr>
          <w:t>https://doi.org/10.1177/2158244017719113</w:t>
        </w:r>
      </w:hyperlink>
      <w:r>
        <w:t>.</w:t>
      </w:r>
    </w:p>
    <w:p w:rsidR="00867166" w:rsidRDefault="00867166" w:rsidP="001F47A0">
      <w:pPr>
        <w:spacing w:after="120"/>
        <w:ind w:left="720" w:hanging="720"/>
      </w:pPr>
      <w:r>
        <w:t xml:space="preserve">Jorm, A.F. (2012) ‘Mental health literacy: empowering the community to take action for better mental health’, </w:t>
      </w:r>
      <w:r>
        <w:rPr>
          <w:rStyle w:val="Emphasis"/>
        </w:rPr>
        <w:t>American Psychologist</w:t>
      </w:r>
      <w:r>
        <w:t xml:space="preserve">, 67(3), pp. 231–243. Available at: </w:t>
      </w:r>
      <w:hyperlink r:id="rId48" w:history="1">
        <w:r>
          <w:rPr>
            <w:rStyle w:val="Hyperlink"/>
          </w:rPr>
          <w:t>https://doi.org/10.1037/a0025957</w:t>
        </w:r>
      </w:hyperlink>
      <w:r>
        <w:t>.</w:t>
      </w:r>
    </w:p>
    <w:p w:rsidR="00867166" w:rsidRDefault="00867166" w:rsidP="001F47A0">
      <w:pPr>
        <w:spacing w:after="120"/>
        <w:ind w:left="720" w:hanging="720"/>
      </w:pPr>
      <w:r>
        <w:t xml:space="preserve">Kapilashrami, A. and Hankivsky, O. (2018) ‘Intersectionality and why it matters to global health’, </w:t>
      </w:r>
      <w:r>
        <w:rPr>
          <w:rStyle w:val="Emphasis"/>
        </w:rPr>
        <w:t>The Lancet</w:t>
      </w:r>
      <w:r>
        <w:t xml:space="preserve">, 391(10140), pp. 2589–2591. Available at: </w:t>
      </w:r>
      <w:hyperlink r:id="rId49" w:history="1">
        <w:r>
          <w:rPr>
            <w:rStyle w:val="Hyperlink"/>
          </w:rPr>
          <w:t>https://doi.org/10.1016/S0140-6736(18)31431-4</w:t>
        </w:r>
      </w:hyperlink>
      <w:r>
        <w:t>.</w:t>
      </w:r>
    </w:p>
    <w:p w:rsidR="00867166" w:rsidRDefault="00867166" w:rsidP="001F47A0">
      <w:pPr>
        <w:spacing w:after="120"/>
        <w:ind w:left="720" w:hanging="720"/>
      </w:pPr>
      <w:r>
        <w:t xml:space="preserve">Karver, M.S., Handelsman, J.B., Fields, S. and Bickman, L. (2006) ‘Meta-analysis of therapeutic relationship variables in youth and family therapy: the evidence for different relationship variables in the child and adolescent treatment outcome literature’, </w:t>
      </w:r>
      <w:r>
        <w:rPr>
          <w:rStyle w:val="Emphasis"/>
        </w:rPr>
        <w:t>Clinical Psychology Review</w:t>
      </w:r>
      <w:r>
        <w:t xml:space="preserve">, 26(1), pp. 50–65. Available at: </w:t>
      </w:r>
      <w:hyperlink r:id="rId50" w:history="1">
        <w:r>
          <w:rPr>
            <w:rStyle w:val="Hyperlink"/>
          </w:rPr>
          <w:t>https://doi.org/10.1016/j.cpr.2005.09.001</w:t>
        </w:r>
      </w:hyperlink>
      <w:r>
        <w:t>.</w:t>
      </w:r>
    </w:p>
    <w:p w:rsidR="00867166" w:rsidRDefault="00867166" w:rsidP="001F47A0">
      <w:pPr>
        <w:spacing w:after="120"/>
        <w:ind w:left="720" w:hanging="720"/>
      </w:pPr>
      <w:r>
        <w:t xml:space="preserve">Kessler, R.C., Berglund, P., Demler, O., Jin, R., Merikangas, K.R. and Walters, E.E. (2005) ‘Lifetime prevalence and age-of-onset distributions of DSM-IV disorders in the National Comorbidity Survey Replication’, </w:t>
      </w:r>
      <w:r>
        <w:rPr>
          <w:rStyle w:val="Emphasis"/>
        </w:rPr>
        <w:t>Archives of General Psychiatry</w:t>
      </w:r>
      <w:r>
        <w:t xml:space="preserve">, 62(6), pp. 593–602. Available at: </w:t>
      </w:r>
      <w:hyperlink r:id="rId51" w:history="1">
        <w:r>
          <w:rPr>
            <w:rStyle w:val="Hyperlink"/>
          </w:rPr>
          <w:t>https://doi.org/10.1001/archpsyc.62.6.593</w:t>
        </w:r>
      </w:hyperlink>
      <w:r>
        <w:t>.</w:t>
      </w:r>
    </w:p>
    <w:p w:rsidR="00867166" w:rsidRDefault="00867166" w:rsidP="001F47A0">
      <w:pPr>
        <w:spacing w:after="120"/>
        <w:ind w:left="720" w:hanging="720"/>
      </w:pPr>
      <w:r>
        <w:t xml:space="preserve">Kirk, S., Fraser, C., Evans, N., Lane, R., Crooks, J., Naughton, G. and Pryjmachuk, S. (2023) ‘Perceptions of the key components of effective, acceptable and accessible services for children and young people experiencing common mental </w:t>
      </w:r>
      <w:r>
        <w:lastRenderedPageBreak/>
        <w:t xml:space="preserve">health problems: a qualitative study’, </w:t>
      </w:r>
      <w:r>
        <w:rPr>
          <w:rStyle w:val="Emphasis"/>
        </w:rPr>
        <w:t>BMC Health Services Research</w:t>
      </w:r>
      <w:r>
        <w:t xml:space="preserve">, 23, 391. Available at: </w:t>
      </w:r>
      <w:hyperlink r:id="rId52" w:history="1">
        <w:r>
          <w:rPr>
            <w:rStyle w:val="Hyperlink"/>
          </w:rPr>
          <w:t>https://doi.org/10.1186/s12913-023-09300-2</w:t>
        </w:r>
      </w:hyperlink>
      <w:r>
        <w:t>.</w:t>
      </w:r>
    </w:p>
    <w:p w:rsidR="00867166" w:rsidRDefault="00867166" w:rsidP="001F47A0">
      <w:pPr>
        <w:spacing w:after="120"/>
        <w:ind w:left="720" w:hanging="720"/>
      </w:pPr>
      <w:r>
        <w:t xml:space="preserve">Lattie, E.G., Adkins, E.C., Winquist, N., Stiles-Shields, C., Wafford, Q.E. and Graham, A.K. (2019) ‘Digital mental health interventions for depression, anxiety, and enhancement of psychological well-being among college students: systematic review’, </w:t>
      </w:r>
      <w:r>
        <w:rPr>
          <w:rStyle w:val="Emphasis"/>
        </w:rPr>
        <w:t>Journal of Medical Internet Research</w:t>
      </w:r>
      <w:r>
        <w:t xml:space="preserve">, 21(7), e12869. Available at: </w:t>
      </w:r>
      <w:hyperlink r:id="rId53" w:history="1">
        <w:r>
          <w:rPr>
            <w:rStyle w:val="Hyperlink"/>
          </w:rPr>
          <w:t>https://doi.org/10.2196/12869</w:t>
        </w:r>
      </w:hyperlink>
      <w:r>
        <w:t>.</w:t>
      </w:r>
    </w:p>
    <w:p w:rsidR="00867166" w:rsidRDefault="00867166" w:rsidP="001F47A0">
      <w:pPr>
        <w:spacing w:after="120"/>
        <w:ind w:left="720" w:hanging="720"/>
      </w:pPr>
      <w:r>
        <w:t xml:space="preserve">Levesque, J.-F., Harris, M.F. and Russell, G. (2013) ‘Patient-centred access to health care: conceptualising access at the interface of health systems and populations’, </w:t>
      </w:r>
      <w:r>
        <w:rPr>
          <w:rStyle w:val="Emphasis"/>
        </w:rPr>
        <w:t>International Journal for Equity in Health</w:t>
      </w:r>
      <w:r>
        <w:t xml:space="preserve">, 12, 18. Available at: </w:t>
      </w:r>
      <w:hyperlink r:id="rId54" w:history="1">
        <w:r>
          <w:rPr>
            <w:rStyle w:val="Hyperlink"/>
          </w:rPr>
          <w:t>https://doi.org/10.1186/1475-9276-12-18</w:t>
        </w:r>
      </w:hyperlink>
      <w:r>
        <w:t>.</w:t>
      </w:r>
    </w:p>
    <w:p w:rsidR="00867166" w:rsidRDefault="00867166" w:rsidP="001F47A0">
      <w:pPr>
        <w:spacing w:after="120"/>
        <w:ind w:left="720" w:hanging="720"/>
      </w:pPr>
      <w:r>
        <w:t xml:space="preserve">Lowther-Payne, H.J., Ushakova, A., Osman, M., Rains, L.S., Johnson, S. and Steare, T. (2023) ‘Understanding inequalities in access to adult mental health services in the UK: a systematic mapping review’, </w:t>
      </w:r>
      <w:r>
        <w:rPr>
          <w:rStyle w:val="Emphasis"/>
        </w:rPr>
        <w:t>BMC Health Services Research</w:t>
      </w:r>
      <w:r>
        <w:t xml:space="preserve">, 23, 1042. Available at: </w:t>
      </w:r>
      <w:hyperlink r:id="rId55" w:history="1">
        <w:r>
          <w:rPr>
            <w:rStyle w:val="Hyperlink"/>
          </w:rPr>
          <w:t>https://doi.org/10.1186/s12913-023-10030-8</w:t>
        </w:r>
      </w:hyperlink>
      <w:r>
        <w:t>.</w:t>
      </w:r>
    </w:p>
    <w:p w:rsidR="00867166" w:rsidRDefault="00867166" w:rsidP="001F47A0">
      <w:pPr>
        <w:spacing w:after="120"/>
        <w:ind w:left="720" w:hanging="720"/>
      </w:pPr>
      <w:r>
        <w:t xml:space="preserve">Macaskill, A. (2013) ‘The mental health of university students in the United Kingdom’, </w:t>
      </w:r>
      <w:r>
        <w:rPr>
          <w:rStyle w:val="Emphasis"/>
        </w:rPr>
        <w:t>British Journal of Guidance &amp; Counselling</w:t>
      </w:r>
      <w:r>
        <w:t xml:space="preserve">, 41(4), pp. 426–441. Available at: </w:t>
      </w:r>
      <w:hyperlink r:id="rId56" w:history="1">
        <w:r>
          <w:rPr>
            <w:rStyle w:val="Hyperlink"/>
          </w:rPr>
          <w:t>https://doi.org/10.1080/03069885.2012.743110</w:t>
        </w:r>
      </w:hyperlink>
      <w:r>
        <w:t>.</w:t>
      </w:r>
    </w:p>
    <w:p w:rsidR="00867166" w:rsidRDefault="00867166" w:rsidP="001F47A0">
      <w:pPr>
        <w:spacing w:after="120"/>
        <w:ind w:left="720" w:hanging="720"/>
      </w:pPr>
      <w:r>
        <w:t xml:space="preserve">Macdonald, G. and Lucas, P.J. (2025) ‘The barriers and facilitators to help-seeking: what young people in the UK say: a systematic review’, </w:t>
      </w:r>
      <w:r>
        <w:rPr>
          <w:rStyle w:val="Emphasis"/>
        </w:rPr>
        <w:t>The British Journal of Social Work</w:t>
      </w:r>
      <w:r>
        <w:t xml:space="preserve">. Available at: </w:t>
      </w:r>
      <w:hyperlink r:id="rId57" w:history="1">
        <w:r>
          <w:rPr>
            <w:rStyle w:val="Hyperlink"/>
          </w:rPr>
          <w:t>https://doi.org/10.1093/bjsw/bcaf278</w:t>
        </w:r>
      </w:hyperlink>
      <w:r>
        <w:t>.</w:t>
      </w:r>
    </w:p>
    <w:p w:rsidR="00867166" w:rsidRDefault="00867166" w:rsidP="001F47A0">
      <w:pPr>
        <w:spacing w:after="120"/>
        <w:ind w:left="720" w:hanging="720"/>
      </w:pPr>
      <w:r>
        <w:t xml:space="preserve">Malla, A., Iyer, S., McGorry, P., Cannon, M., Coughlan, H., Singh, S., Jones, P. and Joober, R. (2016) ‘From early intervention in psychosis to youth mental health reform: a review of the evolution and transformation of mental health services for young people’, </w:t>
      </w:r>
      <w:r>
        <w:rPr>
          <w:rStyle w:val="Emphasis"/>
        </w:rPr>
        <w:t>Social Psychiatry and Psychiatric Epidemiology</w:t>
      </w:r>
      <w:r>
        <w:t xml:space="preserve">, 51(3), pp. 319–326. Available at: </w:t>
      </w:r>
      <w:hyperlink r:id="rId58" w:history="1">
        <w:r>
          <w:rPr>
            <w:rStyle w:val="Hyperlink"/>
          </w:rPr>
          <w:t>https://doi.org/10.1007/s00127-015-1165-4</w:t>
        </w:r>
      </w:hyperlink>
      <w:r>
        <w:t>.</w:t>
      </w:r>
    </w:p>
    <w:p w:rsidR="00867166" w:rsidRDefault="00867166" w:rsidP="001F47A0">
      <w:pPr>
        <w:spacing w:after="120"/>
        <w:ind w:left="720" w:hanging="720"/>
      </w:pPr>
      <w:r>
        <w:t xml:space="preserve">Malterud, K. (2001) ‘Qualitative research: standards, challenges, and guidelines’, </w:t>
      </w:r>
      <w:r>
        <w:rPr>
          <w:rStyle w:val="Emphasis"/>
        </w:rPr>
        <w:t>The Lancet</w:t>
      </w:r>
      <w:r>
        <w:t xml:space="preserve">, 358(9280), pp. 483–488. Available at: </w:t>
      </w:r>
      <w:hyperlink r:id="rId59" w:history="1">
        <w:r>
          <w:rPr>
            <w:rStyle w:val="Hyperlink"/>
          </w:rPr>
          <w:t>https://doi.org/10.1016/S0140-6736(01)05627-6</w:t>
        </w:r>
      </w:hyperlink>
      <w:r>
        <w:t>.</w:t>
      </w:r>
    </w:p>
    <w:p w:rsidR="00867166" w:rsidRDefault="00867166" w:rsidP="001F47A0">
      <w:pPr>
        <w:spacing w:after="120"/>
        <w:ind w:left="720" w:hanging="720"/>
      </w:pPr>
      <w:r>
        <w:t xml:space="preserve">McGorry, P., Bates, T. and Birchwood, M. (2013) ‘Designing youth mental health services for the 21st century: examples from Australia, Ireland and the UK’, </w:t>
      </w:r>
      <w:r>
        <w:rPr>
          <w:rStyle w:val="Emphasis"/>
        </w:rPr>
        <w:lastRenderedPageBreak/>
        <w:t>British Journal of Psychiatry</w:t>
      </w:r>
      <w:r>
        <w:t xml:space="preserve">, 202(S54), pp. s30–s35. Available at: </w:t>
      </w:r>
      <w:hyperlink r:id="rId60" w:history="1">
        <w:r>
          <w:rPr>
            <w:rStyle w:val="Hyperlink"/>
          </w:rPr>
          <w:t>https://doi.org/10.1192/bjp.bp.112.119214</w:t>
        </w:r>
      </w:hyperlink>
      <w:r>
        <w:t>.</w:t>
      </w:r>
    </w:p>
    <w:p w:rsidR="00867166" w:rsidRDefault="00867166" w:rsidP="001F47A0">
      <w:pPr>
        <w:spacing w:after="120"/>
        <w:ind w:left="720" w:hanging="720"/>
      </w:pPr>
      <w:r>
        <w:t xml:space="preserve">McGorry, P.D. (2007) ‘The specialist youth mental health model: strengthening the weakest link in the public mental health system’, </w:t>
      </w:r>
      <w:r>
        <w:rPr>
          <w:rStyle w:val="Emphasis"/>
        </w:rPr>
        <w:t>Medical Journal of Australia</w:t>
      </w:r>
      <w:r>
        <w:t xml:space="preserve">, 187(S7), pp. S53–S56. Available at: </w:t>
      </w:r>
      <w:hyperlink r:id="rId61" w:history="1">
        <w:r>
          <w:rPr>
            <w:rStyle w:val="Hyperlink"/>
          </w:rPr>
          <w:t>https://doi.org/10.5694/j.1326-5377.2007.tb01338.x</w:t>
        </w:r>
      </w:hyperlink>
      <w:r>
        <w:t>.</w:t>
      </w:r>
    </w:p>
    <w:p w:rsidR="00867166" w:rsidRDefault="00867166" w:rsidP="001F47A0">
      <w:pPr>
        <w:spacing w:after="120"/>
        <w:ind w:left="720" w:hanging="720"/>
      </w:pPr>
      <w:r>
        <w:t xml:space="preserve">McGorry, P.D., Goldstone, S.D., Parker, A.G., Rickwood, D.J. and Hickie, I.B. (2014) ‘Cultures for mental health care of young people: an Australian blueprint for reform’, </w:t>
      </w:r>
      <w:r>
        <w:rPr>
          <w:rStyle w:val="Emphasis"/>
        </w:rPr>
        <w:t>The Lancet Psychiatry</w:t>
      </w:r>
      <w:r>
        <w:t xml:space="preserve">, 1(7), pp. 559–568. Available at: </w:t>
      </w:r>
      <w:hyperlink r:id="rId62" w:history="1">
        <w:r>
          <w:rPr>
            <w:rStyle w:val="Hyperlink"/>
          </w:rPr>
          <w:t>https://doi.org/10.1016/S2215-0366(14)00082-0</w:t>
        </w:r>
      </w:hyperlink>
      <w:r>
        <w:t>.</w:t>
      </w:r>
    </w:p>
    <w:p w:rsidR="00867166" w:rsidRDefault="00867166" w:rsidP="001F47A0">
      <w:pPr>
        <w:spacing w:after="120"/>
        <w:ind w:left="720" w:hanging="720"/>
      </w:pPr>
      <w:r>
        <w:t xml:space="preserve">McGorry, P.D., Mei, C., Chanen, A., Hodges, C., Alvarez-Jimenez, M. and Killackey, E. (2022) ‘Designing and scaling up integrated youth mental health care’, </w:t>
      </w:r>
      <w:r>
        <w:rPr>
          <w:rStyle w:val="Emphasis"/>
        </w:rPr>
        <w:t>World Psychiatry</w:t>
      </w:r>
      <w:r>
        <w:t xml:space="preserve">, 21(1), pp. 61–76. Available at: </w:t>
      </w:r>
      <w:hyperlink r:id="rId63" w:history="1">
        <w:r>
          <w:rPr>
            <w:rStyle w:val="Hyperlink"/>
          </w:rPr>
          <w:t>https://doi.org/10.1002/wps.20938</w:t>
        </w:r>
      </w:hyperlink>
      <w:r>
        <w:t>.</w:t>
      </w:r>
    </w:p>
    <w:p w:rsidR="00867166" w:rsidRDefault="00867166" w:rsidP="001F47A0">
      <w:pPr>
        <w:spacing w:after="120"/>
        <w:ind w:left="720" w:hanging="720"/>
      </w:pPr>
      <w:r>
        <w:t xml:space="preserve">McGorry, P.D., Purcell, R., Goldstone, S. and Amminger, G.P. (2011) ‘Age of onset and timing of treatment for mental and substance use disorders: implications for preventive intervention strategies and models of care’, </w:t>
      </w:r>
      <w:r>
        <w:rPr>
          <w:rStyle w:val="Emphasis"/>
        </w:rPr>
        <w:t>Current Opinion in Psychiatry</w:t>
      </w:r>
      <w:r>
        <w:t xml:space="preserve">, 24(4), pp. 301–306. Available at: </w:t>
      </w:r>
      <w:hyperlink r:id="rId64" w:history="1">
        <w:r>
          <w:rPr>
            <w:rStyle w:val="Hyperlink"/>
          </w:rPr>
          <w:t>https://doi.org/10.1097/YCO.0b013e3283477a09</w:t>
        </w:r>
      </w:hyperlink>
      <w:r>
        <w:t>.</w:t>
      </w:r>
    </w:p>
    <w:p w:rsidR="00867166" w:rsidRDefault="00867166" w:rsidP="001F47A0">
      <w:pPr>
        <w:spacing w:after="120"/>
        <w:ind w:left="720" w:hanging="720"/>
      </w:pPr>
      <w:r>
        <w:t xml:space="preserve">Memon, A., Taylor, K., Mohebati, L.M., Sundin, J., Cooper, M., Scanlon, T. and de Visser, R. (2016) ‘Perceived barriers to accessing mental health services among black and minority ethnic communities: a qualitative study in Southeast England’, </w:t>
      </w:r>
      <w:r>
        <w:rPr>
          <w:rStyle w:val="Emphasis"/>
        </w:rPr>
        <w:t>BMJ Open</w:t>
      </w:r>
      <w:r>
        <w:t xml:space="preserve">, 6(11), e012337. Available at: </w:t>
      </w:r>
      <w:hyperlink r:id="rId65" w:history="1">
        <w:r>
          <w:rPr>
            <w:rStyle w:val="Hyperlink"/>
          </w:rPr>
          <w:t>https://doi.org/10.1136/bmjopen-2016-012337</w:t>
        </w:r>
      </w:hyperlink>
      <w:r>
        <w:t>.</w:t>
      </w:r>
    </w:p>
    <w:p w:rsidR="00867166" w:rsidRDefault="00867166" w:rsidP="001F47A0">
      <w:pPr>
        <w:spacing w:after="120"/>
        <w:ind w:left="720" w:hanging="720"/>
      </w:pPr>
      <w:r>
        <w:t xml:space="preserve">Mitchell, C., McMillan, B. and Hagan, T. (2017) ‘Mental health help-seeking behaviours in young adults’, </w:t>
      </w:r>
      <w:r>
        <w:rPr>
          <w:rStyle w:val="Emphasis"/>
        </w:rPr>
        <w:t>British Journal of General Practice</w:t>
      </w:r>
      <w:r>
        <w:t xml:space="preserve">, 67(654), pp. 8–9. Available at: </w:t>
      </w:r>
      <w:hyperlink r:id="rId66" w:history="1">
        <w:r>
          <w:rPr>
            <w:rStyle w:val="Hyperlink"/>
          </w:rPr>
          <w:t>https://doi.org/10.3399/bjgp17X688453</w:t>
        </w:r>
      </w:hyperlink>
      <w:r>
        <w:t>.</w:t>
      </w:r>
    </w:p>
    <w:p w:rsidR="00867166" w:rsidRDefault="00867166" w:rsidP="001F47A0">
      <w:pPr>
        <w:spacing w:after="120"/>
        <w:ind w:left="720" w:hanging="720"/>
      </w:pPr>
      <w:r>
        <w:t xml:space="preserve">Moher, D., Shamseer, L., Clarke, M., Ghersi, D., Liberati, A., Petticrew, M., Shekelle, P. and Stewart, L.A. (2015) ‘Preferred reporting items for systematic review and meta-analysis protocols (PRISMA-P) 2015 statement’, </w:t>
      </w:r>
      <w:r>
        <w:rPr>
          <w:rStyle w:val="Emphasis"/>
        </w:rPr>
        <w:t>Systematic Reviews</w:t>
      </w:r>
      <w:r>
        <w:t xml:space="preserve">, 4, 1. Available at: </w:t>
      </w:r>
      <w:hyperlink r:id="rId67" w:history="1">
        <w:r>
          <w:rPr>
            <w:rStyle w:val="Hyperlink"/>
          </w:rPr>
          <w:t>https://doi.org/10.1186/2046-4053-4-1</w:t>
        </w:r>
      </w:hyperlink>
      <w:r>
        <w:t>.</w:t>
      </w:r>
    </w:p>
    <w:p w:rsidR="00867166" w:rsidRDefault="00867166" w:rsidP="001F47A0">
      <w:pPr>
        <w:spacing w:after="120"/>
        <w:ind w:left="720" w:hanging="720"/>
      </w:pPr>
      <w:r>
        <w:lastRenderedPageBreak/>
        <w:t xml:space="preserve">Moreton, R., Welford, J. and Collinson, B. (2022) ‘Improving access to mental health services for those experiencing multiple disadvantage’, </w:t>
      </w:r>
      <w:r>
        <w:rPr>
          <w:rStyle w:val="Emphasis"/>
        </w:rPr>
        <w:t>Housing, Care and Support</w:t>
      </w:r>
      <w:r>
        <w:t xml:space="preserve">, 25(3/4), pp. 138–152. Available at: </w:t>
      </w:r>
      <w:hyperlink r:id="rId68" w:history="1">
        <w:r>
          <w:rPr>
            <w:rStyle w:val="Hyperlink"/>
          </w:rPr>
          <w:t>https://doi.org/10.1108/HCS-04-2022-0017</w:t>
        </w:r>
      </w:hyperlink>
      <w:r>
        <w:t>.</w:t>
      </w:r>
    </w:p>
    <w:p w:rsidR="00867166" w:rsidRDefault="00867166" w:rsidP="001F47A0">
      <w:pPr>
        <w:spacing w:after="120"/>
        <w:ind w:left="720" w:hanging="720"/>
      </w:pPr>
      <w:r>
        <w:t xml:space="preserve">Morgan, C., Mallett, R., Hutchinson, G., Bagalkote, H., Morgan, K., Fearon, P., Dazzan, P., Boydell, J., McKenzie, K., Harrison, G., Murray, R., Jones, P., Craig, T. and Leff, J. (2005) ‘Pathways to care and ethnicity. 2: source of referral and help-seeking’, </w:t>
      </w:r>
      <w:r>
        <w:rPr>
          <w:rStyle w:val="Emphasis"/>
        </w:rPr>
        <w:t>British Journal of Psychiatry</w:t>
      </w:r>
      <w:r>
        <w:t xml:space="preserve">, 186(4), pp. 290–296. Available at: </w:t>
      </w:r>
      <w:hyperlink r:id="rId69" w:history="1">
        <w:r>
          <w:rPr>
            <w:rStyle w:val="Hyperlink"/>
          </w:rPr>
          <w:t>https://doi.org/10.1192/bjp.186.4.290</w:t>
        </w:r>
      </w:hyperlink>
      <w:r>
        <w:t>.</w:t>
      </w:r>
    </w:p>
    <w:p w:rsidR="00867166" w:rsidRDefault="00867166" w:rsidP="001F47A0">
      <w:pPr>
        <w:spacing w:after="120"/>
        <w:ind w:left="720" w:hanging="720"/>
      </w:pPr>
      <w:r>
        <w:t xml:space="preserve">Munn, Z., Peters, M.D.J., Stern, C., Tufanaru, C., McArthur, A. and Aromataris, E. (2018) ‘Systematic review or scoping review? Guidance for authors when choosing between a systematic or scoping review approach’, </w:t>
      </w:r>
      <w:r>
        <w:rPr>
          <w:rStyle w:val="Emphasis"/>
        </w:rPr>
        <w:t>BMC Medical Research Methodology</w:t>
      </w:r>
      <w:r>
        <w:t xml:space="preserve">, 18, 143. Available at: </w:t>
      </w:r>
      <w:hyperlink r:id="rId70" w:history="1">
        <w:r>
          <w:rPr>
            <w:rStyle w:val="Hyperlink"/>
          </w:rPr>
          <w:t>https://doi.org/10.1186/s12874-018-0611-x</w:t>
        </w:r>
      </w:hyperlink>
      <w:r>
        <w:t>.</w:t>
      </w:r>
    </w:p>
    <w:p w:rsidR="00867166" w:rsidRDefault="00867166" w:rsidP="001F47A0">
      <w:pPr>
        <w:spacing w:after="120"/>
        <w:ind w:left="720" w:hanging="720"/>
      </w:pPr>
      <w:r>
        <w:t xml:space="preserve">Nam, S.K., Chu, H.J., Lee, M.K., Lee, J.H., Kim, N. and Lee, S.M. (2010) ‘A meta-analysis of gender differences in attitudes toward seeking professional psychological help’, </w:t>
      </w:r>
      <w:r>
        <w:rPr>
          <w:rStyle w:val="Emphasis"/>
        </w:rPr>
        <w:t>Journal of American College Health</w:t>
      </w:r>
      <w:r>
        <w:t xml:space="preserve">, 59(2), pp. 110–116. Available at: </w:t>
      </w:r>
      <w:hyperlink r:id="rId71" w:history="1">
        <w:r>
          <w:rPr>
            <w:rStyle w:val="Hyperlink"/>
          </w:rPr>
          <w:t>https://doi.org/10.1080/07448481.2010.483714</w:t>
        </w:r>
      </w:hyperlink>
      <w:r>
        <w:t>.</w:t>
      </w:r>
    </w:p>
    <w:p w:rsidR="00867166" w:rsidRDefault="00867166" w:rsidP="001F47A0">
      <w:pPr>
        <w:spacing w:after="120"/>
        <w:ind w:left="720" w:hanging="720"/>
      </w:pPr>
      <w:r>
        <w:t xml:space="preserve">Naslund, J.A., Aschbrenner, K.A., Marsch, L.A. and Bartels, S.J. (2016) ‘The future of mental health care: peer-to-peer support and social media’, </w:t>
      </w:r>
      <w:r>
        <w:rPr>
          <w:rStyle w:val="Emphasis"/>
        </w:rPr>
        <w:t>Epidemiology and Psychiatric Sciences</w:t>
      </w:r>
      <w:r>
        <w:t xml:space="preserve">, 25(2), pp. 113–122. Available at: </w:t>
      </w:r>
      <w:hyperlink r:id="rId72" w:history="1">
        <w:r>
          <w:rPr>
            <w:rStyle w:val="Hyperlink"/>
          </w:rPr>
          <w:t>https://doi.org/10.1017/S2045796015001067</w:t>
        </w:r>
      </w:hyperlink>
      <w:r>
        <w:t>.</w:t>
      </w:r>
    </w:p>
    <w:p w:rsidR="00867166" w:rsidRDefault="00867166" w:rsidP="001F47A0">
      <w:pPr>
        <w:spacing w:after="120"/>
        <w:ind w:left="720" w:hanging="720"/>
      </w:pPr>
      <w:r>
        <w:t xml:space="preserve">NHS Digital (2025a) </w:t>
      </w:r>
      <w:r>
        <w:rPr>
          <w:rStyle w:val="Emphasis"/>
        </w:rPr>
        <w:t>Mental Health Bulletin, 2024 to 2025 annual report</w:t>
      </w:r>
      <w:r>
        <w:t xml:space="preserve">. Available at: </w:t>
      </w:r>
      <w:hyperlink r:id="rId73" w:history="1">
        <w:r>
          <w:rPr>
            <w:rStyle w:val="Hyperlink"/>
          </w:rPr>
          <w:t>https://digital.nhs.uk/data-and-information/publications/statistical/mental-health-bulletin/2024-25-annual-report</w:t>
        </w:r>
      </w:hyperlink>
      <w:r>
        <w:t xml:space="preserve"> (Accessed: 24 June 2026).</w:t>
      </w:r>
    </w:p>
    <w:p w:rsidR="00867166" w:rsidRDefault="00867166" w:rsidP="001F47A0">
      <w:pPr>
        <w:spacing w:after="120"/>
        <w:ind w:left="720" w:hanging="720"/>
      </w:pPr>
      <w:r>
        <w:t xml:space="preserve">NHS Digital (2025b) </w:t>
      </w:r>
      <w:r>
        <w:rPr>
          <w:rStyle w:val="Emphasis"/>
        </w:rPr>
        <w:t>Survey of Mental Health and Wellbeing, England, 2023 to 2024: common mental health conditions</w:t>
      </w:r>
      <w:r>
        <w:t xml:space="preserve">. Available at: </w:t>
      </w:r>
      <w:hyperlink r:id="rId74" w:history="1">
        <w:r>
          <w:rPr>
            <w:rStyle w:val="Hyperlink"/>
          </w:rPr>
          <w:t>https://digital.nhs.uk/data-and-information/publications/statistical/adult-psychiatric-morbidity-survey/survey-of-mental-health-and-wellbeing-england-2023-24/common-mental-health-conditions</w:t>
        </w:r>
      </w:hyperlink>
      <w:r>
        <w:t xml:space="preserve"> (Accessed: 24 June 2026).</w:t>
      </w:r>
    </w:p>
    <w:p w:rsidR="00867166" w:rsidRDefault="00867166" w:rsidP="001F47A0">
      <w:pPr>
        <w:spacing w:after="120"/>
        <w:ind w:left="720" w:hanging="720"/>
      </w:pPr>
      <w:r>
        <w:t xml:space="preserve">NHS England (2019) </w:t>
      </w:r>
      <w:r>
        <w:rPr>
          <w:rStyle w:val="Emphasis"/>
        </w:rPr>
        <w:t>The NHS Long Term Plan</w:t>
      </w:r>
      <w:r>
        <w:t>. London: NHS England.</w:t>
      </w:r>
    </w:p>
    <w:p w:rsidR="00867166" w:rsidRDefault="00867166" w:rsidP="001F47A0">
      <w:pPr>
        <w:spacing w:after="120"/>
        <w:ind w:left="720" w:hanging="720"/>
      </w:pPr>
      <w:r>
        <w:lastRenderedPageBreak/>
        <w:t xml:space="preserve">NHS England (2026) </w:t>
      </w:r>
      <w:r>
        <w:rPr>
          <w:rStyle w:val="Emphasis"/>
        </w:rPr>
        <w:t>Community Mental Health Survey 2024: national qualitative report</w:t>
      </w:r>
      <w:r>
        <w:t xml:space="preserve">. Available at: </w:t>
      </w:r>
      <w:hyperlink r:id="rId75" w:history="1">
        <w:r>
          <w:rPr>
            <w:rStyle w:val="Hyperlink"/>
          </w:rPr>
          <w:t>https://www.england.nhs.uk/long-read/community-mental-health-survey-2024-national-qualitative-report/</w:t>
        </w:r>
      </w:hyperlink>
      <w:r>
        <w:t xml:space="preserve"> (Accessed: 24 June 2026).</w:t>
      </w:r>
    </w:p>
    <w:p w:rsidR="00867166" w:rsidRDefault="00867166" w:rsidP="001F47A0">
      <w:pPr>
        <w:spacing w:after="120"/>
        <w:ind w:left="720" w:hanging="720"/>
      </w:pPr>
      <w:r>
        <w:t xml:space="preserve">Nowell, L.S., Norris, J.M., White, D.E. and Moules, N.J. (2017) ‘Thematic analysis: striving to meet the trustworthiness criteria’, </w:t>
      </w:r>
      <w:r>
        <w:rPr>
          <w:rStyle w:val="Emphasis"/>
        </w:rPr>
        <w:t>International Journal of Qualitative Methods</w:t>
      </w:r>
      <w:r>
        <w:t xml:space="preserve">, 16(1), pp. 1–13. Available at: </w:t>
      </w:r>
      <w:hyperlink r:id="rId76" w:history="1">
        <w:r>
          <w:rPr>
            <w:rStyle w:val="Hyperlink"/>
          </w:rPr>
          <w:t>https://doi.org/10.1177/1609406917733847</w:t>
        </w:r>
      </w:hyperlink>
      <w:r>
        <w:t>.</w:t>
      </w:r>
    </w:p>
    <w:p w:rsidR="00867166" w:rsidRDefault="00867166" w:rsidP="001F47A0">
      <w:pPr>
        <w:spacing w:after="120"/>
        <w:ind w:left="720" w:hanging="720"/>
      </w:pPr>
      <w:r>
        <w:t xml:space="preserve">O’Brien, B.C., Harris, I.B., Beckman, T.J., Reed, D.A. and Cook, D.A. (2014) ‘Standards for reporting qualitative research: a synthesis of recommendations’, </w:t>
      </w:r>
      <w:r>
        <w:rPr>
          <w:rStyle w:val="Emphasis"/>
        </w:rPr>
        <w:t>Academic Medicine</w:t>
      </w:r>
      <w:r>
        <w:t xml:space="preserve">, 89(9), pp. 1245–1251. Available at: </w:t>
      </w:r>
      <w:hyperlink r:id="rId77" w:history="1">
        <w:r>
          <w:rPr>
            <w:rStyle w:val="Hyperlink"/>
          </w:rPr>
          <w:t>https://doi.org/10.1097/ACM.0000000000000388</w:t>
        </w:r>
      </w:hyperlink>
      <w:r>
        <w:t>.</w:t>
      </w:r>
    </w:p>
    <w:p w:rsidR="00867166" w:rsidRDefault="00867166" w:rsidP="001F47A0">
      <w:pPr>
        <w:spacing w:after="120"/>
        <w:ind w:left="720" w:hanging="720"/>
      </w:pPr>
      <w:r>
        <w:t xml:space="preserve">Oha, J.T., Bridge, G., Flood, C., Jenkins, C.L., Taylor-Page, C., Sykes, S., Wills, J., York, W., Callaghan, P. and Reavey, P. (2025) ‘Gaps and opportunities in mental health support for young people: a process evaluation of a multi-component intervention’, </w:t>
      </w:r>
      <w:r>
        <w:rPr>
          <w:rStyle w:val="Emphasis"/>
        </w:rPr>
        <w:t>Frontiers in Public Health</w:t>
      </w:r>
      <w:r>
        <w:t xml:space="preserve">, 13, 1684562. Available at: </w:t>
      </w:r>
      <w:hyperlink r:id="rId78" w:history="1">
        <w:r>
          <w:rPr>
            <w:rStyle w:val="Hyperlink"/>
          </w:rPr>
          <w:t>https://doi.org/10.3389/fpubh.2025.1684562</w:t>
        </w:r>
      </w:hyperlink>
      <w:r>
        <w:t>.</w:t>
      </w:r>
    </w:p>
    <w:p w:rsidR="00867166" w:rsidRDefault="00867166" w:rsidP="001F47A0">
      <w:pPr>
        <w:spacing w:after="120"/>
        <w:ind w:left="720" w:hanging="720"/>
      </w:pPr>
      <w:r>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w:t>
      </w:r>
      <w:r>
        <w:rPr>
          <w:rStyle w:val="Emphasis"/>
        </w:rPr>
        <w:t>BMJ</w:t>
      </w:r>
      <w:r>
        <w:t xml:space="preserve">, 372, n71. Available at: </w:t>
      </w:r>
      <w:hyperlink r:id="rId79" w:history="1">
        <w:r>
          <w:rPr>
            <w:rStyle w:val="Hyperlink"/>
          </w:rPr>
          <w:t>https://doi.org/10.1136/bmj.n71</w:t>
        </w:r>
      </w:hyperlink>
      <w:r>
        <w:t>.</w:t>
      </w:r>
    </w:p>
    <w:p w:rsidR="00867166" w:rsidRDefault="00867166" w:rsidP="001F47A0">
      <w:pPr>
        <w:spacing w:after="120"/>
        <w:ind w:left="720" w:hanging="720"/>
      </w:pPr>
      <w:r>
        <w:t xml:space="preserve">Paul, M., Ford, T., Kramer, T., Islam, Z., Harley, K. and Singh, S.P. (2013) ‘Transfers and transitions between child and adult mental health services’, </w:t>
      </w:r>
      <w:r>
        <w:rPr>
          <w:rStyle w:val="Emphasis"/>
        </w:rPr>
        <w:t>British Journal of Psychiatry</w:t>
      </w:r>
      <w:r>
        <w:t xml:space="preserve">, 202(S54), pp. s36–s40. Available at: </w:t>
      </w:r>
      <w:hyperlink r:id="rId80" w:history="1">
        <w:r>
          <w:rPr>
            <w:rStyle w:val="Hyperlink"/>
          </w:rPr>
          <w:t>https://doi.org/10.1192/bjp.bp.112.119198</w:t>
        </w:r>
      </w:hyperlink>
      <w:r>
        <w:t>.</w:t>
      </w:r>
    </w:p>
    <w:p w:rsidR="00867166" w:rsidRDefault="00867166" w:rsidP="001F47A0">
      <w:pPr>
        <w:spacing w:after="120"/>
        <w:ind w:left="720" w:hanging="720"/>
      </w:pPr>
      <w:r>
        <w:t xml:space="preserve">Paul, M., Street, C., Wheeler, N. and Singh, S.P. (2015) ‘Transition to adult services for young people with mental health needs: a systematic review’, </w:t>
      </w:r>
      <w:r>
        <w:rPr>
          <w:rStyle w:val="Emphasis"/>
        </w:rPr>
        <w:t>Clinical Child Psychology and Psychiatry</w:t>
      </w:r>
      <w:r>
        <w:t xml:space="preserve">, 20(3), pp. 436–457. Available at: </w:t>
      </w:r>
      <w:hyperlink r:id="rId81" w:history="1">
        <w:r>
          <w:rPr>
            <w:rStyle w:val="Hyperlink"/>
          </w:rPr>
          <w:t>https://doi.org/10.1177/1359104514526603</w:t>
        </w:r>
      </w:hyperlink>
      <w:r>
        <w:t>.</w:t>
      </w:r>
    </w:p>
    <w:p w:rsidR="00867166" w:rsidRDefault="00867166" w:rsidP="001F47A0">
      <w:pPr>
        <w:spacing w:after="120"/>
        <w:ind w:left="720" w:hanging="720"/>
      </w:pPr>
      <w:r>
        <w:lastRenderedPageBreak/>
        <w:t xml:space="preserve">Plaistow, J., Masson, K., Koch, D., Wilson, J., Stark, R.M., Jones, P.B. and Lennox, B.R. (2014) ‘Young people’s views of UK mental health services’, </w:t>
      </w:r>
      <w:r>
        <w:rPr>
          <w:rStyle w:val="Emphasis"/>
        </w:rPr>
        <w:t>Early Intervention in Psychiatry</w:t>
      </w:r>
      <w:r>
        <w:t xml:space="preserve">, 8(1), pp. 12–23. Available at: </w:t>
      </w:r>
      <w:hyperlink r:id="rId82" w:history="1">
        <w:r>
          <w:rPr>
            <w:rStyle w:val="Hyperlink"/>
          </w:rPr>
          <w:t>https://doi.org/10.1111/eip.12060</w:t>
        </w:r>
      </w:hyperlink>
      <w:r>
        <w:t>.</w:t>
      </w:r>
    </w:p>
    <w:p w:rsidR="00867166" w:rsidRDefault="00867166" w:rsidP="001F47A0">
      <w:pPr>
        <w:spacing w:after="120"/>
        <w:ind w:left="720" w:hanging="720"/>
      </w:pPr>
      <w:r>
        <w:t xml:space="preserve">Popay, J., Roberts, H., Sowden, A., Petticrew, M., Arai, L., Rodgers, M., Britten, N., Roen, K. and Duffy, S. (2006) </w:t>
      </w:r>
      <w:r>
        <w:rPr>
          <w:rStyle w:val="Emphasis"/>
        </w:rPr>
        <w:t>Guidance on the Conduct of Narrative Synthesis in Systematic Reviews: A Product from the ESRC Methods Programme</w:t>
      </w:r>
      <w:r>
        <w:t>. Lancaster: Lancaster University.</w:t>
      </w:r>
    </w:p>
    <w:p w:rsidR="00867166" w:rsidRDefault="00867166" w:rsidP="001F47A0">
      <w:pPr>
        <w:spacing w:after="120"/>
        <w:ind w:left="720" w:hanging="720"/>
      </w:pPr>
      <w:r>
        <w:t xml:space="preserve">Pretorius, C., Chambers, D. and Coyle, D. (2019) ‘Young people’s online help-seeking and mental health difficulties: systematic narrative review’, </w:t>
      </w:r>
      <w:r>
        <w:rPr>
          <w:rStyle w:val="Emphasis"/>
        </w:rPr>
        <w:t>Journal of Medical Internet Research</w:t>
      </w:r>
      <w:r>
        <w:t xml:space="preserve">, 21(11), e13873. Available at: </w:t>
      </w:r>
      <w:hyperlink r:id="rId83" w:history="1">
        <w:r>
          <w:rPr>
            <w:rStyle w:val="Hyperlink"/>
          </w:rPr>
          <w:t>https://doi.org/10.2196/13873</w:t>
        </w:r>
      </w:hyperlink>
      <w:r>
        <w:t>.</w:t>
      </w:r>
    </w:p>
    <w:p w:rsidR="00867166" w:rsidRDefault="00867166" w:rsidP="001F47A0">
      <w:pPr>
        <w:spacing w:after="120"/>
        <w:ind w:left="720" w:hanging="720"/>
      </w:pPr>
      <w:r>
        <w:t xml:space="preserve">Priestley, M., Broglia, E., Hughes, G. and Spanner, L. (2022) ‘Student perspectives on improving mental health support services at university’, </w:t>
      </w:r>
      <w:r>
        <w:rPr>
          <w:rStyle w:val="Emphasis"/>
        </w:rPr>
        <w:t>Counselling and Psychotherapy Research</w:t>
      </w:r>
      <w:r>
        <w:t xml:space="preserve">, 22(1), pp. 1–10. Available at: </w:t>
      </w:r>
      <w:hyperlink r:id="rId84" w:history="1">
        <w:r>
          <w:rPr>
            <w:rStyle w:val="Hyperlink"/>
          </w:rPr>
          <w:t>https://doi.org/10.1002/capr.12391</w:t>
        </w:r>
      </w:hyperlink>
      <w:r>
        <w:t>.</w:t>
      </w:r>
    </w:p>
    <w:p w:rsidR="00867166" w:rsidRDefault="00867166" w:rsidP="001F47A0">
      <w:pPr>
        <w:spacing w:after="120"/>
        <w:ind w:left="720" w:hanging="720"/>
      </w:pPr>
      <w:r>
        <w:t xml:space="preserve">Punton, G., Dodd, A.L. and McNeill, A. (2022) ‘You’re on the waiting list’: an interpretive phenomenological analysis of young adults’ experiences of waiting lists within mental health services in the UK’, </w:t>
      </w:r>
      <w:r>
        <w:rPr>
          <w:rStyle w:val="Emphasis"/>
        </w:rPr>
        <w:t>PLOS ONE</w:t>
      </w:r>
      <w:r>
        <w:t xml:space="preserve">, 17(3), e0265542. Available at: </w:t>
      </w:r>
      <w:hyperlink r:id="rId85" w:history="1">
        <w:r>
          <w:rPr>
            <w:rStyle w:val="Hyperlink"/>
          </w:rPr>
          <w:t>https://doi.org/10.1371/journal.pone.0265542</w:t>
        </w:r>
      </w:hyperlink>
      <w:r>
        <w:t>.</w:t>
      </w:r>
    </w:p>
    <w:p w:rsidR="00867166" w:rsidRDefault="00867166" w:rsidP="001F47A0">
      <w:pPr>
        <w:spacing w:after="120"/>
        <w:ind w:left="720" w:hanging="720"/>
      </w:pPr>
      <w:r>
        <w:t xml:space="preserve">Radez, J., Causier, C., Maughan, D., Waite, F. and Johns, L. (2024) ‘The experience of seeking and accessing help from mental health services among young people of Eastern European backgrounds: a qualitative interview study’, </w:t>
      </w:r>
      <w:r>
        <w:rPr>
          <w:rStyle w:val="Emphasis"/>
        </w:rPr>
        <w:t>Psychology and Psychotherapy: Theory, Research and Practice</w:t>
      </w:r>
      <w:r>
        <w:t xml:space="preserve">, 97(3), pp. 425–438. Available at: </w:t>
      </w:r>
      <w:hyperlink r:id="rId86" w:history="1">
        <w:r>
          <w:rPr>
            <w:rStyle w:val="Hyperlink"/>
          </w:rPr>
          <w:t>https://doi.org/10.1111/papt.12524</w:t>
        </w:r>
      </w:hyperlink>
      <w:r>
        <w:t>.</w:t>
      </w:r>
    </w:p>
    <w:p w:rsidR="00867166" w:rsidRDefault="00867166" w:rsidP="001F47A0">
      <w:pPr>
        <w:spacing w:after="120"/>
        <w:ind w:left="720" w:hanging="720"/>
      </w:pPr>
      <w:r>
        <w:t xml:space="preserve">Radez, J., Reardon, T., Creswell, C., Lawrence, P.J., Evdoka-Burton, G. and Waite, P. (2021) ‘Why do children and adolescents (not) seek and access professional help for their mental health problems? A systematic review of quantitative and qualitative studies’, </w:t>
      </w:r>
      <w:r>
        <w:rPr>
          <w:rStyle w:val="Emphasis"/>
        </w:rPr>
        <w:t>European Child &amp; Adolescent Psychiatry</w:t>
      </w:r>
      <w:r>
        <w:t xml:space="preserve">, 30(2), pp. 183–211. Available at: </w:t>
      </w:r>
      <w:hyperlink r:id="rId87" w:history="1">
        <w:r>
          <w:rPr>
            <w:rStyle w:val="Hyperlink"/>
          </w:rPr>
          <w:t>https://doi.org/10.1007/s00787-019-01469-4</w:t>
        </w:r>
      </w:hyperlink>
      <w:r>
        <w:t>.</w:t>
      </w:r>
    </w:p>
    <w:p w:rsidR="00867166" w:rsidRDefault="00867166" w:rsidP="001F47A0">
      <w:pPr>
        <w:spacing w:after="120"/>
        <w:ind w:left="720" w:hanging="720"/>
      </w:pPr>
      <w:r>
        <w:t xml:space="preserve">Reiss, F. (2013) ‘Socioeconomic inequalities and mental health problems in children and adolescents: a systematic review’, </w:t>
      </w:r>
      <w:r>
        <w:rPr>
          <w:rStyle w:val="Emphasis"/>
        </w:rPr>
        <w:t>Social Science &amp; Medicine</w:t>
      </w:r>
      <w:r>
        <w:t xml:space="preserve">, 90, pp. 24–31. Available at: </w:t>
      </w:r>
      <w:hyperlink r:id="rId88" w:history="1">
        <w:r>
          <w:rPr>
            <w:rStyle w:val="Hyperlink"/>
          </w:rPr>
          <w:t>https://doi.org/10.1016/j.socscimed.2013.04.026</w:t>
        </w:r>
      </w:hyperlink>
      <w:r>
        <w:t>.</w:t>
      </w:r>
    </w:p>
    <w:p w:rsidR="00867166" w:rsidRDefault="00867166" w:rsidP="001F47A0">
      <w:pPr>
        <w:spacing w:after="120"/>
        <w:ind w:left="720" w:hanging="720"/>
      </w:pPr>
      <w:r>
        <w:lastRenderedPageBreak/>
        <w:t>Rethlefsen</w:t>
      </w:r>
      <w:r>
        <w:rPr>
          <w:i/>
        </w:rPr>
        <w:t xml:space="preserve">, M.L., Kirtley, S., Waffenschmidt, S., Ayala, A.P., Moher, D., Page, M.J., Koffel, J.B. and the PRISMA-S Group (2021) ‘PRISMA-S: an extension to the PRISMA Statement for Reporting Literature Searches in Systematic Reviews’, </w:t>
      </w:r>
      <w:r>
        <w:rPr>
          <w:rStyle w:val="Emphasis"/>
        </w:rPr>
        <w:t>Systematic Reviews</w:t>
      </w:r>
      <w:r>
        <w:t xml:space="preserve">, 10, 39. Available at: </w:t>
      </w:r>
      <w:hyperlink r:id="rId89" w:history="1">
        <w:r>
          <w:rPr>
            <w:rStyle w:val="Hyperlink"/>
          </w:rPr>
          <w:t>https://doi.org/10.1186/s13643-020-01542-z</w:t>
        </w:r>
      </w:hyperlink>
      <w:r>
        <w:t>.</w:t>
      </w:r>
    </w:p>
    <w:p w:rsidR="00867166" w:rsidRDefault="00867166" w:rsidP="001F47A0">
      <w:pPr>
        <w:spacing w:after="120"/>
        <w:ind w:left="720" w:hanging="720"/>
      </w:pPr>
      <w:r>
        <w:t xml:space="preserve">Rickwood, D. and Thomas, K. (2012) ‘Conceptual measurement framework for help-seeking for mental health problems’, </w:t>
      </w:r>
      <w:r>
        <w:rPr>
          <w:rStyle w:val="Emphasis"/>
        </w:rPr>
        <w:t>Psychology Research and Behavior Management</w:t>
      </w:r>
      <w:r>
        <w:t xml:space="preserve">, 5, pp. 173–183. Available at: </w:t>
      </w:r>
      <w:hyperlink r:id="rId90" w:history="1">
        <w:r>
          <w:rPr>
            <w:rStyle w:val="Hyperlink"/>
          </w:rPr>
          <w:t>https://doi.org/10.2147/PRBM.S38707</w:t>
        </w:r>
      </w:hyperlink>
      <w:r>
        <w:t>.</w:t>
      </w:r>
    </w:p>
    <w:p w:rsidR="00867166" w:rsidRDefault="00867166" w:rsidP="001F47A0">
      <w:pPr>
        <w:spacing w:after="120"/>
        <w:ind w:left="720" w:hanging="720"/>
      </w:pPr>
      <w:r>
        <w:t xml:space="preserve">Rickwood, D., Deane, F.P., Wilson, C.J. and Ciarrochi, J. (2005) ‘Young people’s help-seeking for mental health problems’, </w:t>
      </w:r>
      <w:r>
        <w:rPr>
          <w:rStyle w:val="Emphasis"/>
        </w:rPr>
        <w:t>Australian e-Journal for the Advancement of Mental Health</w:t>
      </w:r>
      <w:r>
        <w:t xml:space="preserve">, 4(3), pp. 218–251. Available at: </w:t>
      </w:r>
      <w:hyperlink r:id="rId91" w:history="1">
        <w:r>
          <w:rPr>
            <w:rStyle w:val="Hyperlink"/>
          </w:rPr>
          <w:t>https://doi.org/10.5172/jamh.4.3.218</w:t>
        </w:r>
      </w:hyperlink>
      <w:r>
        <w:t>.</w:t>
      </w:r>
    </w:p>
    <w:p w:rsidR="00867166" w:rsidRDefault="00867166" w:rsidP="001F47A0">
      <w:pPr>
        <w:spacing w:after="120"/>
        <w:ind w:left="720" w:hanging="720"/>
      </w:pPr>
      <w:r>
        <w:t xml:space="preserve">Rickwood, D.J., Deane, F.P. and Wilson, C.J. (2007) ‘When and how do young people seek professional help for mental health problems?’, </w:t>
      </w:r>
      <w:r>
        <w:rPr>
          <w:rStyle w:val="Emphasis"/>
        </w:rPr>
        <w:t>Medical Journal of Australia</w:t>
      </w:r>
      <w:r>
        <w:t xml:space="preserve">, 187(S7), pp. S35–S39. Available at: </w:t>
      </w:r>
      <w:hyperlink r:id="rId92" w:history="1">
        <w:r>
          <w:rPr>
            <w:rStyle w:val="Hyperlink"/>
          </w:rPr>
          <w:t>https://doi.org/10.5694/j.1326-5377.2007.tb01334.x</w:t>
        </w:r>
      </w:hyperlink>
      <w:r>
        <w:t>.</w:t>
      </w:r>
    </w:p>
    <w:p w:rsidR="00867166" w:rsidRDefault="00867166" w:rsidP="001F47A0">
      <w:pPr>
        <w:spacing w:after="120"/>
        <w:ind w:left="720" w:hanging="720"/>
      </w:pPr>
      <w:r>
        <w:t xml:space="preserve">Rosina, R., McMaster, R., Lovecchio, V. and Wu, J. (2025) ‘Young people transitioning from child and adolescent to adult mental health services: a qualitative systematic review’, </w:t>
      </w:r>
      <w:r>
        <w:rPr>
          <w:rStyle w:val="Emphasis"/>
        </w:rPr>
        <w:t>International Journal of Mental Health Nursing</w:t>
      </w:r>
      <w:r>
        <w:t xml:space="preserve">, 34(1), e13439. Available at: </w:t>
      </w:r>
      <w:hyperlink r:id="rId93" w:history="1">
        <w:r>
          <w:rPr>
            <w:rStyle w:val="Hyperlink"/>
          </w:rPr>
          <w:t>https://doi.org/10.1111/inm.13439</w:t>
        </w:r>
      </w:hyperlink>
      <w:r>
        <w:t>.</w:t>
      </w:r>
    </w:p>
    <w:p w:rsidR="00867166" w:rsidRDefault="00867166" w:rsidP="001F47A0">
      <w:pPr>
        <w:spacing w:after="120"/>
        <w:ind w:left="720" w:hanging="720"/>
      </w:pPr>
      <w:r>
        <w:t xml:space="preserve">Sagar-Ouriaghli, I., Brown, J.S.L., Tailor, V. and Godfrey, E. (2020) ‘Engaging male students with mental health support: a qualitative focus group study’, </w:t>
      </w:r>
      <w:r>
        <w:rPr>
          <w:rStyle w:val="Emphasis"/>
        </w:rPr>
        <w:t>BMC Public Health</w:t>
      </w:r>
      <w:r>
        <w:t xml:space="preserve">, 20, 1159. Available at: </w:t>
      </w:r>
      <w:hyperlink r:id="rId94" w:history="1">
        <w:r>
          <w:rPr>
            <w:rStyle w:val="Hyperlink"/>
          </w:rPr>
          <w:t>https://doi.org/10.1186/s12889-020-09269-1</w:t>
        </w:r>
      </w:hyperlink>
      <w:r>
        <w:t>.</w:t>
      </w:r>
    </w:p>
    <w:p w:rsidR="00867166" w:rsidRDefault="00867166" w:rsidP="001F47A0">
      <w:pPr>
        <w:spacing w:after="120"/>
        <w:ind w:left="720" w:hanging="720"/>
      </w:pPr>
      <w:r>
        <w:t xml:space="preserve">Salaheddin, K. and Mason, B. (2016) ‘Identifying barriers to mental health help-seeking among young adults in the UK: a cross-sectional survey’, </w:t>
      </w:r>
      <w:r>
        <w:rPr>
          <w:rStyle w:val="Emphasis"/>
        </w:rPr>
        <w:t>British Journal of General Practice</w:t>
      </w:r>
      <w:r>
        <w:t xml:space="preserve">, 66(651), pp. e686–e692. Available at: </w:t>
      </w:r>
      <w:hyperlink r:id="rId95" w:history="1">
        <w:r>
          <w:rPr>
            <w:rStyle w:val="Hyperlink"/>
          </w:rPr>
          <w:t>https://doi.org/10.3399/bjgp16X687313</w:t>
        </w:r>
      </w:hyperlink>
      <w:r>
        <w:t>.</w:t>
      </w:r>
    </w:p>
    <w:p w:rsidR="00867166" w:rsidRDefault="00867166" w:rsidP="001F47A0">
      <w:pPr>
        <w:spacing w:after="120"/>
        <w:ind w:left="720" w:hanging="720"/>
      </w:pPr>
      <w:r>
        <w:t xml:space="preserve">Sandelowski, M. and Barroso, J. (2007) </w:t>
      </w:r>
      <w:r>
        <w:rPr>
          <w:rStyle w:val="Emphasis"/>
        </w:rPr>
        <w:t>Handbook for Synthesizing Qualitative Research</w:t>
      </w:r>
      <w:r>
        <w:t>. New York: Springer Publishing Company.</w:t>
      </w:r>
    </w:p>
    <w:p w:rsidR="00867166" w:rsidRDefault="00867166" w:rsidP="001F47A0">
      <w:pPr>
        <w:spacing w:after="120"/>
        <w:ind w:left="720" w:hanging="720"/>
      </w:pPr>
      <w:r>
        <w:lastRenderedPageBreak/>
        <w:t xml:space="preserve">Schnyder, N., Panczak, R., Groth, N. and Schultze-Lutter, F. (2017) ‘Association between mental health-related stigma and active help-seeking: systematic review and meta-analysis’, </w:t>
      </w:r>
      <w:r>
        <w:rPr>
          <w:rStyle w:val="Emphasis"/>
        </w:rPr>
        <w:t>British Journal of Psychiatry</w:t>
      </w:r>
      <w:r>
        <w:t xml:space="preserve">, 210(4), pp. 261–268. Available at: </w:t>
      </w:r>
      <w:hyperlink r:id="rId96" w:history="1">
        <w:r>
          <w:rPr>
            <w:rStyle w:val="Hyperlink"/>
          </w:rPr>
          <w:t>https://doi.org/10.1192/bjp.bp.116.189464</w:t>
        </w:r>
      </w:hyperlink>
      <w:r>
        <w:t>.</w:t>
      </w:r>
    </w:p>
    <w:p w:rsidR="00867166" w:rsidRDefault="00867166" w:rsidP="001F47A0">
      <w:pPr>
        <w:spacing w:after="120"/>
        <w:ind w:left="720" w:hanging="720"/>
      </w:pPr>
      <w:r>
        <w:t xml:space="preserve">Shirk, S.R. and Karver, M. (2003) ‘Prediction of treatment outcome from relationship variables in child and adolescent therapy: a meta-analytic review’, </w:t>
      </w:r>
      <w:r>
        <w:rPr>
          <w:rStyle w:val="Emphasis"/>
        </w:rPr>
        <w:t>Journal of Consulting and Clinical Psychology</w:t>
      </w:r>
      <w:r>
        <w:t xml:space="preserve">, 71(3), pp. 452–464. Available at: </w:t>
      </w:r>
      <w:hyperlink r:id="rId97" w:history="1">
        <w:r>
          <w:rPr>
            <w:rStyle w:val="Hyperlink"/>
          </w:rPr>
          <w:t>https://doi.org/10.1037/0022-006X.71.3.452</w:t>
        </w:r>
      </w:hyperlink>
      <w:r>
        <w:t>.</w:t>
      </w:r>
    </w:p>
    <w:p w:rsidR="00867166" w:rsidRDefault="00867166" w:rsidP="001F47A0">
      <w:pPr>
        <w:spacing w:after="120"/>
        <w:ind w:left="720" w:hanging="720"/>
      </w:pPr>
      <w:r>
        <w:t xml:space="preserve">Singh, S.P. and Tuomainen, H. (2015) ‘Transition from child to adult mental health services: needs, barriers, experiences and new models of care’, </w:t>
      </w:r>
      <w:r>
        <w:rPr>
          <w:rStyle w:val="Emphasis"/>
        </w:rPr>
        <w:t>World Psychiatry</w:t>
      </w:r>
      <w:r>
        <w:t xml:space="preserve">, 14(3), pp. 358–361. Available at: </w:t>
      </w:r>
      <w:hyperlink r:id="rId98" w:history="1">
        <w:r>
          <w:rPr>
            <w:rStyle w:val="Hyperlink"/>
          </w:rPr>
          <w:t>https://doi.org/10.1002/wps.20266</w:t>
        </w:r>
      </w:hyperlink>
      <w:r>
        <w:t>.</w:t>
      </w:r>
    </w:p>
    <w:p w:rsidR="00867166" w:rsidRDefault="00867166" w:rsidP="001F47A0">
      <w:pPr>
        <w:spacing w:after="120"/>
        <w:ind w:left="720" w:hanging="720"/>
      </w:pPr>
      <w:r>
        <w:t xml:space="preserve">Singh, S.P., Paul, M., Ford, T., Kramer, T., Weaver, T., McLaren, S., Hovish, K., Islam, Z., Belling, R. and White, S. (2010) ‘Process, outcome and experience of transition from child to adult mental healthcare: multiperspective study’, </w:t>
      </w:r>
      <w:r>
        <w:rPr>
          <w:rStyle w:val="Emphasis"/>
        </w:rPr>
        <w:t>British Journal of Psychiatry</w:t>
      </w:r>
      <w:r>
        <w:t xml:space="preserve">, 197(4), pp. 305–312. Available at: </w:t>
      </w:r>
      <w:hyperlink r:id="rId99" w:history="1">
        <w:r>
          <w:rPr>
            <w:rStyle w:val="Hyperlink"/>
          </w:rPr>
          <w:t>https://doi.org/10.1192/bjp.bp.109.075135</w:t>
        </w:r>
      </w:hyperlink>
      <w:r>
        <w:t>.</w:t>
      </w:r>
    </w:p>
    <w:p w:rsidR="00867166" w:rsidRDefault="00867166" w:rsidP="001F47A0">
      <w:pPr>
        <w:spacing w:after="120"/>
        <w:ind w:left="720" w:hanging="720"/>
      </w:pPr>
      <w:r>
        <w:t xml:space="preserve">Solmi, M., Radua, J., Olivola, M., Croce, E., Soardo, L., Salazar de Pablo, G., Shin, J.I., Kirkbride, J.B., Jones, P., Kim, J.H., Kim, J.Y., Carvalho, A.F., Seeman, M.V., Correll, C.U. and Fusar-Poli, P. (2022) ‘Age at onset of mental disorders worldwide: large-scale meta-analysis of 192 epidemiological studies’, </w:t>
      </w:r>
      <w:r>
        <w:rPr>
          <w:rStyle w:val="Emphasis"/>
        </w:rPr>
        <w:t>Molecular Psychiatry</w:t>
      </w:r>
      <w:r>
        <w:t xml:space="preserve">, 27(1), pp. 281–295. Available at: </w:t>
      </w:r>
      <w:hyperlink r:id="rId100" w:history="1">
        <w:r>
          <w:rPr>
            <w:rStyle w:val="Hyperlink"/>
          </w:rPr>
          <w:t>https://doi.org/10.1038/s41380-021-01161-7</w:t>
        </w:r>
      </w:hyperlink>
      <w:r>
        <w:t>.</w:t>
      </w:r>
    </w:p>
    <w:p w:rsidR="00867166" w:rsidRDefault="00867166" w:rsidP="001F47A0">
      <w:pPr>
        <w:spacing w:after="120"/>
        <w:ind w:left="720" w:hanging="720"/>
      </w:pPr>
      <w:r>
        <w:t xml:space="preserve">Storrie, K., Ahern, K. and Tuckett, A. (2010) ‘A systematic review: students with mental health problems—a growing problem’, </w:t>
      </w:r>
      <w:r>
        <w:rPr>
          <w:rStyle w:val="Emphasis"/>
        </w:rPr>
        <w:t>International Journal of Nursing Practice</w:t>
      </w:r>
      <w:r>
        <w:t xml:space="preserve">, 16(1), pp. 1–6. Available at: </w:t>
      </w:r>
      <w:hyperlink r:id="rId101" w:history="1">
        <w:r>
          <w:rPr>
            <w:rStyle w:val="Hyperlink"/>
          </w:rPr>
          <w:t>https://doi.org/10.1111/j.1440-172X.2009.01813.x</w:t>
        </w:r>
      </w:hyperlink>
      <w:r>
        <w:t>.</w:t>
      </w:r>
    </w:p>
    <w:p w:rsidR="00867166" w:rsidRDefault="00867166" w:rsidP="001F47A0">
      <w:pPr>
        <w:spacing w:after="120"/>
        <w:ind w:left="720" w:hanging="720"/>
      </w:pPr>
      <w:r>
        <w:t xml:space="preserve">Thomas, J. and Harden, A. (2008) ‘Methods for the thematic synthesis of qualitative research in systematic reviews’, </w:t>
      </w:r>
      <w:r>
        <w:rPr>
          <w:rStyle w:val="Emphasis"/>
        </w:rPr>
        <w:t>BMC Medical Research Methodology</w:t>
      </w:r>
      <w:r>
        <w:t xml:space="preserve">, 8, 45. Available at: </w:t>
      </w:r>
      <w:hyperlink r:id="rId102" w:history="1">
        <w:r>
          <w:rPr>
            <w:rStyle w:val="Hyperlink"/>
          </w:rPr>
          <w:t>https://doi.org/10.1186/1471-2288-8-45</w:t>
        </w:r>
      </w:hyperlink>
      <w:r>
        <w:t>.</w:t>
      </w:r>
    </w:p>
    <w:p w:rsidR="00867166" w:rsidRDefault="00867166" w:rsidP="001F47A0">
      <w:pPr>
        <w:spacing w:after="120"/>
        <w:ind w:left="720" w:hanging="720"/>
      </w:pPr>
      <w:r>
        <w:t xml:space="preserve">Tickell, A., Fonagy, P., Hajdu, K., Obradovic, S. and Pilling, S. (2024) ‘Am I really the priority here?’: help-seeking experiences of university students who self-harmed’, </w:t>
      </w:r>
      <w:r>
        <w:rPr>
          <w:rStyle w:val="Emphasis"/>
        </w:rPr>
        <w:t>BJPsych Open</w:t>
      </w:r>
      <w:r>
        <w:t xml:space="preserve">, 10, e40. Available at: </w:t>
      </w:r>
      <w:hyperlink r:id="rId103" w:history="1">
        <w:r>
          <w:rPr>
            <w:rStyle w:val="Hyperlink"/>
          </w:rPr>
          <w:t>https://doi.org/10.1192/bjo.2023.652</w:t>
        </w:r>
      </w:hyperlink>
      <w:r>
        <w:t>.</w:t>
      </w:r>
    </w:p>
    <w:p w:rsidR="00867166" w:rsidRDefault="00867166" w:rsidP="001F47A0">
      <w:pPr>
        <w:spacing w:after="120"/>
        <w:ind w:left="720" w:hanging="720"/>
      </w:pPr>
      <w:r>
        <w:lastRenderedPageBreak/>
        <w:t xml:space="preserve">Tong, A., Flemming, K., McInnes, E., Oliver, S. and Craig, J. (2012) ‘Enhancing transparency in reporting the synthesis of qualitative research: ENTREQ’, </w:t>
      </w:r>
      <w:r>
        <w:rPr>
          <w:rStyle w:val="Emphasis"/>
        </w:rPr>
        <w:t>BMC Medical Research Methodology</w:t>
      </w:r>
      <w:r>
        <w:t xml:space="preserve">, 12, 181. Available at: </w:t>
      </w:r>
      <w:hyperlink r:id="rId104" w:history="1">
        <w:r>
          <w:rPr>
            <w:rStyle w:val="Hyperlink"/>
          </w:rPr>
          <w:t>https://doi.org/10.1186/1471-2288-12-181</w:t>
        </w:r>
      </w:hyperlink>
      <w:r>
        <w:t>.</w:t>
      </w:r>
    </w:p>
    <w:p w:rsidR="00867166" w:rsidRDefault="00867166" w:rsidP="001F47A0">
      <w:pPr>
        <w:spacing w:after="120"/>
        <w:ind w:left="720" w:hanging="720"/>
      </w:pPr>
      <w:r>
        <w:t xml:space="preserve">Tong, A., Sainsbury, P. and Craig, J. (2007) ‘Consolidated criteria for reporting qualitative research (COREQ): a 32-item checklist for interviews and focus groups’, </w:t>
      </w:r>
      <w:r>
        <w:rPr>
          <w:rStyle w:val="Emphasis"/>
        </w:rPr>
        <w:t>International Journal for Quality in Health Care</w:t>
      </w:r>
      <w:r>
        <w:t xml:space="preserve">, 19(6), pp. 349–357. Available at: </w:t>
      </w:r>
      <w:hyperlink r:id="rId105" w:history="1">
        <w:r>
          <w:rPr>
            <w:rStyle w:val="Hyperlink"/>
          </w:rPr>
          <w:t>https://doi.org/10.1093/intqhc/mzm042</w:t>
        </w:r>
      </w:hyperlink>
      <w:r>
        <w:t>.</w:t>
      </w:r>
    </w:p>
    <w:p w:rsidR="00867166" w:rsidRDefault="00867166" w:rsidP="001F47A0">
      <w:pPr>
        <w:spacing w:after="120"/>
        <w:ind w:left="720" w:hanging="720"/>
      </w:pPr>
      <w:r>
        <w:t xml:space="preserve">Viner, R.M., Ozer, E.M., Denny, S., Marmot, M., Resnick, M., Fatusi, A. and Currie, C. (2012) ‘Adolescence and the social determinants of health’, </w:t>
      </w:r>
      <w:r>
        <w:rPr>
          <w:rStyle w:val="Emphasis"/>
        </w:rPr>
        <w:t>The Lancet</w:t>
      </w:r>
      <w:r>
        <w:t xml:space="preserve">, 379(9826), pp. 1641–1652. Available at: </w:t>
      </w:r>
      <w:hyperlink r:id="rId106" w:history="1">
        <w:r>
          <w:rPr>
            <w:rStyle w:val="Hyperlink"/>
          </w:rPr>
          <w:t>https://doi.org/10.1016/S0140-6736(12)60149-4</w:t>
        </w:r>
      </w:hyperlink>
      <w:r>
        <w:t>.</w:t>
      </w:r>
    </w:p>
    <w:p w:rsidR="00867166" w:rsidRDefault="00867166" w:rsidP="001F47A0">
      <w:pPr>
        <w:spacing w:after="120"/>
        <w:ind w:left="720" w:hanging="720"/>
      </w:pPr>
      <w:r>
        <w:t xml:space="preserve">Ward, J.L., Vázquez-Vázquez, A., Phillips, K., Settle, K., Pilvar, H., Cornaglia, F., Gibson, F., Nicholls, D., Roland, D., Mathews, G., Roberts, H., Viner, R.M. and Hudson, L.D. (2025) ‘Admission to acute medical wards for mental health concerns among children and young people in England from 2012 to 2022: a cohort study’, </w:t>
      </w:r>
      <w:r>
        <w:rPr>
          <w:rStyle w:val="Emphasis"/>
        </w:rPr>
        <w:t>The Lancet Child &amp; Adolescent Health</w:t>
      </w:r>
      <w:r>
        <w:t xml:space="preserve">, 9(2), pp. 112–120. Available at: </w:t>
      </w:r>
      <w:hyperlink r:id="rId107" w:history="1">
        <w:r>
          <w:rPr>
            <w:rStyle w:val="Hyperlink"/>
          </w:rPr>
          <w:t>https://doi.org/10.1016/S2352-4642(24)00333-X</w:t>
        </w:r>
      </w:hyperlink>
      <w:r>
        <w:t>.</w:t>
      </w:r>
    </w:p>
    <w:p w:rsidR="00867166" w:rsidRDefault="00867166" w:rsidP="001F47A0">
      <w:pPr>
        <w:spacing w:after="120"/>
        <w:ind w:left="720" w:hanging="720"/>
      </w:pPr>
      <w:r>
        <w:t xml:space="preserve">Wright, L., Griffiths, J.L., Appleton, R., Begum, S., Clarke, C., Hunt, N.C., Lewis, H.K., Barnett, P., Bhutta, A., Driskell, E., Edbrooke-Childs, J., Grundy, A., Hanson, I., Maynard, E., Mitchell, L., Saunders, R., Waite, P., Lloyd-Evans, B., Trevillion, K. and Johnson, S. (2026) ‘A qualitative investigation of young people’s experiences and views of Early Support Hubs across England’, </w:t>
      </w:r>
      <w:r>
        <w:rPr>
          <w:rStyle w:val="Emphasis"/>
        </w:rPr>
        <w:t>PLOS ONE</w:t>
      </w:r>
      <w:r>
        <w:t xml:space="preserve">, 21(5), e0347789. Available at: </w:t>
      </w:r>
      <w:hyperlink r:id="rId108" w:history="1">
        <w:r>
          <w:rPr>
            <w:rStyle w:val="Hyperlink"/>
          </w:rPr>
          <w:t>https://doi.org/10.1371/journal.pone.0347789</w:t>
        </w:r>
      </w:hyperlink>
      <w:r>
        <w:t>.</w:t>
      </w:r>
    </w:p>
    <w:p w:rsidR="00867166" w:rsidRDefault="00867166" w:rsidP="001F47A0">
      <w:pPr>
        <w:spacing w:after="120"/>
        <w:ind w:left="720" w:hanging="720"/>
      </w:pPr>
      <w:r>
        <w:t xml:space="preserve">Young, H. and Melia, Y. (2024) ‘Exploring care leavers’ experiences of the barriers to accessing professional mental health support during adolescence using photo-elicitation and interpretative phenomenological analysis’, </w:t>
      </w:r>
      <w:r>
        <w:rPr>
          <w:rStyle w:val="Emphasis"/>
        </w:rPr>
        <w:t>Adoption &amp; Fostering</w:t>
      </w:r>
      <w:r>
        <w:t xml:space="preserve">. Available at: </w:t>
      </w:r>
      <w:hyperlink r:id="rId109" w:history="1">
        <w:r>
          <w:rPr>
            <w:rStyle w:val="Hyperlink"/>
          </w:rPr>
          <w:t>https://doi.org/10.1177/03085759241292624</w:t>
        </w:r>
      </w:hyperlink>
      <w:r>
        <w:t>.</w:t>
      </w:r>
    </w:p>
    <w:p w:rsidR="001E70D6" w:rsidRDefault="001E70D6"/>
    <w:sectPr w:rsidR="001E70D6" w:rsidSect="000B7728">
      <w:footerReference w:type="default" r:id="rId110"/>
      <w:pgSz w:w="12240" w:h="15840"/>
      <w:pgMar w:top="1440" w:right="1797" w:bottom="1440" w:left="1797"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A5704" w:rsidRDefault="00BA5704" w:rsidP="000B7728">
      <w:pPr>
        <w:spacing w:after="0" w:line="240" w:lineRule="auto"/>
      </w:pPr>
      <w:r>
        <w:separator/>
      </w:r>
    </w:p>
  </w:endnote>
  <w:endnote w:type="continuationSeparator" w:id="1">
    <w:p w:rsidR="00BA5704" w:rsidRDefault="00BA5704" w:rsidP="000B772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notTrueType/>
    <w:pitch w:val="fixed"/>
    <w:sig w:usb0="00000001" w:usb1="08070000" w:usb2="00000010" w:usb3="00000000" w:csb0="0002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E5A4E" w:rsidRDefault="00AE5A4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01243969"/>
      <w:docPartObj>
        <w:docPartGallery w:val="Page Numbers (Bottom of Page)"/>
        <w:docPartUnique/>
      </w:docPartObj>
    </w:sdtPr>
    <w:sdtEndPr>
      <w:rPr>
        <w:noProof/>
      </w:rPr>
    </w:sdtEndPr>
    <w:sdtContent>
      <w:p w:rsidR="000B7728" w:rsidRDefault="00C65A08">
        <w:pPr>
          <w:pStyle w:val="Footer"/>
          <w:jc w:val="right"/>
        </w:pPr>
        <w:r>
          <w:fldChar w:fldCharType="begin"/>
        </w:r>
        <w:r w:rsidR="000B7728">
          <w:instrText xml:space="preserve"> PAGE   \* MERGEFORMAT </w:instrText>
        </w:r>
        <w:r>
          <w:fldChar w:fldCharType="separate"/>
        </w:r>
        <w:r w:rsidR="006E3DD0">
          <w:rPr>
            <w:noProof/>
          </w:rPr>
          <w:t>viii</w:t>
        </w:r>
        <w:r>
          <w:rPr>
            <w:noProof/>
          </w:rPr>
          <w:fldChar w:fldCharType="end"/>
        </w:r>
      </w:p>
    </w:sdtContent>
  </w:sdt>
  <w:p w:rsidR="000B7728" w:rsidRDefault="000B7728">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B7728" w:rsidRDefault="00C65A08">
    <w:pPr>
      <w:pStyle w:val="Footer"/>
      <w:jc w:val="right"/>
    </w:pPr>
    <w:r>
      <w:fldChar w:fldCharType="begin"/>
    </w:r>
    <w:r w:rsidR="000B7728">
      <w:instrText xml:space="preserve"> PAGE   \* MERGEFORMAT </w:instrText>
    </w:r>
    <w:r>
      <w:fldChar w:fldCharType="separate"/>
    </w:r>
    <w:r w:rsidR="006E3DD0">
      <w:rPr>
        <w:noProof/>
      </w:rPr>
      <w:t>66</w:t>
    </w:r>
    <w:r>
      <w:rPr>
        <w:noProof/>
      </w:rPr>
      <w:fldChar w:fldCharType="end"/>
    </w:r>
    <w:r>
      <w:rPr>
        <w:noProof/>
      </w:rPr>
    </w:r>
  </w:p>
  <w:p w:rsidR="000B7728" w:rsidRDefault="000B772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A5704" w:rsidRDefault="00BA5704" w:rsidP="000B7728">
      <w:pPr>
        <w:spacing w:after="0" w:line="240" w:lineRule="auto"/>
      </w:pPr>
      <w:r>
        <w:separator/>
      </w:r>
    </w:p>
  </w:footnote>
  <w:footnote w:type="continuationSeparator" w:id="1">
    <w:p w:rsidR="00BA5704" w:rsidRDefault="00BA5704" w:rsidP="000B772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9E4B3C"/>
    <w:multiLevelType w:val="multilevel"/>
    <w:tmpl w:val="F79E294C"/>
    <w:lvl w:ilvl="0">
      <w:start w:val="1"/>
      <w:numFmt w:val="decimal"/>
      <w:pStyle w:val="Heading1"/>
      <w:suff w:val="space"/>
      <w:lvlText w:val="Chapter %1."/>
      <w:lvlJc w:val="left"/>
      <w:pPr>
        <w:ind w:left="0" w:firstLine="0"/>
      </w:pPr>
    </w:lvl>
    <w:lvl w:ilvl="1">
      <w:start w:val="1"/>
      <w:numFmt w:val="decimal"/>
      <w:pStyle w:val="Heading2"/>
      <w:suff w:val="space"/>
      <w:lvlText w:val="%1.%2."/>
      <w:lvlJc w:val="left"/>
      <w:pPr>
        <w:ind w:left="0" w:firstLine="0"/>
      </w:pPr>
      <w:rPr>
        <w:rFonts w:hint="default"/>
      </w:rPr>
    </w:lvl>
    <w:lvl w:ilvl="2">
      <w:start w:val="1"/>
      <w:numFmt w:val="decimal"/>
      <w:lvlRestart w:val="1"/>
      <w:pStyle w:val="Heading3"/>
      <w:suff w:val="space"/>
      <w:lvlText w:val="%1.%2.%3."/>
      <w:lvlJc w:val="left"/>
      <w:pPr>
        <w:ind w:left="0" w:firstLine="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
    <w:nsid w:val="70BB7688"/>
    <w:multiLevelType w:val="hybridMultilevel"/>
    <w:tmpl w:val="CB24BF02"/>
    <w:lvl w:ilvl="0" w:tplc="C3F64D1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0"/>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E3CE1"/>
    <w:rsid w:val="000317D0"/>
    <w:rsid w:val="000B7728"/>
    <w:rsid w:val="00127E14"/>
    <w:rsid w:val="001B3E85"/>
    <w:rsid w:val="001C1C34"/>
    <w:rsid w:val="001E70D6"/>
    <w:rsid w:val="001F47A0"/>
    <w:rsid w:val="00386FA8"/>
    <w:rsid w:val="003B664C"/>
    <w:rsid w:val="004E2B5B"/>
    <w:rsid w:val="0055114B"/>
    <w:rsid w:val="005C0069"/>
    <w:rsid w:val="00683003"/>
    <w:rsid w:val="00686731"/>
    <w:rsid w:val="006E3DD0"/>
    <w:rsid w:val="007304A7"/>
    <w:rsid w:val="00794162"/>
    <w:rsid w:val="00806D7B"/>
    <w:rsid w:val="00822D55"/>
    <w:rsid w:val="00867166"/>
    <w:rsid w:val="008C7BE1"/>
    <w:rsid w:val="008D3676"/>
    <w:rsid w:val="009C52BA"/>
    <w:rsid w:val="00A82ACF"/>
    <w:rsid w:val="00AE3CE1"/>
    <w:rsid w:val="00AE5A4E"/>
    <w:rsid w:val="00B16549"/>
    <w:rsid w:val="00BA5704"/>
    <w:rsid w:val="00C65A08"/>
    <w:rsid w:val="00C900EF"/>
    <w:rsid w:val="00D435DF"/>
    <w:rsid w:val="00DE58C1"/>
    <w:rsid w:val="00EB0EED"/>
    <w:rsid w:val="00F11565"/>
    <w:rsid w:val="00F323CB"/>
    <w:rsid w:val="00F669FD"/>
    <w:rsid w:val="00FD3FBE"/>
    <w:rsid w:val="00FE171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imes New Roman"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6731"/>
    <w:pPr>
      <w:spacing w:after="200" w:line="360" w:lineRule="auto"/>
      <w:jc w:val="both"/>
    </w:pPr>
    <w:rPr>
      <w:rFonts w:ascii="Arial" w:eastAsia="Arial" w:hAnsi="Arial"/>
      <w:kern w:val="0"/>
      <w:sz w:val="22"/>
      <w:szCs w:val="22"/>
    </w:rPr>
  </w:style>
  <w:style w:type="paragraph" w:styleId="Heading1">
    <w:name w:val="heading 1"/>
    <w:basedOn w:val="Normal"/>
    <w:next w:val="Normal"/>
    <w:link w:val="Heading1Char"/>
    <w:uiPriority w:val="9"/>
    <w:qFormat/>
    <w:rsid w:val="00794162"/>
    <w:pPr>
      <w:keepNext/>
      <w:keepLines/>
      <w:numPr>
        <w:numId w:val="3"/>
      </w:numPr>
      <w:spacing w:before="360" w:after="80"/>
      <w:jc w:val="center"/>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794162"/>
    <w:pPr>
      <w:keepNext/>
      <w:keepLines/>
      <w:numPr>
        <w:ilvl w:val="1"/>
        <w:numId w:val="3"/>
      </w:numPr>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794162"/>
    <w:pPr>
      <w:keepNext/>
      <w:keepLines/>
      <w:numPr>
        <w:ilvl w:val="2"/>
        <w:numId w:val="3"/>
      </w:numPr>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AE3CE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E3CE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E3CE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E3CE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E3CE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E3CE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162"/>
    <w:rPr>
      <w:rFonts w:ascii="Times New Roman" w:eastAsiaTheme="majorEastAsia" w:hAnsi="Times New Roman" w:cstheme="majorBidi"/>
      <w:b/>
      <w:color w:val="000000" w:themeColor="text1"/>
      <w:kern w:val="0"/>
      <w:sz w:val="32"/>
      <w:szCs w:val="40"/>
    </w:rPr>
  </w:style>
  <w:style w:type="character" w:customStyle="1" w:styleId="Heading2Char">
    <w:name w:val="Heading 2 Char"/>
    <w:basedOn w:val="DefaultParagraphFont"/>
    <w:link w:val="Heading2"/>
    <w:uiPriority w:val="9"/>
    <w:rsid w:val="00DE58C1"/>
    <w:rPr>
      <w:rFonts w:ascii="Times New Roman" w:eastAsiaTheme="majorEastAsia" w:hAnsi="Times New Roman" w:cstheme="majorBidi"/>
      <w:b/>
      <w:kern w:val="0"/>
      <w:sz w:val="28"/>
      <w:szCs w:val="32"/>
    </w:rPr>
  </w:style>
  <w:style w:type="character" w:customStyle="1" w:styleId="Heading3Char">
    <w:name w:val="Heading 3 Char"/>
    <w:basedOn w:val="DefaultParagraphFont"/>
    <w:link w:val="Heading3"/>
    <w:uiPriority w:val="9"/>
    <w:rsid w:val="00794162"/>
    <w:rPr>
      <w:rFonts w:ascii="Times New Roman" w:eastAsiaTheme="majorEastAsia" w:hAnsi="Times New Roman" w:cstheme="majorBidi"/>
      <w:b/>
      <w:i/>
      <w:color w:val="000000" w:themeColor="text1"/>
      <w:kern w:val="0"/>
      <w:szCs w:val="28"/>
    </w:rPr>
  </w:style>
  <w:style w:type="character" w:customStyle="1" w:styleId="Heading4Char">
    <w:name w:val="Heading 4 Char"/>
    <w:basedOn w:val="DefaultParagraphFont"/>
    <w:link w:val="Heading4"/>
    <w:uiPriority w:val="9"/>
    <w:semiHidden/>
    <w:rsid w:val="00AE3CE1"/>
    <w:rPr>
      <w:rFonts w:eastAsiaTheme="majorEastAsia" w:cstheme="majorBidi"/>
      <w:i/>
      <w:iCs/>
      <w:color w:val="2F5496" w:themeColor="accent1" w:themeShade="BF"/>
      <w:kern w:val="0"/>
      <w:szCs w:val="22"/>
    </w:rPr>
  </w:style>
  <w:style w:type="character" w:customStyle="1" w:styleId="Heading5Char">
    <w:name w:val="Heading 5 Char"/>
    <w:basedOn w:val="DefaultParagraphFont"/>
    <w:link w:val="Heading5"/>
    <w:uiPriority w:val="9"/>
    <w:semiHidden/>
    <w:rsid w:val="00AE3CE1"/>
    <w:rPr>
      <w:rFonts w:eastAsiaTheme="majorEastAsia" w:cstheme="majorBidi"/>
      <w:color w:val="2F5496" w:themeColor="accent1" w:themeShade="BF"/>
      <w:kern w:val="0"/>
      <w:szCs w:val="22"/>
    </w:rPr>
  </w:style>
  <w:style w:type="character" w:customStyle="1" w:styleId="Heading6Char">
    <w:name w:val="Heading 6 Char"/>
    <w:basedOn w:val="DefaultParagraphFont"/>
    <w:link w:val="Heading6"/>
    <w:uiPriority w:val="9"/>
    <w:semiHidden/>
    <w:rsid w:val="00AE3CE1"/>
    <w:rPr>
      <w:rFonts w:eastAsiaTheme="majorEastAsia" w:cstheme="majorBidi"/>
      <w:i/>
      <w:iCs/>
      <w:color w:val="595959" w:themeColor="text1" w:themeTint="A6"/>
      <w:kern w:val="0"/>
      <w:szCs w:val="22"/>
    </w:rPr>
  </w:style>
  <w:style w:type="character" w:customStyle="1" w:styleId="Heading7Char">
    <w:name w:val="Heading 7 Char"/>
    <w:basedOn w:val="DefaultParagraphFont"/>
    <w:link w:val="Heading7"/>
    <w:uiPriority w:val="9"/>
    <w:semiHidden/>
    <w:rsid w:val="00AE3CE1"/>
    <w:rPr>
      <w:rFonts w:eastAsiaTheme="majorEastAsia" w:cstheme="majorBidi"/>
      <w:color w:val="595959" w:themeColor="text1" w:themeTint="A6"/>
      <w:kern w:val="0"/>
      <w:szCs w:val="22"/>
    </w:rPr>
  </w:style>
  <w:style w:type="character" w:customStyle="1" w:styleId="Heading8Char">
    <w:name w:val="Heading 8 Char"/>
    <w:basedOn w:val="DefaultParagraphFont"/>
    <w:link w:val="Heading8"/>
    <w:uiPriority w:val="9"/>
    <w:semiHidden/>
    <w:rsid w:val="00AE3CE1"/>
    <w:rPr>
      <w:rFonts w:eastAsiaTheme="majorEastAsia" w:cstheme="majorBidi"/>
      <w:i/>
      <w:iCs/>
      <w:color w:val="272727" w:themeColor="text1" w:themeTint="D8"/>
      <w:kern w:val="0"/>
      <w:szCs w:val="22"/>
    </w:rPr>
  </w:style>
  <w:style w:type="character" w:customStyle="1" w:styleId="Heading9Char">
    <w:name w:val="Heading 9 Char"/>
    <w:basedOn w:val="DefaultParagraphFont"/>
    <w:link w:val="Heading9"/>
    <w:uiPriority w:val="9"/>
    <w:semiHidden/>
    <w:rsid w:val="00AE3CE1"/>
    <w:rPr>
      <w:rFonts w:eastAsiaTheme="majorEastAsia" w:cstheme="majorBidi"/>
      <w:color w:val="272727" w:themeColor="text1" w:themeTint="D8"/>
      <w:kern w:val="0"/>
      <w:szCs w:val="22"/>
    </w:rPr>
  </w:style>
  <w:style w:type="paragraph" w:styleId="Title">
    <w:name w:val="Title"/>
    <w:basedOn w:val="Normal"/>
    <w:next w:val="Normal"/>
    <w:link w:val="TitleChar"/>
    <w:uiPriority w:val="10"/>
    <w:qFormat/>
    <w:rsid w:val="00AE3C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C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CE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CE1"/>
    <w:rPr>
      <w:rFonts w:eastAsiaTheme="majorEastAsia"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AE3CE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E3CE1"/>
    <w:rPr>
      <w:rFonts w:ascii="Times New Roman" w:hAnsi="Times New Roman"/>
      <w:i/>
      <w:iCs/>
      <w:color w:val="404040" w:themeColor="text1" w:themeTint="BF"/>
      <w:kern w:val="0"/>
      <w:szCs w:val="22"/>
    </w:rPr>
  </w:style>
  <w:style w:type="paragraph" w:styleId="ListParagraph">
    <w:name w:val="List Paragraph"/>
    <w:basedOn w:val="Normal"/>
    <w:uiPriority w:val="34"/>
    <w:qFormat/>
    <w:rsid w:val="00AE3CE1"/>
    <w:pPr>
      <w:spacing w:after="0"/>
      <w:ind w:left="720"/>
      <w:contextualSpacing/>
    </w:pPr>
  </w:style>
  <w:style w:type="character" w:styleId="IntenseEmphasis">
    <w:name w:val="Intense Emphasis"/>
    <w:basedOn w:val="DefaultParagraphFont"/>
    <w:uiPriority w:val="21"/>
    <w:qFormat/>
    <w:rsid w:val="00AE3CE1"/>
    <w:rPr>
      <w:i/>
      <w:iCs/>
      <w:color w:val="2F5496" w:themeColor="accent1" w:themeShade="BF"/>
    </w:rPr>
  </w:style>
  <w:style w:type="paragraph" w:styleId="IntenseQuote">
    <w:name w:val="Intense Quote"/>
    <w:basedOn w:val="Normal"/>
    <w:next w:val="Normal"/>
    <w:link w:val="IntenseQuoteChar"/>
    <w:uiPriority w:val="30"/>
    <w:qFormat/>
    <w:rsid w:val="00AE3CE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E3CE1"/>
    <w:rPr>
      <w:rFonts w:ascii="Times New Roman" w:hAnsi="Times New Roman"/>
      <w:i/>
      <w:iCs/>
      <w:color w:val="2F5496" w:themeColor="accent1" w:themeShade="BF"/>
      <w:kern w:val="0"/>
      <w:szCs w:val="22"/>
    </w:rPr>
  </w:style>
  <w:style w:type="character" w:styleId="IntenseReference">
    <w:name w:val="Intense Reference"/>
    <w:basedOn w:val="DefaultParagraphFont"/>
    <w:uiPriority w:val="32"/>
    <w:qFormat/>
    <w:rsid w:val="00AE3CE1"/>
    <w:rPr>
      <w:b/>
      <w:bCs/>
      <w:smallCaps/>
      <w:color w:val="2F5496" w:themeColor="accent1" w:themeShade="BF"/>
      <w:spacing w:val="5"/>
    </w:rPr>
  </w:style>
  <w:style w:type="character" w:styleId="Hyperlink">
    <w:name w:val="Hyperlink"/>
    <w:basedOn w:val="DefaultParagraphFont"/>
    <w:uiPriority w:val="99"/>
    <w:unhideWhenUsed/>
    <w:rsid w:val="00AE3CE1"/>
    <w:rPr>
      <w:color w:val="0563C1" w:themeColor="hyperlink"/>
      <w:u w:val="single"/>
    </w:rPr>
  </w:style>
  <w:style w:type="table" w:styleId="TableGrid">
    <w:name w:val="Table Grid"/>
    <w:basedOn w:val="TableNormal"/>
    <w:uiPriority w:val="59"/>
    <w:rsid w:val="00AE3CE1"/>
    <w:pPr>
      <w:spacing w:after="0" w:line="240" w:lineRule="auto"/>
    </w:pPr>
    <w:rPr>
      <w:rFonts w:eastAsiaTheme="minorEastAsia"/>
      <w:kern w:val="0"/>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Caption">
    <w:name w:val="Table Caption"/>
    <w:rsid w:val="00AE3CE1"/>
    <w:pPr>
      <w:keepNext/>
      <w:spacing w:before="160" w:after="80" w:line="276" w:lineRule="auto"/>
    </w:pPr>
    <w:rPr>
      <w:rFonts w:ascii="Arial" w:eastAsia="Arial" w:hAnsi="Arial"/>
      <w:kern w:val="0"/>
      <w:sz w:val="21"/>
      <w:szCs w:val="22"/>
    </w:rPr>
  </w:style>
  <w:style w:type="paragraph" w:styleId="NormalWeb">
    <w:name w:val="Normal (Web)"/>
    <w:basedOn w:val="Normal"/>
    <w:uiPriority w:val="99"/>
    <w:semiHidden/>
    <w:unhideWhenUsed/>
    <w:rsid w:val="00AE3CE1"/>
    <w:pPr>
      <w:spacing w:before="100" w:beforeAutospacing="1" w:after="100" w:afterAutospacing="1" w:line="240" w:lineRule="auto"/>
      <w:jc w:val="left"/>
    </w:pPr>
    <w:rPr>
      <w:rFonts w:cs="Times New Roman"/>
      <w:szCs w:val="24"/>
    </w:rPr>
  </w:style>
  <w:style w:type="character" w:styleId="Strong">
    <w:name w:val="Strong"/>
    <w:basedOn w:val="DefaultParagraphFont"/>
    <w:uiPriority w:val="22"/>
    <w:qFormat/>
    <w:rsid w:val="00AE3CE1"/>
    <w:rPr>
      <w:b/>
      <w:bCs/>
    </w:rPr>
  </w:style>
  <w:style w:type="character" w:styleId="Emphasis">
    <w:name w:val="Emphasis"/>
    <w:basedOn w:val="DefaultParagraphFont"/>
    <w:uiPriority w:val="20"/>
    <w:qFormat/>
    <w:rsid w:val="00AE3CE1"/>
    <w:rPr>
      <w:i/>
      <w:iCs/>
    </w:rPr>
  </w:style>
  <w:style w:type="paragraph" w:styleId="TOCHeading">
    <w:name w:val="TOC Heading"/>
    <w:basedOn w:val="Heading1"/>
    <w:next w:val="Normal"/>
    <w:uiPriority w:val="39"/>
    <w:unhideWhenUsed/>
    <w:qFormat/>
    <w:rsid w:val="00386FA8"/>
    <w:pPr>
      <w:numPr>
        <w:numId w:val="0"/>
      </w:numPr>
      <w:spacing w:before="240" w:after="0" w:line="259" w:lineRule="auto"/>
      <w:jc w:val="left"/>
      <w:outlineLvl w:val="9"/>
    </w:pPr>
    <w:rPr>
      <w:rFonts w:asciiTheme="majorHAnsi" w:eastAsia="Arial" w:hAnsiTheme="majorHAnsi"/>
      <w:color w:val="2F5496" w:themeColor="accent1" w:themeShade="BF"/>
      <w:szCs w:val="32"/>
    </w:rPr>
  </w:style>
  <w:style w:type="paragraph" w:styleId="TOC1">
    <w:name w:val="toc 1"/>
    <w:basedOn w:val="Normal"/>
    <w:next w:val="Normal"/>
    <w:autoRedefine/>
    <w:uiPriority w:val="39"/>
    <w:unhideWhenUsed/>
    <w:rsid w:val="00386FA8"/>
    <w:pPr>
      <w:spacing w:after="100"/>
    </w:pPr>
  </w:style>
  <w:style w:type="paragraph" w:styleId="TOC2">
    <w:name w:val="toc 2"/>
    <w:basedOn w:val="Normal"/>
    <w:next w:val="Normal"/>
    <w:autoRedefine/>
    <w:uiPriority w:val="39"/>
    <w:unhideWhenUsed/>
    <w:rsid w:val="00386FA8"/>
    <w:pPr>
      <w:spacing w:after="100"/>
      <w:ind w:left="240"/>
    </w:pPr>
  </w:style>
  <w:style w:type="paragraph" w:styleId="TOC3">
    <w:name w:val="toc 3"/>
    <w:basedOn w:val="Normal"/>
    <w:next w:val="Normal"/>
    <w:autoRedefine/>
    <w:uiPriority w:val="39"/>
    <w:unhideWhenUsed/>
    <w:rsid w:val="00386FA8"/>
    <w:pPr>
      <w:spacing w:after="100"/>
      <w:ind w:left="480"/>
    </w:pPr>
  </w:style>
  <w:style w:type="paragraph" w:styleId="NoSpacing">
    <w:name w:val="No Spacing"/>
    <w:uiPriority w:val="1"/>
    <w:qFormat/>
    <w:rsid w:val="000B7728"/>
    <w:pPr>
      <w:spacing w:after="0" w:line="240" w:lineRule="auto"/>
      <w:jc w:val="both"/>
    </w:pPr>
    <w:rPr>
      <w:rFonts w:ascii="Times New Roman" w:hAnsi="Times New Roman"/>
      <w:kern w:val="0"/>
      <w:szCs w:val="22"/>
    </w:rPr>
  </w:style>
  <w:style w:type="paragraph" w:styleId="Header">
    <w:name w:val="header"/>
    <w:basedOn w:val="Normal"/>
    <w:link w:val="HeaderChar"/>
    <w:uiPriority w:val="99"/>
    <w:unhideWhenUsed/>
    <w:rsid w:val="000B77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7728"/>
    <w:rPr>
      <w:rFonts w:ascii="Times New Roman" w:hAnsi="Times New Roman"/>
      <w:kern w:val="0"/>
      <w:szCs w:val="22"/>
    </w:rPr>
  </w:style>
  <w:style w:type="paragraph" w:styleId="Footer">
    <w:name w:val="footer"/>
    <w:basedOn w:val="Normal"/>
    <w:link w:val="FooterChar"/>
    <w:uiPriority w:val="99"/>
    <w:unhideWhenUsed/>
    <w:rsid w:val="000B77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7728"/>
    <w:rPr>
      <w:rFonts w:ascii="Times New Roman" w:hAnsi="Times New Roman"/>
      <w:kern w:val="0"/>
      <w:szCs w:val="22"/>
    </w:rPr>
  </w:style>
  <w:style w:type="paragraph" w:styleId="Caption">
    <w:name w:val="caption"/>
    <w:basedOn w:val="Normal"/>
    <w:next w:val="Normal"/>
    <w:uiPriority w:val="35"/>
    <w:unhideWhenUsed/>
    <w:qFormat/>
    <w:rsid w:val="000B7728"/>
    <w:rPr>
      <w:iCs/>
      <w:sz w:val="21"/>
      <w:szCs w:val="18"/>
    </w:rPr>
  </w:style>
  <w:style w:type="paragraph" w:styleId="TableofFigures">
    <w:name w:val="table of figures"/>
    <w:basedOn w:val="Normal"/>
    <w:next w:val="Normal"/>
    <w:uiPriority w:val="99"/>
    <w:unhideWhenUsed/>
    <w:rsid w:val="000B7728"/>
    <w:pPr>
      <w:spacing w:after="0"/>
    </w:pPr>
  </w:style>
  <w:style w:type="paragraph" w:styleId="BalloonText">
    <w:name w:val="Balloon Text"/>
    <w:basedOn w:val="Normal"/>
    <w:link w:val="BalloonTextChar"/>
    <w:uiPriority w:val="99"/>
    <w:semiHidden/>
    <w:unhideWhenUsed/>
    <w:rsid w:val="006E3D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3DD0"/>
    <w:rPr>
      <w:rFonts w:ascii="Tahoma" w:eastAsia="Arial" w:hAnsi="Tahoma" w:cs="Tahoma"/>
      <w:kern w:val="0"/>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jad.2017.07.044" TargetMode="External"/><Relationship Id="rId21" Type="http://schemas.openxmlformats.org/officeDocument/2006/relationships/hyperlink" Target="https://doi.org/10.1016/j.geopsy.2025.100024" TargetMode="External"/><Relationship Id="rId42" Type="http://schemas.openxmlformats.org/officeDocument/2006/relationships/hyperlink" Target="https://doi.org/10.1186/s12913-022-07800-1" TargetMode="External"/><Relationship Id="rId47" Type="http://schemas.openxmlformats.org/officeDocument/2006/relationships/hyperlink" Target="https://doi.org/10.1177/2158244017719113" TargetMode="External"/><Relationship Id="rId63" Type="http://schemas.openxmlformats.org/officeDocument/2006/relationships/hyperlink" Target="https://doi.org/10.1002/wps.20938" TargetMode="External"/><Relationship Id="rId68" Type="http://schemas.openxmlformats.org/officeDocument/2006/relationships/hyperlink" Target="https://doi.org/10.1108/HCS-04-2022-0017" TargetMode="External"/><Relationship Id="rId84" Type="http://schemas.openxmlformats.org/officeDocument/2006/relationships/hyperlink" Target="https://doi.org/10.1002/capr.12391" TargetMode="External"/><Relationship Id="rId89" Type="http://schemas.openxmlformats.org/officeDocument/2006/relationships/hyperlink" Target="https://doi.org/10.1186/s13643-020-01542-z" TargetMode="External"/><Relationship Id="rId112"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86/1471-2288-8-21" TargetMode="External"/><Relationship Id="rId29" Type="http://schemas.openxmlformats.org/officeDocument/2006/relationships/hyperlink" Target="https://doi.org/10.1177/1049732312452937" TargetMode="External"/><Relationship Id="rId107" Type="http://schemas.openxmlformats.org/officeDocument/2006/relationships/hyperlink" Target="https://doi.org/10.1016/S2352-4642(24)00333-X" TargetMode="External"/><Relationship Id="rId11" Type="http://schemas.openxmlformats.org/officeDocument/2006/relationships/hyperlink" Target="https://doi.org/10.1186/s12888-020-02659-0" TargetMode="External"/><Relationship Id="rId24" Type="http://schemas.openxmlformats.org/officeDocument/2006/relationships/hyperlink" Target="https://doi.org/10.1191/1478088706qp063oa" TargetMode="External"/><Relationship Id="rId32" Type="http://schemas.openxmlformats.org/officeDocument/2006/relationships/hyperlink" Target="https://doi.org/10.1371/journal.pdig.0000556" TargetMode="External"/><Relationship Id="rId37" Type="http://schemas.openxmlformats.org/officeDocument/2006/relationships/hyperlink" Target="https://doi.org/10.2196/jmir.9275" TargetMode="External"/><Relationship Id="rId40" Type="http://schemas.openxmlformats.org/officeDocument/2006/relationships/hyperlink" Target="https://doi.org/10.1007/s10935-026-00918-6" TargetMode="External"/><Relationship Id="rId45" Type="http://schemas.openxmlformats.org/officeDocument/2006/relationships/hyperlink" Target="https://doi.org/10.3233/EFI-180221" TargetMode="External"/><Relationship Id="rId53" Type="http://schemas.openxmlformats.org/officeDocument/2006/relationships/hyperlink" Target="https://doi.org/10.2196/12869" TargetMode="External"/><Relationship Id="rId58" Type="http://schemas.openxmlformats.org/officeDocument/2006/relationships/hyperlink" Target="https://doi.org/10.1007/s00127-015-1165-4" TargetMode="External"/><Relationship Id="rId66" Type="http://schemas.openxmlformats.org/officeDocument/2006/relationships/hyperlink" Target="https://doi.org/10.3399/bjgp17X688453" TargetMode="External"/><Relationship Id="rId74" Type="http://schemas.openxmlformats.org/officeDocument/2006/relationships/hyperlink" Target="https://digital.nhs.uk/data-and-information/publications/statistical/adult-psychiatric-morbidity-survey/survey-of-mental-health-and-wellbeing-england-2023-24/common-mental-health-conditions" TargetMode="External"/><Relationship Id="rId79" Type="http://schemas.openxmlformats.org/officeDocument/2006/relationships/hyperlink" Target="https://doi.org/10.1136/bmj.n71" TargetMode="External"/><Relationship Id="rId87" Type="http://schemas.openxmlformats.org/officeDocument/2006/relationships/hyperlink" Target="https://doi.org/10.1007/s00787-019-01469-4" TargetMode="External"/><Relationship Id="rId102" Type="http://schemas.openxmlformats.org/officeDocument/2006/relationships/hyperlink" Target="https://doi.org/10.1186/1471-2288-8-45" TargetMode="External"/><Relationship Id="rId110" Type="http://schemas.openxmlformats.org/officeDocument/2006/relationships/footer" Target="footer3.xml"/><Relationship Id="rId5" Type="http://schemas.openxmlformats.org/officeDocument/2006/relationships/webSettings" Target="webSettings.xml"/><Relationship Id="rId61" Type="http://schemas.openxmlformats.org/officeDocument/2006/relationships/hyperlink" Target="https://doi.org/10.5694/j.1326-5377.2007.tb01338.x" TargetMode="External"/><Relationship Id="rId82" Type="http://schemas.openxmlformats.org/officeDocument/2006/relationships/hyperlink" Target="https://doi.org/10.1111/eip.12060" TargetMode="External"/><Relationship Id="rId90" Type="http://schemas.openxmlformats.org/officeDocument/2006/relationships/hyperlink" Target="https://doi.org/10.2147/PRBM.S38707" TargetMode="External"/><Relationship Id="rId95" Type="http://schemas.openxmlformats.org/officeDocument/2006/relationships/hyperlink" Target="https://doi.org/10.3399/bjgp16X687313" TargetMode="External"/><Relationship Id="rId19" Type="http://schemas.openxmlformats.org/officeDocument/2006/relationships/hyperlink" Target="https://doi.org/10.1016/S2215-0366(19)30027-6" TargetMode="External"/><Relationship Id="rId14" Type="http://schemas.openxmlformats.org/officeDocument/2006/relationships/hyperlink" Target="https://doi.org/10.1007/s00787-020-01526-3" TargetMode="External"/><Relationship Id="rId22" Type="http://schemas.openxmlformats.org/officeDocument/2006/relationships/hyperlink" Target="https://doi.org/10.2196/24387" TargetMode="External"/><Relationship Id="rId27" Type="http://schemas.openxmlformats.org/officeDocument/2006/relationships/hyperlink" Target="https://doi.org/10.1016/j.childyouth.2022.106440" TargetMode="External"/><Relationship Id="rId30" Type="http://schemas.openxmlformats.org/officeDocument/2006/relationships/hyperlink" Target="https://casp-uk.net/casp-tools-checklists/qualitative-studies-checklist/" TargetMode="External"/><Relationship Id="rId35" Type="http://schemas.openxmlformats.org/officeDocument/2006/relationships/hyperlink" Target="https://doi.org/10.1177/1077558709335173" TargetMode="External"/><Relationship Id="rId43" Type="http://schemas.openxmlformats.org/officeDocument/2006/relationships/hyperlink" Target="https://doi.org/10.1111/camh.12339" TargetMode="External"/><Relationship Id="rId48" Type="http://schemas.openxmlformats.org/officeDocument/2006/relationships/hyperlink" Target="https://doi.org/10.1037/a0025957" TargetMode="External"/><Relationship Id="rId56" Type="http://schemas.openxmlformats.org/officeDocument/2006/relationships/hyperlink" Target="https://doi.org/10.1080/03069885.2012.743110" TargetMode="External"/><Relationship Id="rId64" Type="http://schemas.openxmlformats.org/officeDocument/2006/relationships/hyperlink" Target="https://doi.org/10.1097/YCO.0b013e3283477a09" TargetMode="External"/><Relationship Id="rId69" Type="http://schemas.openxmlformats.org/officeDocument/2006/relationships/hyperlink" Target="https://doi.org/10.1192/bjp.186.4.290" TargetMode="External"/><Relationship Id="rId77" Type="http://schemas.openxmlformats.org/officeDocument/2006/relationships/hyperlink" Target="https://doi.org/10.1097/ACM.0000000000000388" TargetMode="External"/><Relationship Id="rId100" Type="http://schemas.openxmlformats.org/officeDocument/2006/relationships/hyperlink" Target="https://doi.org/10.1038/s41380-021-01161-7" TargetMode="External"/><Relationship Id="rId105" Type="http://schemas.openxmlformats.org/officeDocument/2006/relationships/hyperlink" Target="https://doi.org/10.1093/intqhc/mzm042" TargetMode="External"/><Relationship Id="rId8" Type="http://schemas.openxmlformats.org/officeDocument/2006/relationships/image" Target="media/image1.png"/><Relationship Id="rId51" Type="http://schemas.openxmlformats.org/officeDocument/2006/relationships/hyperlink" Target="https://doi.org/10.1001/archpsyc.62.6.593" TargetMode="External"/><Relationship Id="rId72" Type="http://schemas.openxmlformats.org/officeDocument/2006/relationships/hyperlink" Target="https://doi.org/10.1017/S2045796015001067" TargetMode="External"/><Relationship Id="rId80" Type="http://schemas.openxmlformats.org/officeDocument/2006/relationships/hyperlink" Target="https://doi.org/10.1192/bjp.bp.112.119198" TargetMode="External"/><Relationship Id="rId85" Type="http://schemas.openxmlformats.org/officeDocument/2006/relationships/hyperlink" Target="https://doi.org/10.1371/journal.pone.0265542" TargetMode="External"/><Relationship Id="rId93" Type="http://schemas.openxmlformats.org/officeDocument/2006/relationships/hyperlink" Target="https://doi.org/10.1111/inm.13439" TargetMode="External"/><Relationship Id="rId98" Type="http://schemas.openxmlformats.org/officeDocument/2006/relationships/hyperlink" Target="https://doi.org/10.1002/wps.20266" TargetMode="External"/><Relationship Id="rId3" Type="http://schemas.openxmlformats.org/officeDocument/2006/relationships/styles" Target="styles.xml"/><Relationship Id="rId12" Type="http://schemas.openxmlformats.org/officeDocument/2006/relationships/hyperlink" Target="https://doi.org/10.1016/j.childyouth.2017.04.017" TargetMode="External"/><Relationship Id="rId17" Type="http://schemas.openxmlformats.org/officeDocument/2006/relationships/hyperlink" Target="https://doi.org/10.1037/abn0000362" TargetMode="External"/><Relationship Id="rId25" Type="http://schemas.openxmlformats.org/officeDocument/2006/relationships/hyperlink" Target="https://doi.org/10.1080/14780887.2020.1769238" TargetMode="External"/><Relationship Id="rId33" Type="http://schemas.openxmlformats.org/officeDocument/2006/relationships/hyperlink" Target="https://doi.org/10.1016/j.cpr.2013.04.005" TargetMode="External"/><Relationship Id="rId38" Type="http://schemas.openxmlformats.org/officeDocument/2006/relationships/hyperlink" Target="https://doi.org/10.1176/appi.ps.60.9.1254" TargetMode="External"/><Relationship Id="rId46" Type="http://schemas.openxmlformats.org/officeDocument/2006/relationships/hyperlink" Target="https://doi.org/10.2975/35.3.2012.251.257" TargetMode="External"/><Relationship Id="rId59" Type="http://schemas.openxmlformats.org/officeDocument/2006/relationships/hyperlink" Target="https://doi.org/10.1016/S0140-6736(01)05627-6" TargetMode="External"/><Relationship Id="rId67" Type="http://schemas.openxmlformats.org/officeDocument/2006/relationships/hyperlink" Target="https://doi.org/10.1186/2046-4053-4-1" TargetMode="External"/><Relationship Id="rId103" Type="http://schemas.openxmlformats.org/officeDocument/2006/relationships/hyperlink" Target="https://doi.org/10.1192/bjo.2023.652" TargetMode="External"/><Relationship Id="rId108" Type="http://schemas.openxmlformats.org/officeDocument/2006/relationships/hyperlink" Target="https://doi.org/10.1371/journal.pone.0347789" TargetMode="External"/><Relationship Id="rId20" Type="http://schemas.openxmlformats.org/officeDocument/2006/relationships/hyperlink" Target="https://doi.org/10.1016/j.socscimed.2014.03.022" TargetMode="External"/><Relationship Id="rId41" Type="http://schemas.openxmlformats.org/officeDocument/2006/relationships/hyperlink" Target="https://doi.org/10.1186/1471-244X-10-113" TargetMode="External"/><Relationship Id="rId54" Type="http://schemas.openxmlformats.org/officeDocument/2006/relationships/hyperlink" Target="https://doi.org/10.1186/1475-9276-12-18" TargetMode="External"/><Relationship Id="rId62" Type="http://schemas.openxmlformats.org/officeDocument/2006/relationships/hyperlink" Target="https://doi.org/10.1016/S2215-0366(14)00082-0" TargetMode="External"/><Relationship Id="rId70" Type="http://schemas.openxmlformats.org/officeDocument/2006/relationships/hyperlink" Target="https://doi.org/10.1186/s12874-018-0611-x" TargetMode="External"/><Relationship Id="rId75" Type="http://schemas.openxmlformats.org/officeDocument/2006/relationships/hyperlink" Target="https://www.england.nhs.uk/long-read/community-mental-health-survey-2024-national-qualitative-report/" TargetMode="External"/><Relationship Id="rId83" Type="http://schemas.openxmlformats.org/officeDocument/2006/relationships/hyperlink" Target="https://doi.org/10.2196/13873" TargetMode="External"/><Relationship Id="rId88" Type="http://schemas.openxmlformats.org/officeDocument/2006/relationships/hyperlink" Target="https://doi.org/10.1016/j.socscimed.2013.04.026" TargetMode="External"/><Relationship Id="rId91" Type="http://schemas.openxmlformats.org/officeDocument/2006/relationships/hyperlink" Target="https://doi.org/10.5172/jamh.4.3.218" TargetMode="External"/><Relationship Id="rId96" Type="http://schemas.openxmlformats.org/officeDocument/2006/relationships/hyperlink" Target="https://doi.org/10.1192/bjp.bp.116.189464" TargetMode="External"/><Relationship Id="rId11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synthesismanual.jbi.global/" TargetMode="External"/><Relationship Id="rId23" Type="http://schemas.openxmlformats.org/officeDocument/2006/relationships/hyperlink" Target="https://doi.org/10.2105/AJPH.2012.300750" TargetMode="External"/><Relationship Id="rId28" Type="http://schemas.openxmlformats.org/officeDocument/2006/relationships/hyperlink" Target="https://doi.org/10.1186/s40337-022-00562-5" TargetMode="External"/><Relationship Id="rId36" Type="http://schemas.openxmlformats.org/officeDocument/2006/relationships/hyperlink" Target="https://doi.org/10.1177/146879410200200205" TargetMode="External"/><Relationship Id="rId49" Type="http://schemas.openxmlformats.org/officeDocument/2006/relationships/hyperlink" Target="https://doi.org/10.1016/S0140-6736(18)31431-4" TargetMode="External"/><Relationship Id="rId57" Type="http://schemas.openxmlformats.org/officeDocument/2006/relationships/hyperlink" Target="https://doi.org/10.1093/bjsw/bcaf278" TargetMode="External"/><Relationship Id="rId106" Type="http://schemas.openxmlformats.org/officeDocument/2006/relationships/hyperlink" Target="https://doi.org/10.1016/S0140-6736(12)60149-4" TargetMode="External"/><Relationship Id="rId10" Type="http://schemas.openxmlformats.org/officeDocument/2006/relationships/footer" Target="footer2.xml"/><Relationship Id="rId31" Type="http://schemas.openxmlformats.org/officeDocument/2006/relationships/hyperlink" Target="https://doi.org/10.1017/S0033291714000129" TargetMode="External"/><Relationship Id="rId44" Type="http://schemas.openxmlformats.org/officeDocument/2006/relationships/hyperlink" Target="https://doi.org/10.1192/bjp.bp.113.142612" TargetMode="External"/><Relationship Id="rId52" Type="http://schemas.openxmlformats.org/officeDocument/2006/relationships/hyperlink" Target="https://doi.org/10.1186/s12913-023-09300-2" TargetMode="External"/><Relationship Id="rId60" Type="http://schemas.openxmlformats.org/officeDocument/2006/relationships/hyperlink" Target="https://doi.org/10.1192/bjp.bp.112.119214" TargetMode="External"/><Relationship Id="rId65" Type="http://schemas.openxmlformats.org/officeDocument/2006/relationships/hyperlink" Target="https://doi.org/10.1136/bmjopen-2016-012337" TargetMode="External"/><Relationship Id="rId73" Type="http://schemas.openxmlformats.org/officeDocument/2006/relationships/hyperlink" Target="https://digital.nhs.uk/data-and-information/publications/statistical/mental-health-bulletin/2024-25-annual-report" TargetMode="External"/><Relationship Id="rId78" Type="http://schemas.openxmlformats.org/officeDocument/2006/relationships/hyperlink" Target="https://doi.org/10.3389/fpubh.2025.1684562" TargetMode="External"/><Relationship Id="rId81" Type="http://schemas.openxmlformats.org/officeDocument/2006/relationships/hyperlink" Target="https://doi.org/10.1177/1359104514526603" TargetMode="External"/><Relationship Id="rId86" Type="http://schemas.openxmlformats.org/officeDocument/2006/relationships/hyperlink" Target="https://doi.org/10.1111/papt.12524" TargetMode="External"/><Relationship Id="rId94" Type="http://schemas.openxmlformats.org/officeDocument/2006/relationships/hyperlink" Target="https://doi.org/10.1186/s12889-020-09269-1" TargetMode="External"/><Relationship Id="rId99" Type="http://schemas.openxmlformats.org/officeDocument/2006/relationships/hyperlink" Target="https://doi.org/10.1192/bjp.bp.109.075135" TargetMode="External"/><Relationship Id="rId101" Type="http://schemas.openxmlformats.org/officeDocument/2006/relationships/hyperlink" Target="https://doi.org/10.1111/j.1440-172X.2009.01813.x"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doi.org/10.1007/s00787-019-01307-7" TargetMode="External"/><Relationship Id="rId18" Type="http://schemas.openxmlformats.org/officeDocument/2006/relationships/hyperlink" Target="https://doi.org/10.1192/bjo.2021.947" TargetMode="External"/><Relationship Id="rId39" Type="http://schemas.openxmlformats.org/officeDocument/2006/relationships/hyperlink" Target="https://doi.org/10.2196/11696" TargetMode="External"/><Relationship Id="rId109" Type="http://schemas.openxmlformats.org/officeDocument/2006/relationships/hyperlink" Target="https://doi.org/10.1177/03085759241292624" TargetMode="External"/><Relationship Id="rId34" Type="http://schemas.openxmlformats.org/officeDocument/2006/relationships/hyperlink" Target="https://doi.org/10.1002/mpr.1754" TargetMode="External"/><Relationship Id="rId50" Type="http://schemas.openxmlformats.org/officeDocument/2006/relationships/hyperlink" Target="https://doi.org/10.1016/j.cpr.2005.09.001" TargetMode="External"/><Relationship Id="rId55" Type="http://schemas.openxmlformats.org/officeDocument/2006/relationships/hyperlink" Target="https://doi.org/10.1186/s12913-023-10030-8" TargetMode="External"/><Relationship Id="rId76" Type="http://schemas.openxmlformats.org/officeDocument/2006/relationships/hyperlink" Target="https://doi.org/10.1177/1609406917733847" TargetMode="External"/><Relationship Id="rId97" Type="http://schemas.openxmlformats.org/officeDocument/2006/relationships/hyperlink" Target="https://doi.org/10.1037/0022-006X.71.3.452" TargetMode="External"/><Relationship Id="rId104" Type="http://schemas.openxmlformats.org/officeDocument/2006/relationships/hyperlink" Target="https://doi.org/10.1186/1471-2288-12-181" TargetMode="External"/><Relationship Id="rId7" Type="http://schemas.openxmlformats.org/officeDocument/2006/relationships/endnotes" Target="endnotes.xml"/><Relationship Id="rId71" Type="http://schemas.openxmlformats.org/officeDocument/2006/relationships/hyperlink" Target="https://doi.org/10.1080/07448481.2010.483714" TargetMode="External"/><Relationship Id="rId92" Type="http://schemas.openxmlformats.org/officeDocument/2006/relationships/hyperlink" Target="https://doi.org/10.5694/j.1326-5377.2007.tb01334.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50412E-D30D-469F-878C-CA34CEE6F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76</Pages>
  <Words>23887</Words>
  <Characters>136160</Characters>
  <Application>Microsoft Office Word</Application>
  <DocSecurity>0</DocSecurity>
  <Lines>1134</Lines>
  <Paragraphs>319</Paragraphs>
  <ScaleCrop>false</ScaleCrop>
  <Company/>
  <LinksUpToDate>false</LinksUpToDate>
  <CharactersWithSpaces>159728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Barriers to Access and Early Engagement in Community-Based Mental Health Services among Young Adults in the United Kingdom: A Qualitative Systematic Review</dc:title>
  <dc:subject>MSc Public Health and Social Care in Practice dissertation</dc:subject>
  <dc:creator>USER</dc:creator>
  <cp:keywords/>
  <dc:description/>
  <cp:lastModifiedBy>Lenovo</cp:lastModifiedBy>
  <cp:revision>6</cp:revision>
  <dcterms:created xsi:type="dcterms:W3CDTF">2026-08-25T12:12:00Z</dcterms:created>
  <dcterms:modified xsi:type="dcterms:W3CDTF">2026-08-27T11:09:00Z</dcterms:modified>
</cp:coreProperties>
</file>