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33125" w14:textId="77777777" w:rsidR="009B23C3" w:rsidRDefault="0088693E">
      <w:pPr>
        <w:spacing w:after="160"/>
      </w:pPr>
      <w:r>
        <w:rPr>
          <w:b/>
        </w:rPr>
        <w:t>Course:</w:t>
      </w:r>
      <w:r>
        <w:t xml:space="preserve"> BSc (Hons) Health and Social Care</w:t>
      </w:r>
    </w:p>
    <w:p w14:paraId="2891192E" w14:textId="77777777" w:rsidR="009B23C3" w:rsidRDefault="0088693E">
      <w:pPr>
        <w:spacing w:after="160"/>
      </w:pPr>
      <w:r>
        <w:rPr>
          <w:b/>
        </w:rPr>
        <w:t>Module:</w:t>
      </w:r>
      <w:r>
        <w:t xml:space="preserve"> Independent Project (BMHP6020_BIRM)</w:t>
      </w:r>
    </w:p>
    <w:p w14:paraId="617FD127" w14:textId="77777777" w:rsidR="009B23C3" w:rsidRDefault="0088693E">
      <w:pPr>
        <w:spacing w:after="160"/>
      </w:pPr>
      <w:r>
        <w:rPr>
          <w:b/>
        </w:rPr>
        <w:t>Component 1:</w:t>
      </w:r>
      <w:r>
        <w:t xml:space="preserve"> Element 1 - Project Proposal</w:t>
      </w:r>
    </w:p>
    <w:p w14:paraId="7F879E08" w14:textId="77777777" w:rsidR="009B23C3" w:rsidRDefault="009B23C3">
      <w:pPr>
        <w:spacing w:after="400"/>
      </w:pPr>
    </w:p>
    <w:p w14:paraId="10C68315" w14:textId="77777777" w:rsidR="009B23C3" w:rsidRDefault="0088693E">
      <w:pPr>
        <w:spacing w:after="160"/>
      </w:pPr>
      <w:r>
        <w:t>Student ID:</w:t>
      </w:r>
      <w:r w:rsidR="00C5127D" w:rsidRPr="00C5127D">
        <w:t xml:space="preserve"> 2246134</w:t>
      </w:r>
    </w:p>
    <w:p w14:paraId="2A9F7EF1" w14:textId="77777777" w:rsidR="009B23C3" w:rsidRDefault="0088693E">
      <w:pPr>
        <w:spacing w:after="160"/>
      </w:pPr>
      <w:r>
        <w:t>Student Name:</w:t>
      </w:r>
      <w:r w:rsidR="00C5127D" w:rsidRPr="00C5127D">
        <w:t xml:space="preserve"> Rohey savage</w:t>
      </w:r>
    </w:p>
    <w:p w14:paraId="43D5B3E0" w14:textId="77777777" w:rsidR="009B23C3" w:rsidRDefault="009B23C3">
      <w:pPr>
        <w:spacing w:after="800"/>
      </w:pPr>
    </w:p>
    <w:p w14:paraId="7862676C" w14:textId="77777777" w:rsidR="009B23C3" w:rsidRDefault="0088693E">
      <w:pPr>
        <w:spacing w:after="360"/>
        <w:jc w:val="center"/>
      </w:pPr>
      <w:r>
        <w:rPr>
          <w:b/>
          <w:sz w:val="32"/>
        </w:rPr>
        <w:t>Element 1 - Project Proposal</w:t>
      </w:r>
    </w:p>
    <w:p w14:paraId="72268C46" w14:textId="77777777" w:rsidR="009B23C3" w:rsidRDefault="0088693E">
      <w:pPr>
        <w:spacing w:after="160"/>
        <w:jc w:val="center"/>
      </w:pPr>
      <w:r>
        <w:t>Topic Area: End-of-life care and palliative care</w:t>
      </w:r>
    </w:p>
    <w:p w14:paraId="4BE044F4" w14:textId="28E97773" w:rsidR="009B23C3" w:rsidRDefault="0088693E">
      <w:pPr>
        <w:spacing w:after="160"/>
        <w:jc w:val="center"/>
      </w:pPr>
      <w:r>
        <w:t xml:space="preserve">Submission preparation date: </w:t>
      </w:r>
      <w:r w:rsidR="00220637">
        <w:t>Sunday</w:t>
      </w:r>
      <w:r>
        <w:t xml:space="preserve">, </w:t>
      </w:r>
      <w:r w:rsidR="00220637">
        <w:t>21st</w:t>
      </w:r>
      <w:r>
        <w:t xml:space="preserve"> June</w:t>
      </w:r>
      <w:r w:rsidR="00220637">
        <w:t xml:space="preserve"> 2026</w:t>
      </w:r>
    </w:p>
    <w:p w14:paraId="75C2114A" w14:textId="77777777" w:rsidR="009B23C3" w:rsidRDefault="0088693E">
      <w:r>
        <w:br w:type="page"/>
      </w:r>
    </w:p>
    <w:p w14:paraId="311E3D1E" w14:textId="77777777" w:rsidR="009B23C3" w:rsidRDefault="0088693E" w:rsidP="009F637B">
      <w:pPr>
        <w:spacing w:after="240" w:line="360" w:lineRule="auto"/>
        <w:jc w:val="both"/>
      </w:pPr>
      <w:r>
        <w:rPr>
          <w:b/>
          <w:sz w:val="32"/>
        </w:rPr>
        <w:lastRenderedPageBreak/>
        <w:t>Element 1 - Project Proposal</w:t>
      </w:r>
    </w:p>
    <w:p w14:paraId="701B7DD7" w14:textId="77777777" w:rsidR="009B23C3" w:rsidRDefault="0088693E" w:rsidP="009F637B">
      <w:pPr>
        <w:spacing w:after="120" w:line="360" w:lineRule="auto"/>
        <w:jc w:val="both"/>
      </w:pPr>
      <w:r>
        <w:rPr>
          <w:b/>
        </w:rPr>
        <w:t xml:space="preserve">My project title: </w:t>
      </w:r>
      <w:r>
        <w:t>An Understanding the contribution of palliative care to quality of life for older people in the UK</w:t>
      </w:r>
    </w:p>
    <w:p w14:paraId="69B7880E" w14:textId="77777777" w:rsidR="009B23C3" w:rsidRDefault="0088693E" w:rsidP="009F637B">
      <w:pPr>
        <w:spacing w:after="120" w:line="360" w:lineRule="auto"/>
        <w:jc w:val="both"/>
        <w:rPr>
          <w:sz w:val="28"/>
        </w:rPr>
      </w:pPr>
      <w:r>
        <w:rPr>
          <w:b/>
          <w:bCs/>
          <w:sz w:val="28"/>
        </w:rPr>
        <w:t>1) Aim:</w:t>
      </w:r>
    </w:p>
    <w:p w14:paraId="40EB711B" w14:textId="77777777" w:rsidR="009B23C3" w:rsidRPr="009F637B" w:rsidRDefault="0088693E" w:rsidP="009F637B">
      <w:pPr>
        <w:spacing w:after="120" w:line="360" w:lineRule="auto"/>
        <w:jc w:val="both"/>
      </w:pPr>
      <w:r w:rsidRPr="009F637B">
        <w:t>This project seeks to investigate the link between palliative care and enhancing quality of life for UK older citizens, specifically with regards to pain management, emotional health and wellbeing, dignity, family engagement and person-centred end-of-life decision making.</w:t>
      </w:r>
    </w:p>
    <w:p w14:paraId="235EE17E" w14:textId="77777777" w:rsidR="009B23C3" w:rsidRDefault="0088693E" w:rsidP="009F637B">
      <w:pPr>
        <w:spacing w:after="120" w:line="360" w:lineRule="auto"/>
        <w:jc w:val="both"/>
        <w:rPr>
          <w:sz w:val="28"/>
        </w:rPr>
      </w:pPr>
      <w:r>
        <w:rPr>
          <w:b/>
          <w:bCs/>
          <w:sz w:val="28"/>
        </w:rPr>
        <w:t>2) Objectives:</w:t>
      </w:r>
    </w:p>
    <w:p w14:paraId="09FD5999" w14:textId="77777777" w:rsidR="009B23C3" w:rsidRPr="009F637B" w:rsidRDefault="0088693E" w:rsidP="009F637B">
      <w:pPr>
        <w:spacing w:after="120" w:line="360" w:lineRule="auto"/>
        <w:jc w:val="both"/>
        <w:rPr>
          <w:szCs w:val="24"/>
        </w:rPr>
      </w:pPr>
      <w:r w:rsidRPr="009F637B">
        <w:rPr>
          <w:szCs w:val="24"/>
        </w:rPr>
        <w:t>Define palliative care and explore the relevance of palliative care to end of life care of older people in the UK.</w:t>
      </w:r>
    </w:p>
    <w:p w14:paraId="5762E63F" w14:textId="77777777" w:rsidR="009F637B" w:rsidRPr="009F637B" w:rsidRDefault="009F637B" w:rsidP="009F637B">
      <w:pPr>
        <w:spacing w:after="120" w:line="360" w:lineRule="auto"/>
        <w:jc w:val="both"/>
        <w:rPr>
          <w:szCs w:val="24"/>
        </w:rPr>
      </w:pPr>
      <w:r w:rsidRPr="009F637B">
        <w:rPr>
          <w:szCs w:val="24"/>
        </w:rPr>
        <w:t>To read and critically evaluate current academic research, evidence, data, NHS guidance and policy documents about the delivery of palliative care and its impact on the quality of life of older people in the UK.</w:t>
      </w:r>
    </w:p>
    <w:p w14:paraId="0827EA6A" w14:textId="77777777" w:rsidR="009B23C3" w:rsidRPr="009F637B" w:rsidRDefault="009F637B" w:rsidP="009F637B">
      <w:pPr>
        <w:spacing w:after="120" w:line="360" w:lineRule="auto"/>
        <w:jc w:val="both"/>
        <w:rPr>
          <w:szCs w:val="24"/>
        </w:rPr>
      </w:pPr>
      <w:r w:rsidRPr="009F637B">
        <w:rPr>
          <w:szCs w:val="24"/>
        </w:rPr>
        <w:t>To analyse primary findings from secondary research, using a process of thematic analysis, which are around symptom management, communication, dignity, family support, access to care and inequalities in palliative care provision</w:t>
      </w:r>
      <w:r w:rsidR="0088693E" w:rsidRPr="009F637B">
        <w:rPr>
          <w:szCs w:val="24"/>
        </w:rPr>
        <w:t>.</w:t>
      </w:r>
    </w:p>
    <w:p w14:paraId="7E588AB8" w14:textId="77777777" w:rsidR="009B23C3" w:rsidRPr="009F637B" w:rsidRDefault="0088693E" w:rsidP="009F637B">
      <w:pPr>
        <w:spacing w:after="120" w:line="360" w:lineRule="auto"/>
        <w:jc w:val="both"/>
        <w:rPr>
          <w:szCs w:val="24"/>
        </w:rPr>
      </w:pPr>
      <w:r w:rsidRPr="009F637B">
        <w:rPr>
          <w:szCs w:val="24"/>
        </w:rPr>
        <w:t>To make recommendations on advancing the practice of palliative care in UK health and social care, and supporting future research.</w:t>
      </w:r>
    </w:p>
    <w:p w14:paraId="25CEA71C" w14:textId="77777777" w:rsidR="009B23C3" w:rsidRDefault="0088693E" w:rsidP="009F637B">
      <w:pPr>
        <w:spacing w:after="120" w:line="360" w:lineRule="auto"/>
        <w:jc w:val="both"/>
        <w:rPr>
          <w:sz w:val="28"/>
        </w:rPr>
      </w:pPr>
      <w:r>
        <w:rPr>
          <w:b/>
          <w:bCs/>
          <w:sz w:val="28"/>
        </w:rPr>
        <w:t>3) Background/Rationale:</w:t>
      </w:r>
    </w:p>
    <w:p w14:paraId="03EDB72A" w14:textId="77777777" w:rsidR="009B23C3" w:rsidRPr="009F637B" w:rsidRDefault="0088693E" w:rsidP="009F637B">
      <w:pPr>
        <w:spacing w:after="120" w:line="360" w:lineRule="auto"/>
        <w:jc w:val="both"/>
        <w:rPr>
          <w:szCs w:val="24"/>
        </w:rPr>
      </w:pPr>
      <w:r w:rsidRPr="009F637B">
        <w:rPr>
          <w:szCs w:val="24"/>
        </w:rPr>
        <w:t>These aspects demonstrate the importance of palliative care in health and social care, prioritizing efforts to enhance quality of life both for those who are experiencing a life-limiting illness and for their families (WHO, 2020). In the UK older adults may be feeling pain, elderly, frailty, long-term illness, emotional stress and becoming more reliant on carers. So end-of-life care ought to focus on the person and be caring, coordinated and responsive. According to NHS ‘NICE' Guidance, there is a need for adults towards the end of their life to be assessed, planned and supported in time across hospital, home and residential nurseries and care homes (NICE, 2019). But by the looks of research, palliative care may be available to different people in different ways for older people, those with ethnic minorities or non-cancer conditions (Aker et al., 2024). This proposal aims to identify what palliative care can contribute to supporting the dignity, comfort and wellbeing but also seeks to highlight areas for improvement.</w:t>
      </w:r>
    </w:p>
    <w:p w14:paraId="51987F81" w14:textId="77777777" w:rsidR="009F637B" w:rsidRPr="009F637B" w:rsidRDefault="009F637B" w:rsidP="009F637B">
      <w:pPr>
        <w:spacing w:after="120" w:line="360" w:lineRule="auto"/>
        <w:jc w:val="both"/>
        <w:rPr>
          <w:szCs w:val="24"/>
        </w:rPr>
      </w:pPr>
      <w:r w:rsidRPr="009F637B">
        <w:rPr>
          <w:szCs w:val="24"/>
        </w:rPr>
        <w:lastRenderedPageBreak/>
        <w:t>This research is of significance as there is an ageing population in the UK and a large number of older people have multimorbidity and complex support needs towards the end of life. Palliative care can help to make people feel more comfortable, avoid needless suffering, engage in shared decision making and to remain as comfortable as possible and retain dignity and quality of life (Sleeman et al., 2021). Current issues are access to specialist palliative care, late referral, fragmentation of communication between services, lack of family support, and lower access for those with non-cancer conditions and/or minority ethnic backgrounds (Etkind et al., 2017). The findings could have a positive impact on older adults, families, carers, health and social care professionals and policy makers as they will identify practical targets for improving palliative care practice.</w:t>
      </w:r>
    </w:p>
    <w:p w14:paraId="62604902" w14:textId="77777777" w:rsidR="009B23C3" w:rsidRPr="009F637B" w:rsidRDefault="0088693E" w:rsidP="009F637B">
      <w:pPr>
        <w:spacing w:after="120" w:line="360" w:lineRule="auto"/>
        <w:jc w:val="both"/>
        <w:rPr>
          <w:sz w:val="28"/>
        </w:rPr>
      </w:pPr>
      <w:r w:rsidRPr="009F637B">
        <w:rPr>
          <w:b/>
          <w:bCs/>
          <w:sz w:val="28"/>
        </w:rPr>
        <w:t>4) Methods:</w:t>
      </w:r>
    </w:p>
    <w:p w14:paraId="22DDC711" w14:textId="77777777" w:rsidR="009B23C3" w:rsidRPr="009F637B" w:rsidRDefault="0088693E" w:rsidP="009F637B">
      <w:pPr>
        <w:spacing w:after="120" w:line="360" w:lineRule="auto"/>
        <w:jc w:val="both"/>
        <w:rPr>
          <w:szCs w:val="24"/>
        </w:rPr>
      </w:pPr>
      <w:r w:rsidRPr="009F637B">
        <w:rPr>
          <w:szCs w:val="24"/>
        </w:rPr>
        <w:t>Only secondary research will be conducted in this project. Publications will comprise peer reviewed journal articles, systematic reviews, NICE guidance, health policy documents and palliative care reports, and for the most part will be from the last decade. Sources relevant to the needs of older adults, to UK end of life and quality of life will be identified. A thematic literature search will synthesise the findings of these and bring up common themes, which include symptom control, involvement of families, communication and inequalities. To ensure ethical practice, items will be accurate Harvard referred, and will be sourced correctly, and plagiarism avoided (Haroen et al., 2023).</w:t>
      </w:r>
    </w:p>
    <w:p w14:paraId="312A9BE3" w14:textId="77777777" w:rsidR="009B23C3" w:rsidRPr="009F637B" w:rsidRDefault="009F637B" w:rsidP="009F637B">
      <w:pPr>
        <w:spacing w:line="360" w:lineRule="auto"/>
        <w:jc w:val="both"/>
        <w:rPr>
          <w:szCs w:val="24"/>
        </w:rPr>
      </w:pPr>
      <w:r w:rsidRPr="009F637B">
        <w:rPr>
          <w:szCs w:val="24"/>
        </w:rPr>
        <w:t>Literature search will include databases and sources including Google Scholar, PubMed, CINAHL, NICE, NHS England, WHO and relevant palliative care reports. The terms of search will cover "palliative care", "end-of-life care", "quality of life", "older adults", "elderly people", "United Kingdom", "symptom management", "dignity", "family support" and "health inequalities". English language articles from peer-reviewed journals, systematic reviews, scoping reviews, guidance or policy documents from the UK (primarily 2015–2025) with a clear focus on older adults, palliative care, end-of-life care or quality of life will be included. Exclusion criteria will comprise non-English papers, papers prior to 2015 unless highly relevant, opinion papers, conference abstracts, editorial papers, and papers which are not focussed on older adults or palliative/end of life care. Titles and abstracts will be screened for sources first and then a full text review of the most relevant sources will be conducted. The final evidence will be structured into thematic categories and analysed using thematic analysis, to ensure that the methods are clearly related to the project goals</w:t>
      </w:r>
      <w:r w:rsidR="0088693E" w:rsidRPr="009F637B">
        <w:rPr>
          <w:szCs w:val="24"/>
        </w:rPr>
        <w:t>.</w:t>
      </w:r>
    </w:p>
    <w:p w14:paraId="4AAB1C98" w14:textId="77777777" w:rsidR="009B23C3" w:rsidRPr="009F637B" w:rsidRDefault="0088693E">
      <w:pPr>
        <w:spacing w:after="120" w:line="360" w:lineRule="auto"/>
        <w:jc w:val="both"/>
        <w:rPr>
          <w:sz w:val="28"/>
        </w:rPr>
      </w:pPr>
      <w:r w:rsidRPr="009F637B">
        <w:rPr>
          <w:b/>
          <w:bCs/>
          <w:sz w:val="28"/>
        </w:rPr>
        <w:t>5) Resources:</w:t>
      </w:r>
    </w:p>
    <w:p w14:paraId="2174D7DA" w14:textId="77777777" w:rsidR="009B23C3" w:rsidRPr="009F637B" w:rsidRDefault="0088693E">
      <w:pPr>
        <w:spacing w:after="120" w:line="360" w:lineRule="auto"/>
        <w:jc w:val="both"/>
      </w:pPr>
      <w:r w:rsidRPr="009F637B">
        <w:lastRenderedPageBreak/>
        <w:t>The University of Wales, St Davids Library, the Google Scholar, NICE guidance, WHO resources, academic databases and support for Harvard referencing in Microsoft Word.</w:t>
      </w:r>
    </w:p>
    <w:p w14:paraId="1A897780" w14:textId="77777777" w:rsidR="009B23C3" w:rsidRPr="009F637B" w:rsidRDefault="0088693E">
      <w:pPr>
        <w:spacing w:after="120" w:line="360" w:lineRule="auto"/>
        <w:jc w:val="both"/>
        <w:rPr>
          <w:sz w:val="28"/>
        </w:rPr>
      </w:pPr>
      <w:r w:rsidRPr="009F637B">
        <w:rPr>
          <w:b/>
          <w:bCs/>
          <w:sz w:val="28"/>
        </w:rPr>
        <w:t>6) Timescale:</w:t>
      </w:r>
    </w:p>
    <w:p w14:paraId="26BA30E9" w14:textId="77777777" w:rsidR="009B23C3" w:rsidRPr="009F637B" w:rsidRDefault="0088693E">
      <w:pPr>
        <w:spacing w:after="120" w:line="360" w:lineRule="auto"/>
        <w:jc w:val="both"/>
      </w:pPr>
      <w:r w:rsidRPr="009F637B">
        <w:t>Compose topics and identify and research sources: 10-15 May. The latest dates for the editing and writing of proposals: 5 June. Last chance for proofreading and turning in: 6 June.</w:t>
      </w:r>
    </w:p>
    <w:p w14:paraId="4FF31217" w14:textId="77777777" w:rsidR="009B23C3" w:rsidRPr="009F637B" w:rsidRDefault="0088693E">
      <w:pPr>
        <w:spacing w:after="120" w:line="360" w:lineRule="auto"/>
        <w:jc w:val="both"/>
        <w:rPr>
          <w:sz w:val="28"/>
        </w:rPr>
      </w:pPr>
      <w:r w:rsidRPr="009F637B">
        <w:rPr>
          <w:b/>
          <w:bCs/>
          <w:sz w:val="28"/>
        </w:rPr>
        <w:t>7) Self-reflection as researcher (any strengths or challenges):</w:t>
      </w:r>
    </w:p>
    <w:p w14:paraId="3B09E614" w14:textId="77777777" w:rsidR="009B23C3" w:rsidRPr="009F637B" w:rsidRDefault="0088693E">
      <w:pPr>
        <w:spacing w:after="120" w:line="360" w:lineRule="auto"/>
        <w:jc w:val="both"/>
      </w:pPr>
      <w:r w:rsidRPr="009F637B">
        <w:t>My passion is to pursue caring for older adults who are vulnerable. I am able to use academic sources to search, and can clearly organise information. My biggest area of difficulty is the use of critical analysis and the ability to pick up the most useful evidence. This project will assist in increasing confidence in research planning and academic writing.</w:t>
      </w:r>
    </w:p>
    <w:p w14:paraId="05CC726C" w14:textId="77777777" w:rsidR="009B23C3" w:rsidRPr="009F637B" w:rsidRDefault="009B23C3">
      <w:pPr>
        <w:spacing w:after="160" w:line="360" w:lineRule="auto"/>
        <w:jc w:val="both"/>
      </w:pPr>
    </w:p>
    <w:p w14:paraId="0F4E54F5" w14:textId="77777777" w:rsidR="009F637B" w:rsidRPr="009F637B" w:rsidRDefault="009F637B">
      <w:pPr>
        <w:spacing w:after="160" w:line="360" w:lineRule="auto"/>
        <w:jc w:val="center"/>
        <w:rPr>
          <w:b/>
          <w:sz w:val="28"/>
        </w:rPr>
      </w:pPr>
    </w:p>
    <w:p w14:paraId="4B1DE590" w14:textId="77777777" w:rsidR="009F637B" w:rsidRPr="009F637B" w:rsidRDefault="009F637B">
      <w:pPr>
        <w:spacing w:after="160" w:line="360" w:lineRule="auto"/>
        <w:jc w:val="center"/>
        <w:rPr>
          <w:b/>
          <w:sz w:val="28"/>
        </w:rPr>
      </w:pPr>
    </w:p>
    <w:p w14:paraId="54FCA5BF" w14:textId="77777777" w:rsidR="009F637B" w:rsidRPr="009F637B" w:rsidRDefault="009F637B">
      <w:pPr>
        <w:spacing w:after="160" w:line="360" w:lineRule="auto"/>
        <w:jc w:val="center"/>
        <w:rPr>
          <w:b/>
          <w:sz w:val="28"/>
        </w:rPr>
      </w:pPr>
    </w:p>
    <w:p w14:paraId="7B6F6175" w14:textId="77777777" w:rsidR="009F637B" w:rsidRPr="009F637B" w:rsidRDefault="009F637B">
      <w:pPr>
        <w:spacing w:after="160" w:line="360" w:lineRule="auto"/>
        <w:jc w:val="center"/>
        <w:rPr>
          <w:b/>
          <w:sz w:val="28"/>
        </w:rPr>
      </w:pPr>
    </w:p>
    <w:p w14:paraId="7AFAB3DF" w14:textId="77777777" w:rsidR="009B23C3" w:rsidRPr="009F637B" w:rsidRDefault="0088693E">
      <w:pPr>
        <w:spacing w:after="160" w:line="360" w:lineRule="auto"/>
        <w:jc w:val="center"/>
      </w:pPr>
      <w:r w:rsidRPr="009F637B">
        <w:rPr>
          <w:b/>
          <w:sz w:val="28"/>
        </w:rPr>
        <w:t>References</w:t>
      </w:r>
    </w:p>
    <w:p w14:paraId="7ED36147" w14:textId="77777777" w:rsidR="009B23C3" w:rsidRPr="009F637B" w:rsidRDefault="0088693E">
      <w:pPr>
        <w:spacing w:after="120" w:line="360" w:lineRule="auto"/>
        <w:ind w:left="432" w:hanging="432"/>
      </w:pPr>
      <w:r w:rsidRPr="009F637B">
        <w:t>Aker, N., Griffiths, S., Kupeli, N., Frost, R., Nair, P., Walters, K., Melo, L.J. and Davies, N. (2024) 'Experiences and access of palliative and end of life care for older people from minority ethnic groups: a scoping review', BMC Palliative Care, 23, article 228. doi: 10.1186/s12904-024-01555-8.</w:t>
      </w:r>
    </w:p>
    <w:p w14:paraId="0E47D6F5" w14:textId="77777777" w:rsidR="009B23C3" w:rsidRPr="009F637B" w:rsidRDefault="0088693E">
      <w:pPr>
        <w:spacing w:after="120" w:line="360" w:lineRule="auto"/>
        <w:ind w:left="432" w:hanging="432"/>
      </w:pPr>
      <w:r w:rsidRPr="009F637B">
        <w:t>Haroen, H., Harun, H., Sari, C.W.M. and Witdiawati, W. (2023) 'Uncovering methods and outcomes of palliative care for geriatric patients: a scoping review', Journal of Multidisciplinary Healthcare, 16, pp. 2905-2920. doi: 10.2147/JMDH.S429323.</w:t>
      </w:r>
    </w:p>
    <w:p w14:paraId="750E39B6" w14:textId="77777777" w:rsidR="009B23C3" w:rsidRPr="009F637B" w:rsidRDefault="0088693E">
      <w:pPr>
        <w:spacing w:after="120" w:line="360" w:lineRule="auto"/>
        <w:ind w:left="432" w:hanging="432"/>
      </w:pPr>
      <w:r w:rsidRPr="009F637B">
        <w:t>Marie Curie (2024) Better End of Life Report 2024. Available at: https://www.mariecurie.org.uk/research-and-policy/policy/better-end-life-report (Accessed: 5 June 2026).</w:t>
      </w:r>
    </w:p>
    <w:p w14:paraId="3DC8EA9C" w14:textId="77777777" w:rsidR="009F637B" w:rsidRPr="009F637B" w:rsidRDefault="009F637B" w:rsidP="009F637B">
      <w:pPr>
        <w:spacing w:after="120" w:line="360" w:lineRule="auto"/>
        <w:ind w:left="432" w:hanging="432"/>
      </w:pPr>
      <w:r w:rsidRPr="009F637B">
        <w:lastRenderedPageBreak/>
        <w:t>Etkind, S.N., Bone, A.E., Gomes, B., Lovell, N., Evans, C.J., Higginson, I.J. and Murtagh, F.E.M. (2017) 'How many people will need palliative care in 2040? Past trends, future projections and implications for services', BMC Medicine, 15, article 102. doi: 10.1186/s12916-017-0860-2.</w:t>
      </w:r>
    </w:p>
    <w:p w14:paraId="5FDD474D" w14:textId="77777777" w:rsidR="009F637B" w:rsidRPr="009F637B" w:rsidRDefault="009F637B" w:rsidP="009F637B">
      <w:pPr>
        <w:spacing w:after="120" w:line="360" w:lineRule="auto"/>
        <w:ind w:left="432" w:hanging="432"/>
      </w:pPr>
      <w:r w:rsidRPr="009F637B">
        <w:t>Sleeman, K.E., de Brito, M., Etkind, S., Nkhoma, K., Guo, P., Higginson, I.J., Gomes, B. and Harding, R. (2021) 'The escalating global burden of serious health-related suffering: projections to 2060 by world regions, age groups, and health conditions', The Lancet Global Health, 9(7), pp. e883-e892. doi: 10.1016/S2214-109X(21)00172-X.</w:t>
      </w:r>
    </w:p>
    <w:p w14:paraId="47052CA3" w14:textId="77777777" w:rsidR="009B23C3" w:rsidRPr="009F637B" w:rsidRDefault="0088693E">
      <w:pPr>
        <w:spacing w:after="120" w:line="360" w:lineRule="auto"/>
        <w:ind w:left="432" w:hanging="432"/>
      </w:pPr>
      <w:r w:rsidRPr="009F637B">
        <w:t>National Institute for Health and Care Excellence (NICE) (2019) End of life care for adults: service delivery. NICE guideline NG142. Available at: https://www.nice.org.uk/guidance/ng142 (Accessed: 5 June 2026).</w:t>
      </w:r>
    </w:p>
    <w:p w14:paraId="2C8E56FC" w14:textId="77777777" w:rsidR="009B23C3" w:rsidRPr="009F637B" w:rsidRDefault="0088693E">
      <w:pPr>
        <w:spacing w:after="120" w:line="360" w:lineRule="auto"/>
        <w:ind w:left="432" w:hanging="432"/>
      </w:pPr>
      <w:r w:rsidRPr="009F637B">
        <w:t>World Health Organization (2020) Palliative care. Available at: https://www.who.int/news-room/fact-sheets/detail/palliative-care (Accessed: 5 June 2026).</w:t>
      </w:r>
    </w:p>
    <w:p w14:paraId="6BABDF5B" w14:textId="77777777" w:rsidR="009B23C3" w:rsidRPr="009F637B" w:rsidRDefault="009B23C3"/>
    <w:sectPr w:rsidR="009B23C3" w:rsidRPr="009F637B">
      <w:foot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BFC22" w14:textId="77777777" w:rsidR="00F760B5" w:rsidRDefault="00F760B5">
      <w:pPr>
        <w:spacing w:after="0" w:line="240" w:lineRule="auto"/>
      </w:pPr>
      <w:r>
        <w:separator/>
      </w:r>
    </w:p>
  </w:endnote>
  <w:endnote w:type="continuationSeparator" w:id="0">
    <w:p w14:paraId="373D1A10" w14:textId="77777777" w:rsidR="00F760B5" w:rsidRDefault="00F76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E10D3" w14:textId="77777777" w:rsidR="009B23C3" w:rsidRDefault="0088693E">
    <w:pPr>
      <w:pStyle w:val="Footer"/>
      <w:jc w:val="center"/>
    </w:pPr>
    <w:r>
      <w:fldChar w:fldCharType="begin"/>
    </w:r>
    <w:r>
      <w:instrText>PAGE</w:instrText>
    </w:r>
    <w:r>
      <w:fldChar w:fldCharType="separate"/>
    </w:r>
    <w:r w:rsidR="00225FA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43113" w14:textId="77777777" w:rsidR="00F760B5" w:rsidRDefault="00F760B5">
      <w:pPr>
        <w:spacing w:after="0" w:line="240" w:lineRule="auto"/>
      </w:pPr>
      <w:r>
        <w:separator/>
      </w:r>
    </w:p>
  </w:footnote>
  <w:footnote w:type="continuationSeparator" w:id="0">
    <w:p w14:paraId="65FA4C88" w14:textId="77777777" w:rsidR="00F760B5" w:rsidRDefault="00F76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1"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3"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4"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5"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6"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7"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8" w15:restartNumberingAfterBreak="0">
    <w:nsid w:val="793C3267"/>
    <w:multiLevelType w:val="singleLevel"/>
    <w:tmpl w:val="C310EC42"/>
    <w:lvl w:ilvl="0">
      <w:start w:val="1"/>
      <w:numFmt w:val="decimal"/>
      <w:lvlText w:val="%1."/>
      <w:lvlJc w:val="left"/>
      <w:pPr>
        <w:tabs>
          <w:tab w:val="left" w:pos="1800"/>
        </w:tabs>
        <w:ind w:left="1800" w:hanging="360"/>
      </w:pPr>
    </w:lvl>
  </w:abstractNum>
  <w:num w:numId="1" w16cid:durableId="1818262587">
    <w:abstractNumId w:val="7"/>
  </w:num>
  <w:num w:numId="2" w16cid:durableId="2084595214">
    <w:abstractNumId w:val="5"/>
  </w:num>
  <w:num w:numId="3" w16cid:durableId="445197875">
    <w:abstractNumId w:val="4"/>
  </w:num>
  <w:num w:numId="4" w16cid:durableId="1403723076">
    <w:abstractNumId w:val="6"/>
  </w:num>
  <w:num w:numId="5" w16cid:durableId="436605776">
    <w:abstractNumId w:val="2"/>
  </w:num>
  <w:num w:numId="6" w16cid:durableId="1598635498">
    <w:abstractNumId w:val="1"/>
  </w:num>
  <w:num w:numId="7" w16cid:durableId="1900824982">
    <w:abstractNumId w:val="3"/>
  </w:num>
  <w:num w:numId="8" w16cid:durableId="352533959">
    <w:abstractNumId w:val="0"/>
  </w:num>
  <w:num w:numId="9" w16cid:durableId="8392747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3C3"/>
    <w:rsid w:val="00220637"/>
    <w:rsid w:val="00225FAA"/>
    <w:rsid w:val="003D0D7E"/>
    <w:rsid w:val="0088693E"/>
    <w:rsid w:val="009B23C3"/>
    <w:rsid w:val="009F637B"/>
    <w:rsid w:val="00C5127D"/>
    <w:rsid w:val="00F760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50EAFB"/>
  <w15:docId w15:val="{5DE017C3-AD68-4452-B023-65FD301F0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000000"/>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libri" w:eastAsia="MS Gothic" w:hAnsi="Calibri"/>
      <w:b/>
      <w:bCs/>
      <w:color w:val="000000"/>
      <w:szCs w:val="26"/>
    </w:rPr>
  </w:style>
  <w:style w:type="paragraph" w:styleId="Heading3">
    <w:name w:val="heading 3"/>
    <w:basedOn w:val="Normal"/>
    <w:next w:val="Normal"/>
    <w:link w:val="Heading3Char"/>
    <w:uiPriority w:val="9"/>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SimSun"/>
      <w:b/>
      <w:bCs/>
      <w:color w:val="365F91"/>
      <w:sz w:val="28"/>
      <w:szCs w:val="28"/>
    </w:rPr>
  </w:style>
  <w:style w:type="character" w:customStyle="1" w:styleId="Heading2Char">
    <w:name w:val="Heading 2 Char"/>
    <w:basedOn w:val="DefaultParagraphFont"/>
    <w:link w:val="Heading2"/>
    <w:uiPriority w:val="9"/>
    <w:rPr>
      <w:rFonts w:ascii="Calibri" w:eastAsia="MS Gothic" w:hAnsi="Calibri" w:cs="SimSun"/>
      <w:b/>
      <w:bCs/>
      <w:color w:val="4F81BD"/>
      <w:sz w:val="26"/>
      <w:szCs w:val="26"/>
    </w:rPr>
  </w:style>
  <w:style w:type="character" w:customStyle="1" w:styleId="Heading3Char">
    <w:name w:val="Heading 3 Char"/>
    <w:basedOn w:val="DefaultParagraphFont"/>
    <w:link w:val="Heading3"/>
    <w:uiPriority w:val="9"/>
    <w:rPr>
      <w:rFonts w:ascii="Calibri" w:eastAsia="MS Gothic" w:hAnsi="Calibri" w:cs="SimSun"/>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b/>
      <w:color w:val="000000"/>
      <w:spacing w:val="5"/>
      <w:kern w:val="28"/>
      <w:sz w:val="36"/>
      <w:szCs w:val="52"/>
    </w:rPr>
  </w:style>
  <w:style w:type="character" w:customStyle="1" w:styleId="TitleChar">
    <w:name w:val="Title Char"/>
    <w:basedOn w:val="DefaultParagraphFont"/>
    <w:link w:val="Title"/>
    <w:uiPriority w:val="10"/>
    <w:rPr>
      <w:rFonts w:ascii="Calibri" w:eastAsia="MS Gothic" w:hAnsi="Calibri" w:cs="SimSun"/>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Cs w:val="24"/>
    </w:rPr>
  </w:style>
  <w:style w:type="character" w:customStyle="1" w:styleId="SubtitleChar">
    <w:name w:val="Subtitle Char"/>
    <w:basedOn w:val="DefaultParagraphFont"/>
    <w:link w:val="Subtitle"/>
    <w:uiPriority w:val="11"/>
    <w:rPr>
      <w:rFonts w:ascii="Calibri" w:eastAsia="MS Gothic" w:hAnsi="Calibri" w:cs="SimSun"/>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SimSun"/>
      <w:b/>
      <w:bCs/>
      <w:i/>
      <w:iCs/>
      <w:color w:val="4F81BD"/>
    </w:rPr>
  </w:style>
  <w:style w:type="character" w:customStyle="1" w:styleId="Heading5Char">
    <w:name w:val="Heading 5 Char"/>
    <w:basedOn w:val="DefaultParagraphFont"/>
    <w:link w:val="Heading5"/>
    <w:uiPriority w:val="9"/>
    <w:rPr>
      <w:rFonts w:ascii="Calibri" w:eastAsia="MS Gothic" w:hAnsi="Calibri" w:cs="SimSun"/>
      <w:color w:val="243F60"/>
    </w:rPr>
  </w:style>
  <w:style w:type="character" w:customStyle="1" w:styleId="Heading6Char">
    <w:name w:val="Heading 6 Char"/>
    <w:basedOn w:val="DefaultParagraphFont"/>
    <w:link w:val="Heading6"/>
    <w:uiPriority w:val="9"/>
    <w:rPr>
      <w:rFonts w:ascii="Calibri" w:eastAsia="MS Gothic" w:hAnsi="Calibri" w:cs="SimSun"/>
      <w:i/>
      <w:iCs/>
      <w:color w:val="243F60"/>
    </w:rPr>
  </w:style>
  <w:style w:type="character" w:customStyle="1" w:styleId="Heading7Char">
    <w:name w:val="Heading 7 Char"/>
    <w:basedOn w:val="DefaultParagraphFont"/>
    <w:link w:val="Heading7"/>
    <w:uiPriority w:val="9"/>
    <w:rPr>
      <w:rFonts w:ascii="Calibri" w:eastAsia="MS Gothic" w:hAnsi="Calibri" w:cs="SimSun"/>
      <w:i/>
      <w:iCs/>
      <w:color w:val="404040"/>
    </w:rPr>
  </w:style>
  <w:style w:type="character" w:customStyle="1" w:styleId="Heading8Char">
    <w:name w:val="Heading 8 Char"/>
    <w:basedOn w:val="DefaultParagraphFont"/>
    <w:link w:val="Heading8"/>
    <w:uiPriority w:val="9"/>
    <w:rPr>
      <w:rFonts w:ascii="Calibri" w:eastAsia="MS Gothic" w:hAnsi="Calibri" w:cs="SimSun"/>
      <w:color w:val="4F81BD"/>
      <w:sz w:val="20"/>
      <w:szCs w:val="20"/>
    </w:rPr>
  </w:style>
  <w:style w:type="character" w:customStyle="1" w:styleId="Heading9Char">
    <w:name w:val="Heading 9 Char"/>
    <w:basedOn w:val="DefaultParagraphFont"/>
    <w:link w:val="Heading9"/>
    <w:uiPriority w:val="9"/>
    <w:rPr>
      <w:rFonts w:ascii="Calibri" w:eastAsia="MS Gothic" w:hAnsi="Calibri" w:cs="SimSun"/>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SimSu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SimSu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SimSu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SimSu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SimSu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SimSu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SimSu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SimSu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SimSu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SimSu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SimSu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SimSu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SimSu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SimSu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SimSu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SimSu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SimSu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SimSu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SimSu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5B283-9345-4841-A2A6-8C2A01217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rohey savage</cp:lastModifiedBy>
  <cp:revision>4</cp:revision>
  <dcterms:created xsi:type="dcterms:W3CDTF">2026-06-19T06:12:00Z</dcterms:created>
  <dcterms:modified xsi:type="dcterms:W3CDTF">2026-06-19T07:55:00Z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5c9f72e605a544bd924497f152be908f_23</vt:lpwstr>
  </property>
</Properties>
</file>