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GridTable7Colorful-Accent5"/>
        <w:tblpPr w:leftFromText="180" w:rightFromText="180" w:vertAnchor="text" w:horzAnchor="margin" w:tblpY="2031"/>
        <w:tblW w:w="0" w:type="auto"/>
        <w:tblLook w:val="04A0" w:firstRow="1" w:lastRow="0" w:firstColumn="1" w:lastColumn="0" w:noHBand="0" w:noVBand="1"/>
      </w:tblPr>
      <w:tblGrid>
        <w:gridCol w:w="2405"/>
        <w:gridCol w:w="6611"/>
      </w:tblGrid>
      <w:tr w:rsidR="00C80C26" w14:paraId="7676F6FE" w14:textId="77777777" w:rsidTr="00C80C2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405" w:type="dxa"/>
          </w:tcPr>
          <w:p w14:paraId="55A26C54" w14:textId="77777777" w:rsidR="00C80C26" w:rsidRPr="00AE4E62" w:rsidRDefault="00C80C26" w:rsidP="00B32FDD">
            <w:pPr>
              <w:rPr>
                <w:rFonts w:cs="Arial"/>
                <w:sz w:val="28"/>
                <w:szCs w:val="28"/>
              </w:rPr>
            </w:pPr>
            <w:bookmarkStart w:id="0" w:name="_Hlk192789062"/>
            <w:r w:rsidRPr="00AE4E62">
              <w:t>Programme:</w:t>
            </w:r>
          </w:p>
        </w:tc>
        <w:tc>
          <w:tcPr>
            <w:tcW w:w="6611" w:type="dxa"/>
          </w:tcPr>
          <w:p w14:paraId="5322BB44" w14:textId="5322316A" w:rsidR="00C80C26" w:rsidRDefault="00C80C26" w:rsidP="00B32FDD">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C80C26" w14:paraId="5AE30C6B" w14:textId="77777777" w:rsidTr="00C80C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CEE5F91" w14:textId="77777777" w:rsidR="00C80C26" w:rsidRPr="003B11AB" w:rsidRDefault="00C80C26" w:rsidP="00B32FDD">
            <w:pPr>
              <w:rPr>
                <w:rFonts w:cs="Arial"/>
                <w:b/>
                <w:bCs/>
                <w:sz w:val="28"/>
                <w:szCs w:val="28"/>
              </w:rPr>
            </w:pPr>
            <w:r w:rsidRPr="003B11AB">
              <w:t>Module:</w:t>
            </w:r>
          </w:p>
        </w:tc>
        <w:tc>
          <w:tcPr>
            <w:tcW w:w="6611" w:type="dxa"/>
          </w:tcPr>
          <w:p w14:paraId="6FD509BA" w14:textId="77777777" w:rsidR="00C80C26" w:rsidRDefault="00C80C26" w:rsidP="00B32FDD">
            <w:pPr>
              <w:cnfStyle w:val="000000100000" w:firstRow="0" w:lastRow="0" w:firstColumn="0" w:lastColumn="0" w:oddVBand="0" w:evenVBand="0" w:oddHBand="1" w:evenHBand="0" w:firstRowFirstColumn="0" w:firstRowLastColumn="0" w:lastRowFirstColumn="0" w:lastRowLastColumn="0"/>
            </w:pPr>
            <w:r w:rsidRPr="00E736D8">
              <w:t>Health Care System Organisation and Leadership</w:t>
            </w:r>
          </w:p>
        </w:tc>
      </w:tr>
      <w:tr w:rsidR="00C80C26" w14:paraId="5534A559" w14:textId="77777777" w:rsidTr="00C80C26">
        <w:tc>
          <w:tcPr>
            <w:cnfStyle w:val="001000000000" w:firstRow="0" w:lastRow="0" w:firstColumn="1" w:lastColumn="0" w:oddVBand="0" w:evenVBand="0" w:oddHBand="0" w:evenHBand="0" w:firstRowFirstColumn="0" w:firstRowLastColumn="0" w:lastRowFirstColumn="0" w:lastRowLastColumn="0"/>
            <w:tcW w:w="2405" w:type="dxa"/>
          </w:tcPr>
          <w:p w14:paraId="53605BC8" w14:textId="77777777" w:rsidR="00C80C26" w:rsidRPr="003B11AB" w:rsidRDefault="00C80C26" w:rsidP="00B32FDD">
            <w:pPr>
              <w:rPr>
                <w:rFonts w:cs="Arial"/>
                <w:b/>
                <w:bCs/>
                <w:sz w:val="28"/>
                <w:szCs w:val="28"/>
              </w:rPr>
            </w:pPr>
            <w:r w:rsidRPr="003B11AB">
              <w:t>Module code:</w:t>
            </w:r>
          </w:p>
        </w:tc>
        <w:tc>
          <w:tcPr>
            <w:tcW w:w="6611" w:type="dxa"/>
          </w:tcPr>
          <w:p w14:paraId="32ADEB9D" w14:textId="6FE9EE85" w:rsidR="00C80C26" w:rsidRDefault="00C80C26" w:rsidP="00B32FDD">
            <w:pPr>
              <w:cnfStyle w:val="000000000000" w:firstRow="0" w:lastRow="0" w:firstColumn="0" w:lastColumn="0" w:oddVBand="0" w:evenVBand="0" w:oddHBand="0" w:evenHBand="0" w:firstRowFirstColumn="0" w:firstRowLastColumn="0" w:lastRowFirstColumn="0" w:lastRowLastColumn="0"/>
            </w:pPr>
            <w:r w:rsidRPr="00E736D8">
              <w:t>LCHS7002</w:t>
            </w:r>
          </w:p>
        </w:tc>
      </w:tr>
      <w:tr w:rsidR="00C80C26" w14:paraId="4C351332" w14:textId="77777777" w:rsidTr="00C80C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FB833D4" w14:textId="77777777" w:rsidR="00C80C26" w:rsidRPr="003B11AB" w:rsidRDefault="00C80C26" w:rsidP="00B32FDD">
            <w:pPr>
              <w:rPr>
                <w:rFonts w:cs="Arial"/>
                <w:b/>
                <w:bCs/>
                <w:sz w:val="28"/>
                <w:szCs w:val="28"/>
              </w:rPr>
            </w:pPr>
            <w:r w:rsidRPr="003B11AB">
              <w:t>Assignment Title:</w:t>
            </w:r>
          </w:p>
        </w:tc>
        <w:tc>
          <w:tcPr>
            <w:tcW w:w="6611" w:type="dxa"/>
          </w:tcPr>
          <w:p w14:paraId="38A92674" w14:textId="0F1F469E" w:rsidR="00C80C26" w:rsidRDefault="00C80C26" w:rsidP="00B32FDD">
            <w:pPr>
              <w:jc w:val="left"/>
              <w:cnfStyle w:val="000000100000" w:firstRow="0" w:lastRow="0" w:firstColumn="0" w:lastColumn="0" w:oddVBand="0" w:evenVBand="0" w:oddHBand="1" w:evenHBand="0" w:firstRowFirstColumn="0" w:firstRowLastColumn="0" w:lastRowFirstColumn="0" w:lastRowLastColumn="0"/>
            </w:pPr>
            <w:r>
              <w:t>Case Study Analysis Report: Comparative report on COVID19 leadership responses</w:t>
            </w:r>
          </w:p>
        </w:tc>
      </w:tr>
      <w:tr w:rsidR="00C80C26" w14:paraId="568E0E71" w14:textId="77777777" w:rsidTr="00C80C26">
        <w:tc>
          <w:tcPr>
            <w:cnfStyle w:val="001000000000" w:firstRow="0" w:lastRow="0" w:firstColumn="1" w:lastColumn="0" w:oddVBand="0" w:evenVBand="0" w:oddHBand="0" w:evenHBand="0" w:firstRowFirstColumn="0" w:firstRowLastColumn="0" w:lastRowFirstColumn="0" w:lastRowLastColumn="0"/>
            <w:tcW w:w="2405" w:type="dxa"/>
          </w:tcPr>
          <w:p w14:paraId="2B2E43F3" w14:textId="77777777" w:rsidR="00C80C26" w:rsidRPr="00527FBA" w:rsidRDefault="00C80C26" w:rsidP="00B32FDD">
            <w:pPr>
              <w:rPr>
                <w:b/>
                <w:bCs/>
              </w:rPr>
            </w:pPr>
            <w:r w:rsidRPr="00527FBA">
              <w:t>Lecturer:</w:t>
            </w:r>
          </w:p>
        </w:tc>
        <w:tc>
          <w:tcPr>
            <w:tcW w:w="6611" w:type="dxa"/>
          </w:tcPr>
          <w:p w14:paraId="28F19280" w14:textId="4E97C8D7" w:rsidR="00C80C26" w:rsidRDefault="00984C03" w:rsidP="00B32FDD">
            <w:pPr>
              <w:jc w:val="left"/>
              <w:cnfStyle w:val="000000000000" w:firstRow="0" w:lastRow="0" w:firstColumn="0" w:lastColumn="0" w:oddVBand="0" w:evenVBand="0" w:oddHBand="0" w:evenHBand="0" w:firstRowFirstColumn="0" w:firstRowLastColumn="0" w:lastRowFirstColumn="0" w:lastRowLastColumn="0"/>
            </w:pPr>
            <w:r w:rsidRPr="00984C03">
              <w:t xml:space="preserve">Shepherd </w:t>
            </w:r>
            <w:proofErr w:type="spellStart"/>
            <w:r w:rsidRPr="00984C03">
              <w:t>ziko</w:t>
            </w:r>
            <w:proofErr w:type="spellEnd"/>
          </w:p>
        </w:tc>
      </w:tr>
      <w:tr w:rsidR="00C80C26" w14:paraId="0B7C44C2" w14:textId="77777777" w:rsidTr="00C80C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2CCEC01" w14:textId="77777777" w:rsidR="00C80C26" w:rsidRPr="003B11AB" w:rsidRDefault="00C80C26" w:rsidP="00B32FDD">
            <w:pPr>
              <w:rPr>
                <w:b/>
                <w:bCs/>
              </w:rPr>
            </w:pPr>
            <w:r w:rsidRPr="003B11AB">
              <w:t>Student Name:</w:t>
            </w:r>
          </w:p>
        </w:tc>
        <w:tc>
          <w:tcPr>
            <w:tcW w:w="6611" w:type="dxa"/>
          </w:tcPr>
          <w:p w14:paraId="2A86ABDF" w14:textId="2DFEA72F" w:rsidR="00C80C26" w:rsidRDefault="00AC1F30" w:rsidP="00B32FDD">
            <w:pPr>
              <w:cnfStyle w:val="000000100000" w:firstRow="0" w:lastRow="0" w:firstColumn="0" w:lastColumn="0" w:oddVBand="0" w:evenVBand="0" w:oddHBand="1" w:evenHBand="0" w:firstRowFirstColumn="0" w:firstRowLastColumn="0" w:lastRowFirstColumn="0" w:lastRowLastColumn="0"/>
            </w:pPr>
            <w:r w:rsidRPr="00AC1F30">
              <w:t>MD Nasir Uddin Nahid</w:t>
            </w:r>
          </w:p>
        </w:tc>
      </w:tr>
      <w:tr w:rsidR="00C80C26" w14:paraId="69957AB5" w14:textId="77777777" w:rsidTr="00C80C26">
        <w:tc>
          <w:tcPr>
            <w:cnfStyle w:val="001000000000" w:firstRow="0" w:lastRow="0" w:firstColumn="1" w:lastColumn="0" w:oddVBand="0" w:evenVBand="0" w:oddHBand="0" w:evenHBand="0" w:firstRowFirstColumn="0" w:firstRowLastColumn="0" w:lastRowFirstColumn="0" w:lastRowLastColumn="0"/>
            <w:tcW w:w="2405" w:type="dxa"/>
          </w:tcPr>
          <w:p w14:paraId="3966898A" w14:textId="77777777" w:rsidR="00C80C26" w:rsidRPr="003B11AB" w:rsidRDefault="00C80C26" w:rsidP="00B32FDD">
            <w:pPr>
              <w:rPr>
                <w:b/>
                <w:bCs/>
              </w:rPr>
            </w:pPr>
            <w:r w:rsidRPr="003B11AB">
              <w:t>Student ID:</w:t>
            </w:r>
          </w:p>
        </w:tc>
        <w:tc>
          <w:tcPr>
            <w:tcW w:w="6611" w:type="dxa"/>
          </w:tcPr>
          <w:p w14:paraId="2DB73C6A" w14:textId="6656E554" w:rsidR="00C80C26" w:rsidRDefault="00AC1F30" w:rsidP="00B32FDD">
            <w:pPr>
              <w:cnfStyle w:val="000000000000" w:firstRow="0" w:lastRow="0" w:firstColumn="0" w:lastColumn="0" w:oddVBand="0" w:evenVBand="0" w:oddHBand="0" w:evenHBand="0" w:firstRowFirstColumn="0" w:firstRowLastColumn="0" w:lastRowFirstColumn="0" w:lastRowLastColumn="0"/>
            </w:pPr>
            <w:r w:rsidRPr="00AC1F30">
              <w:t>2432642</w:t>
            </w:r>
          </w:p>
        </w:tc>
      </w:tr>
    </w:tbl>
    <w:bookmarkEnd w:id="0"/>
    <w:p w14:paraId="1B4157EB" w14:textId="5EF48249" w:rsidR="00C80C26" w:rsidRDefault="00C80C26">
      <w:r>
        <w:rPr>
          <w:noProof/>
        </w:rPr>
        <w:drawing>
          <wp:anchor distT="0" distB="0" distL="114300" distR="114300" simplePos="0" relativeHeight="251659264" behindDoc="1" locked="0" layoutInCell="1" allowOverlap="1" wp14:anchorId="63A35066" wp14:editId="153FFA9E">
            <wp:simplePos x="0" y="0"/>
            <wp:positionH relativeFrom="column">
              <wp:posOffset>4381500</wp:posOffset>
            </wp:positionH>
            <wp:positionV relativeFrom="paragraph">
              <wp:posOffset>0</wp:posOffset>
            </wp:positionV>
            <wp:extent cx="1739265" cy="774700"/>
            <wp:effectExtent l="0" t="0" r="0" b="6350"/>
            <wp:wrapThrough wrapText="bothSides">
              <wp:wrapPolygon edited="0">
                <wp:start x="0" y="0"/>
                <wp:lineTo x="0" y="21246"/>
                <wp:lineTo x="21292" y="21246"/>
                <wp:lineTo x="21292" y="0"/>
                <wp:lineTo x="0" y="0"/>
              </wp:wrapPolygon>
            </wp:wrapThrough>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39265" cy="774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6095EB" w14:textId="01E8E70D" w:rsidR="00C80C26" w:rsidRDefault="00C80C26">
      <w:pPr>
        <w:spacing w:line="259" w:lineRule="auto"/>
        <w:jc w:val="left"/>
      </w:pPr>
      <w:r>
        <w:br w:type="page"/>
      </w:r>
    </w:p>
    <w:p w14:paraId="3A8D09B8" w14:textId="34DEDBAB" w:rsidR="00955F96" w:rsidRDefault="00C80C26" w:rsidP="00C80C26">
      <w:pPr>
        <w:pStyle w:val="Heading1"/>
      </w:pPr>
      <w:bookmarkStart w:id="1" w:name="_Toc216300487"/>
      <w:r>
        <w:lastRenderedPageBreak/>
        <w:t>Executive Summary</w:t>
      </w:r>
      <w:bookmarkEnd w:id="1"/>
    </w:p>
    <w:p w14:paraId="649DFB3F" w14:textId="7E1DA3C5" w:rsidR="00C80C26" w:rsidRDefault="00600093" w:rsidP="00600093">
      <w:r>
        <w:t>This report compared how Spain, South Korea, and Canada responded to the COVID-19 pandemic, focusing on healthcare systems, leadership styles, and decision-making structures. The study showed that both healthcare organization and leadership played a major role in how well each country managed the crisis. South Korea used a highly centralized system, supported by strong preparation after the MERS outbreak. This allowed fast testing, tracing, and treatment, which helped control the virus without long national lockdowns. Spain and Canada relied more on decentralized systems. Spain struggled at first due to poor coordination, but later improved its response through stronger central leadership and successfully carried out a large vaccination programme. Canada faced challenges because responsibilities were shared between federal and provincial governments, which caused delays and mixed messages. The report highlighted that strong and flexible leadership is essential in health crises. Leaders who adapted their leadership style to suit changing situations achieved better public trust and cooperation. The study concluded that future pandemic responses will improve if countries strengthen their healthcare systems, improve coordination, and develop adaptable leadership skills.</w:t>
      </w:r>
      <w:r w:rsidR="00C80C26">
        <w:br w:type="page"/>
      </w:r>
    </w:p>
    <w:sdt>
      <w:sdtPr>
        <w:rPr>
          <w:rFonts w:ascii="Arial" w:eastAsiaTheme="minorHAnsi" w:hAnsi="Arial" w:cstheme="minorBidi"/>
          <w:color w:val="auto"/>
          <w:sz w:val="22"/>
          <w:szCs w:val="22"/>
          <w:lang w:val="en-GB"/>
        </w:rPr>
        <w:id w:val="221562508"/>
        <w:docPartObj>
          <w:docPartGallery w:val="Table of Contents"/>
          <w:docPartUnique/>
        </w:docPartObj>
      </w:sdtPr>
      <w:sdtEndPr>
        <w:rPr>
          <w:b/>
          <w:bCs/>
          <w:noProof/>
        </w:rPr>
      </w:sdtEndPr>
      <w:sdtContent>
        <w:p w14:paraId="6D7CC0D7" w14:textId="79DF4D01" w:rsidR="00096B73" w:rsidRDefault="00096B73">
          <w:pPr>
            <w:pStyle w:val="TOCHeading"/>
          </w:pPr>
          <w:r>
            <w:t>Table of Contents</w:t>
          </w:r>
        </w:p>
        <w:p w14:paraId="2CF4D6DC" w14:textId="770CBEA4" w:rsidR="00096B73" w:rsidRDefault="00096B73">
          <w:pPr>
            <w:pStyle w:val="TOC1"/>
            <w:tabs>
              <w:tab w:val="right" w:leader="dot" w:pos="9016"/>
            </w:tabs>
            <w:rPr>
              <w:noProof/>
            </w:rPr>
          </w:pPr>
          <w:r>
            <w:fldChar w:fldCharType="begin"/>
          </w:r>
          <w:r>
            <w:instrText xml:space="preserve"> TOC \o "1-3" \h \z \u </w:instrText>
          </w:r>
          <w:r>
            <w:fldChar w:fldCharType="separate"/>
          </w:r>
          <w:hyperlink w:anchor="_Toc216300487" w:history="1">
            <w:r w:rsidRPr="00152A28">
              <w:rPr>
                <w:rStyle w:val="Hyperlink"/>
                <w:noProof/>
              </w:rPr>
              <w:t>Executive Summary</w:t>
            </w:r>
            <w:r>
              <w:rPr>
                <w:noProof/>
                <w:webHidden/>
              </w:rPr>
              <w:tab/>
            </w:r>
            <w:r>
              <w:rPr>
                <w:noProof/>
                <w:webHidden/>
              </w:rPr>
              <w:fldChar w:fldCharType="begin"/>
            </w:r>
            <w:r>
              <w:rPr>
                <w:noProof/>
                <w:webHidden/>
              </w:rPr>
              <w:instrText xml:space="preserve"> PAGEREF _Toc216300487 \h </w:instrText>
            </w:r>
            <w:r>
              <w:rPr>
                <w:noProof/>
                <w:webHidden/>
              </w:rPr>
            </w:r>
            <w:r>
              <w:rPr>
                <w:noProof/>
                <w:webHidden/>
              </w:rPr>
              <w:fldChar w:fldCharType="separate"/>
            </w:r>
            <w:r>
              <w:rPr>
                <w:noProof/>
                <w:webHidden/>
              </w:rPr>
              <w:t>2</w:t>
            </w:r>
            <w:r>
              <w:rPr>
                <w:noProof/>
                <w:webHidden/>
              </w:rPr>
              <w:fldChar w:fldCharType="end"/>
            </w:r>
          </w:hyperlink>
        </w:p>
        <w:p w14:paraId="47E37A1B" w14:textId="3CA4B2E5" w:rsidR="00096B73" w:rsidRDefault="001050FB">
          <w:pPr>
            <w:pStyle w:val="TOC1"/>
            <w:tabs>
              <w:tab w:val="right" w:leader="dot" w:pos="9016"/>
            </w:tabs>
            <w:rPr>
              <w:noProof/>
            </w:rPr>
          </w:pPr>
          <w:hyperlink w:anchor="_Toc216300488" w:history="1">
            <w:r w:rsidR="00096B73" w:rsidRPr="00152A28">
              <w:rPr>
                <w:rStyle w:val="Hyperlink"/>
                <w:noProof/>
              </w:rPr>
              <w:t>1. Introduction</w:t>
            </w:r>
            <w:r w:rsidR="00096B73">
              <w:rPr>
                <w:noProof/>
                <w:webHidden/>
              </w:rPr>
              <w:tab/>
            </w:r>
            <w:r w:rsidR="00096B73">
              <w:rPr>
                <w:noProof/>
                <w:webHidden/>
              </w:rPr>
              <w:fldChar w:fldCharType="begin"/>
            </w:r>
            <w:r w:rsidR="00096B73">
              <w:rPr>
                <w:noProof/>
                <w:webHidden/>
              </w:rPr>
              <w:instrText xml:space="preserve"> PAGEREF _Toc216300488 \h </w:instrText>
            </w:r>
            <w:r w:rsidR="00096B73">
              <w:rPr>
                <w:noProof/>
                <w:webHidden/>
              </w:rPr>
            </w:r>
            <w:r w:rsidR="00096B73">
              <w:rPr>
                <w:noProof/>
                <w:webHidden/>
              </w:rPr>
              <w:fldChar w:fldCharType="separate"/>
            </w:r>
            <w:r w:rsidR="00096B73">
              <w:rPr>
                <w:noProof/>
                <w:webHidden/>
              </w:rPr>
              <w:t>4</w:t>
            </w:r>
            <w:r w:rsidR="00096B73">
              <w:rPr>
                <w:noProof/>
                <w:webHidden/>
              </w:rPr>
              <w:fldChar w:fldCharType="end"/>
            </w:r>
          </w:hyperlink>
        </w:p>
        <w:p w14:paraId="7CD042E2" w14:textId="4844D453" w:rsidR="00096B73" w:rsidRDefault="001050FB">
          <w:pPr>
            <w:pStyle w:val="TOC1"/>
            <w:tabs>
              <w:tab w:val="right" w:leader="dot" w:pos="9016"/>
            </w:tabs>
            <w:rPr>
              <w:noProof/>
            </w:rPr>
          </w:pPr>
          <w:hyperlink w:anchor="_Toc216300489" w:history="1">
            <w:r w:rsidR="00096B73" w:rsidRPr="00152A28">
              <w:rPr>
                <w:rStyle w:val="Hyperlink"/>
                <w:noProof/>
              </w:rPr>
              <w:t>2. Critical Analysis of Each Country's Typology and Systems Approach for the COVID-19 Pandemic</w:t>
            </w:r>
            <w:r w:rsidR="00096B73">
              <w:rPr>
                <w:noProof/>
                <w:webHidden/>
              </w:rPr>
              <w:tab/>
            </w:r>
            <w:r w:rsidR="00096B73">
              <w:rPr>
                <w:noProof/>
                <w:webHidden/>
              </w:rPr>
              <w:fldChar w:fldCharType="begin"/>
            </w:r>
            <w:r w:rsidR="00096B73">
              <w:rPr>
                <w:noProof/>
                <w:webHidden/>
              </w:rPr>
              <w:instrText xml:space="preserve"> PAGEREF _Toc216300489 \h </w:instrText>
            </w:r>
            <w:r w:rsidR="00096B73">
              <w:rPr>
                <w:noProof/>
                <w:webHidden/>
              </w:rPr>
            </w:r>
            <w:r w:rsidR="00096B73">
              <w:rPr>
                <w:noProof/>
                <w:webHidden/>
              </w:rPr>
              <w:fldChar w:fldCharType="separate"/>
            </w:r>
            <w:r w:rsidR="00096B73">
              <w:rPr>
                <w:noProof/>
                <w:webHidden/>
              </w:rPr>
              <w:t>5</w:t>
            </w:r>
            <w:r w:rsidR="00096B73">
              <w:rPr>
                <w:noProof/>
                <w:webHidden/>
              </w:rPr>
              <w:fldChar w:fldCharType="end"/>
            </w:r>
          </w:hyperlink>
        </w:p>
        <w:p w14:paraId="5CA2D994" w14:textId="1D9758F3" w:rsidR="00096B73" w:rsidRDefault="001050FB">
          <w:pPr>
            <w:pStyle w:val="TOC2"/>
            <w:tabs>
              <w:tab w:val="right" w:leader="dot" w:pos="9016"/>
            </w:tabs>
            <w:rPr>
              <w:noProof/>
            </w:rPr>
          </w:pPr>
          <w:hyperlink w:anchor="_Toc216300490" w:history="1">
            <w:r w:rsidR="00096B73" w:rsidRPr="00152A28">
              <w:rPr>
                <w:rStyle w:val="Hyperlink"/>
                <w:noProof/>
              </w:rPr>
              <w:t>2.1 Crisis Systems Thinking, Health Policy, and Governance Systems</w:t>
            </w:r>
            <w:r w:rsidR="00096B73">
              <w:rPr>
                <w:noProof/>
                <w:webHidden/>
              </w:rPr>
              <w:tab/>
            </w:r>
            <w:r w:rsidR="00096B73">
              <w:rPr>
                <w:noProof/>
                <w:webHidden/>
              </w:rPr>
              <w:fldChar w:fldCharType="begin"/>
            </w:r>
            <w:r w:rsidR="00096B73">
              <w:rPr>
                <w:noProof/>
                <w:webHidden/>
              </w:rPr>
              <w:instrText xml:space="preserve"> PAGEREF _Toc216300490 \h </w:instrText>
            </w:r>
            <w:r w:rsidR="00096B73">
              <w:rPr>
                <w:noProof/>
                <w:webHidden/>
              </w:rPr>
            </w:r>
            <w:r w:rsidR="00096B73">
              <w:rPr>
                <w:noProof/>
                <w:webHidden/>
              </w:rPr>
              <w:fldChar w:fldCharType="separate"/>
            </w:r>
            <w:r w:rsidR="00096B73">
              <w:rPr>
                <w:noProof/>
                <w:webHidden/>
              </w:rPr>
              <w:t>5</w:t>
            </w:r>
            <w:r w:rsidR="00096B73">
              <w:rPr>
                <w:noProof/>
                <w:webHidden/>
              </w:rPr>
              <w:fldChar w:fldCharType="end"/>
            </w:r>
          </w:hyperlink>
        </w:p>
        <w:p w14:paraId="6E81D7CF" w14:textId="3AD54A57" w:rsidR="00096B73" w:rsidRDefault="001050FB">
          <w:pPr>
            <w:pStyle w:val="TOC2"/>
            <w:tabs>
              <w:tab w:val="right" w:leader="dot" w:pos="9016"/>
            </w:tabs>
            <w:rPr>
              <w:noProof/>
            </w:rPr>
          </w:pPr>
          <w:hyperlink w:anchor="_Toc216300491" w:history="1">
            <w:r w:rsidR="00096B73" w:rsidRPr="00152A28">
              <w:rPr>
                <w:rStyle w:val="Hyperlink"/>
                <w:noProof/>
              </w:rPr>
              <w:t>2.2 Spain: Decentralisation and Crisis Centralisation Dynamics</w:t>
            </w:r>
            <w:r w:rsidR="00096B73">
              <w:rPr>
                <w:noProof/>
                <w:webHidden/>
              </w:rPr>
              <w:tab/>
            </w:r>
            <w:r w:rsidR="00096B73">
              <w:rPr>
                <w:noProof/>
                <w:webHidden/>
              </w:rPr>
              <w:fldChar w:fldCharType="begin"/>
            </w:r>
            <w:r w:rsidR="00096B73">
              <w:rPr>
                <w:noProof/>
                <w:webHidden/>
              </w:rPr>
              <w:instrText xml:space="preserve"> PAGEREF _Toc216300491 \h </w:instrText>
            </w:r>
            <w:r w:rsidR="00096B73">
              <w:rPr>
                <w:noProof/>
                <w:webHidden/>
              </w:rPr>
            </w:r>
            <w:r w:rsidR="00096B73">
              <w:rPr>
                <w:noProof/>
                <w:webHidden/>
              </w:rPr>
              <w:fldChar w:fldCharType="separate"/>
            </w:r>
            <w:r w:rsidR="00096B73">
              <w:rPr>
                <w:noProof/>
                <w:webHidden/>
              </w:rPr>
              <w:t>6</w:t>
            </w:r>
            <w:r w:rsidR="00096B73">
              <w:rPr>
                <w:noProof/>
                <w:webHidden/>
              </w:rPr>
              <w:fldChar w:fldCharType="end"/>
            </w:r>
          </w:hyperlink>
        </w:p>
        <w:p w14:paraId="06410043" w14:textId="23AEF117" w:rsidR="00096B73" w:rsidRDefault="001050FB">
          <w:pPr>
            <w:pStyle w:val="TOC3"/>
            <w:tabs>
              <w:tab w:val="right" w:leader="dot" w:pos="9016"/>
            </w:tabs>
            <w:rPr>
              <w:noProof/>
            </w:rPr>
          </w:pPr>
          <w:hyperlink w:anchor="_Toc216300492" w:history="1">
            <w:r w:rsidR="00096B73" w:rsidRPr="00152A28">
              <w:rPr>
                <w:rStyle w:val="Hyperlink"/>
                <w:noProof/>
              </w:rPr>
              <w:t>Preliminary Failure and Weak Construction</w:t>
            </w:r>
            <w:r w:rsidR="00096B73">
              <w:rPr>
                <w:noProof/>
                <w:webHidden/>
              </w:rPr>
              <w:tab/>
            </w:r>
            <w:r w:rsidR="00096B73">
              <w:rPr>
                <w:noProof/>
                <w:webHidden/>
              </w:rPr>
              <w:fldChar w:fldCharType="begin"/>
            </w:r>
            <w:r w:rsidR="00096B73">
              <w:rPr>
                <w:noProof/>
                <w:webHidden/>
              </w:rPr>
              <w:instrText xml:space="preserve"> PAGEREF _Toc216300492 \h </w:instrText>
            </w:r>
            <w:r w:rsidR="00096B73">
              <w:rPr>
                <w:noProof/>
                <w:webHidden/>
              </w:rPr>
            </w:r>
            <w:r w:rsidR="00096B73">
              <w:rPr>
                <w:noProof/>
                <w:webHidden/>
              </w:rPr>
              <w:fldChar w:fldCharType="separate"/>
            </w:r>
            <w:r w:rsidR="00096B73">
              <w:rPr>
                <w:noProof/>
                <w:webHidden/>
              </w:rPr>
              <w:t>6</w:t>
            </w:r>
            <w:r w:rsidR="00096B73">
              <w:rPr>
                <w:noProof/>
                <w:webHidden/>
              </w:rPr>
              <w:fldChar w:fldCharType="end"/>
            </w:r>
          </w:hyperlink>
        </w:p>
        <w:p w14:paraId="06B3B8B9" w14:textId="4FA79D9E" w:rsidR="00096B73" w:rsidRDefault="001050FB">
          <w:pPr>
            <w:pStyle w:val="TOC3"/>
            <w:tabs>
              <w:tab w:val="right" w:leader="dot" w:pos="9016"/>
            </w:tabs>
            <w:rPr>
              <w:noProof/>
            </w:rPr>
          </w:pPr>
          <w:hyperlink w:anchor="_Toc216300493" w:history="1">
            <w:r w:rsidR="00096B73" w:rsidRPr="00152A28">
              <w:rPr>
                <w:rStyle w:val="Hyperlink"/>
                <w:noProof/>
              </w:rPr>
              <w:t>The Phase of Centralization and Following Adaptation</w:t>
            </w:r>
            <w:r w:rsidR="00096B73">
              <w:rPr>
                <w:noProof/>
                <w:webHidden/>
              </w:rPr>
              <w:tab/>
            </w:r>
            <w:r w:rsidR="00096B73">
              <w:rPr>
                <w:noProof/>
                <w:webHidden/>
              </w:rPr>
              <w:fldChar w:fldCharType="begin"/>
            </w:r>
            <w:r w:rsidR="00096B73">
              <w:rPr>
                <w:noProof/>
                <w:webHidden/>
              </w:rPr>
              <w:instrText xml:space="preserve"> PAGEREF _Toc216300493 \h </w:instrText>
            </w:r>
            <w:r w:rsidR="00096B73">
              <w:rPr>
                <w:noProof/>
                <w:webHidden/>
              </w:rPr>
            </w:r>
            <w:r w:rsidR="00096B73">
              <w:rPr>
                <w:noProof/>
                <w:webHidden/>
              </w:rPr>
              <w:fldChar w:fldCharType="separate"/>
            </w:r>
            <w:r w:rsidR="00096B73">
              <w:rPr>
                <w:noProof/>
                <w:webHidden/>
              </w:rPr>
              <w:t>6</w:t>
            </w:r>
            <w:r w:rsidR="00096B73">
              <w:rPr>
                <w:noProof/>
                <w:webHidden/>
              </w:rPr>
              <w:fldChar w:fldCharType="end"/>
            </w:r>
          </w:hyperlink>
        </w:p>
        <w:p w14:paraId="37C25565" w14:textId="55E59C70" w:rsidR="00096B73" w:rsidRDefault="001050FB">
          <w:pPr>
            <w:pStyle w:val="TOC3"/>
            <w:tabs>
              <w:tab w:val="right" w:leader="dot" w:pos="9016"/>
            </w:tabs>
            <w:rPr>
              <w:noProof/>
            </w:rPr>
          </w:pPr>
          <w:hyperlink w:anchor="_Toc216300494" w:history="1">
            <w:r w:rsidR="00096B73" w:rsidRPr="00152A28">
              <w:rPr>
                <w:rStyle w:val="Hyperlink"/>
                <w:noProof/>
              </w:rPr>
              <w:t>The Pros and Cons of the Adaptive Model</w:t>
            </w:r>
            <w:r w:rsidR="00096B73">
              <w:rPr>
                <w:noProof/>
                <w:webHidden/>
              </w:rPr>
              <w:tab/>
            </w:r>
            <w:r w:rsidR="00096B73">
              <w:rPr>
                <w:noProof/>
                <w:webHidden/>
              </w:rPr>
              <w:fldChar w:fldCharType="begin"/>
            </w:r>
            <w:r w:rsidR="00096B73">
              <w:rPr>
                <w:noProof/>
                <w:webHidden/>
              </w:rPr>
              <w:instrText xml:space="preserve"> PAGEREF _Toc216300494 \h </w:instrText>
            </w:r>
            <w:r w:rsidR="00096B73">
              <w:rPr>
                <w:noProof/>
                <w:webHidden/>
              </w:rPr>
            </w:r>
            <w:r w:rsidR="00096B73">
              <w:rPr>
                <w:noProof/>
                <w:webHidden/>
              </w:rPr>
              <w:fldChar w:fldCharType="separate"/>
            </w:r>
            <w:r w:rsidR="00096B73">
              <w:rPr>
                <w:noProof/>
                <w:webHidden/>
              </w:rPr>
              <w:t>7</w:t>
            </w:r>
            <w:r w:rsidR="00096B73">
              <w:rPr>
                <w:noProof/>
                <w:webHidden/>
              </w:rPr>
              <w:fldChar w:fldCharType="end"/>
            </w:r>
          </w:hyperlink>
        </w:p>
        <w:p w14:paraId="3552C268" w14:textId="4D25A07B" w:rsidR="00096B73" w:rsidRDefault="001050FB">
          <w:pPr>
            <w:pStyle w:val="TOC2"/>
            <w:tabs>
              <w:tab w:val="right" w:leader="dot" w:pos="9016"/>
            </w:tabs>
            <w:rPr>
              <w:noProof/>
            </w:rPr>
          </w:pPr>
          <w:hyperlink w:anchor="_Toc216300495" w:history="1">
            <w:r w:rsidR="00096B73" w:rsidRPr="00152A28">
              <w:rPr>
                <w:rStyle w:val="Hyperlink"/>
                <w:noProof/>
              </w:rPr>
              <w:t>2.3 South Korea: Centralised Proactivity and Institutional Resilience</w:t>
            </w:r>
            <w:r w:rsidR="00096B73">
              <w:rPr>
                <w:noProof/>
                <w:webHidden/>
              </w:rPr>
              <w:tab/>
            </w:r>
            <w:r w:rsidR="00096B73">
              <w:rPr>
                <w:noProof/>
                <w:webHidden/>
              </w:rPr>
              <w:fldChar w:fldCharType="begin"/>
            </w:r>
            <w:r w:rsidR="00096B73">
              <w:rPr>
                <w:noProof/>
                <w:webHidden/>
              </w:rPr>
              <w:instrText xml:space="preserve"> PAGEREF _Toc216300495 \h </w:instrText>
            </w:r>
            <w:r w:rsidR="00096B73">
              <w:rPr>
                <w:noProof/>
                <w:webHidden/>
              </w:rPr>
            </w:r>
            <w:r w:rsidR="00096B73">
              <w:rPr>
                <w:noProof/>
                <w:webHidden/>
              </w:rPr>
              <w:fldChar w:fldCharType="separate"/>
            </w:r>
            <w:r w:rsidR="00096B73">
              <w:rPr>
                <w:noProof/>
                <w:webHidden/>
              </w:rPr>
              <w:t>7</w:t>
            </w:r>
            <w:r w:rsidR="00096B73">
              <w:rPr>
                <w:noProof/>
                <w:webHidden/>
              </w:rPr>
              <w:fldChar w:fldCharType="end"/>
            </w:r>
          </w:hyperlink>
        </w:p>
        <w:p w14:paraId="42F8EAE5" w14:textId="09C4B3BB" w:rsidR="00096B73" w:rsidRDefault="001050FB">
          <w:pPr>
            <w:pStyle w:val="TOC3"/>
            <w:tabs>
              <w:tab w:val="right" w:leader="dot" w:pos="9016"/>
            </w:tabs>
            <w:rPr>
              <w:noProof/>
            </w:rPr>
          </w:pPr>
          <w:hyperlink w:anchor="_Toc216300496" w:history="1">
            <w:r w:rsidR="00096B73" w:rsidRPr="00152A28">
              <w:rPr>
                <w:rStyle w:val="Hyperlink"/>
                <w:noProof/>
              </w:rPr>
              <w:t>K-Quarantine Model and Measurement of Efficiency</w:t>
            </w:r>
            <w:r w:rsidR="00096B73">
              <w:rPr>
                <w:noProof/>
                <w:webHidden/>
              </w:rPr>
              <w:tab/>
            </w:r>
            <w:r w:rsidR="00096B73">
              <w:rPr>
                <w:noProof/>
                <w:webHidden/>
              </w:rPr>
              <w:fldChar w:fldCharType="begin"/>
            </w:r>
            <w:r w:rsidR="00096B73">
              <w:rPr>
                <w:noProof/>
                <w:webHidden/>
              </w:rPr>
              <w:instrText xml:space="preserve"> PAGEREF _Toc216300496 \h </w:instrText>
            </w:r>
            <w:r w:rsidR="00096B73">
              <w:rPr>
                <w:noProof/>
                <w:webHidden/>
              </w:rPr>
            </w:r>
            <w:r w:rsidR="00096B73">
              <w:rPr>
                <w:noProof/>
                <w:webHidden/>
              </w:rPr>
              <w:fldChar w:fldCharType="separate"/>
            </w:r>
            <w:r w:rsidR="00096B73">
              <w:rPr>
                <w:noProof/>
                <w:webHidden/>
              </w:rPr>
              <w:t>9</w:t>
            </w:r>
            <w:r w:rsidR="00096B73">
              <w:rPr>
                <w:noProof/>
                <w:webHidden/>
              </w:rPr>
              <w:fldChar w:fldCharType="end"/>
            </w:r>
          </w:hyperlink>
        </w:p>
        <w:p w14:paraId="6258283C" w14:textId="0B7A4DC9" w:rsidR="00096B73" w:rsidRDefault="001050FB">
          <w:pPr>
            <w:pStyle w:val="TOC3"/>
            <w:tabs>
              <w:tab w:val="right" w:leader="dot" w:pos="9016"/>
            </w:tabs>
            <w:rPr>
              <w:noProof/>
            </w:rPr>
          </w:pPr>
          <w:hyperlink w:anchor="_Toc216300497" w:history="1">
            <w:r w:rsidR="00096B73" w:rsidRPr="00152A28">
              <w:rPr>
                <w:rStyle w:val="Hyperlink"/>
                <w:noProof/>
              </w:rPr>
              <w:t>Pros and Cons of a Centralized Control</w:t>
            </w:r>
            <w:r w:rsidR="00096B73">
              <w:rPr>
                <w:noProof/>
                <w:webHidden/>
              </w:rPr>
              <w:tab/>
            </w:r>
            <w:r w:rsidR="00096B73">
              <w:rPr>
                <w:noProof/>
                <w:webHidden/>
              </w:rPr>
              <w:fldChar w:fldCharType="begin"/>
            </w:r>
            <w:r w:rsidR="00096B73">
              <w:rPr>
                <w:noProof/>
                <w:webHidden/>
              </w:rPr>
              <w:instrText xml:space="preserve"> PAGEREF _Toc216300497 \h </w:instrText>
            </w:r>
            <w:r w:rsidR="00096B73">
              <w:rPr>
                <w:noProof/>
                <w:webHidden/>
              </w:rPr>
            </w:r>
            <w:r w:rsidR="00096B73">
              <w:rPr>
                <w:noProof/>
                <w:webHidden/>
              </w:rPr>
              <w:fldChar w:fldCharType="separate"/>
            </w:r>
            <w:r w:rsidR="00096B73">
              <w:rPr>
                <w:noProof/>
                <w:webHidden/>
              </w:rPr>
              <w:t>9</w:t>
            </w:r>
            <w:r w:rsidR="00096B73">
              <w:rPr>
                <w:noProof/>
                <w:webHidden/>
              </w:rPr>
              <w:fldChar w:fldCharType="end"/>
            </w:r>
          </w:hyperlink>
        </w:p>
        <w:p w14:paraId="6B0C65DA" w14:textId="0B2118AC" w:rsidR="00096B73" w:rsidRDefault="001050FB">
          <w:pPr>
            <w:pStyle w:val="TOC2"/>
            <w:tabs>
              <w:tab w:val="right" w:leader="dot" w:pos="9016"/>
            </w:tabs>
            <w:rPr>
              <w:noProof/>
            </w:rPr>
          </w:pPr>
          <w:hyperlink w:anchor="_Toc216300498" w:history="1">
            <w:r w:rsidR="00096B73" w:rsidRPr="00152A28">
              <w:rPr>
                <w:rStyle w:val="Hyperlink"/>
                <w:noProof/>
              </w:rPr>
              <w:t>2.4 Canada: Complexity of the Federation and Jurisdictional Inequality</w:t>
            </w:r>
            <w:r w:rsidR="00096B73">
              <w:rPr>
                <w:noProof/>
                <w:webHidden/>
              </w:rPr>
              <w:tab/>
            </w:r>
            <w:r w:rsidR="00096B73">
              <w:rPr>
                <w:noProof/>
                <w:webHidden/>
              </w:rPr>
              <w:fldChar w:fldCharType="begin"/>
            </w:r>
            <w:r w:rsidR="00096B73">
              <w:rPr>
                <w:noProof/>
                <w:webHidden/>
              </w:rPr>
              <w:instrText xml:space="preserve"> PAGEREF _Toc216300498 \h </w:instrText>
            </w:r>
            <w:r w:rsidR="00096B73">
              <w:rPr>
                <w:noProof/>
                <w:webHidden/>
              </w:rPr>
            </w:r>
            <w:r w:rsidR="00096B73">
              <w:rPr>
                <w:noProof/>
                <w:webHidden/>
              </w:rPr>
              <w:fldChar w:fldCharType="separate"/>
            </w:r>
            <w:r w:rsidR="00096B73">
              <w:rPr>
                <w:noProof/>
                <w:webHidden/>
              </w:rPr>
              <w:t>10</w:t>
            </w:r>
            <w:r w:rsidR="00096B73">
              <w:rPr>
                <w:noProof/>
                <w:webHidden/>
              </w:rPr>
              <w:fldChar w:fldCharType="end"/>
            </w:r>
          </w:hyperlink>
        </w:p>
        <w:p w14:paraId="55AC5727" w14:textId="1264D538" w:rsidR="00096B73" w:rsidRDefault="001050FB">
          <w:pPr>
            <w:pStyle w:val="TOC3"/>
            <w:tabs>
              <w:tab w:val="right" w:leader="dot" w:pos="9016"/>
            </w:tabs>
            <w:rPr>
              <w:noProof/>
            </w:rPr>
          </w:pPr>
          <w:hyperlink w:anchor="_Toc216300499" w:history="1">
            <w:r w:rsidR="00096B73" w:rsidRPr="00152A28">
              <w:rPr>
                <w:rStyle w:val="Hyperlink"/>
                <w:noProof/>
              </w:rPr>
              <w:t>Lack of Co-ordination and Intermittent Results</w:t>
            </w:r>
            <w:r w:rsidR="00096B73">
              <w:rPr>
                <w:noProof/>
                <w:webHidden/>
              </w:rPr>
              <w:tab/>
            </w:r>
            <w:r w:rsidR="00096B73">
              <w:rPr>
                <w:noProof/>
                <w:webHidden/>
              </w:rPr>
              <w:fldChar w:fldCharType="begin"/>
            </w:r>
            <w:r w:rsidR="00096B73">
              <w:rPr>
                <w:noProof/>
                <w:webHidden/>
              </w:rPr>
              <w:instrText xml:space="preserve"> PAGEREF _Toc216300499 \h </w:instrText>
            </w:r>
            <w:r w:rsidR="00096B73">
              <w:rPr>
                <w:noProof/>
                <w:webHidden/>
              </w:rPr>
            </w:r>
            <w:r w:rsidR="00096B73">
              <w:rPr>
                <w:noProof/>
                <w:webHidden/>
              </w:rPr>
              <w:fldChar w:fldCharType="separate"/>
            </w:r>
            <w:r w:rsidR="00096B73">
              <w:rPr>
                <w:noProof/>
                <w:webHidden/>
              </w:rPr>
              <w:t>11</w:t>
            </w:r>
            <w:r w:rsidR="00096B73">
              <w:rPr>
                <w:noProof/>
                <w:webHidden/>
              </w:rPr>
              <w:fldChar w:fldCharType="end"/>
            </w:r>
          </w:hyperlink>
        </w:p>
        <w:p w14:paraId="4F984FDB" w14:textId="77E58194" w:rsidR="00096B73" w:rsidRDefault="001050FB">
          <w:pPr>
            <w:pStyle w:val="TOC3"/>
            <w:tabs>
              <w:tab w:val="right" w:leader="dot" w:pos="9016"/>
            </w:tabs>
            <w:rPr>
              <w:noProof/>
            </w:rPr>
          </w:pPr>
          <w:hyperlink w:anchor="_Toc216300500" w:history="1">
            <w:r w:rsidR="00096B73" w:rsidRPr="00152A28">
              <w:rPr>
                <w:rStyle w:val="Hyperlink"/>
                <w:noProof/>
              </w:rPr>
              <w:t>The Governance Paradox and Advantages</w:t>
            </w:r>
            <w:r w:rsidR="00096B73">
              <w:rPr>
                <w:noProof/>
                <w:webHidden/>
              </w:rPr>
              <w:tab/>
            </w:r>
            <w:r w:rsidR="00096B73">
              <w:rPr>
                <w:noProof/>
                <w:webHidden/>
              </w:rPr>
              <w:fldChar w:fldCharType="begin"/>
            </w:r>
            <w:r w:rsidR="00096B73">
              <w:rPr>
                <w:noProof/>
                <w:webHidden/>
              </w:rPr>
              <w:instrText xml:space="preserve"> PAGEREF _Toc216300500 \h </w:instrText>
            </w:r>
            <w:r w:rsidR="00096B73">
              <w:rPr>
                <w:noProof/>
                <w:webHidden/>
              </w:rPr>
            </w:r>
            <w:r w:rsidR="00096B73">
              <w:rPr>
                <w:noProof/>
                <w:webHidden/>
              </w:rPr>
              <w:fldChar w:fldCharType="separate"/>
            </w:r>
            <w:r w:rsidR="00096B73">
              <w:rPr>
                <w:noProof/>
                <w:webHidden/>
              </w:rPr>
              <w:t>11</w:t>
            </w:r>
            <w:r w:rsidR="00096B73">
              <w:rPr>
                <w:noProof/>
                <w:webHidden/>
              </w:rPr>
              <w:fldChar w:fldCharType="end"/>
            </w:r>
          </w:hyperlink>
        </w:p>
        <w:p w14:paraId="213C527C" w14:textId="23D8625D" w:rsidR="00096B73" w:rsidRDefault="001050FB">
          <w:pPr>
            <w:pStyle w:val="TOC1"/>
            <w:tabs>
              <w:tab w:val="right" w:leader="dot" w:pos="9016"/>
            </w:tabs>
            <w:rPr>
              <w:noProof/>
            </w:rPr>
          </w:pPr>
          <w:hyperlink w:anchor="_Toc216300501" w:history="1">
            <w:r w:rsidR="00096B73" w:rsidRPr="00152A28">
              <w:rPr>
                <w:rStyle w:val="Hyperlink"/>
                <w:noProof/>
              </w:rPr>
              <w:t>3. Critical Analysis of the Leadership Styles Taken in Each Country</w:t>
            </w:r>
            <w:r w:rsidR="00096B73">
              <w:rPr>
                <w:noProof/>
                <w:webHidden/>
              </w:rPr>
              <w:tab/>
            </w:r>
            <w:r w:rsidR="00096B73">
              <w:rPr>
                <w:noProof/>
                <w:webHidden/>
              </w:rPr>
              <w:fldChar w:fldCharType="begin"/>
            </w:r>
            <w:r w:rsidR="00096B73">
              <w:rPr>
                <w:noProof/>
                <w:webHidden/>
              </w:rPr>
              <w:instrText xml:space="preserve"> PAGEREF _Toc216300501 \h </w:instrText>
            </w:r>
            <w:r w:rsidR="00096B73">
              <w:rPr>
                <w:noProof/>
                <w:webHidden/>
              </w:rPr>
            </w:r>
            <w:r w:rsidR="00096B73">
              <w:rPr>
                <w:noProof/>
                <w:webHidden/>
              </w:rPr>
              <w:fldChar w:fldCharType="separate"/>
            </w:r>
            <w:r w:rsidR="00096B73">
              <w:rPr>
                <w:noProof/>
                <w:webHidden/>
              </w:rPr>
              <w:t>12</w:t>
            </w:r>
            <w:r w:rsidR="00096B73">
              <w:rPr>
                <w:noProof/>
                <w:webHidden/>
              </w:rPr>
              <w:fldChar w:fldCharType="end"/>
            </w:r>
          </w:hyperlink>
        </w:p>
        <w:p w14:paraId="2235354B" w14:textId="153613A6" w:rsidR="00096B73" w:rsidRDefault="001050FB">
          <w:pPr>
            <w:pStyle w:val="TOC2"/>
            <w:tabs>
              <w:tab w:val="right" w:leader="dot" w:pos="9016"/>
            </w:tabs>
            <w:rPr>
              <w:noProof/>
            </w:rPr>
          </w:pPr>
          <w:hyperlink w:anchor="_Toc216300502" w:history="1">
            <w:r w:rsidR="00096B73" w:rsidRPr="00152A28">
              <w:rPr>
                <w:rStyle w:val="Hyperlink"/>
                <w:noProof/>
              </w:rPr>
              <w:t>3.1 Leadership Theories and Styles in Spain: Salvador Illa’s Adaptive Trajectory</w:t>
            </w:r>
            <w:r w:rsidR="00096B73">
              <w:rPr>
                <w:noProof/>
                <w:webHidden/>
              </w:rPr>
              <w:tab/>
            </w:r>
            <w:r w:rsidR="00096B73">
              <w:rPr>
                <w:noProof/>
                <w:webHidden/>
              </w:rPr>
              <w:fldChar w:fldCharType="begin"/>
            </w:r>
            <w:r w:rsidR="00096B73">
              <w:rPr>
                <w:noProof/>
                <w:webHidden/>
              </w:rPr>
              <w:instrText xml:space="preserve"> PAGEREF _Toc216300502 \h </w:instrText>
            </w:r>
            <w:r w:rsidR="00096B73">
              <w:rPr>
                <w:noProof/>
                <w:webHidden/>
              </w:rPr>
            </w:r>
            <w:r w:rsidR="00096B73">
              <w:rPr>
                <w:noProof/>
                <w:webHidden/>
              </w:rPr>
              <w:fldChar w:fldCharType="separate"/>
            </w:r>
            <w:r w:rsidR="00096B73">
              <w:rPr>
                <w:noProof/>
                <w:webHidden/>
              </w:rPr>
              <w:t>12</w:t>
            </w:r>
            <w:r w:rsidR="00096B73">
              <w:rPr>
                <w:noProof/>
                <w:webHidden/>
              </w:rPr>
              <w:fldChar w:fldCharType="end"/>
            </w:r>
          </w:hyperlink>
        </w:p>
        <w:p w14:paraId="6E4A3458" w14:textId="50BB13EF" w:rsidR="00096B73" w:rsidRDefault="001050FB">
          <w:pPr>
            <w:pStyle w:val="TOC3"/>
            <w:tabs>
              <w:tab w:val="right" w:leader="dot" w:pos="9016"/>
            </w:tabs>
            <w:rPr>
              <w:noProof/>
            </w:rPr>
          </w:pPr>
          <w:hyperlink w:anchor="_Toc216300503" w:history="1">
            <w:r w:rsidR="00096B73" w:rsidRPr="00152A28">
              <w:rPr>
                <w:rStyle w:val="Hyperlink"/>
                <w:noProof/>
              </w:rPr>
              <w:t>Crisis preparedness and state capacity</w:t>
            </w:r>
            <w:r w:rsidR="00096B73">
              <w:rPr>
                <w:noProof/>
                <w:webHidden/>
              </w:rPr>
              <w:tab/>
            </w:r>
            <w:r w:rsidR="00096B73">
              <w:rPr>
                <w:noProof/>
                <w:webHidden/>
              </w:rPr>
              <w:fldChar w:fldCharType="begin"/>
            </w:r>
            <w:r w:rsidR="00096B73">
              <w:rPr>
                <w:noProof/>
                <w:webHidden/>
              </w:rPr>
              <w:instrText xml:space="preserve"> PAGEREF _Toc216300503 \h </w:instrText>
            </w:r>
            <w:r w:rsidR="00096B73">
              <w:rPr>
                <w:noProof/>
                <w:webHidden/>
              </w:rPr>
            </w:r>
            <w:r w:rsidR="00096B73">
              <w:rPr>
                <w:noProof/>
                <w:webHidden/>
              </w:rPr>
              <w:fldChar w:fldCharType="separate"/>
            </w:r>
            <w:r w:rsidR="00096B73">
              <w:rPr>
                <w:noProof/>
                <w:webHidden/>
              </w:rPr>
              <w:t>12</w:t>
            </w:r>
            <w:r w:rsidR="00096B73">
              <w:rPr>
                <w:noProof/>
                <w:webHidden/>
              </w:rPr>
              <w:fldChar w:fldCharType="end"/>
            </w:r>
          </w:hyperlink>
        </w:p>
        <w:p w14:paraId="2FC6F35B" w14:textId="20C45434" w:rsidR="00096B73" w:rsidRDefault="001050FB">
          <w:pPr>
            <w:pStyle w:val="TOC3"/>
            <w:tabs>
              <w:tab w:val="right" w:leader="dot" w:pos="9016"/>
            </w:tabs>
            <w:rPr>
              <w:noProof/>
            </w:rPr>
          </w:pPr>
          <w:hyperlink w:anchor="_Toc216300504" w:history="1">
            <w:r w:rsidR="00096B73" w:rsidRPr="00152A28">
              <w:rPr>
                <w:rStyle w:val="Hyperlink"/>
                <w:noProof/>
              </w:rPr>
              <w:t>Centralising the allocation of power</w:t>
            </w:r>
            <w:r w:rsidR="00096B73">
              <w:rPr>
                <w:noProof/>
                <w:webHidden/>
              </w:rPr>
              <w:tab/>
            </w:r>
            <w:r w:rsidR="00096B73">
              <w:rPr>
                <w:noProof/>
                <w:webHidden/>
              </w:rPr>
              <w:fldChar w:fldCharType="begin"/>
            </w:r>
            <w:r w:rsidR="00096B73">
              <w:rPr>
                <w:noProof/>
                <w:webHidden/>
              </w:rPr>
              <w:instrText xml:space="preserve"> PAGEREF _Toc216300504 \h </w:instrText>
            </w:r>
            <w:r w:rsidR="00096B73">
              <w:rPr>
                <w:noProof/>
                <w:webHidden/>
              </w:rPr>
            </w:r>
            <w:r w:rsidR="00096B73">
              <w:rPr>
                <w:noProof/>
                <w:webHidden/>
              </w:rPr>
              <w:fldChar w:fldCharType="separate"/>
            </w:r>
            <w:r w:rsidR="00096B73">
              <w:rPr>
                <w:noProof/>
                <w:webHidden/>
              </w:rPr>
              <w:t>12</w:t>
            </w:r>
            <w:r w:rsidR="00096B73">
              <w:rPr>
                <w:noProof/>
                <w:webHidden/>
              </w:rPr>
              <w:fldChar w:fldCharType="end"/>
            </w:r>
          </w:hyperlink>
        </w:p>
        <w:p w14:paraId="7E72A65F" w14:textId="6B8D1867" w:rsidR="00096B73" w:rsidRDefault="001050FB">
          <w:pPr>
            <w:pStyle w:val="TOC3"/>
            <w:tabs>
              <w:tab w:val="right" w:leader="dot" w:pos="9016"/>
            </w:tabs>
            <w:rPr>
              <w:noProof/>
            </w:rPr>
          </w:pPr>
          <w:hyperlink w:anchor="_Toc216300505" w:history="1">
            <w:r w:rsidR="00096B73" w:rsidRPr="00152A28">
              <w:rPr>
                <w:rStyle w:val="Hyperlink"/>
                <w:noProof/>
              </w:rPr>
              <w:t>First Response: Operational Gaps and Transformational Rhetoric</w:t>
            </w:r>
            <w:r w:rsidR="00096B73">
              <w:rPr>
                <w:noProof/>
                <w:webHidden/>
              </w:rPr>
              <w:tab/>
            </w:r>
            <w:r w:rsidR="00096B73">
              <w:rPr>
                <w:noProof/>
                <w:webHidden/>
              </w:rPr>
              <w:fldChar w:fldCharType="begin"/>
            </w:r>
            <w:r w:rsidR="00096B73">
              <w:rPr>
                <w:noProof/>
                <w:webHidden/>
              </w:rPr>
              <w:instrText xml:space="preserve"> PAGEREF _Toc216300505 \h </w:instrText>
            </w:r>
            <w:r w:rsidR="00096B73">
              <w:rPr>
                <w:noProof/>
                <w:webHidden/>
              </w:rPr>
            </w:r>
            <w:r w:rsidR="00096B73">
              <w:rPr>
                <w:noProof/>
                <w:webHidden/>
              </w:rPr>
              <w:fldChar w:fldCharType="separate"/>
            </w:r>
            <w:r w:rsidR="00096B73">
              <w:rPr>
                <w:noProof/>
                <w:webHidden/>
              </w:rPr>
              <w:t>13</w:t>
            </w:r>
            <w:r w:rsidR="00096B73">
              <w:rPr>
                <w:noProof/>
                <w:webHidden/>
              </w:rPr>
              <w:fldChar w:fldCharType="end"/>
            </w:r>
          </w:hyperlink>
        </w:p>
        <w:p w14:paraId="0F65932F" w14:textId="649E61E2" w:rsidR="00096B73" w:rsidRDefault="001050FB">
          <w:pPr>
            <w:pStyle w:val="TOC3"/>
            <w:tabs>
              <w:tab w:val="right" w:leader="dot" w:pos="9016"/>
            </w:tabs>
            <w:rPr>
              <w:noProof/>
            </w:rPr>
          </w:pPr>
          <w:hyperlink w:anchor="_Toc216300506" w:history="1">
            <w:r w:rsidR="00096B73" w:rsidRPr="00152A28">
              <w:rPr>
                <w:rStyle w:val="Hyperlink"/>
                <w:noProof/>
              </w:rPr>
              <w:t>The Transactional Shift During Crisis Command</w:t>
            </w:r>
            <w:r w:rsidR="00096B73">
              <w:rPr>
                <w:noProof/>
                <w:webHidden/>
              </w:rPr>
              <w:tab/>
            </w:r>
            <w:r w:rsidR="00096B73">
              <w:rPr>
                <w:noProof/>
                <w:webHidden/>
              </w:rPr>
              <w:fldChar w:fldCharType="begin"/>
            </w:r>
            <w:r w:rsidR="00096B73">
              <w:rPr>
                <w:noProof/>
                <w:webHidden/>
              </w:rPr>
              <w:instrText xml:space="preserve"> PAGEREF _Toc216300506 \h </w:instrText>
            </w:r>
            <w:r w:rsidR="00096B73">
              <w:rPr>
                <w:noProof/>
                <w:webHidden/>
              </w:rPr>
            </w:r>
            <w:r w:rsidR="00096B73">
              <w:rPr>
                <w:noProof/>
                <w:webHidden/>
              </w:rPr>
              <w:fldChar w:fldCharType="separate"/>
            </w:r>
            <w:r w:rsidR="00096B73">
              <w:rPr>
                <w:noProof/>
                <w:webHidden/>
              </w:rPr>
              <w:t>13</w:t>
            </w:r>
            <w:r w:rsidR="00096B73">
              <w:rPr>
                <w:noProof/>
                <w:webHidden/>
              </w:rPr>
              <w:fldChar w:fldCharType="end"/>
            </w:r>
          </w:hyperlink>
        </w:p>
        <w:p w14:paraId="46CC318A" w14:textId="0826FA0D" w:rsidR="00096B73" w:rsidRDefault="001050FB">
          <w:pPr>
            <w:pStyle w:val="TOC3"/>
            <w:tabs>
              <w:tab w:val="right" w:leader="dot" w:pos="9016"/>
            </w:tabs>
            <w:rPr>
              <w:noProof/>
            </w:rPr>
          </w:pPr>
          <w:hyperlink w:anchor="_Toc216300507" w:history="1">
            <w:r w:rsidR="00096B73" w:rsidRPr="00152A28">
              <w:rPr>
                <w:rStyle w:val="Hyperlink"/>
                <w:noProof/>
              </w:rPr>
              <w:t>Situational Adaptation and Service Development Success</w:t>
            </w:r>
            <w:r w:rsidR="00096B73">
              <w:rPr>
                <w:noProof/>
                <w:webHidden/>
              </w:rPr>
              <w:tab/>
            </w:r>
            <w:r w:rsidR="00096B73">
              <w:rPr>
                <w:noProof/>
                <w:webHidden/>
              </w:rPr>
              <w:fldChar w:fldCharType="begin"/>
            </w:r>
            <w:r w:rsidR="00096B73">
              <w:rPr>
                <w:noProof/>
                <w:webHidden/>
              </w:rPr>
              <w:instrText xml:space="preserve"> PAGEREF _Toc216300507 \h </w:instrText>
            </w:r>
            <w:r w:rsidR="00096B73">
              <w:rPr>
                <w:noProof/>
                <w:webHidden/>
              </w:rPr>
            </w:r>
            <w:r w:rsidR="00096B73">
              <w:rPr>
                <w:noProof/>
                <w:webHidden/>
              </w:rPr>
              <w:fldChar w:fldCharType="separate"/>
            </w:r>
            <w:r w:rsidR="00096B73">
              <w:rPr>
                <w:noProof/>
                <w:webHidden/>
              </w:rPr>
              <w:t>13</w:t>
            </w:r>
            <w:r w:rsidR="00096B73">
              <w:rPr>
                <w:noProof/>
                <w:webHidden/>
              </w:rPr>
              <w:fldChar w:fldCharType="end"/>
            </w:r>
          </w:hyperlink>
        </w:p>
        <w:p w14:paraId="22954F34" w14:textId="45C36B3D" w:rsidR="00096B73" w:rsidRDefault="001050FB">
          <w:pPr>
            <w:pStyle w:val="TOC3"/>
            <w:tabs>
              <w:tab w:val="right" w:leader="dot" w:pos="9016"/>
            </w:tabs>
            <w:rPr>
              <w:noProof/>
            </w:rPr>
          </w:pPr>
          <w:hyperlink w:anchor="_Toc216300508" w:history="1">
            <w:r w:rsidR="00096B73" w:rsidRPr="00152A28">
              <w:rPr>
                <w:rStyle w:val="Hyperlink"/>
                <w:noProof/>
              </w:rPr>
              <w:t>Advantages and Disadvantages</w:t>
            </w:r>
            <w:r w:rsidR="00096B73">
              <w:rPr>
                <w:noProof/>
                <w:webHidden/>
              </w:rPr>
              <w:tab/>
            </w:r>
            <w:r w:rsidR="00096B73">
              <w:rPr>
                <w:noProof/>
                <w:webHidden/>
              </w:rPr>
              <w:fldChar w:fldCharType="begin"/>
            </w:r>
            <w:r w:rsidR="00096B73">
              <w:rPr>
                <w:noProof/>
                <w:webHidden/>
              </w:rPr>
              <w:instrText xml:space="preserve"> PAGEREF _Toc216300508 \h </w:instrText>
            </w:r>
            <w:r w:rsidR="00096B73">
              <w:rPr>
                <w:noProof/>
                <w:webHidden/>
              </w:rPr>
            </w:r>
            <w:r w:rsidR="00096B73">
              <w:rPr>
                <w:noProof/>
                <w:webHidden/>
              </w:rPr>
              <w:fldChar w:fldCharType="separate"/>
            </w:r>
            <w:r w:rsidR="00096B73">
              <w:rPr>
                <w:noProof/>
                <w:webHidden/>
              </w:rPr>
              <w:t>14</w:t>
            </w:r>
            <w:r w:rsidR="00096B73">
              <w:rPr>
                <w:noProof/>
                <w:webHidden/>
              </w:rPr>
              <w:fldChar w:fldCharType="end"/>
            </w:r>
          </w:hyperlink>
        </w:p>
        <w:p w14:paraId="550C5016" w14:textId="2499C056" w:rsidR="00096B73" w:rsidRDefault="001050FB">
          <w:pPr>
            <w:pStyle w:val="TOC2"/>
            <w:tabs>
              <w:tab w:val="right" w:leader="dot" w:pos="9016"/>
            </w:tabs>
            <w:rPr>
              <w:noProof/>
            </w:rPr>
          </w:pPr>
          <w:hyperlink w:anchor="_Toc216300509" w:history="1">
            <w:r w:rsidR="00096B73" w:rsidRPr="00152A28">
              <w:rPr>
                <w:rStyle w:val="Hyperlink"/>
                <w:noProof/>
              </w:rPr>
              <w:t>3.2 Leadership Theories and Styles in South Korea: Chung Sye-kyun’s Proactive-Transactional Model</w:t>
            </w:r>
            <w:r w:rsidR="00096B73">
              <w:rPr>
                <w:noProof/>
                <w:webHidden/>
              </w:rPr>
              <w:tab/>
            </w:r>
            <w:r w:rsidR="00096B73">
              <w:rPr>
                <w:noProof/>
                <w:webHidden/>
              </w:rPr>
              <w:fldChar w:fldCharType="begin"/>
            </w:r>
            <w:r w:rsidR="00096B73">
              <w:rPr>
                <w:noProof/>
                <w:webHidden/>
              </w:rPr>
              <w:instrText xml:space="preserve"> PAGEREF _Toc216300509 \h </w:instrText>
            </w:r>
            <w:r w:rsidR="00096B73">
              <w:rPr>
                <w:noProof/>
                <w:webHidden/>
              </w:rPr>
            </w:r>
            <w:r w:rsidR="00096B73">
              <w:rPr>
                <w:noProof/>
                <w:webHidden/>
              </w:rPr>
              <w:fldChar w:fldCharType="separate"/>
            </w:r>
            <w:r w:rsidR="00096B73">
              <w:rPr>
                <w:noProof/>
                <w:webHidden/>
              </w:rPr>
              <w:t>14</w:t>
            </w:r>
            <w:r w:rsidR="00096B73">
              <w:rPr>
                <w:noProof/>
                <w:webHidden/>
              </w:rPr>
              <w:fldChar w:fldCharType="end"/>
            </w:r>
          </w:hyperlink>
        </w:p>
        <w:p w14:paraId="54693FCC" w14:textId="771DC301" w:rsidR="00096B73" w:rsidRDefault="001050FB">
          <w:pPr>
            <w:pStyle w:val="TOC3"/>
            <w:tabs>
              <w:tab w:val="right" w:leader="dot" w:pos="9016"/>
            </w:tabs>
            <w:rPr>
              <w:noProof/>
            </w:rPr>
          </w:pPr>
          <w:hyperlink w:anchor="_Toc216300510" w:history="1">
            <w:r w:rsidR="00096B73" w:rsidRPr="00152A28">
              <w:rPr>
                <w:rStyle w:val="Hyperlink"/>
                <w:noProof/>
              </w:rPr>
              <w:t>Transactional Core and System Fit</w:t>
            </w:r>
            <w:r w:rsidR="00096B73">
              <w:rPr>
                <w:noProof/>
                <w:webHidden/>
              </w:rPr>
              <w:tab/>
            </w:r>
            <w:r w:rsidR="00096B73">
              <w:rPr>
                <w:noProof/>
                <w:webHidden/>
              </w:rPr>
              <w:fldChar w:fldCharType="begin"/>
            </w:r>
            <w:r w:rsidR="00096B73">
              <w:rPr>
                <w:noProof/>
                <w:webHidden/>
              </w:rPr>
              <w:instrText xml:space="preserve"> PAGEREF _Toc216300510 \h </w:instrText>
            </w:r>
            <w:r w:rsidR="00096B73">
              <w:rPr>
                <w:noProof/>
                <w:webHidden/>
              </w:rPr>
            </w:r>
            <w:r w:rsidR="00096B73">
              <w:rPr>
                <w:noProof/>
                <w:webHidden/>
              </w:rPr>
              <w:fldChar w:fldCharType="separate"/>
            </w:r>
            <w:r w:rsidR="00096B73">
              <w:rPr>
                <w:noProof/>
                <w:webHidden/>
              </w:rPr>
              <w:t>14</w:t>
            </w:r>
            <w:r w:rsidR="00096B73">
              <w:rPr>
                <w:noProof/>
                <w:webHidden/>
              </w:rPr>
              <w:fldChar w:fldCharType="end"/>
            </w:r>
          </w:hyperlink>
        </w:p>
        <w:p w14:paraId="64C14CD9" w14:textId="57F594B7" w:rsidR="00096B73" w:rsidRDefault="001050FB">
          <w:pPr>
            <w:pStyle w:val="TOC3"/>
            <w:tabs>
              <w:tab w:val="right" w:leader="dot" w:pos="9016"/>
            </w:tabs>
            <w:rPr>
              <w:noProof/>
            </w:rPr>
          </w:pPr>
          <w:hyperlink w:anchor="_Toc216300511" w:history="1">
            <w:r w:rsidR="00096B73" w:rsidRPr="00152A28">
              <w:rPr>
                <w:rStyle w:val="Hyperlink"/>
                <w:noProof/>
              </w:rPr>
              <w:t>Transformational Elements and Trust-Building</w:t>
            </w:r>
            <w:r w:rsidR="00096B73">
              <w:rPr>
                <w:noProof/>
                <w:webHidden/>
              </w:rPr>
              <w:tab/>
            </w:r>
            <w:r w:rsidR="00096B73">
              <w:rPr>
                <w:noProof/>
                <w:webHidden/>
              </w:rPr>
              <w:fldChar w:fldCharType="begin"/>
            </w:r>
            <w:r w:rsidR="00096B73">
              <w:rPr>
                <w:noProof/>
                <w:webHidden/>
              </w:rPr>
              <w:instrText xml:space="preserve"> PAGEREF _Toc216300511 \h </w:instrText>
            </w:r>
            <w:r w:rsidR="00096B73">
              <w:rPr>
                <w:noProof/>
                <w:webHidden/>
              </w:rPr>
            </w:r>
            <w:r w:rsidR="00096B73">
              <w:rPr>
                <w:noProof/>
                <w:webHidden/>
              </w:rPr>
              <w:fldChar w:fldCharType="separate"/>
            </w:r>
            <w:r w:rsidR="00096B73">
              <w:rPr>
                <w:noProof/>
                <w:webHidden/>
              </w:rPr>
              <w:t>15</w:t>
            </w:r>
            <w:r w:rsidR="00096B73">
              <w:rPr>
                <w:noProof/>
                <w:webHidden/>
              </w:rPr>
              <w:fldChar w:fldCharType="end"/>
            </w:r>
          </w:hyperlink>
        </w:p>
        <w:p w14:paraId="66AE1591" w14:textId="5A94E207" w:rsidR="00096B73" w:rsidRDefault="001050FB">
          <w:pPr>
            <w:pStyle w:val="TOC3"/>
            <w:tabs>
              <w:tab w:val="right" w:leader="dot" w:pos="9016"/>
            </w:tabs>
            <w:rPr>
              <w:noProof/>
            </w:rPr>
          </w:pPr>
          <w:hyperlink w:anchor="_Toc216300512" w:history="1">
            <w:r w:rsidR="00096B73" w:rsidRPr="00152A28">
              <w:rPr>
                <w:rStyle w:val="Hyperlink"/>
                <w:noProof/>
              </w:rPr>
              <w:t>Situational Responsiveness</w:t>
            </w:r>
            <w:r w:rsidR="00096B73">
              <w:rPr>
                <w:noProof/>
                <w:webHidden/>
              </w:rPr>
              <w:tab/>
            </w:r>
            <w:r w:rsidR="00096B73">
              <w:rPr>
                <w:noProof/>
                <w:webHidden/>
              </w:rPr>
              <w:fldChar w:fldCharType="begin"/>
            </w:r>
            <w:r w:rsidR="00096B73">
              <w:rPr>
                <w:noProof/>
                <w:webHidden/>
              </w:rPr>
              <w:instrText xml:space="preserve"> PAGEREF _Toc216300512 \h </w:instrText>
            </w:r>
            <w:r w:rsidR="00096B73">
              <w:rPr>
                <w:noProof/>
                <w:webHidden/>
              </w:rPr>
            </w:r>
            <w:r w:rsidR="00096B73">
              <w:rPr>
                <w:noProof/>
                <w:webHidden/>
              </w:rPr>
              <w:fldChar w:fldCharType="separate"/>
            </w:r>
            <w:r w:rsidR="00096B73">
              <w:rPr>
                <w:noProof/>
                <w:webHidden/>
              </w:rPr>
              <w:t>15</w:t>
            </w:r>
            <w:r w:rsidR="00096B73">
              <w:rPr>
                <w:noProof/>
                <w:webHidden/>
              </w:rPr>
              <w:fldChar w:fldCharType="end"/>
            </w:r>
          </w:hyperlink>
        </w:p>
        <w:p w14:paraId="3F7E5BBB" w14:textId="7E72C7A7" w:rsidR="00096B73" w:rsidRDefault="001050FB">
          <w:pPr>
            <w:pStyle w:val="TOC3"/>
            <w:tabs>
              <w:tab w:val="right" w:leader="dot" w:pos="9016"/>
            </w:tabs>
            <w:rPr>
              <w:noProof/>
            </w:rPr>
          </w:pPr>
          <w:hyperlink w:anchor="_Toc216300513" w:history="1">
            <w:r w:rsidR="00096B73" w:rsidRPr="00152A28">
              <w:rPr>
                <w:rStyle w:val="Hyperlink"/>
                <w:noProof/>
              </w:rPr>
              <w:t>Advantages and Disadvantages</w:t>
            </w:r>
            <w:r w:rsidR="00096B73">
              <w:rPr>
                <w:noProof/>
                <w:webHidden/>
              </w:rPr>
              <w:tab/>
            </w:r>
            <w:r w:rsidR="00096B73">
              <w:rPr>
                <w:noProof/>
                <w:webHidden/>
              </w:rPr>
              <w:fldChar w:fldCharType="begin"/>
            </w:r>
            <w:r w:rsidR="00096B73">
              <w:rPr>
                <w:noProof/>
                <w:webHidden/>
              </w:rPr>
              <w:instrText xml:space="preserve"> PAGEREF _Toc216300513 \h </w:instrText>
            </w:r>
            <w:r w:rsidR="00096B73">
              <w:rPr>
                <w:noProof/>
                <w:webHidden/>
              </w:rPr>
            </w:r>
            <w:r w:rsidR="00096B73">
              <w:rPr>
                <w:noProof/>
                <w:webHidden/>
              </w:rPr>
              <w:fldChar w:fldCharType="separate"/>
            </w:r>
            <w:r w:rsidR="00096B73">
              <w:rPr>
                <w:noProof/>
                <w:webHidden/>
              </w:rPr>
              <w:t>16</w:t>
            </w:r>
            <w:r w:rsidR="00096B73">
              <w:rPr>
                <w:noProof/>
                <w:webHidden/>
              </w:rPr>
              <w:fldChar w:fldCharType="end"/>
            </w:r>
          </w:hyperlink>
        </w:p>
        <w:p w14:paraId="6D91D8AB" w14:textId="7575B8BC" w:rsidR="00096B73" w:rsidRDefault="001050FB">
          <w:pPr>
            <w:pStyle w:val="TOC2"/>
            <w:tabs>
              <w:tab w:val="right" w:leader="dot" w:pos="9016"/>
            </w:tabs>
            <w:rPr>
              <w:noProof/>
            </w:rPr>
          </w:pPr>
          <w:hyperlink w:anchor="_Toc216300514" w:history="1">
            <w:r w:rsidR="00096B73" w:rsidRPr="00152A28">
              <w:rPr>
                <w:rStyle w:val="Hyperlink"/>
                <w:noProof/>
              </w:rPr>
              <w:t>3.3 Leadership Theories and Style in Canada: Justin Trudeau’s Collaborative-Transformational Approach</w:t>
            </w:r>
            <w:r w:rsidR="00096B73">
              <w:rPr>
                <w:noProof/>
                <w:webHidden/>
              </w:rPr>
              <w:tab/>
            </w:r>
            <w:r w:rsidR="00096B73">
              <w:rPr>
                <w:noProof/>
                <w:webHidden/>
              </w:rPr>
              <w:fldChar w:fldCharType="begin"/>
            </w:r>
            <w:r w:rsidR="00096B73">
              <w:rPr>
                <w:noProof/>
                <w:webHidden/>
              </w:rPr>
              <w:instrText xml:space="preserve"> PAGEREF _Toc216300514 \h </w:instrText>
            </w:r>
            <w:r w:rsidR="00096B73">
              <w:rPr>
                <w:noProof/>
                <w:webHidden/>
              </w:rPr>
            </w:r>
            <w:r w:rsidR="00096B73">
              <w:rPr>
                <w:noProof/>
                <w:webHidden/>
              </w:rPr>
              <w:fldChar w:fldCharType="separate"/>
            </w:r>
            <w:r w:rsidR="00096B73">
              <w:rPr>
                <w:noProof/>
                <w:webHidden/>
              </w:rPr>
              <w:t>16</w:t>
            </w:r>
            <w:r w:rsidR="00096B73">
              <w:rPr>
                <w:noProof/>
                <w:webHidden/>
              </w:rPr>
              <w:fldChar w:fldCharType="end"/>
            </w:r>
          </w:hyperlink>
        </w:p>
        <w:p w14:paraId="0F31F9C2" w14:textId="4CDE594C" w:rsidR="00096B73" w:rsidRDefault="001050FB">
          <w:pPr>
            <w:pStyle w:val="TOC3"/>
            <w:tabs>
              <w:tab w:val="right" w:leader="dot" w:pos="9016"/>
            </w:tabs>
            <w:rPr>
              <w:noProof/>
            </w:rPr>
          </w:pPr>
          <w:hyperlink w:anchor="_Toc216300515" w:history="1">
            <w:r w:rsidR="00096B73" w:rsidRPr="00152A28">
              <w:rPr>
                <w:rStyle w:val="Hyperlink"/>
                <w:noProof/>
              </w:rPr>
              <w:t>Transformational Core and Character</w:t>
            </w:r>
            <w:r w:rsidR="00096B73">
              <w:rPr>
                <w:noProof/>
                <w:webHidden/>
              </w:rPr>
              <w:tab/>
            </w:r>
            <w:r w:rsidR="00096B73">
              <w:rPr>
                <w:noProof/>
                <w:webHidden/>
              </w:rPr>
              <w:fldChar w:fldCharType="begin"/>
            </w:r>
            <w:r w:rsidR="00096B73">
              <w:rPr>
                <w:noProof/>
                <w:webHidden/>
              </w:rPr>
              <w:instrText xml:space="preserve"> PAGEREF _Toc216300515 \h </w:instrText>
            </w:r>
            <w:r w:rsidR="00096B73">
              <w:rPr>
                <w:noProof/>
                <w:webHidden/>
              </w:rPr>
            </w:r>
            <w:r w:rsidR="00096B73">
              <w:rPr>
                <w:noProof/>
                <w:webHidden/>
              </w:rPr>
              <w:fldChar w:fldCharType="separate"/>
            </w:r>
            <w:r w:rsidR="00096B73">
              <w:rPr>
                <w:noProof/>
                <w:webHidden/>
              </w:rPr>
              <w:t>16</w:t>
            </w:r>
            <w:r w:rsidR="00096B73">
              <w:rPr>
                <w:noProof/>
                <w:webHidden/>
              </w:rPr>
              <w:fldChar w:fldCharType="end"/>
            </w:r>
          </w:hyperlink>
        </w:p>
        <w:p w14:paraId="0B472EAB" w14:textId="3DA659F1" w:rsidR="00096B73" w:rsidRDefault="001050FB">
          <w:pPr>
            <w:pStyle w:val="TOC3"/>
            <w:tabs>
              <w:tab w:val="right" w:leader="dot" w:pos="9016"/>
            </w:tabs>
            <w:rPr>
              <w:noProof/>
            </w:rPr>
          </w:pPr>
          <w:hyperlink w:anchor="_Toc216300516" w:history="1">
            <w:r w:rsidR="00096B73" w:rsidRPr="00152A28">
              <w:rPr>
                <w:rStyle w:val="Hyperlink"/>
                <w:noProof/>
              </w:rPr>
              <w:t>Situational Governance and Coordination Limits</w:t>
            </w:r>
            <w:r w:rsidR="00096B73">
              <w:rPr>
                <w:noProof/>
                <w:webHidden/>
              </w:rPr>
              <w:tab/>
            </w:r>
            <w:r w:rsidR="00096B73">
              <w:rPr>
                <w:noProof/>
                <w:webHidden/>
              </w:rPr>
              <w:fldChar w:fldCharType="begin"/>
            </w:r>
            <w:r w:rsidR="00096B73">
              <w:rPr>
                <w:noProof/>
                <w:webHidden/>
              </w:rPr>
              <w:instrText xml:space="preserve"> PAGEREF _Toc216300516 \h </w:instrText>
            </w:r>
            <w:r w:rsidR="00096B73">
              <w:rPr>
                <w:noProof/>
                <w:webHidden/>
              </w:rPr>
            </w:r>
            <w:r w:rsidR="00096B73">
              <w:rPr>
                <w:noProof/>
                <w:webHidden/>
              </w:rPr>
              <w:fldChar w:fldCharType="separate"/>
            </w:r>
            <w:r w:rsidR="00096B73">
              <w:rPr>
                <w:noProof/>
                <w:webHidden/>
              </w:rPr>
              <w:t>17</w:t>
            </w:r>
            <w:r w:rsidR="00096B73">
              <w:rPr>
                <w:noProof/>
                <w:webHidden/>
              </w:rPr>
              <w:fldChar w:fldCharType="end"/>
            </w:r>
          </w:hyperlink>
        </w:p>
        <w:p w14:paraId="44D60986" w14:textId="4712617E" w:rsidR="00096B73" w:rsidRDefault="001050FB">
          <w:pPr>
            <w:pStyle w:val="TOC3"/>
            <w:tabs>
              <w:tab w:val="right" w:leader="dot" w:pos="9016"/>
            </w:tabs>
            <w:rPr>
              <w:noProof/>
            </w:rPr>
          </w:pPr>
          <w:hyperlink w:anchor="_Toc216300517" w:history="1">
            <w:r w:rsidR="00096B73" w:rsidRPr="00152A28">
              <w:rPr>
                <w:rStyle w:val="Hyperlink"/>
                <w:noProof/>
              </w:rPr>
              <w:t>Advantages and Disadvantages</w:t>
            </w:r>
            <w:r w:rsidR="00096B73">
              <w:rPr>
                <w:noProof/>
                <w:webHidden/>
              </w:rPr>
              <w:tab/>
            </w:r>
            <w:r w:rsidR="00096B73">
              <w:rPr>
                <w:noProof/>
                <w:webHidden/>
              </w:rPr>
              <w:fldChar w:fldCharType="begin"/>
            </w:r>
            <w:r w:rsidR="00096B73">
              <w:rPr>
                <w:noProof/>
                <w:webHidden/>
              </w:rPr>
              <w:instrText xml:space="preserve"> PAGEREF _Toc216300517 \h </w:instrText>
            </w:r>
            <w:r w:rsidR="00096B73">
              <w:rPr>
                <w:noProof/>
                <w:webHidden/>
              </w:rPr>
            </w:r>
            <w:r w:rsidR="00096B73">
              <w:rPr>
                <w:noProof/>
                <w:webHidden/>
              </w:rPr>
              <w:fldChar w:fldCharType="separate"/>
            </w:r>
            <w:r w:rsidR="00096B73">
              <w:rPr>
                <w:noProof/>
                <w:webHidden/>
              </w:rPr>
              <w:t>17</w:t>
            </w:r>
            <w:r w:rsidR="00096B73">
              <w:rPr>
                <w:noProof/>
                <w:webHidden/>
              </w:rPr>
              <w:fldChar w:fldCharType="end"/>
            </w:r>
          </w:hyperlink>
        </w:p>
        <w:p w14:paraId="62382462" w14:textId="1B12A63A" w:rsidR="00096B73" w:rsidRDefault="001050FB">
          <w:pPr>
            <w:pStyle w:val="TOC2"/>
            <w:tabs>
              <w:tab w:val="right" w:leader="dot" w:pos="9016"/>
            </w:tabs>
            <w:rPr>
              <w:noProof/>
            </w:rPr>
          </w:pPr>
          <w:hyperlink w:anchor="_Toc216300518" w:history="1">
            <w:r w:rsidR="00096B73" w:rsidRPr="00152A28">
              <w:rPr>
                <w:rStyle w:val="Hyperlink"/>
                <w:noProof/>
              </w:rPr>
              <w:t>3.4 Comparative Synthesis: Leadership Influence on Efficiency and Service Development</w:t>
            </w:r>
            <w:r w:rsidR="00096B73">
              <w:rPr>
                <w:noProof/>
                <w:webHidden/>
              </w:rPr>
              <w:tab/>
            </w:r>
            <w:r w:rsidR="00096B73">
              <w:rPr>
                <w:noProof/>
                <w:webHidden/>
              </w:rPr>
              <w:fldChar w:fldCharType="begin"/>
            </w:r>
            <w:r w:rsidR="00096B73">
              <w:rPr>
                <w:noProof/>
                <w:webHidden/>
              </w:rPr>
              <w:instrText xml:space="preserve"> PAGEREF _Toc216300518 \h </w:instrText>
            </w:r>
            <w:r w:rsidR="00096B73">
              <w:rPr>
                <w:noProof/>
                <w:webHidden/>
              </w:rPr>
            </w:r>
            <w:r w:rsidR="00096B73">
              <w:rPr>
                <w:noProof/>
                <w:webHidden/>
              </w:rPr>
              <w:fldChar w:fldCharType="separate"/>
            </w:r>
            <w:r w:rsidR="00096B73">
              <w:rPr>
                <w:noProof/>
                <w:webHidden/>
              </w:rPr>
              <w:t>17</w:t>
            </w:r>
            <w:r w:rsidR="00096B73">
              <w:rPr>
                <w:noProof/>
                <w:webHidden/>
              </w:rPr>
              <w:fldChar w:fldCharType="end"/>
            </w:r>
          </w:hyperlink>
        </w:p>
        <w:p w14:paraId="1ED8A11D" w14:textId="3C3A62D1" w:rsidR="00096B73" w:rsidRDefault="001050FB">
          <w:pPr>
            <w:pStyle w:val="TOC1"/>
            <w:tabs>
              <w:tab w:val="right" w:leader="dot" w:pos="9016"/>
            </w:tabs>
            <w:rPr>
              <w:noProof/>
            </w:rPr>
          </w:pPr>
          <w:hyperlink w:anchor="_Toc216300519" w:history="1">
            <w:r w:rsidR="00096B73" w:rsidRPr="00152A28">
              <w:rPr>
                <w:rStyle w:val="Hyperlink"/>
                <w:noProof/>
              </w:rPr>
              <w:t>4. Conclusion</w:t>
            </w:r>
            <w:r w:rsidR="00096B73">
              <w:rPr>
                <w:noProof/>
                <w:webHidden/>
              </w:rPr>
              <w:tab/>
            </w:r>
            <w:r w:rsidR="00096B73">
              <w:rPr>
                <w:noProof/>
                <w:webHidden/>
              </w:rPr>
              <w:fldChar w:fldCharType="begin"/>
            </w:r>
            <w:r w:rsidR="00096B73">
              <w:rPr>
                <w:noProof/>
                <w:webHidden/>
              </w:rPr>
              <w:instrText xml:space="preserve"> PAGEREF _Toc216300519 \h </w:instrText>
            </w:r>
            <w:r w:rsidR="00096B73">
              <w:rPr>
                <w:noProof/>
                <w:webHidden/>
              </w:rPr>
            </w:r>
            <w:r w:rsidR="00096B73">
              <w:rPr>
                <w:noProof/>
                <w:webHidden/>
              </w:rPr>
              <w:fldChar w:fldCharType="separate"/>
            </w:r>
            <w:r w:rsidR="00096B73">
              <w:rPr>
                <w:noProof/>
                <w:webHidden/>
              </w:rPr>
              <w:t>20</w:t>
            </w:r>
            <w:r w:rsidR="00096B73">
              <w:rPr>
                <w:noProof/>
                <w:webHidden/>
              </w:rPr>
              <w:fldChar w:fldCharType="end"/>
            </w:r>
          </w:hyperlink>
        </w:p>
        <w:p w14:paraId="77A9A362" w14:textId="4D991065" w:rsidR="00096B73" w:rsidRDefault="001050FB">
          <w:pPr>
            <w:pStyle w:val="TOC1"/>
            <w:tabs>
              <w:tab w:val="right" w:leader="dot" w:pos="9016"/>
            </w:tabs>
            <w:rPr>
              <w:noProof/>
            </w:rPr>
          </w:pPr>
          <w:hyperlink w:anchor="_Toc216300520" w:history="1">
            <w:r w:rsidR="00096B73" w:rsidRPr="00152A28">
              <w:rPr>
                <w:rStyle w:val="Hyperlink"/>
                <w:noProof/>
              </w:rPr>
              <w:t>5. References</w:t>
            </w:r>
            <w:r w:rsidR="00096B73">
              <w:rPr>
                <w:noProof/>
                <w:webHidden/>
              </w:rPr>
              <w:tab/>
            </w:r>
            <w:r w:rsidR="00096B73">
              <w:rPr>
                <w:noProof/>
                <w:webHidden/>
              </w:rPr>
              <w:fldChar w:fldCharType="begin"/>
            </w:r>
            <w:r w:rsidR="00096B73">
              <w:rPr>
                <w:noProof/>
                <w:webHidden/>
              </w:rPr>
              <w:instrText xml:space="preserve"> PAGEREF _Toc216300520 \h </w:instrText>
            </w:r>
            <w:r w:rsidR="00096B73">
              <w:rPr>
                <w:noProof/>
                <w:webHidden/>
              </w:rPr>
            </w:r>
            <w:r w:rsidR="00096B73">
              <w:rPr>
                <w:noProof/>
                <w:webHidden/>
              </w:rPr>
              <w:fldChar w:fldCharType="separate"/>
            </w:r>
            <w:r w:rsidR="00096B73">
              <w:rPr>
                <w:noProof/>
                <w:webHidden/>
              </w:rPr>
              <w:t>21</w:t>
            </w:r>
            <w:r w:rsidR="00096B73">
              <w:rPr>
                <w:noProof/>
                <w:webHidden/>
              </w:rPr>
              <w:fldChar w:fldCharType="end"/>
            </w:r>
          </w:hyperlink>
        </w:p>
        <w:p w14:paraId="65FEDB9C" w14:textId="0416CDBC" w:rsidR="00096B73" w:rsidRDefault="00096B73">
          <w:r>
            <w:rPr>
              <w:b/>
              <w:bCs/>
              <w:noProof/>
            </w:rPr>
            <w:fldChar w:fldCharType="end"/>
          </w:r>
        </w:p>
      </w:sdtContent>
    </w:sdt>
    <w:p w14:paraId="41161FD8" w14:textId="1A9D62DE" w:rsidR="00C80C26" w:rsidRDefault="00C80C26" w:rsidP="00096B73">
      <w:r>
        <w:br w:type="page"/>
      </w:r>
    </w:p>
    <w:p w14:paraId="426C1417" w14:textId="0C2C4C18" w:rsidR="00C80C26" w:rsidRDefault="00C80C26" w:rsidP="00C80C26">
      <w:pPr>
        <w:pStyle w:val="Heading1"/>
      </w:pPr>
      <w:bookmarkStart w:id="2" w:name="_Toc216300488"/>
      <w:r>
        <w:lastRenderedPageBreak/>
        <w:t>1. Introduction</w:t>
      </w:r>
      <w:bookmarkEnd w:id="2"/>
      <w:r>
        <w:t xml:space="preserve"> </w:t>
      </w:r>
    </w:p>
    <w:p w14:paraId="6956D668" w14:textId="270EB519" w:rsidR="00C80C26" w:rsidRDefault="00C80C26" w:rsidP="00C80C26">
      <w:r>
        <w:t xml:space="preserve">The COVID-19 pandemic represented a critical, global stress test for public health governance, political leadership, and system resilience. This comparative analysis critically examines the initial and prolonged responses of three nations Spain, South Korea, and Canada to illuminate how fundamental differences in their healthcare system organization and leadership strategies influenced outcomes during the crisis.   </w:t>
      </w:r>
    </w:p>
    <w:p w14:paraId="2A8622C2" w14:textId="792419D4" w:rsidR="00C80C26" w:rsidRDefault="00C80C26" w:rsidP="00C80C26">
      <w:r>
        <w:t>The effectiveness of any national response was profoundly shaped by its governance structure, ranging from the highly centralized unitary state model of South Korea to the decentralized quasi-federal configuration of Spain and the complex federal structure of Canada</w:t>
      </w:r>
      <w:r w:rsidR="00600093">
        <w:t xml:space="preserve"> </w:t>
      </w:r>
      <w:r w:rsidR="00600093" w:rsidRPr="00600093">
        <w:t>(Aarons, 2020)</w:t>
      </w:r>
      <w:r>
        <w:t>. Centralized approaches, such as that employed by South Korea, facilitated rapid, synchronized national implementation of policies, capitalizing on existing public health infrastructure and high bureaucratic authority</w:t>
      </w:r>
      <w:r w:rsidR="00600093">
        <w:t xml:space="preserve"> </w:t>
      </w:r>
      <w:r w:rsidR="00600093" w:rsidRPr="00600093">
        <w:t>(Al-</w:t>
      </w:r>
      <w:proofErr w:type="spellStart"/>
      <w:r w:rsidR="00600093" w:rsidRPr="00600093">
        <w:t>Rjoub</w:t>
      </w:r>
      <w:proofErr w:type="spellEnd"/>
      <w:r w:rsidR="00600093" w:rsidRPr="00600093">
        <w:t xml:space="preserve"> et al., 2024)</w:t>
      </w:r>
      <w:r>
        <w:t>. Conversely, decentralized or federal systems, as seen in Spain and Canada, provided theoretical flexibility for local adaptation but frequently struggled with crippling issues of jurisdictional complexity, fragmentation in data collection, and poor coherence in national strategy, particularly during the initial acute phase</w:t>
      </w:r>
      <w:r w:rsidR="00600093">
        <w:t xml:space="preserve"> </w:t>
      </w:r>
      <w:r w:rsidR="00600093" w:rsidRPr="00600093">
        <w:t>(Aleman, 2023)</w:t>
      </w:r>
      <w:r>
        <w:t xml:space="preserve">.   </w:t>
      </w:r>
    </w:p>
    <w:p w14:paraId="1A6FD983" w14:textId="630A3C33" w:rsidR="00C80C26" w:rsidRDefault="00C80C26" w:rsidP="00C80C26">
      <w:r>
        <w:t>The implementation and ultimate success of these governance models were intrinsically mediated by the leadership styles of key decision-makers, including Spain's Health Minister Salvador Illa, South Korea's Prime Minister Chung Sye-kyun, and Canada's Prime Minister Justin Trudeau. Their use, or misuse, of frameworks such as transformational, transactional, and situational leadership determined their ability to secure public trust, foster intergovernmental coordination, and effectively apply the principles of systems thinking a holistic approach necessary to address the complex, multi-sectoral challenges extending far beyond immediate viral containment.</w:t>
      </w:r>
    </w:p>
    <w:p w14:paraId="5AD63D65" w14:textId="67FE2275" w:rsidR="00C80C26" w:rsidRDefault="00C80C26">
      <w:pPr>
        <w:spacing w:line="259" w:lineRule="auto"/>
        <w:jc w:val="left"/>
      </w:pPr>
      <w:r>
        <w:br w:type="page"/>
      </w:r>
    </w:p>
    <w:p w14:paraId="1B7CC962" w14:textId="01A85DBD" w:rsidR="00C80C26" w:rsidRDefault="00C80C26" w:rsidP="00C80C26">
      <w:pPr>
        <w:pStyle w:val="Heading1"/>
      </w:pPr>
      <w:bookmarkStart w:id="3" w:name="_Toc216300489"/>
      <w:r w:rsidRPr="00C80C26">
        <w:lastRenderedPageBreak/>
        <w:t>2. Critical Analysis of Each Country's Typology and Systems Approach for the COVID-19 Pandemic</w:t>
      </w:r>
      <w:bookmarkEnd w:id="3"/>
    </w:p>
    <w:p w14:paraId="5AD5E01D" w14:textId="6600235B" w:rsidR="00C80C26" w:rsidRDefault="00C80C26" w:rsidP="00C80C26">
      <w:pPr>
        <w:pStyle w:val="Heading2"/>
      </w:pPr>
      <w:bookmarkStart w:id="4" w:name="_Toc216300490"/>
      <w:r>
        <w:t>2.1 Crisis Systems Thinking, Health Policy, and Governance Systems</w:t>
      </w:r>
      <w:bookmarkEnd w:id="4"/>
    </w:p>
    <w:p w14:paraId="57804E1F" w14:textId="264BC22A" w:rsidR="00C80C26" w:rsidRDefault="00C80C26" w:rsidP="00C80C26">
      <w:r>
        <w:t>Good governance in the field of public health determines the hierarchy of authority, directions of resource distribution (health financing), and the quality of crisis preparedness</w:t>
      </w:r>
      <w:r w:rsidR="00C14A13">
        <w:t xml:space="preserve"> </w:t>
      </w:r>
      <w:r w:rsidR="00C14A13" w:rsidRPr="00C14A13">
        <w:t>(</w:t>
      </w:r>
      <w:proofErr w:type="spellStart"/>
      <w:r w:rsidR="00C14A13" w:rsidRPr="00C14A13">
        <w:t>Allin</w:t>
      </w:r>
      <w:proofErr w:type="spellEnd"/>
      <w:r w:rsidR="00C14A13" w:rsidRPr="00C14A13">
        <w:t xml:space="preserve"> et al., 2021)</w:t>
      </w:r>
      <w:r>
        <w:t>. One significant distinction in the performance of the early pandemic was the level of proactive application of systems thinking to preparedness planning. The institutional framework of South Korea that was overhauled legally and organizationally after the 2015 MERS outbreak offered a source of proactive systems planning and preparedness</w:t>
      </w:r>
      <w:r w:rsidR="00C14A13">
        <w:t xml:space="preserve"> </w:t>
      </w:r>
      <w:r w:rsidR="00C14A13" w:rsidRPr="00C14A13">
        <w:t>(Andrés Rodríguez-Pose and Vidal-</w:t>
      </w:r>
      <w:proofErr w:type="spellStart"/>
      <w:r w:rsidR="00C14A13" w:rsidRPr="00C14A13">
        <w:t>Bover</w:t>
      </w:r>
      <w:proofErr w:type="spellEnd"/>
      <w:r w:rsidR="00C14A13" w:rsidRPr="00C14A13">
        <w:t>, 2023)</w:t>
      </w:r>
      <w:r>
        <w:t>. Conversely, the Spanish and Canadian systems, with some experience of health crisis in the past (SARS in Canada, the effects of fiscal crisis in Spain) exposed major structural vulnerabilities, such as insufficient funding, fragmentation, and lack of clarity in the jurisdictional functions showing a poor record of engagement in resilience planning in the past</w:t>
      </w:r>
      <w:r w:rsidR="00C14A13">
        <w:t xml:space="preserve"> </w:t>
      </w:r>
      <w:r w:rsidR="00C14A13" w:rsidRPr="00C14A13">
        <w:t>(Asthana et al., 2024)</w:t>
      </w:r>
      <w:r>
        <w:t xml:space="preserve">.   </w:t>
      </w:r>
    </w:p>
    <w:p w14:paraId="2A95E13A" w14:textId="4E0A7151" w:rsidR="00C80C26" w:rsidRDefault="00C80C26" w:rsidP="00C80C26">
      <w:r>
        <w:t>The implementation of good governance under crisis is usually gauged in three levels namely efficiency, transparency, and participation. The case of Spain and Canada illustrates that the shortage in these aspects especially the absence of predictability in the policy settings and inaccessible reliable data severely hampered the ability of decentralized structures to address the crisis at its initial stages</w:t>
      </w:r>
      <w:r w:rsidR="00C14A13">
        <w:t xml:space="preserve"> </w:t>
      </w:r>
      <w:r w:rsidR="00C14A13" w:rsidRPr="00C14A13">
        <w:t>(Ashby et al., 2023)</w:t>
      </w:r>
      <w:r>
        <w:t>. The various countries outcomes were thus anchored in their institutional preparedness as the synthesis of conditions before the pandemic showed as below:</w:t>
      </w:r>
    </w:p>
    <w:p w14:paraId="5117C81D" w14:textId="4444DAF9" w:rsidR="005D01DC" w:rsidRPr="005D01DC" w:rsidRDefault="005D01DC" w:rsidP="00C80C26">
      <w:pPr>
        <w:rPr>
          <w:b/>
          <w:bCs/>
          <w:i/>
          <w:iCs/>
        </w:rPr>
      </w:pPr>
      <w:r w:rsidRPr="005D01DC">
        <w:rPr>
          <w:b/>
          <w:bCs/>
          <w:i/>
          <w:iCs/>
        </w:rPr>
        <w:t>Table 1: Pre-Pandemic Health System Governance and Preparedness</w:t>
      </w:r>
    </w:p>
    <w:tbl>
      <w:tblPr>
        <w:tblStyle w:val="GridTable5Dark-Accent5"/>
        <w:tblW w:w="0" w:type="auto"/>
        <w:tblLook w:val="04A0" w:firstRow="1" w:lastRow="0" w:firstColumn="1" w:lastColumn="0" w:noHBand="0" w:noVBand="1"/>
      </w:tblPr>
      <w:tblGrid>
        <w:gridCol w:w="1266"/>
        <w:gridCol w:w="1684"/>
        <w:gridCol w:w="2234"/>
        <w:gridCol w:w="1672"/>
        <w:gridCol w:w="2160"/>
      </w:tblGrid>
      <w:tr w:rsidR="005D01DC" w14:paraId="236678E2" w14:textId="77777777" w:rsidTr="005D01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4" w:type="dxa"/>
          </w:tcPr>
          <w:p w14:paraId="2C06CCD4" w14:textId="06317AA0" w:rsidR="005D01DC" w:rsidRDefault="005D01DC" w:rsidP="00C80C26">
            <w:r>
              <w:t>Country</w:t>
            </w:r>
          </w:p>
        </w:tc>
        <w:tc>
          <w:tcPr>
            <w:tcW w:w="1686" w:type="dxa"/>
          </w:tcPr>
          <w:p w14:paraId="1BEC9B76" w14:textId="7DC5B5F1" w:rsidR="005D01DC" w:rsidRDefault="005D01DC" w:rsidP="00C80C26">
            <w:pPr>
              <w:cnfStyle w:val="100000000000" w:firstRow="1" w:lastRow="0" w:firstColumn="0" w:lastColumn="0" w:oddVBand="0" w:evenVBand="0" w:oddHBand="0" w:evenHBand="0" w:firstRowFirstColumn="0" w:firstRowLastColumn="0" w:lastRowFirstColumn="0" w:lastRowLastColumn="0"/>
            </w:pPr>
            <w:r w:rsidRPr="005D01DC">
              <w:t>Governance Structure</w:t>
            </w:r>
          </w:p>
        </w:tc>
        <w:tc>
          <w:tcPr>
            <w:tcW w:w="2234" w:type="dxa"/>
          </w:tcPr>
          <w:p w14:paraId="5F14CB6B" w14:textId="59F8E2E9" w:rsidR="005D01DC" w:rsidRDefault="005D01DC" w:rsidP="00C80C26">
            <w:pPr>
              <w:cnfStyle w:val="100000000000" w:firstRow="1" w:lastRow="0" w:firstColumn="0" w:lastColumn="0" w:oddVBand="0" w:evenVBand="0" w:oddHBand="0" w:evenHBand="0" w:firstRowFirstColumn="0" w:firstRowLastColumn="0" w:lastRowFirstColumn="0" w:lastRowLastColumn="0"/>
            </w:pPr>
            <w:r w:rsidRPr="005D01DC">
              <w:t>Health Financing Model</w:t>
            </w:r>
          </w:p>
        </w:tc>
        <w:tc>
          <w:tcPr>
            <w:tcW w:w="1662" w:type="dxa"/>
          </w:tcPr>
          <w:p w14:paraId="3BCCA1A3" w14:textId="1C2BE7BC" w:rsidR="005D01DC" w:rsidRDefault="005D01DC" w:rsidP="00C80C26">
            <w:pPr>
              <w:cnfStyle w:val="100000000000" w:firstRow="1" w:lastRow="0" w:firstColumn="0" w:lastColumn="0" w:oddVBand="0" w:evenVBand="0" w:oddHBand="0" w:evenHBand="0" w:firstRowFirstColumn="0" w:firstRowLastColumn="0" w:lastRowFirstColumn="0" w:lastRowLastColumn="0"/>
            </w:pPr>
            <w:r w:rsidRPr="005D01DC">
              <w:t>Pre-COVID-19 Preparedness Context</w:t>
            </w:r>
          </w:p>
        </w:tc>
        <w:tc>
          <w:tcPr>
            <w:tcW w:w="2160" w:type="dxa"/>
          </w:tcPr>
          <w:p w14:paraId="3461B4EB" w14:textId="10350FCC" w:rsidR="005D01DC" w:rsidRDefault="005D01DC" w:rsidP="00C80C26">
            <w:pPr>
              <w:cnfStyle w:val="100000000000" w:firstRow="1" w:lastRow="0" w:firstColumn="0" w:lastColumn="0" w:oddVBand="0" w:evenVBand="0" w:oddHBand="0" w:evenHBand="0" w:firstRowFirstColumn="0" w:firstRowLastColumn="0" w:lastRowFirstColumn="0" w:lastRowLastColumn="0"/>
            </w:pPr>
            <w:r w:rsidRPr="005D01DC">
              <w:t>Key Institutional Authority (Initial)</w:t>
            </w:r>
          </w:p>
        </w:tc>
      </w:tr>
      <w:tr w:rsidR="005D01DC" w14:paraId="5C172216" w14:textId="77777777" w:rsidTr="005D01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4" w:type="dxa"/>
          </w:tcPr>
          <w:p w14:paraId="2D3843F4" w14:textId="2A56166C" w:rsidR="005D01DC" w:rsidRDefault="005D01DC" w:rsidP="00C80C26">
            <w:r>
              <w:t>Spain</w:t>
            </w:r>
          </w:p>
        </w:tc>
        <w:tc>
          <w:tcPr>
            <w:tcW w:w="1686" w:type="dxa"/>
          </w:tcPr>
          <w:p w14:paraId="6293B6EA" w14:textId="78430037" w:rsidR="005D01DC" w:rsidRDefault="005D01DC" w:rsidP="00C80C26">
            <w:pPr>
              <w:cnfStyle w:val="000000100000" w:firstRow="0" w:lastRow="0" w:firstColumn="0" w:lastColumn="0" w:oddVBand="0" w:evenVBand="0" w:oddHBand="1" w:evenHBand="0" w:firstRowFirstColumn="0" w:firstRowLastColumn="0" w:lastRowFirstColumn="0" w:lastRowLastColumn="0"/>
            </w:pPr>
            <w:r w:rsidRPr="005D01DC">
              <w:t>Decentralised (17 Autonomous Communities)</w:t>
            </w:r>
          </w:p>
        </w:tc>
        <w:tc>
          <w:tcPr>
            <w:tcW w:w="2234" w:type="dxa"/>
          </w:tcPr>
          <w:p w14:paraId="57DD0F97" w14:textId="239BB6EE" w:rsidR="005D01DC" w:rsidRDefault="005D01DC" w:rsidP="00C80C26">
            <w:pPr>
              <w:cnfStyle w:val="000000100000" w:firstRow="0" w:lastRow="0" w:firstColumn="0" w:lastColumn="0" w:oddVBand="0" w:evenVBand="0" w:oddHBand="1" w:evenHBand="0" w:firstRowFirstColumn="0" w:firstRowLastColumn="0" w:lastRowFirstColumn="0" w:lastRowLastColumn="0"/>
            </w:pPr>
            <w:r w:rsidRPr="005D01DC">
              <w:t>Universal, Tax-funded (SNS)</w:t>
            </w:r>
          </w:p>
        </w:tc>
        <w:tc>
          <w:tcPr>
            <w:tcW w:w="1662" w:type="dxa"/>
          </w:tcPr>
          <w:p w14:paraId="56ABF2DD" w14:textId="77C670CA" w:rsidR="005D01DC" w:rsidRDefault="005D01DC" w:rsidP="00C80C26">
            <w:pPr>
              <w:cnfStyle w:val="000000100000" w:firstRow="0" w:lastRow="0" w:firstColumn="0" w:lastColumn="0" w:oddVBand="0" w:evenVBand="0" w:oddHBand="1" w:evenHBand="0" w:firstRowFirstColumn="0" w:firstRowLastColumn="0" w:lastRowFirstColumn="0" w:lastRowLastColumn="0"/>
            </w:pPr>
            <w:r w:rsidRPr="005D01DC">
              <w:t>Fragmented; Underfunded (Post-2008 austerity)</w:t>
            </w:r>
          </w:p>
        </w:tc>
        <w:tc>
          <w:tcPr>
            <w:tcW w:w="2160" w:type="dxa"/>
          </w:tcPr>
          <w:p w14:paraId="1D90EE6A" w14:textId="64002AA7" w:rsidR="005D01DC" w:rsidRDefault="005D01DC" w:rsidP="00C80C26">
            <w:pPr>
              <w:cnfStyle w:val="000000100000" w:firstRow="0" w:lastRow="0" w:firstColumn="0" w:lastColumn="0" w:oddVBand="0" w:evenVBand="0" w:oddHBand="1" w:evenHBand="0" w:firstRowFirstColumn="0" w:firstRowLastColumn="0" w:lastRowFirstColumn="0" w:lastRowLastColumn="0"/>
            </w:pPr>
            <w:r w:rsidRPr="005D01DC">
              <w:t>Regional Health Ministries / Central Ministry (Limited coordination)</w:t>
            </w:r>
          </w:p>
        </w:tc>
      </w:tr>
      <w:tr w:rsidR="005D01DC" w14:paraId="42A5616C" w14:textId="77777777" w:rsidTr="005D01DC">
        <w:tc>
          <w:tcPr>
            <w:cnfStyle w:val="001000000000" w:firstRow="0" w:lastRow="0" w:firstColumn="1" w:lastColumn="0" w:oddVBand="0" w:evenVBand="0" w:oddHBand="0" w:evenHBand="0" w:firstRowFirstColumn="0" w:firstRowLastColumn="0" w:lastRowFirstColumn="0" w:lastRowLastColumn="0"/>
            <w:tcW w:w="1274" w:type="dxa"/>
          </w:tcPr>
          <w:p w14:paraId="7E838E10" w14:textId="0743D4B1" w:rsidR="005D01DC" w:rsidRDefault="005D01DC" w:rsidP="00C80C26">
            <w:r>
              <w:t xml:space="preserve">South Korea </w:t>
            </w:r>
          </w:p>
        </w:tc>
        <w:tc>
          <w:tcPr>
            <w:tcW w:w="1686" w:type="dxa"/>
          </w:tcPr>
          <w:p w14:paraId="17EE077B" w14:textId="6E917996" w:rsidR="005D01DC" w:rsidRDefault="005D01DC" w:rsidP="00C80C26">
            <w:pPr>
              <w:cnfStyle w:val="000000000000" w:firstRow="0" w:lastRow="0" w:firstColumn="0" w:lastColumn="0" w:oddVBand="0" w:evenVBand="0" w:oddHBand="0" w:evenHBand="0" w:firstRowFirstColumn="0" w:firstRowLastColumn="0" w:lastRowFirstColumn="0" w:lastRowLastColumn="0"/>
            </w:pPr>
            <w:r w:rsidRPr="005D01DC">
              <w:t>Centralised, Unitary</w:t>
            </w:r>
          </w:p>
        </w:tc>
        <w:tc>
          <w:tcPr>
            <w:tcW w:w="2234" w:type="dxa"/>
          </w:tcPr>
          <w:p w14:paraId="21A1C357" w14:textId="28E20663" w:rsidR="005D01DC" w:rsidRDefault="005D01DC" w:rsidP="00C80C26">
            <w:pPr>
              <w:cnfStyle w:val="000000000000" w:firstRow="0" w:lastRow="0" w:firstColumn="0" w:lastColumn="0" w:oddVBand="0" w:evenVBand="0" w:oddHBand="0" w:evenHBand="0" w:firstRowFirstColumn="0" w:firstRowLastColumn="0" w:lastRowFirstColumn="0" w:lastRowLastColumn="0"/>
            </w:pPr>
            <w:r w:rsidRPr="005D01DC">
              <w:t>Universal, Single-payer (NHI)</w:t>
            </w:r>
          </w:p>
        </w:tc>
        <w:tc>
          <w:tcPr>
            <w:tcW w:w="1662" w:type="dxa"/>
          </w:tcPr>
          <w:p w14:paraId="55CFA949" w14:textId="75C9B6E4" w:rsidR="005D01DC" w:rsidRDefault="005D01DC" w:rsidP="00C80C26">
            <w:pPr>
              <w:cnfStyle w:val="000000000000" w:firstRow="0" w:lastRow="0" w:firstColumn="0" w:lastColumn="0" w:oddVBand="0" w:evenVBand="0" w:oddHBand="0" w:evenHBand="0" w:firstRowFirstColumn="0" w:firstRowLastColumn="0" w:lastRowFirstColumn="0" w:lastRowLastColumn="0"/>
            </w:pPr>
            <w:r w:rsidRPr="005D01DC">
              <w:t>High; KDCA empowered by MERS-era legal reforms</w:t>
            </w:r>
          </w:p>
        </w:tc>
        <w:tc>
          <w:tcPr>
            <w:tcW w:w="2160" w:type="dxa"/>
          </w:tcPr>
          <w:p w14:paraId="1A9E36B4" w14:textId="06761839" w:rsidR="005D01DC" w:rsidRDefault="005D01DC" w:rsidP="00C80C26">
            <w:pPr>
              <w:cnfStyle w:val="000000000000" w:firstRow="0" w:lastRow="0" w:firstColumn="0" w:lastColumn="0" w:oddVBand="0" w:evenVBand="0" w:oddHBand="0" w:evenHBand="0" w:firstRowFirstColumn="0" w:firstRowLastColumn="0" w:lastRowFirstColumn="0" w:lastRowLastColumn="0"/>
            </w:pPr>
            <w:r w:rsidRPr="005D01DC">
              <w:t>Korea Disease Control and Prevention Agency (KDCA)</w:t>
            </w:r>
          </w:p>
        </w:tc>
      </w:tr>
      <w:tr w:rsidR="005D01DC" w14:paraId="7F87A67D" w14:textId="77777777" w:rsidTr="005D01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4" w:type="dxa"/>
          </w:tcPr>
          <w:p w14:paraId="5D973164" w14:textId="6C5AF863" w:rsidR="005D01DC" w:rsidRDefault="005D01DC" w:rsidP="00C80C26">
            <w:r>
              <w:lastRenderedPageBreak/>
              <w:t>Canada</w:t>
            </w:r>
          </w:p>
        </w:tc>
        <w:tc>
          <w:tcPr>
            <w:tcW w:w="1686" w:type="dxa"/>
          </w:tcPr>
          <w:p w14:paraId="0C4EBC46" w14:textId="561C5F44" w:rsidR="005D01DC" w:rsidRDefault="005D01DC" w:rsidP="00C80C26">
            <w:pPr>
              <w:cnfStyle w:val="000000100000" w:firstRow="0" w:lastRow="0" w:firstColumn="0" w:lastColumn="0" w:oddVBand="0" w:evenVBand="0" w:oddHBand="1" w:evenHBand="0" w:firstRowFirstColumn="0" w:firstRowLastColumn="0" w:lastRowFirstColumn="0" w:lastRowLastColumn="0"/>
            </w:pPr>
            <w:r w:rsidRPr="005D01DC">
              <w:t>Decentralised, Federal (13 systems)</w:t>
            </w:r>
          </w:p>
        </w:tc>
        <w:tc>
          <w:tcPr>
            <w:tcW w:w="2234" w:type="dxa"/>
          </w:tcPr>
          <w:p w14:paraId="43996EF8" w14:textId="5CC964F7" w:rsidR="005D01DC" w:rsidRDefault="005D01DC" w:rsidP="00C80C26">
            <w:pPr>
              <w:cnfStyle w:val="000000100000" w:firstRow="0" w:lastRow="0" w:firstColumn="0" w:lastColumn="0" w:oddVBand="0" w:evenVBand="0" w:oddHBand="1" w:evenHBand="0" w:firstRowFirstColumn="0" w:firstRowLastColumn="0" w:lastRowFirstColumn="0" w:lastRowLastColumn="0"/>
            </w:pPr>
            <w:r w:rsidRPr="005D01DC">
              <w:t>Universal, Provincial/Territorial-managed</w:t>
            </w:r>
          </w:p>
        </w:tc>
        <w:tc>
          <w:tcPr>
            <w:tcW w:w="1662" w:type="dxa"/>
          </w:tcPr>
          <w:p w14:paraId="7042FA01" w14:textId="58E3322A" w:rsidR="005D01DC" w:rsidRDefault="005D01DC" w:rsidP="00C80C26">
            <w:pPr>
              <w:cnfStyle w:val="000000100000" w:firstRow="0" w:lastRow="0" w:firstColumn="0" w:lastColumn="0" w:oddVBand="0" w:evenVBand="0" w:oddHBand="1" w:evenHBand="0" w:firstRowFirstColumn="0" w:firstRowLastColumn="0" w:lastRowFirstColumn="0" w:lastRowLastColumn="0"/>
            </w:pPr>
            <w:r w:rsidRPr="005D01DC">
              <w:t>Federal advisory role; Provincial delivery authority; Data fragmentation</w:t>
            </w:r>
          </w:p>
        </w:tc>
        <w:tc>
          <w:tcPr>
            <w:tcW w:w="2160" w:type="dxa"/>
          </w:tcPr>
          <w:p w14:paraId="547DF75E" w14:textId="4824A0D9" w:rsidR="005D01DC" w:rsidRDefault="005D01DC" w:rsidP="00C80C26">
            <w:pPr>
              <w:cnfStyle w:val="000000100000" w:firstRow="0" w:lastRow="0" w:firstColumn="0" w:lastColumn="0" w:oddVBand="0" w:evenVBand="0" w:oddHBand="1" w:evenHBand="0" w:firstRowFirstColumn="0" w:firstRowLastColumn="0" w:lastRowFirstColumn="0" w:lastRowLastColumn="0"/>
            </w:pPr>
            <w:r w:rsidRPr="005D01DC">
              <w:t>Provincial/Territorial Chief Medical Officers of Health</w:t>
            </w:r>
          </w:p>
        </w:tc>
      </w:tr>
    </w:tbl>
    <w:p w14:paraId="20915DCC" w14:textId="77777777" w:rsidR="005D01DC" w:rsidRDefault="005D01DC" w:rsidP="00C80C26"/>
    <w:p w14:paraId="1A2708DF" w14:textId="4A186D43" w:rsidR="00C80C26" w:rsidRDefault="00C80C26" w:rsidP="00C80C26">
      <w:pPr>
        <w:pStyle w:val="Heading2"/>
      </w:pPr>
      <w:bookmarkStart w:id="5" w:name="_Toc216300491"/>
      <w:r>
        <w:t>2.2 Spain: Decentralisation and Crisis Centralisation Dynamics</w:t>
      </w:r>
      <w:bookmarkEnd w:id="5"/>
    </w:p>
    <w:p w14:paraId="2679E8B8" w14:textId="2851A875" w:rsidR="00C80C26" w:rsidRDefault="00C80C26" w:rsidP="00C80C26">
      <w:r>
        <w:t xml:space="preserve">Spain has the highly decentralized system of Sistema Nacional de </w:t>
      </w:r>
      <w:proofErr w:type="spellStart"/>
      <w:r>
        <w:t>Salud</w:t>
      </w:r>
      <w:proofErr w:type="spellEnd"/>
      <w:r>
        <w:t xml:space="preserve"> (SNS) a universal healthcare system in which the 17 Autonomous Communities (ACs) enjoy significant power in regard to health services delivery or policy implementation</w:t>
      </w:r>
      <w:r w:rsidR="00C14A13">
        <w:t xml:space="preserve"> </w:t>
      </w:r>
      <w:r w:rsidR="00C14A13" w:rsidRPr="00C14A13">
        <w:t>(</w:t>
      </w:r>
      <w:proofErr w:type="spellStart"/>
      <w:r w:rsidR="00C14A13" w:rsidRPr="00C14A13">
        <w:t>Bezio</w:t>
      </w:r>
      <w:proofErr w:type="spellEnd"/>
      <w:r w:rsidR="00C14A13" w:rsidRPr="00C14A13">
        <w:t>, 2022)</w:t>
      </w:r>
      <w:r>
        <w:t>. The theory of decentralization is that the regions can tailor services to their local needs. Nevertheless, this system went into the pandemic with a weakened system of austerity measures after the financial crisis of 2008, during which the healthcare budget declined by 13.65%</w:t>
      </w:r>
      <w:r w:rsidR="00C14A13">
        <w:t xml:space="preserve"> </w:t>
      </w:r>
      <w:r w:rsidR="00C14A13" w:rsidRPr="00C14A13">
        <w:t>(</w:t>
      </w:r>
      <w:proofErr w:type="spellStart"/>
      <w:r w:rsidR="00C14A13" w:rsidRPr="00C14A13">
        <w:t>Canan</w:t>
      </w:r>
      <w:proofErr w:type="spellEnd"/>
      <w:r w:rsidR="00C14A13" w:rsidRPr="00C14A13">
        <w:t xml:space="preserve"> </w:t>
      </w:r>
      <w:proofErr w:type="spellStart"/>
      <w:r w:rsidR="00C14A13" w:rsidRPr="00C14A13">
        <w:t>Tercan</w:t>
      </w:r>
      <w:proofErr w:type="spellEnd"/>
      <w:r w:rsidR="00C14A13" w:rsidRPr="00C14A13">
        <w:t>, 2025)</w:t>
      </w:r>
      <w:r>
        <w:t xml:space="preserve">.   </w:t>
      </w:r>
    </w:p>
    <w:p w14:paraId="455680D6" w14:textId="21CA4939" w:rsidR="00C80C26" w:rsidRDefault="00C80C26" w:rsidP="00C80C26">
      <w:pPr>
        <w:pStyle w:val="Heading3"/>
      </w:pPr>
      <w:bookmarkStart w:id="6" w:name="_Toc216300492"/>
      <w:r>
        <w:t>Preliminary Failure and Weak Construction</w:t>
      </w:r>
      <w:bookmarkEnd w:id="6"/>
    </w:p>
    <w:p w14:paraId="7070DF70" w14:textId="56C4227E" w:rsidR="00C80C26" w:rsidRDefault="00C80C26" w:rsidP="00C80C26">
      <w:r>
        <w:t>The response in the first wave (January-March 2020) was slow and lacked systematic nature even though Spain was among the first European nations to be affected</w:t>
      </w:r>
      <w:r w:rsidR="00C14A13">
        <w:t xml:space="preserve"> </w:t>
      </w:r>
      <w:r w:rsidR="00C14A13" w:rsidRPr="00C14A13">
        <w:t>(Cho and Lee, 2024)</w:t>
      </w:r>
      <w:r>
        <w:t>. The response by the Health Minister, Salvador Illa, that it is prepared to cope with this situation when it first came was, as it turned out, invalidated by the fact that the healthcare system was soon overwhelmed in rapid succession and, one of the highest initial mortality rates in Europe</w:t>
      </w:r>
      <w:r w:rsidR="00C14A13">
        <w:t xml:space="preserve"> </w:t>
      </w:r>
      <w:r w:rsidR="00C14A13" w:rsidRPr="00C14A13">
        <w:t xml:space="preserve">(Choi, Choi and </w:t>
      </w:r>
      <w:proofErr w:type="spellStart"/>
      <w:r w:rsidR="00C14A13" w:rsidRPr="00C14A13">
        <w:t>Kahng</w:t>
      </w:r>
      <w:proofErr w:type="spellEnd"/>
      <w:r w:rsidR="00C14A13" w:rsidRPr="00C14A13">
        <w:t>, 2022)</w:t>
      </w:r>
      <w:r>
        <w:t>. The Ministry of Health, which had years of operation as a secondary department in the government, did not have the resources and skills to handle a massive, coordinated crisis to demonstrate a critical lack of institutional capacity.</w:t>
      </w:r>
    </w:p>
    <w:p w14:paraId="5F9F33D0" w14:textId="3F3F2086" w:rsidR="00C80C26" w:rsidRDefault="00C80C26" w:rsidP="00C80C26">
      <w:r>
        <w:t xml:space="preserve">This structural weakness was manifested in the inability to coordinate and a slow response, including the permission to hold mass gatherings, as was the case in the International </w:t>
      </w:r>
      <w:r w:rsidR="005D01DC">
        <w:t>Women</w:t>
      </w:r>
      <w:r>
        <w:t xml:space="preserve"> Day protests on March 8, 2020</w:t>
      </w:r>
      <w:r w:rsidR="00C14A13">
        <w:t xml:space="preserve"> </w:t>
      </w:r>
      <w:r w:rsidR="00C14A13" w:rsidRPr="00C14A13">
        <w:t>(</w:t>
      </w:r>
      <w:proofErr w:type="spellStart"/>
      <w:r w:rsidR="00C14A13" w:rsidRPr="00C14A13">
        <w:t>Demeke</w:t>
      </w:r>
      <w:proofErr w:type="spellEnd"/>
      <w:r w:rsidR="00C14A13" w:rsidRPr="00C14A13">
        <w:t>, Engen and Markos, 2024)</w:t>
      </w:r>
      <w:r>
        <w:t>. Moreover, the inability to predict policy and have available and reliable data seriously compromised confidence and trust in the government’s ability to respond, which is low efficiency and lack of transparency in governance.</w:t>
      </w:r>
    </w:p>
    <w:p w14:paraId="30A88D1C" w14:textId="4232908D" w:rsidR="00C80C26" w:rsidRDefault="00C80C26" w:rsidP="00C80C26">
      <w:pPr>
        <w:pStyle w:val="Heading3"/>
      </w:pPr>
      <w:bookmarkStart w:id="7" w:name="_Toc216300493"/>
      <w:r>
        <w:t>The Phase of Centralization and Following Adaptation</w:t>
      </w:r>
      <w:bookmarkEnd w:id="7"/>
    </w:p>
    <w:p w14:paraId="503F8CB5" w14:textId="67332440" w:rsidR="00C80C26" w:rsidRDefault="00C80C26" w:rsidP="00C80C26">
      <w:r>
        <w:t>The crisis became so rapid that on March 14, 2020, the central government had to declare the first State of Alarm, which established a radical temporary centralization of command</w:t>
      </w:r>
      <w:r w:rsidR="00C14A13">
        <w:t xml:space="preserve"> </w:t>
      </w:r>
      <w:r w:rsidR="00C14A13" w:rsidRPr="00C14A13">
        <w:t>(</w:t>
      </w:r>
      <w:proofErr w:type="spellStart"/>
      <w:r w:rsidR="00C14A13" w:rsidRPr="00C14A13">
        <w:t>Erkoreka</w:t>
      </w:r>
      <w:proofErr w:type="spellEnd"/>
      <w:r w:rsidR="00C14A13" w:rsidRPr="00C14A13">
        <w:t xml:space="preserve"> and Hernando</w:t>
      </w:r>
      <w:r w:rsidR="00C14A13" w:rsidRPr="00C14A13">
        <w:rPr>
          <w:rFonts w:ascii="Cambria Math" w:hAnsi="Cambria Math" w:cs="Cambria Math"/>
        </w:rPr>
        <w:t>‐</w:t>
      </w:r>
      <w:r w:rsidR="00C14A13" w:rsidRPr="00C14A13">
        <w:t>P</w:t>
      </w:r>
      <w:r w:rsidR="00C14A13" w:rsidRPr="00C14A13">
        <w:rPr>
          <w:rFonts w:cs="Arial"/>
        </w:rPr>
        <w:t>é</w:t>
      </w:r>
      <w:r w:rsidR="00C14A13" w:rsidRPr="00C14A13">
        <w:t>rez, 2022)</w:t>
      </w:r>
      <w:r>
        <w:t xml:space="preserve">. This was a constitutional move that deprived the ACs </w:t>
      </w:r>
      <w:r>
        <w:lastRenderedPageBreak/>
        <w:t>of their health autonomy, which exemplifies how the fragile system of decentralization, with its so-called self-rule, could be destroyed in the middle of an existential crisis</w:t>
      </w:r>
      <w:r w:rsidR="00C14A13">
        <w:t xml:space="preserve"> </w:t>
      </w:r>
      <w:r w:rsidR="00C14A13" w:rsidRPr="00C14A13">
        <w:t>(</w:t>
      </w:r>
      <w:proofErr w:type="spellStart"/>
      <w:r w:rsidR="00C14A13" w:rsidRPr="00C14A13">
        <w:t>Esade</w:t>
      </w:r>
      <w:proofErr w:type="spellEnd"/>
      <w:r w:rsidR="00C14A13" w:rsidRPr="00C14A13">
        <w:t>, 2021)</w:t>
      </w:r>
      <w:r>
        <w:t xml:space="preserve">. This change was required so as to impose national regulations (lockdowns, curfews) during the acute phase.   </w:t>
      </w:r>
    </w:p>
    <w:p w14:paraId="4A91DADA" w14:textId="76F08F7D" w:rsidR="00C80C26" w:rsidRDefault="00C80C26" w:rsidP="00C80C26">
      <w:r>
        <w:t>The collapse of the initial response could not be reduced to decentralization only, but it was more because of the comparatively ineffective governance of the crisis, which was further enhanced by the division of the system</w:t>
      </w:r>
      <w:r w:rsidR="00C14A13">
        <w:t xml:space="preserve"> </w:t>
      </w:r>
      <w:r w:rsidR="00C14A13" w:rsidRPr="00C14A13">
        <w:t>(Farhan, 2021)</w:t>
      </w:r>
      <w:r>
        <w:t xml:space="preserve">. The devolution of responsibilities and ineffective coordination of essential supplies such as PPE were only revealed through the problem of underlying capacities, caused by the decentralization.   </w:t>
      </w:r>
    </w:p>
    <w:p w14:paraId="1DFC583C" w14:textId="3BFE2FFA" w:rsidR="00C80C26" w:rsidRDefault="005D01DC" w:rsidP="00C80C26">
      <w:pPr>
        <w:pStyle w:val="Heading3"/>
      </w:pPr>
      <w:bookmarkStart w:id="8" w:name="_Toc216300494"/>
      <w:r w:rsidRPr="005D01DC">
        <w:t>The Pros and Cons of the Adaptive Model</w:t>
      </w:r>
      <w:bookmarkEnd w:id="8"/>
    </w:p>
    <w:p w14:paraId="2DCD0C45" w14:textId="6488D2C0" w:rsidR="00C80C26" w:rsidRDefault="00C80C26" w:rsidP="00C80C26">
      <w:r>
        <w:t>As the crisis had reached maturity, Spain shifted to a co-government form of model (third phase) which was able to strike a balance between centralized strategy and decentralized implementation</w:t>
      </w:r>
      <w:r w:rsidR="00C14A13">
        <w:t xml:space="preserve"> </w:t>
      </w:r>
      <w:r w:rsidR="00C14A13" w:rsidRPr="00C14A13">
        <w:t>(</w:t>
      </w:r>
      <w:proofErr w:type="spellStart"/>
      <w:r w:rsidR="00C14A13" w:rsidRPr="00C14A13">
        <w:t>Fierlbeck</w:t>
      </w:r>
      <w:proofErr w:type="spellEnd"/>
      <w:r w:rsidR="00C14A13" w:rsidRPr="00C14A13">
        <w:t xml:space="preserve"> and </w:t>
      </w:r>
      <w:proofErr w:type="spellStart"/>
      <w:r w:rsidR="00C14A13" w:rsidRPr="00C14A13">
        <w:t>Pawa</w:t>
      </w:r>
      <w:proofErr w:type="spellEnd"/>
      <w:r w:rsidR="00C14A13" w:rsidRPr="00C14A13">
        <w:t>, 2025)</w:t>
      </w:r>
      <w:r>
        <w:t>. This adaptation model was important in the development of the services, especially the vaccination program. Under better central direction, which was decentralization, regions could customize execution approaches to local epidemiology in line with national prioritization. The achievements of Spain to become a vaccine leader in Europe demonstrated the fact that the decentralized format is not a basic drawback when adaptive coordination system is politically established and backed by central resources</w:t>
      </w:r>
      <w:r w:rsidR="00C14A13">
        <w:t xml:space="preserve"> </w:t>
      </w:r>
      <w:r w:rsidR="00C14A13" w:rsidRPr="00C14A13">
        <w:t>(Hwang, 2025)</w:t>
      </w:r>
      <w:r w:rsidR="00C14A13">
        <w:t>.</w:t>
      </w:r>
    </w:p>
    <w:p w14:paraId="3C89B6B2" w14:textId="5B2B1860" w:rsidR="005D01DC" w:rsidRDefault="005D01DC" w:rsidP="005D01DC">
      <w:pPr>
        <w:pStyle w:val="Heading2"/>
      </w:pPr>
      <w:bookmarkStart w:id="9" w:name="_Toc216300495"/>
      <w:r w:rsidRPr="005D01DC">
        <w:t>2.3 South Korea: Centralised Proactivity and Institutional Resilience</w:t>
      </w:r>
      <w:bookmarkEnd w:id="9"/>
    </w:p>
    <w:p w14:paraId="0E3AFED6" w14:textId="24DAEB4C" w:rsidR="005D01DC" w:rsidRDefault="005D01DC" w:rsidP="005D01DC">
      <w:r>
        <w:t>Given China's geographical closeness and its position as South Korea's major trade partner, the South Korean Government remained vigilant over the potential transmission of the reported Coronavirus Disease 2019 (COVID-19) into the nation</w:t>
      </w:r>
      <w:r w:rsidR="00C14A13">
        <w:t xml:space="preserve"> </w:t>
      </w:r>
      <w:r w:rsidR="00C14A13" w:rsidRPr="00C14A13">
        <w:t>(</w:t>
      </w:r>
      <w:proofErr w:type="spellStart"/>
      <w:r w:rsidR="00C14A13" w:rsidRPr="00C14A13">
        <w:t>Kadria</w:t>
      </w:r>
      <w:proofErr w:type="spellEnd"/>
      <w:r w:rsidR="00C14A13" w:rsidRPr="00C14A13">
        <w:t xml:space="preserve"> Ali Abdel-</w:t>
      </w:r>
      <w:proofErr w:type="spellStart"/>
      <w:r w:rsidR="00C14A13" w:rsidRPr="00C14A13">
        <w:t>Motaal</w:t>
      </w:r>
      <w:proofErr w:type="spellEnd"/>
      <w:r w:rsidR="00C14A13" w:rsidRPr="00C14A13">
        <w:t xml:space="preserve"> and Chun, 2025)</w:t>
      </w:r>
      <w:r>
        <w:t>. Despite acknowledging the danger, South Korea was not insulated from its incursion inside its borders. The first confirmed case of COVID-19 was announced on 20 January 2020, followed by a rapid increase in cases, as seen in Figure 1.</w:t>
      </w:r>
    </w:p>
    <w:p w14:paraId="084F1796" w14:textId="77777777" w:rsidR="005D01DC" w:rsidRDefault="005D01DC" w:rsidP="005D01DC"/>
    <w:p w14:paraId="53658E86" w14:textId="1A482B43" w:rsidR="005D01DC" w:rsidRDefault="005D01DC" w:rsidP="005D01DC">
      <w:pPr>
        <w:jc w:val="center"/>
      </w:pPr>
      <w:r>
        <w:rPr>
          <w:noProof/>
        </w:rPr>
        <w:lastRenderedPageBreak/>
        <w:drawing>
          <wp:inline distT="0" distB="0" distL="0" distR="0" wp14:anchorId="682F87E6" wp14:editId="19D1A233">
            <wp:extent cx="5217160" cy="2798169"/>
            <wp:effectExtent l="0" t="0" r="2540" b="2540"/>
            <wp:docPr id="3" name="Picture 3"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25400" cy="2802589"/>
                    </a:xfrm>
                    <a:prstGeom prst="rect">
                      <a:avLst/>
                    </a:prstGeom>
                    <a:noFill/>
                    <a:ln>
                      <a:noFill/>
                    </a:ln>
                  </pic:spPr>
                </pic:pic>
              </a:graphicData>
            </a:graphic>
          </wp:inline>
        </w:drawing>
      </w:r>
    </w:p>
    <w:p w14:paraId="5DB06DAC" w14:textId="7E37E732" w:rsidR="005D01DC" w:rsidRPr="005D01DC" w:rsidRDefault="005D01DC" w:rsidP="005D01DC">
      <w:pPr>
        <w:jc w:val="center"/>
        <w:rPr>
          <w:b/>
          <w:bCs/>
          <w:i/>
          <w:iCs/>
        </w:rPr>
      </w:pPr>
      <w:r w:rsidRPr="005D01DC">
        <w:rPr>
          <w:b/>
          <w:bCs/>
          <w:i/>
          <w:iCs/>
        </w:rPr>
        <w:t>Figure 1: Trends in COVID-19 Infections in South Korea from January 20, 2020 to June 30, 2020 (Ryu and Chung, 2021)</w:t>
      </w:r>
    </w:p>
    <w:p w14:paraId="1F530F51" w14:textId="61EBFB0C" w:rsidR="005D01DC" w:rsidRDefault="005D01DC" w:rsidP="005D01DC">
      <w:r>
        <w:t>Given that 81% of the nation's 51.7 million inhabitants live in metropolitan areas, the outbreak was a question of location, timing, and severity once it infiltrated the county</w:t>
      </w:r>
      <w:r w:rsidR="00C14A13">
        <w:t xml:space="preserve"> </w:t>
      </w:r>
      <w:r w:rsidR="00C14A13" w:rsidRPr="00C14A13">
        <w:t>(Kaul, Shah and El-</w:t>
      </w:r>
      <w:proofErr w:type="spellStart"/>
      <w:r w:rsidR="00C14A13" w:rsidRPr="00C14A13">
        <w:t>Serag</w:t>
      </w:r>
      <w:proofErr w:type="spellEnd"/>
      <w:r w:rsidR="00C14A13" w:rsidRPr="00C14A13">
        <w:t>, 2020)</w:t>
      </w:r>
      <w:r>
        <w:t>. As of February 2020, South Korea recorded the second highest number of COVID-19 cases globally, behind China, with cumulative infections in the thousands.</w:t>
      </w:r>
    </w:p>
    <w:p w14:paraId="3D505633" w14:textId="3B0BEB43" w:rsidR="000F63EC" w:rsidRDefault="000F63EC" w:rsidP="000F63EC">
      <w:pPr>
        <w:jc w:val="center"/>
      </w:pPr>
      <w:r>
        <w:rPr>
          <w:noProof/>
        </w:rPr>
        <w:drawing>
          <wp:inline distT="0" distB="0" distL="0" distR="0" wp14:anchorId="06EEC928" wp14:editId="72442352">
            <wp:extent cx="5172710" cy="2769744"/>
            <wp:effectExtent l="0" t="0" r="0" b="0"/>
            <wp:docPr id="4" name="Picture 4" descr="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81788" cy="2774605"/>
                    </a:xfrm>
                    <a:prstGeom prst="rect">
                      <a:avLst/>
                    </a:prstGeom>
                    <a:noFill/>
                    <a:ln>
                      <a:noFill/>
                    </a:ln>
                  </pic:spPr>
                </pic:pic>
              </a:graphicData>
            </a:graphic>
          </wp:inline>
        </w:drawing>
      </w:r>
    </w:p>
    <w:p w14:paraId="534D4786" w14:textId="238B7281" w:rsidR="000F63EC" w:rsidRPr="000F63EC" w:rsidRDefault="000F63EC" w:rsidP="000F63EC">
      <w:pPr>
        <w:jc w:val="center"/>
        <w:rPr>
          <w:b/>
          <w:bCs/>
          <w:i/>
          <w:iCs/>
        </w:rPr>
      </w:pPr>
      <w:r w:rsidRPr="000F63EC">
        <w:rPr>
          <w:b/>
          <w:bCs/>
          <w:i/>
          <w:iCs/>
        </w:rPr>
        <w:t>Figure 2: Korea COVID-19 Infection Trends from January 20, 2020, to July 1, 2020 (Ryu and Chung, 2021)</w:t>
      </w:r>
    </w:p>
    <w:p w14:paraId="362B7BD3" w14:textId="37B472F0" w:rsidR="005D01DC" w:rsidRDefault="000F63EC" w:rsidP="005D01DC">
      <w:r w:rsidRPr="000F63EC">
        <w:t xml:space="preserve">The </w:t>
      </w:r>
      <w:proofErr w:type="spellStart"/>
      <w:r w:rsidRPr="000F63EC">
        <w:t>cutoff</w:t>
      </w:r>
      <w:proofErr w:type="spellEnd"/>
      <w:r w:rsidRPr="000F63EC">
        <w:t xml:space="preserve"> date is established as 1 July 2020, since it signifies the point at which the reduction in infection rates becomes indisputable, as seen in Figure 2.</w:t>
      </w:r>
      <w:r>
        <w:t xml:space="preserve"> </w:t>
      </w:r>
      <w:r w:rsidRPr="000F63EC">
        <w:t xml:space="preserve">Moreover, the administration </w:t>
      </w:r>
      <w:r w:rsidRPr="000F63EC">
        <w:lastRenderedPageBreak/>
        <w:t xml:space="preserve">disbanded entities established to tackle the surge by the data </w:t>
      </w:r>
      <w:proofErr w:type="spellStart"/>
      <w:r w:rsidRPr="000F63EC">
        <w:t>cutoff</w:t>
      </w:r>
      <w:proofErr w:type="spellEnd"/>
      <w:r w:rsidRPr="000F63EC">
        <w:t xml:space="preserve"> date.</w:t>
      </w:r>
      <w:r>
        <w:t xml:space="preserve"> </w:t>
      </w:r>
      <w:r w:rsidRPr="000F63EC">
        <w:t>Government briefings persist beyond the designated termination date.</w:t>
      </w:r>
    </w:p>
    <w:p w14:paraId="2E9F780E" w14:textId="4DB0D860" w:rsidR="000F63EC" w:rsidRDefault="000F63EC" w:rsidP="000F63EC">
      <w:r>
        <w:t>A high level of central coordination defines the reaction of South Korea, which is based on the unitary politics and universal single-payer National Health Insurance (NHI). The effectiveness of the "K-Quarantine" model was not due to the development of a crisis-time tool, but the result of a planned allocation of resources in the institutional resilience after the 2015 MERS epidemic</w:t>
      </w:r>
      <w:r w:rsidR="00C14A13">
        <w:t xml:space="preserve"> </w:t>
      </w:r>
      <w:r w:rsidR="00C14A13" w:rsidRPr="00C14A13">
        <w:t>(Koo, 2022)</w:t>
      </w:r>
      <w:r>
        <w:t>. The central government was also given the legal framework, funding structure, and skilled human resource to enable Korean Disease Control and Prevention Agency (KDCA) to swiftly expand its response capacity when the crisis alert level escalated</w:t>
      </w:r>
      <w:r w:rsidR="00C14A13">
        <w:t xml:space="preserve"> </w:t>
      </w:r>
      <w:r w:rsidR="00C14A13" w:rsidRPr="00C14A13">
        <w:t>(Liu et al., 2023)</w:t>
      </w:r>
      <w:r>
        <w:t>.</w:t>
      </w:r>
    </w:p>
    <w:p w14:paraId="0194AE9C" w14:textId="23C9A980" w:rsidR="000F63EC" w:rsidRDefault="000F63EC" w:rsidP="000F63EC">
      <w:pPr>
        <w:pStyle w:val="Heading3"/>
      </w:pPr>
      <w:bookmarkStart w:id="10" w:name="_Toc216300496"/>
      <w:r>
        <w:t>K-Quarantine Model and Measurement of Efficiency</w:t>
      </w:r>
      <w:bookmarkEnd w:id="10"/>
    </w:p>
    <w:p w14:paraId="23AC4442" w14:textId="3C1DBD1E" w:rsidR="000F63EC" w:rsidRDefault="000F63EC" w:rsidP="000F63EC">
      <w:r>
        <w:t xml:space="preserve">The K-Quarantine approach involved a quick, holistic and standardized solution based on the 5-T (Testing, Tracing, Treatment, Isolation, Quarantine) model. The KDCA had centralized power that allowed it to roll out protocols quickly across the country without bureaucracy that was typical of federal systems.   </w:t>
      </w:r>
    </w:p>
    <w:p w14:paraId="3E1A9A4C" w14:textId="108017FE" w:rsidR="000F63EC" w:rsidRDefault="000F63EC" w:rsidP="000F63EC">
      <w:r>
        <w:t>The effectiveness of this model in service development can be indicated with its inconceivable logistical magnitude: the K-Quarantine system reported a total of about 130 million tests on average of over 2 tests per citizen at the end of 2023</w:t>
      </w:r>
      <w:r w:rsidR="00C14A13">
        <w:t xml:space="preserve"> </w:t>
      </w:r>
      <w:r w:rsidR="00C14A13" w:rsidRPr="00C14A13">
        <w:t>(Lockett et al., 2025)</w:t>
      </w:r>
      <w:r>
        <w:t>. This logistical success was facilitated by the exchange of real-time data and the combination of advanced digital technologies, such as the Epidemic Investigation Support System offering a centralized process of monitoring. This efficiency was technology-based and enabled South Korea to contain the outbreak with easily manageable infections and deaths, mostly evading the colossal lockdowns that were economically catastrophic in other countries</w:t>
      </w:r>
      <w:r w:rsidR="00C14A13">
        <w:t xml:space="preserve"> </w:t>
      </w:r>
      <w:r w:rsidR="00C14A13" w:rsidRPr="00C14A13">
        <w:t>(Mao, 2024)</w:t>
      </w:r>
      <w:r>
        <w:t xml:space="preserve">.   </w:t>
      </w:r>
    </w:p>
    <w:p w14:paraId="58D13D79" w14:textId="6BDAAD4F" w:rsidR="000F63EC" w:rsidRDefault="000F63EC" w:rsidP="000F63EC">
      <w:pPr>
        <w:pStyle w:val="Heading3"/>
      </w:pPr>
      <w:bookmarkStart w:id="11" w:name="_Toc216300497"/>
      <w:r>
        <w:t>Pros and Cons of a Centralized Control</w:t>
      </w:r>
      <w:bookmarkEnd w:id="11"/>
    </w:p>
    <w:p w14:paraId="4AFA3582" w14:textId="0699C28C" w:rsidR="000F63EC" w:rsidRDefault="000F63EC" w:rsidP="000F63EC">
      <w:r>
        <w:t xml:space="preserve">The strengths of the centralized model are quick decision making, synchronized resource deployment and communication which would have resulted into trust by the people. The important point to note here is that the application of systems thinking was done in advance when the </w:t>
      </w:r>
      <w:proofErr w:type="spellStart"/>
      <w:r>
        <w:t>MERSthe</w:t>
      </w:r>
      <w:proofErr w:type="spellEnd"/>
      <w:r>
        <w:t xml:space="preserve"> country designed its governance framework towards transactional effectiveness and resilience prior to the shock</w:t>
      </w:r>
      <w:r w:rsidR="00C14A13">
        <w:t xml:space="preserve"> </w:t>
      </w:r>
      <w:r w:rsidR="00C14A13" w:rsidRPr="00C14A13">
        <w:t>(Mathieu et al., 2024)</w:t>
      </w:r>
      <w:r>
        <w:t xml:space="preserve">. The strong organizational nature of the KDCA eliminated any possible political interference to disrupt quick and scientifically informed responses.   </w:t>
      </w:r>
    </w:p>
    <w:p w14:paraId="68033930" w14:textId="11E92613" w:rsidR="000F63EC" w:rsidRDefault="000F63EC" w:rsidP="000F63EC">
      <w:r>
        <w:t xml:space="preserve">Although the whole process was successful, the centralized approach had some limitations. Although the KDCA was a well performing division, there was delay in the process of acquiring vaccines unlike the decentralized countries who had the leverage of entering into parallel </w:t>
      </w:r>
      <w:r>
        <w:lastRenderedPageBreak/>
        <w:t>contracts with different suppliers</w:t>
      </w:r>
      <w:r w:rsidR="00C14A13">
        <w:t xml:space="preserve"> </w:t>
      </w:r>
      <w:r w:rsidR="00C14A13" w:rsidRPr="00C14A13">
        <w:t>(Navarro and Velasco, 2022)</w:t>
      </w:r>
      <w:r>
        <w:t>. Moreover, the uniform national policy albeit efficient was inflexible on the local level. It was reported that there was low compliance with in-house hygiene policy during home quarantine and the government did not offer sufficient support (employment insurance or livelihood costs) because of no legal basis, which illustrated the difficulty of a centralized strategy that responds to various social vulnerabilities of individuals</w:t>
      </w:r>
      <w:r w:rsidR="00C14A13">
        <w:t xml:space="preserve"> </w:t>
      </w:r>
      <w:r w:rsidR="00C14A13" w:rsidRPr="00C14A13">
        <w:t>(Nicola et al., 2020)</w:t>
      </w:r>
      <w:r>
        <w:t>.</w:t>
      </w:r>
    </w:p>
    <w:p w14:paraId="7EC92803" w14:textId="7BC6A064" w:rsidR="000F63EC" w:rsidRDefault="000F63EC" w:rsidP="000F63EC">
      <w:pPr>
        <w:pStyle w:val="Heading2"/>
      </w:pPr>
      <w:bookmarkStart w:id="12" w:name="_Toc216300498"/>
      <w:r>
        <w:t>2.4 Canada: Complexity of the Federation and Jurisdictional Inequality</w:t>
      </w:r>
      <w:bookmarkEnd w:id="12"/>
    </w:p>
    <w:p w14:paraId="53770A26" w14:textId="00A4157F" w:rsidR="000F63EC" w:rsidRDefault="000F63EC" w:rsidP="000F63EC">
      <w:r>
        <w:t>The system in Canada is characterized by a highly decentralized federal system, which in effect constitutes 13 provincial and territorial (PT) health systems. The Canada Health Act establishes principles at the national level, and the constitutional power separation gives the PT governments the primary duty in health delivery, including pandemic restrictions and service delivery, as well. PHAC is a federal agency that is mainly advisory, surveillance and coordination</w:t>
      </w:r>
      <w:r w:rsidR="00C14A13">
        <w:t xml:space="preserve"> </w:t>
      </w:r>
      <w:r w:rsidR="00C14A13" w:rsidRPr="00C14A13">
        <w:t xml:space="preserve">(Nour and </w:t>
      </w:r>
      <w:proofErr w:type="spellStart"/>
      <w:r w:rsidR="00C14A13" w:rsidRPr="00C14A13">
        <w:t>Kisa</w:t>
      </w:r>
      <w:proofErr w:type="spellEnd"/>
      <w:r w:rsidR="00C14A13" w:rsidRPr="00C14A13">
        <w:t>, 2024)</w:t>
      </w:r>
      <w:r>
        <w:t>.</w:t>
      </w:r>
    </w:p>
    <w:p w14:paraId="599105AE" w14:textId="054FB99D" w:rsidR="008F5886" w:rsidRDefault="008F5886" w:rsidP="008F5886">
      <w:r>
        <w:t>Canada has the strategies, expertise, and infrastructure necessary to successfully manage and react to a pandemic via its federal, provincial, territorial, and local administrations</w:t>
      </w:r>
      <w:r w:rsidR="00C14A13">
        <w:t xml:space="preserve"> </w:t>
      </w:r>
      <w:r w:rsidR="00C14A13" w:rsidRPr="00C14A13">
        <w:t>(OBS, 2020)</w:t>
      </w:r>
      <w:r>
        <w:t>. COVID19 deaths disproportionately impacted vulnerable people in Canada, particularly residents of long-term care institutions, while hospitals in several places were on the brink of being overrun during the second and third waves of the pandemic in Spring 2021. Compared to its southern neighbours in the Americas, namely the United States and Mexico, Canada's experience seems to have been more successful</w:t>
      </w:r>
      <w:r w:rsidR="00C14A13">
        <w:t xml:space="preserve"> </w:t>
      </w:r>
      <w:r w:rsidR="00C14A13" w:rsidRPr="00C14A13">
        <w:t>(Oliver et al., 2020)</w:t>
      </w:r>
      <w:r>
        <w:t>.</w:t>
      </w:r>
    </w:p>
    <w:p w14:paraId="6FCA8B41" w14:textId="1FAC1224" w:rsidR="008F5886" w:rsidRDefault="008F5886" w:rsidP="008F5886">
      <w:r>
        <w:t>The considerable regional disparities in pandemic experiences across Canada, coupled with pervasive deficiencies in all five elements of the 'detect, test, track, isolate, and assist' framework, indicate systemic issues that extend beyond those intrinsic to a highly decentralised federation</w:t>
      </w:r>
      <w:r w:rsidR="00C14A13">
        <w:t xml:space="preserve"> </w:t>
      </w:r>
      <w:r w:rsidR="00C14A13" w:rsidRPr="00C14A13">
        <w:t>(Penn Today, 2022)</w:t>
      </w:r>
      <w:r>
        <w:t>.</w:t>
      </w:r>
    </w:p>
    <w:p w14:paraId="51C7A1DA" w14:textId="37FAD46B" w:rsidR="008F5886" w:rsidRDefault="008F5886" w:rsidP="008F5886">
      <w:pPr>
        <w:jc w:val="center"/>
      </w:pPr>
      <w:r>
        <w:rPr>
          <w:noProof/>
        </w:rPr>
        <w:drawing>
          <wp:inline distT="0" distB="0" distL="0" distR="0" wp14:anchorId="28EE3658" wp14:editId="659FA146">
            <wp:extent cx="4734560" cy="2502613"/>
            <wp:effectExtent l="0" t="0" r="8890" b="0"/>
            <wp:docPr id="5" name="Picture 5"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g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39435" cy="2505190"/>
                    </a:xfrm>
                    <a:prstGeom prst="rect">
                      <a:avLst/>
                    </a:prstGeom>
                    <a:noFill/>
                    <a:ln>
                      <a:noFill/>
                    </a:ln>
                  </pic:spPr>
                </pic:pic>
              </a:graphicData>
            </a:graphic>
          </wp:inline>
        </w:drawing>
      </w:r>
    </w:p>
    <w:p w14:paraId="2CB3EC7B" w14:textId="64558439" w:rsidR="008F5886" w:rsidRPr="008F5886" w:rsidRDefault="008F5886" w:rsidP="008F5886">
      <w:pPr>
        <w:jc w:val="center"/>
        <w:rPr>
          <w:b/>
          <w:bCs/>
          <w:i/>
          <w:iCs/>
        </w:rPr>
      </w:pPr>
      <w:r w:rsidRPr="008F5886">
        <w:rPr>
          <w:b/>
          <w:bCs/>
          <w:i/>
          <w:iCs/>
        </w:rPr>
        <w:lastRenderedPageBreak/>
        <w:t>Figure 3: Daily number of confirmed COVID-19 cases, per 100,000 population (7-day rolling average) (</w:t>
      </w:r>
      <w:proofErr w:type="spellStart"/>
      <w:r w:rsidRPr="008F5886">
        <w:rPr>
          <w:b/>
          <w:bCs/>
          <w:i/>
          <w:iCs/>
        </w:rPr>
        <w:t>Allin</w:t>
      </w:r>
      <w:proofErr w:type="spellEnd"/>
      <w:r w:rsidRPr="008F5886">
        <w:rPr>
          <w:b/>
          <w:bCs/>
          <w:i/>
          <w:iCs/>
        </w:rPr>
        <w:t xml:space="preserve"> et al., 2021)</w:t>
      </w:r>
    </w:p>
    <w:p w14:paraId="47EDBBA7" w14:textId="484D1FBE" w:rsidR="008F5886" w:rsidRDefault="008F5886" w:rsidP="008F5886">
      <w:r>
        <w:t>Figure 3 illustrates a timeline of significant public health interventions implemented in British Columbia, Ontario, and Quebec, in relation to the daily reported incidence of cases per capita.</w:t>
      </w:r>
    </w:p>
    <w:p w14:paraId="13E6B2E6" w14:textId="10C306BC" w:rsidR="000F63EC" w:rsidRDefault="000F63EC" w:rsidP="000F63EC">
      <w:pPr>
        <w:pStyle w:val="Heading3"/>
      </w:pPr>
      <w:bookmarkStart w:id="13" w:name="_Toc216300499"/>
      <w:r>
        <w:t>Lack of Co-ordination and Intermittent Results</w:t>
      </w:r>
      <w:bookmarkEnd w:id="13"/>
    </w:p>
    <w:p w14:paraId="3CADF39A" w14:textId="4D64CBDD" w:rsidR="000F63EC" w:rsidRDefault="000F63EC" w:rsidP="000F63EC">
      <w:r>
        <w:t>The Canadian federalism of structural nature is by itself a force that creates fragmentation and inefficiency in such health crisis as pathogens do not recognize political boundaries and centralized power is restricted by political structures</w:t>
      </w:r>
      <w:r w:rsidR="00E64813">
        <w:t xml:space="preserve"> </w:t>
      </w:r>
      <w:r w:rsidR="00E64813" w:rsidRPr="00E64813">
        <w:t>(</w:t>
      </w:r>
      <w:proofErr w:type="spellStart"/>
      <w:r w:rsidR="00E64813" w:rsidRPr="00E64813">
        <w:t>Polizzi</w:t>
      </w:r>
      <w:proofErr w:type="spellEnd"/>
      <w:r w:rsidR="00E64813" w:rsidRPr="00E64813">
        <w:t xml:space="preserve"> et al., 2024)</w:t>
      </w:r>
      <w:r>
        <w:t xml:space="preserve">. Despite the federal government spending its power on economic supports (e.g., CERB) and dealing with international borders, the timing and harshness of internal public health actions were uneven. This separation of </w:t>
      </w:r>
      <w:proofErr w:type="spellStart"/>
      <w:r>
        <w:t>labor</w:t>
      </w:r>
      <w:proofErr w:type="spellEnd"/>
      <w:r>
        <w:t xml:space="preserve"> led to inequalities in policy, inequalities in receiving the information and miscommunication with the population, which weakened the cohesiveness of the nation</w:t>
      </w:r>
      <w:r w:rsidR="00E64813">
        <w:t xml:space="preserve"> </w:t>
      </w:r>
      <w:r w:rsidR="00E64813" w:rsidRPr="00E64813">
        <w:t>(Public, 2024)</w:t>
      </w:r>
      <w:r w:rsidR="00E64813">
        <w:t>.</w:t>
      </w:r>
    </w:p>
    <w:p w14:paraId="2AB430F1" w14:textId="00F39FE4" w:rsidR="000F63EC" w:rsidRDefault="000F63EC" w:rsidP="000F63EC">
      <w:r>
        <w:t>The worst effect of this fragmentation was the separation of provincial approaches to health, the outcome of which was extensively unequal health. A comparison of the second and third waves revealed that the west parts of provinces that included New Brunswick adapted a reactive mitigation strategy, whereas the four Atlantic provinces effectively applied a proactive containment strategy (the "Atlantic bubble")</w:t>
      </w:r>
      <w:r w:rsidR="00E64813">
        <w:t xml:space="preserve"> </w:t>
      </w:r>
      <w:r w:rsidR="00E64813" w:rsidRPr="00E64813">
        <w:t>(Ricci, 2022)</w:t>
      </w:r>
      <w:r>
        <w:t>. This provincial level political agency itself was significant with a direct proportionality to much higher rates of cases and lessening imminent death in the mitigation provinces</w:t>
      </w:r>
      <w:r w:rsidR="00E64813">
        <w:t xml:space="preserve"> </w:t>
      </w:r>
      <w:r w:rsidR="00E64813" w:rsidRPr="00E64813">
        <w:t>(</w:t>
      </w:r>
      <w:proofErr w:type="spellStart"/>
      <w:r w:rsidR="00E64813" w:rsidRPr="00E64813">
        <w:t>Royo</w:t>
      </w:r>
      <w:proofErr w:type="spellEnd"/>
      <w:r w:rsidR="00E64813" w:rsidRPr="00E64813">
        <w:t>, 2020)</w:t>
      </w:r>
      <w:r>
        <w:t xml:space="preserve">.   </w:t>
      </w:r>
    </w:p>
    <w:p w14:paraId="1EC14147" w14:textId="76823B1B" w:rsidR="000F63EC" w:rsidRDefault="000F63EC" w:rsidP="000F63EC">
      <w:pPr>
        <w:pStyle w:val="Heading3"/>
      </w:pPr>
      <w:bookmarkStart w:id="14" w:name="_Toc216300500"/>
      <w:r>
        <w:t>The Governance Paradox and Advantages</w:t>
      </w:r>
      <w:bookmarkEnd w:id="14"/>
    </w:p>
    <w:p w14:paraId="402B5394" w14:textId="26450DCC" w:rsidR="000F63EC" w:rsidRDefault="000F63EC" w:rsidP="000F63EC">
      <w:r>
        <w:t>The benefit of decentralization was that it provided flexibility at the local level, where response to local epidemiological trends was possible, and where local areas could serve as laboratories to test new policies</w:t>
      </w:r>
      <w:r w:rsidR="00E64813">
        <w:t xml:space="preserve"> </w:t>
      </w:r>
      <w:r w:rsidR="00E64813" w:rsidRPr="00E64813">
        <w:t>(</w:t>
      </w:r>
      <w:proofErr w:type="spellStart"/>
      <w:r w:rsidR="00E64813" w:rsidRPr="00E64813">
        <w:t>Seijts</w:t>
      </w:r>
      <w:proofErr w:type="spellEnd"/>
      <w:r w:rsidR="00E64813" w:rsidRPr="00E64813">
        <w:t xml:space="preserve">, de </w:t>
      </w:r>
      <w:proofErr w:type="spellStart"/>
      <w:r w:rsidR="00E64813" w:rsidRPr="00E64813">
        <w:t>Clercy</w:t>
      </w:r>
      <w:proofErr w:type="spellEnd"/>
      <w:r w:rsidR="00E64813" w:rsidRPr="00E64813">
        <w:t xml:space="preserve"> and Miller, 2022)</w:t>
      </w:r>
      <w:r>
        <w:t>. Nevertheless, these national decisions that were localized tended to generate suboptimal results in aggregate because of national standards and co-ordination.</w:t>
      </w:r>
    </w:p>
    <w:p w14:paraId="725E6291" w14:textId="118AB402" w:rsidR="000F63EC" w:rsidRDefault="000F63EC" w:rsidP="000F63EC">
      <w:r>
        <w:t>Complex jurisdictional arrangements undermined service development, including rolling out the vaccine. The procurement of the supply was done by the federal government, but distribution was done by the PSTs</w:t>
      </w:r>
      <w:r w:rsidR="00E64813">
        <w:t xml:space="preserve"> </w:t>
      </w:r>
      <w:r w:rsidR="00E64813" w:rsidRPr="00E64813">
        <w:t>(</w:t>
      </w:r>
      <w:proofErr w:type="spellStart"/>
      <w:r w:rsidR="00E64813" w:rsidRPr="00E64813">
        <w:t>Silburn</w:t>
      </w:r>
      <w:proofErr w:type="spellEnd"/>
      <w:r w:rsidR="00E64813" w:rsidRPr="00E64813">
        <w:t>, 2025)</w:t>
      </w:r>
      <w:r>
        <w:t>. The difference in the strategies of PT rollout (e.g., age-based vs. community-based eligibility) caused uneven access and delays in the organization. This intricacy resulted in high levels of accountability deficit whereby blame games could be played between the federal and provincial governments rather than problem-solving</w:t>
      </w:r>
      <w:r w:rsidR="00E64813">
        <w:t xml:space="preserve"> </w:t>
      </w:r>
      <w:r w:rsidR="00E64813" w:rsidRPr="00E64813">
        <w:t>(</w:t>
      </w:r>
      <w:proofErr w:type="spellStart"/>
      <w:r w:rsidR="00E64813" w:rsidRPr="00E64813">
        <w:t>Sriharan</w:t>
      </w:r>
      <w:proofErr w:type="spellEnd"/>
      <w:r w:rsidR="00E64813" w:rsidRPr="00E64813">
        <w:t xml:space="preserve"> et al., 2021)</w:t>
      </w:r>
      <w:r>
        <w:t>.</w:t>
      </w:r>
    </w:p>
    <w:p w14:paraId="07238455" w14:textId="78986D91" w:rsidR="008F5886" w:rsidRDefault="008F5886">
      <w:pPr>
        <w:spacing w:line="259" w:lineRule="auto"/>
        <w:jc w:val="left"/>
      </w:pPr>
      <w:r>
        <w:br w:type="page"/>
      </w:r>
    </w:p>
    <w:p w14:paraId="0AB058D4" w14:textId="0B777EDE" w:rsidR="008F5886" w:rsidRDefault="008F5886" w:rsidP="008F5886">
      <w:pPr>
        <w:pStyle w:val="Heading1"/>
      </w:pPr>
      <w:bookmarkStart w:id="15" w:name="_Toc216300501"/>
      <w:r w:rsidRPr="008F5886">
        <w:lastRenderedPageBreak/>
        <w:t>3. Critical Analysis of the Leadership Styles Taken in Each Country</w:t>
      </w:r>
      <w:bookmarkEnd w:id="15"/>
    </w:p>
    <w:p w14:paraId="5C29D9B3" w14:textId="7D1662B9" w:rsidR="008F5886" w:rsidRDefault="008F5886" w:rsidP="008F5886">
      <w:pPr>
        <w:pStyle w:val="Heading2"/>
      </w:pPr>
      <w:bookmarkStart w:id="16" w:name="_Toc216300502"/>
      <w:r>
        <w:t xml:space="preserve">3.1 </w:t>
      </w:r>
      <w:r w:rsidRPr="008F5886">
        <w:t>Leadership Theories and Styles in Spain: Salvador Illa’s Adaptive Trajectory</w:t>
      </w:r>
      <w:bookmarkEnd w:id="16"/>
    </w:p>
    <w:p w14:paraId="062CE7F2" w14:textId="500AC45F" w:rsidR="008F5886" w:rsidRDefault="008F5886" w:rsidP="008F5886">
      <w:r>
        <w:t>The leadership of Salvador Illa as the health minister (Jan 2020-Jan 2021) is one such situation when the situational leadership concept is applicable, which is characterized by the need to change rapidly based on the changing dynamics of the crisis and the capacity of the followers (system and public)</w:t>
      </w:r>
      <w:r w:rsidR="00D277A3">
        <w:t xml:space="preserve"> </w:t>
      </w:r>
      <w:r w:rsidR="00D277A3" w:rsidRPr="00D277A3">
        <w:t>(Susana, 2020)</w:t>
      </w:r>
      <w:r>
        <w:t>.</w:t>
      </w:r>
    </w:p>
    <w:p w14:paraId="2B25CCC3" w14:textId="67D868AF" w:rsidR="00917C3C" w:rsidRDefault="00917C3C" w:rsidP="00917C3C">
      <w:pPr>
        <w:pStyle w:val="Heading3"/>
      </w:pPr>
      <w:bookmarkStart w:id="17" w:name="_Toc216300503"/>
      <w:r w:rsidRPr="00917C3C">
        <w:t>Crisis preparedness and state capacity</w:t>
      </w:r>
      <w:bookmarkEnd w:id="17"/>
    </w:p>
    <w:p w14:paraId="743500CD" w14:textId="2281C3F9" w:rsidR="00917C3C" w:rsidRDefault="00917C3C" w:rsidP="008F5886">
      <w:r w:rsidRPr="00917C3C">
        <w:t>Prior to the onset of the coronavirus pandemic, the Ministry had established and continuously updated preparation plans and processes to address the most perilous identified viruses, including H5N1, Ebola, MERS-</w:t>
      </w:r>
      <w:proofErr w:type="spellStart"/>
      <w:r w:rsidRPr="00917C3C">
        <w:t>CoV</w:t>
      </w:r>
      <w:proofErr w:type="spellEnd"/>
      <w:r w:rsidRPr="00917C3C">
        <w:t>, dengue, and Zika</w:t>
      </w:r>
      <w:r w:rsidR="00D277A3">
        <w:t xml:space="preserve"> </w:t>
      </w:r>
      <w:r w:rsidR="00D277A3" w:rsidRPr="00D277A3">
        <w:t>(</w:t>
      </w:r>
      <w:proofErr w:type="spellStart"/>
      <w:r w:rsidR="00D277A3" w:rsidRPr="00D277A3">
        <w:t>Teruel</w:t>
      </w:r>
      <w:proofErr w:type="spellEnd"/>
      <w:r w:rsidR="00D277A3" w:rsidRPr="00D277A3">
        <w:t>, Pino and Real-Dato, 2023)</w:t>
      </w:r>
      <w:r w:rsidRPr="00917C3C">
        <w:t>.</w:t>
      </w:r>
      <w:r>
        <w:t xml:space="preserve"> </w:t>
      </w:r>
      <w:r w:rsidRPr="00917C3C">
        <w:t>Spain also participated in pandemic simulations conducted by the European Commission in 2005.</w:t>
      </w:r>
      <w:r w:rsidR="00D277A3">
        <w:t xml:space="preserve"> </w:t>
      </w:r>
      <w:r w:rsidRPr="00917C3C">
        <w:t>The central government was coordinating the first national readiness exercise, scheduled for April 2020, in line with the National Security Strategy.</w:t>
      </w:r>
      <w:r>
        <w:t xml:space="preserve"> </w:t>
      </w:r>
      <w:r w:rsidRPr="00917C3C">
        <w:t>In addition to the CCAES, the National Centre of Epidemiology (CNE) oversees the National Epidemiological Surveillance Network (RENAVE), established in 1995, to collect data on illnesses and epidemics in collaboration with regional governments</w:t>
      </w:r>
      <w:r w:rsidR="00D277A3">
        <w:t xml:space="preserve"> </w:t>
      </w:r>
      <w:r w:rsidR="00D277A3" w:rsidRPr="00D277A3">
        <w:t>(</w:t>
      </w:r>
      <w:proofErr w:type="spellStart"/>
      <w:r w:rsidR="00D277A3" w:rsidRPr="00D277A3">
        <w:t>Yoo</w:t>
      </w:r>
      <w:proofErr w:type="spellEnd"/>
      <w:r w:rsidR="00D277A3" w:rsidRPr="00D277A3">
        <w:t xml:space="preserve"> et al., 2021)</w:t>
      </w:r>
      <w:r w:rsidRPr="00917C3C">
        <w:t>.  All these resources suggest that Spain was a nation comparatively well-equipped for the early diagnosis of epidemics.</w:t>
      </w:r>
    </w:p>
    <w:p w14:paraId="5E41277B" w14:textId="10DB5540" w:rsidR="00917C3C" w:rsidRDefault="00917C3C" w:rsidP="00917C3C">
      <w:pPr>
        <w:pStyle w:val="Heading3"/>
      </w:pPr>
      <w:bookmarkStart w:id="18" w:name="_Toc216300504"/>
      <w:r w:rsidRPr="00917C3C">
        <w:t>Centralising the allocation of power</w:t>
      </w:r>
      <w:bookmarkEnd w:id="18"/>
    </w:p>
    <w:p w14:paraId="36F23C55" w14:textId="489F6F90" w:rsidR="00917C3C" w:rsidRDefault="00917C3C" w:rsidP="00917C3C">
      <w:r>
        <w:t xml:space="preserve">Two weeks before to the detection of the first instance in Spain, the first multi-party government at the national level since the reestablishment of democracy in 1977 was constituted by the PSOE (Partido </w:t>
      </w:r>
      <w:proofErr w:type="spellStart"/>
      <w:r>
        <w:t>Socialista</w:t>
      </w:r>
      <w:proofErr w:type="spellEnd"/>
      <w:r>
        <w:t xml:space="preserve"> </w:t>
      </w:r>
      <w:proofErr w:type="spellStart"/>
      <w:r>
        <w:t>Obrero</w:t>
      </w:r>
      <w:proofErr w:type="spellEnd"/>
      <w:r>
        <w:t xml:space="preserve"> </w:t>
      </w:r>
      <w:proofErr w:type="spellStart"/>
      <w:r>
        <w:t>Español</w:t>
      </w:r>
      <w:proofErr w:type="spellEnd"/>
      <w:r>
        <w:t xml:space="preserve"> – Spanish Socialist Workers’ Party) and the radical left-wing UP (</w:t>
      </w:r>
      <w:proofErr w:type="spellStart"/>
      <w:r>
        <w:t>Unidas</w:t>
      </w:r>
      <w:proofErr w:type="spellEnd"/>
      <w:r>
        <w:t xml:space="preserve"> Podemos – United We Can)</w:t>
      </w:r>
      <w:r w:rsidR="00D277A3">
        <w:t xml:space="preserve"> </w:t>
      </w:r>
      <w:r w:rsidR="00D277A3" w:rsidRPr="00D277A3">
        <w:t>(Zhao et al., 2023)</w:t>
      </w:r>
      <w:r>
        <w:t>.</w:t>
      </w:r>
    </w:p>
    <w:p w14:paraId="2F69395D" w14:textId="77777777" w:rsidR="00917C3C" w:rsidRDefault="00917C3C" w:rsidP="00917C3C">
      <w:r>
        <w:t>Consequently, the socialist Salvador Illa was designated as Minister of Health, while Social Services were assigned to the Ministry of Social Rights and Agenda 2030, led by Deputy Prime Minister Pablo Iglesias, the leader of Podemos. Within this constitutional framework, the central government implemented a multitude of initiatives across several levels.</w:t>
      </w:r>
    </w:p>
    <w:p w14:paraId="5CC0B32A" w14:textId="68927892" w:rsidR="00917C3C" w:rsidRDefault="00917C3C" w:rsidP="00917C3C">
      <w:pPr>
        <w:pStyle w:val="ListParagraph"/>
        <w:numPr>
          <w:ilvl w:val="0"/>
          <w:numId w:val="1"/>
        </w:numPr>
      </w:pPr>
      <w:r>
        <w:t>Initially, it concentrated cabinet-delegated jurisdiction to four ministers: Health, Internal Affairs, Defence, and Transport, Mobility, and Urban Agenda. The Minister of Health was accorded particular significance, since he also undertook delegated responsibility for the other policy domains of the government</w:t>
      </w:r>
      <w:r w:rsidR="00D277A3">
        <w:t xml:space="preserve"> </w:t>
      </w:r>
      <w:r w:rsidR="00D277A3" w:rsidRPr="00D277A3">
        <w:t>(Aarons, 2020)</w:t>
      </w:r>
      <w:r>
        <w:t>.</w:t>
      </w:r>
    </w:p>
    <w:p w14:paraId="3EA000AA" w14:textId="32AADB03" w:rsidR="00917C3C" w:rsidRDefault="00917C3C" w:rsidP="00917C3C">
      <w:pPr>
        <w:pStyle w:val="ListParagraph"/>
        <w:numPr>
          <w:ilvl w:val="0"/>
          <w:numId w:val="1"/>
        </w:numPr>
      </w:pPr>
      <w:r>
        <w:lastRenderedPageBreak/>
        <w:t>Secondly, and more importantly, the executive centralised the regional authorities essential for crisis management: the Ministry of Health legally assumed responsibility for decision-making and the coordination of health policy from its regional equivalents</w:t>
      </w:r>
      <w:r w:rsidR="00D277A3">
        <w:t xml:space="preserve"> </w:t>
      </w:r>
      <w:r w:rsidR="00D277A3" w:rsidRPr="00D277A3">
        <w:t>(Al-</w:t>
      </w:r>
      <w:proofErr w:type="spellStart"/>
      <w:r w:rsidR="00D277A3" w:rsidRPr="00D277A3">
        <w:t>Rjoub</w:t>
      </w:r>
      <w:proofErr w:type="spellEnd"/>
      <w:r w:rsidR="00D277A3" w:rsidRPr="00D277A3">
        <w:t xml:space="preserve"> et al., 2024)</w:t>
      </w:r>
      <w:r>
        <w:t>.</w:t>
      </w:r>
    </w:p>
    <w:p w14:paraId="49622BF3" w14:textId="2DCA22A6" w:rsidR="00917C3C" w:rsidRDefault="00917C3C" w:rsidP="00917C3C">
      <w:pPr>
        <w:pStyle w:val="ListParagraph"/>
        <w:numPr>
          <w:ilvl w:val="0"/>
          <w:numId w:val="1"/>
        </w:numPr>
      </w:pPr>
      <w:r>
        <w:t>The administration implemented a multitude of steps.  An emergency decree enacted a variety of health policy measures, including a comprehensive nationwide lockdown.</w:t>
      </w:r>
    </w:p>
    <w:p w14:paraId="16AFC6C8" w14:textId="11C5F824" w:rsidR="008F5886" w:rsidRDefault="008F5886" w:rsidP="008F5886">
      <w:pPr>
        <w:pStyle w:val="Heading3"/>
      </w:pPr>
      <w:bookmarkStart w:id="19" w:name="_Toc216300505"/>
      <w:r>
        <w:t>First Response: Operational Gaps and Transformational Rhetoric</w:t>
      </w:r>
      <w:bookmarkEnd w:id="19"/>
    </w:p>
    <w:p w14:paraId="217B374C" w14:textId="5850DAC3" w:rsidR="008F5886" w:rsidRDefault="008F5886" w:rsidP="008F5886">
      <w:r>
        <w:t>Illa started with a Transformational approach, trying to paint a picture of the governmental control and readiness of the system</w:t>
      </w:r>
      <w:r w:rsidR="00D277A3">
        <w:t xml:space="preserve"> </w:t>
      </w:r>
      <w:r w:rsidR="00D277A3" w:rsidRPr="00D277A3">
        <w:t>(</w:t>
      </w:r>
      <w:proofErr w:type="spellStart"/>
      <w:r w:rsidR="00D277A3" w:rsidRPr="00D277A3">
        <w:t>Allin</w:t>
      </w:r>
      <w:proofErr w:type="spellEnd"/>
      <w:r w:rsidR="00D277A3" w:rsidRPr="00D277A3">
        <w:t xml:space="preserve"> et al., 2021)</w:t>
      </w:r>
      <w:r>
        <w:t>. Nevertheless, this inspirational communication was not operational in the depth because the system was very unprepared. The result of such an incompatibility of rhetoric with reality was a severe lack of credibility and contributory role to the high starting mortality. This first stage explains how inspirational leadership is constrained in case it is not properly supported by some preparation operational capacity and system efficiency</w:t>
      </w:r>
      <w:r w:rsidR="00D277A3">
        <w:t xml:space="preserve"> </w:t>
      </w:r>
      <w:r w:rsidR="00D277A3" w:rsidRPr="00D277A3">
        <w:t>(Aleman, 2023)</w:t>
      </w:r>
      <w:r w:rsidR="00D277A3">
        <w:t>.</w:t>
      </w:r>
    </w:p>
    <w:p w14:paraId="535C8797" w14:textId="54B50563" w:rsidR="008F5886" w:rsidRDefault="008F5886" w:rsidP="008F5886">
      <w:pPr>
        <w:pStyle w:val="Heading3"/>
      </w:pPr>
      <w:bookmarkStart w:id="20" w:name="_Toc216300506"/>
      <w:r w:rsidRPr="008F5886">
        <w:t>The Transactional Shift During Crisis Command</w:t>
      </w:r>
      <w:bookmarkEnd w:id="20"/>
    </w:p>
    <w:p w14:paraId="39777851" w14:textId="05BCD327" w:rsidR="008F5886" w:rsidRDefault="008F5886" w:rsidP="008F5886">
      <w:r>
        <w:t>With the crisis engulfing Spain, the declaration of the State of Alarm resulted in the need to change leadership to a Transitional Leadership style, which is authoritarian</w:t>
      </w:r>
      <w:r w:rsidR="00D277A3">
        <w:t xml:space="preserve"> </w:t>
      </w:r>
      <w:r w:rsidR="00D277A3" w:rsidRPr="00D277A3">
        <w:t>(Andrés Rodríguez-Pose and Vidal-</w:t>
      </w:r>
      <w:proofErr w:type="spellStart"/>
      <w:r w:rsidR="00D277A3" w:rsidRPr="00D277A3">
        <w:t>Bover</w:t>
      </w:r>
      <w:proofErr w:type="spellEnd"/>
      <w:r w:rsidR="00D277A3" w:rsidRPr="00D277A3">
        <w:t>, 2023)</w:t>
      </w:r>
      <w:r>
        <w:t>. This plan was based on the strict division of roles, centralization and contingent reinforcement (vigilance is strict through national curfew and lockdown) to stabilize the acute situation. The shift to a command-and-control hierarchy was a solution that was needed to impose public health compliance where local coordination had been ineffective, which is consistent with the need of highly directive leadership during high-stakes emergencies</w:t>
      </w:r>
      <w:r w:rsidR="00D277A3">
        <w:t xml:space="preserve"> </w:t>
      </w:r>
      <w:r w:rsidR="00D277A3" w:rsidRPr="00D277A3">
        <w:t>(Ashby et al., 2023)</w:t>
      </w:r>
      <w:r w:rsidR="00D277A3">
        <w:t>.</w:t>
      </w:r>
    </w:p>
    <w:p w14:paraId="025AAC2C" w14:textId="43904A11" w:rsidR="008F5886" w:rsidRDefault="008F5886" w:rsidP="008F5886">
      <w:pPr>
        <w:pStyle w:val="Heading3"/>
      </w:pPr>
      <w:bookmarkStart w:id="21" w:name="_Toc216300507"/>
      <w:r w:rsidRPr="008F5886">
        <w:t>Situational Adaptation and Service Development Success</w:t>
      </w:r>
      <w:bookmarkEnd w:id="21"/>
    </w:p>
    <w:p w14:paraId="6E1EF824" w14:textId="2F701906" w:rsidR="008F5886" w:rsidRDefault="008F5886" w:rsidP="008F5886">
      <w:r>
        <w:t>The change to co-governance model could not have been successfully made without Illa rotating back to a collaborative style of Situational nature</w:t>
      </w:r>
      <w:r w:rsidR="00D277A3">
        <w:t xml:space="preserve"> </w:t>
      </w:r>
      <w:r w:rsidR="00D277A3" w:rsidRPr="00D277A3">
        <w:t>(Asthana et al., 2024)</w:t>
      </w:r>
      <w:r>
        <w:t>. This stage included collaboration with regional governments in strategy definition with decentralized implementation. Illa has developed its communication approach to the previous overconfidence and shifted to the accurate, evidence-based one, which also reflects the situational principle of changing the style according to the perception and necessity of the audience</w:t>
      </w:r>
      <w:r w:rsidR="00D277A3">
        <w:t xml:space="preserve"> </w:t>
      </w:r>
      <w:r w:rsidR="00D277A3" w:rsidRPr="00D277A3">
        <w:t>(</w:t>
      </w:r>
      <w:proofErr w:type="spellStart"/>
      <w:r w:rsidR="00D277A3" w:rsidRPr="00D277A3">
        <w:t>Bezio</w:t>
      </w:r>
      <w:proofErr w:type="spellEnd"/>
      <w:r w:rsidR="00D277A3" w:rsidRPr="00D277A3">
        <w:t>, 2022)</w:t>
      </w:r>
      <w:r w:rsidR="00D277A3">
        <w:t>.</w:t>
      </w:r>
    </w:p>
    <w:p w14:paraId="6E74618E" w14:textId="3931D3BB" w:rsidR="008F5886" w:rsidRDefault="008F5886" w:rsidP="008F5886">
      <w:r>
        <w:t xml:space="preserve">This adaptive leadership directly led to the success of the Spanish in the development of their services to become one of the leaders in the vaccination process in the continent. The point to note is that the capacity of Illa to learn through the previous experiences of failure of </w:t>
      </w:r>
      <w:r>
        <w:lastRenderedPageBreak/>
        <w:t>governance and the shift to the reactive form of command in the form of Transactional to the long-term collaborative forms of management in the form of Situational management turned out to be vital in the institutional resilience and recovery</w:t>
      </w:r>
      <w:r w:rsidR="00D277A3">
        <w:t xml:space="preserve"> </w:t>
      </w:r>
      <w:r w:rsidR="00D277A3" w:rsidRPr="00D277A3">
        <w:t>(</w:t>
      </w:r>
      <w:proofErr w:type="spellStart"/>
      <w:r w:rsidR="00D277A3" w:rsidRPr="00D277A3">
        <w:t>Canan</w:t>
      </w:r>
      <w:proofErr w:type="spellEnd"/>
      <w:r w:rsidR="00D277A3" w:rsidRPr="00D277A3">
        <w:t xml:space="preserve"> </w:t>
      </w:r>
      <w:proofErr w:type="spellStart"/>
      <w:r w:rsidR="00D277A3" w:rsidRPr="00D277A3">
        <w:t>Tercan</w:t>
      </w:r>
      <w:proofErr w:type="spellEnd"/>
      <w:r w:rsidR="00D277A3" w:rsidRPr="00D277A3">
        <w:t>, 2025)</w:t>
      </w:r>
      <w:r>
        <w:t>.</w:t>
      </w:r>
    </w:p>
    <w:p w14:paraId="0D3E1EE7" w14:textId="0A4EB002" w:rsidR="008F5886" w:rsidRDefault="008F5886" w:rsidP="008F5886">
      <w:pPr>
        <w:pStyle w:val="Heading3"/>
      </w:pPr>
      <w:bookmarkStart w:id="22" w:name="_Toc216300508"/>
      <w:r w:rsidRPr="008F5886">
        <w:t>Advantages and Disadvantages</w:t>
      </w:r>
      <w:bookmarkEnd w:id="22"/>
    </w:p>
    <w:p w14:paraId="024AC3BF" w14:textId="1AFDDA3A" w:rsidR="008F5886" w:rsidRDefault="008F5886" w:rsidP="008F5886">
      <w:r>
        <w:t xml:space="preserve">The system recovered in the long run and managed to mobilize masses, which was the benefit of the adaptive leadership of Illa. The drawbacks are found in the political climate itself. The lack of coordination in the first stage, as well as the widespread occurrence of political opposition, which culminates in the judicialization of decisions regarding the pandemic, are obstacles that prevent decisive </w:t>
      </w:r>
      <w:proofErr w:type="spellStart"/>
      <w:r>
        <w:t>behavior</w:t>
      </w:r>
      <w:proofErr w:type="spellEnd"/>
      <w:r>
        <w:t xml:space="preserve"> and erode trust and transparency</w:t>
      </w:r>
      <w:r w:rsidR="00D277A3">
        <w:t xml:space="preserve"> </w:t>
      </w:r>
      <w:r w:rsidR="00D277A3" w:rsidRPr="00D277A3">
        <w:t>(Cho and Lee, 2024)</w:t>
      </w:r>
      <w:r>
        <w:t>.</w:t>
      </w:r>
    </w:p>
    <w:p w14:paraId="5CBF49F9" w14:textId="4B7C631E" w:rsidR="008F5886" w:rsidRDefault="00917C3C" w:rsidP="00917C3C">
      <w:pPr>
        <w:pStyle w:val="Heading2"/>
      </w:pPr>
      <w:bookmarkStart w:id="23" w:name="_Toc216300509"/>
      <w:r w:rsidRPr="00917C3C">
        <w:t xml:space="preserve">3.2 Leadership Theories and Styles in South Korea: Chung </w:t>
      </w:r>
      <w:proofErr w:type="spellStart"/>
      <w:r w:rsidRPr="00917C3C">
        <w:t>Sye-kyun’s</w:t>
      </w:r>
      <w:proofErr w:type="spellEnd"/>
      <w:r w:rsidRPr="00917C3C">
        <w:t xml:space="preserve"> Proactive-Transactional Model</w:t>
      </w:r>
      <w:bookmarkEnd w:id="23"/>
    </w:p>
    <w:p w14:paraId="26101E3B" w14:textId="24433FF6" w:rsidR="00917C3C" w:rsidRDefault="00917C3C" w:rsidP="00917C3C">
      <w:r>
        <w:t>Chung Sye-kyun was the Prime Minister of South Korea and his response followed a methodology of Proactive-Transactional Leadership, which was highly managerial in nature, systematically organized, and based on evidence</w:t>
      </w:r>
      <w:r w:rsidR="00D277A3">
        <w:t xml:space="preserve"> </w:t>
      </w:r>
      <w:r w:rsidR="00D277A3" w:rsidRPr="00D277A3">
        <w:t xml:space="preserve">(Choi, Choi and </w:t>
      </w:r>
      <w:proofErr w:type="spellStart"/>
      <w:r w:rsidR="00D277A3" w:rsidRPr="00D277A3">
        <w:t>Kahng</w:t>
      </w:r>
      <w:proofErr w:type="spellEnd"/>
      <w:r w:rsidR="00D277A3" w:rsidRPr="00D277A3">
        <w:t>, 2022)</w:t>
      </w:r>
      <w:r>
        <w:t>.</w:t>
      </w:r>
    </w:p>
    <w:p w14:paraId="1E096F7A" w14:textId="70FA2723" w:rsidR="00436189" w:rsidRDefault="00436189" w:rsidP="00436189">
      <w:pPr>
        <w:pStyle w:val="Heading3"/>
      </w:pPr>
      <w:bookmarkStart w:id="24" w:name="_Toc216300510"/>
      <w:r w:rsidRPr="00436189">
        <w:t>Transactional Core and System Fit</w:t>
      </w:r>
      <w:bookmarkEnd w:id="24"/>
    </w:p>
    <w:p w14:paraId="6C5A2CE9" w14:textId="77777777" w:rsidR="00436189" w:rsidRDefault="00917C3C" w:rsidP="00917C3C">
      <w:r>
        <w:t>The fundamental strategy of Chung was highly Transactional, with regard to the explicit procedures, performance targets and foreseen results. The TTTIQ approach was also the embodiment of such a transactional emphasis, based on the systematic processes of testing, tracing, and isolation.</w:t>
      </w:r>
    </w:p>
    <w:p w14:paraId="430F7EF1" w14:textId="04BC0304" w:rsidR="00436189" w:rsidRDefault="00436189" w:rsidP="00436189">
      <w:pPr>
        <w:pStyle w:val="ListParagraph"/>
        <w:numPr>
          <w:ilvl w:val="0"/>
          <w:numId w:val="2"/>
        </w:numPr>
      </w:pPr>
      <w:r>
        <w:t>Testing was augmented by tracing. This included the isolation and surveillance of travellers at risk of infection. A specialised entrance procedure was established at the ports and airports.  It included symptom assessments for arriving travellers, followed by a compulsory 14-day self-isolation mandate</w:t>
      </w:r>
      <w:r w:rsidR="00D277A3">
        <w:t xml:space="preserve"> </w:t>
      </w:r>
      <w:r w:rsidR="00D277A3" w:rsidRPr="00D277A3">
        <w:t>(</w:t>
      </w:r>
      <w:proofErr w:type="spellStart"/>
      <w:r w:rsidR="00D277A3" w:rsidRPr="00D277A3">
        <w:t>Demeke</w:t>
      </w:r>
      <w:proofErr w:type="spellEnd"/>
      <w:r w:rsidR="00D277A3" w:rsidRPr="00D277A3">
        <w:t>, Engen and Markos, 2024)</w:t>
      </w:r>
      <w:r>
        <w:t>. To guarantee compliance with self-quarantine, specialised monitoring personnel were appointed in collaboration with the local authority of the travellers' domicile.</w:t>
      </w:r>
    </w:p>
    <w:p w14:paraId="59763A29" w14:textId="40611702" w:rsidR="00436189" w:rsidRDefault="00436189" w:rsidP="00436189">
      <w:pPr>
        <w:pStyle w:val="ListParagraph"/>
        <w:numPr>
          <w:ilvl w:val="0"/>
          <w:numId w:val="2"/>
        </w:numPr>
      </w:pPr>
      <w:r>
        <w:t>Mobile apps with self-reporting, tracking, and prompting functionalities were created to facilitate voluntary compliance. Transportation assistance was established to maintain quarantine throughout the travellers' transfer to their ultimate domestic destination for a 14-day self-quarantine period</w:t>
      </w:r>
      <w:r w:rsidR="00D277A3">
        <w:t xml:space="preserve"> </w:t>
      </w:r>
      <w:r w:rsidR="00D277A3" w:rsidRPr="00D277A3">
        <w:t>(</w:t>
      </w:r>
      <w:proofErr w:type="spellStart"/>
      <w:r w:rsidR="00D277A3" w:rsidRPr="00D277A3">
        <w:t>Erkoreka</w:t>
      </w:r>
      <w:proofErr w:type="spellEnd"/>
      <w:r w:rsidR="00D277A3" w:rsidRPr="00D277A3">
        <w:t xml:space="preserve"> and Hernando</w:t>
      </w:r>
      <w:r w:rsidR="00D277A3" w:rsidRPr="00D277A3">
        <w:rPr>
          <w:rFonts w:ascii="Cambria Math" w:hAnsi="Cambria Math" w:cs="Cambria Math"/>
        </w:rPr>
        <w:t>‐</w:t>
      </w:r>
      <w:r w:rsidR="00D277A3" w:rsidRPr="00D277A3">
        <w:t>P</w:t>
      </w:r>
      <w:r w:rsidR="00D277A3" w:rsidRPr="00D277A3">
        <w:rPr>
          <w:rFonts w:cs="Arial"/>
        </w:rPr>
        <w:t>é</w:t>
      </w:r>
      <w:r w:rsidR="00D277A3" w:rsidRPr="00D277A3">
        <w:t>rez, 2022)</w:t>
      </w:r>
      <w:r>
        <w:t>.</w:t>
      </w:r>
    </w:p>
    <w:p w14:paraId="0DF96E48" w14:textId="5D7E5F98" w:rsidR="00436189" w:rsidRDefault="00436189" w:rsidP="00436189">
      <w:pPr>
        <w:pStyle w:val="ListParagraph"/>
        <w:numPr>
          <w:ilvl w:val="0"/>
          <w:numId w:val="2"/>
        </w:numPr>
      </w:pPr>
      <w:r>
        <w:t>The treatment was tailored for optimisation. This entails classifying medical institutions according to the changing conditions of COVID-19. They appointed hospitals specialising in related disorders to oversee the treatment of COVID-19 patients</w:t>
      </w:r>
      <w:r w:rsidR="00D277A3">
        <w:t xml:space="preserve"> </w:t>
      </w:r>
      <w:r w:rsidR="00D277A3" w:rsidRPr="00D277A3">
        <w:t>(</w:t>
      </w:r>
      <w:proofErr w:type="spellStart"/>
      <w:r w:rsidR="00D277A3" w:rsidRPr="00D277A3">
        <w:t>Esade</w:t>
      </w:r>
      <w:proofErr w:type="spellEnd"/>
      <w:r w:rsidR="00D277A3" w:rsidRPr="00D277A3">
        <w:t>, 2021)</w:t>
      </w:r>
      <w:r>
        <w:t xml:space="preserve">. Transporting COVID-19 patients to approved specialised hospitals </w:t>
      </w:r>
      <w:r>
        <w:lastRenderedPageBreak/>
        <w:t>reduces the exposure of uninfected individuals to infected ones. This entails implementing protocols and erecting systems to reduce infection risk for healthcare providers and avert a decline in response capability.</w:t>
      </w:r>
    </w:p>
    <w:p w14:paraId="09FD4878" w14:textId="26D2DA0F" w:rsidR="00917C3C" w:rsidRDefault="00917C3C" w:rsidP="00917C3C">
      <w:r>
        <w:t>This type was best adapted to the already-existing and highly-centralized KDCA infrastructure, which was specifically meant to be highly efficient and standardized. Transactional leadership which was used in essential, logistical activities in many cases reduced errors and provided a quick deployment nationwide</w:t>
      </w:r>
      <w:r w:rsidR="00D277A3">
        <w:t xml:space="preserve"> </w:t>
      </w:r>
      <w:r w:rsidR="00D277A3" w:rsidRPr="00D277A3">
        <w:t>(Farhan, 2021)</w:t>
      </w:r>
      <w:r>
        <w:t>. The compatibility of the managerial approach with the high institutional capability of the KDCA had a significant impact on the effectiveness of the system with Chung as a manager.</w:t>
      </w:r>
    </w:p>
    <w:p w14:paraId="1F5A4282" w14:textId="79F057EB" w:rsidR="00436189" w:rsidRDefault="00436189" w:rsidP="00917C3C">
      <w:r w:rsidRPr="00436189">
        <w:t>The diversification of medical facility designations was essential to maintain the uninterrupted operation of the healthcare system.</w:t>
      </w:r>
      <w:r>
        <w:t xml:space="preserve"> </w:t>
      </w:r>
      <w:r w:rsidRPr="00436189">
        <w:t>Citizen Assurance Hospitals were established to ensure that COVID-19 negative persons requiring medical care may get treatment with less risk of infection</w:t>
      </w:r>
      <w:r w:rsidR="00BB4EDF">
        <w:t xml:space="preserve"> </w:t>
      </w:r>
      <w:r w:rsidR="00BB4EDF" w:rsidRPr="00BB4EDF">
        <w:t>(Hwang, 2025)</w:t>
      </w:r>
      <w:r w:rsidRPr="00436189">
        <w:t>.</w:t>
      </w:r>
      <w:r>
        <w:t xml:space="preserve"> </w:t>
      </w:r>
      <w:r w:rsidRPr="00436189">
        <w:t>This enhances another innovation in which designations are refined using the gathered information.</w:t>
      </w:r>
      <w:r>
        <w:t xml:space="preserve"> </w:t>
      </w:r>
      <w:r w:rsidRPr="00436189">
        <w:t>South Korea discovered that around 80% of COVID-19 patients had mild symptoms</w:t>
      </w:r>
      <w:r w:rsidR="00D277A3">
        <w:t xml:space="preserve"> </w:t>
      </w:r>
      <w:r w:rsidR="00D277A3" w:rsidRPr="00D277A3">
        <w:t>(</w:t>
      </w:r>
      <w:proofErr w:type="spellStart"/>
      <w:r w:rsidR="00D277A3" w:rsidRPr="00D277A3">
        <w:t>Fierlbeck</w:t>
      </w:r>
      <w:proofErr w:type="spellEnd"/>
      <w:r w:rsidR="00D277A3" w:rsidRPr="00D277A3">
        <w:t xml:space="preserve"> and </w:t>
      </w:r>
      <w:proofErr w:type="spellStart"/>
      <w:r w:rsidR="00D277A3" w:rsidRPr="00D277A3">
        <w:t>Pawa</w:t>
      </w:r>
      <w:proofErr w:type="spellEnd"/>
      <w:r w:rsidR="00D277A3" w:rsidRPr="00D277A3">
        <w:t>, 2025)</w:t>
      </w:r>
      <w:r w:rsidRPr="00436189">
        <w:t>.</w:t>
      </w:r>
      <w:r>
        <w:t xml:space="preserve"> </w:t>
      </w:r>
      <w:r w:rsidRPr="00436189">
        <w:t>Consequently, not all COVID-19 patients need a same quantity of resources for therapy.</w:t>
      </w:r>
    </w:p>
    <w:p w14:paraId="0F66CC28" w14:textId="08E2A07C" w:rsidR="00436189" w:rsidRDefault="00436189" w:rsidP="00436189">
      <w:pPr>
        <w:pStyle w:val="Heading3"/>
      </w:pPr>
      <w:bookmarkStart w:id="25" w:name="_Toc216300511"/>
      <w:r w:rsidRPr="00436189">
        <w:t>Transformational Elements and Trust-Building</w:t>
      </w:r>
      <w:bookmarkEnd w:id="25"/>
    </w:p>
    <w:p w14:paraId="3B9B31FE" w14:textId="23344C09" w:rsidR="00917C3C" w:rsidRDefault="00917C3C" w:rsidP="00917C3C">
      <w:r>
        <w:t>Chung was a very process-oriented leader, but he also incorporated the important aspects of Transformational Leadership by means of his effective communication strategy</w:t>
      </w:r>
      <w:r w:rsidR="00BB4EDF">
        <w:t xml:space="preserve"> </w:t>
      </w:r>
      <w:r w:rsidR="00BB4EDF" w:rsidRPr="00BB4EDF">
        <w:t>(Kaul, Shah and El-</w:t>
      </w:r>
      <w:proofErr w:type="spellStart"/>
      <w:r w:rsidR="00BB4EDF" w:rsidRPr="00BB4EDF">
        <w:t>Serag</w:t>
      </w:r>
      <w:proofErr w:type="spellEnd"/>
      <w:r w:rsidR="00BB4EDF" w:rsidRPr="00BB4EDF">
        <w:t>, 2020)</w:t>
      </w:r>
      <w:r>
        <w:t>. He was explicit with the provisions of openness, democracy (with regard to voluntary adherence) and transparency. This was a plan of evidence based public briefings daily, which created strong trust on the population based on identification. Putting the systematic TTTIQ procedure into the context of a national, ethical project, Chung secured the strong compliance of society with intrusive health practices (tracing) without significant lockdowns</w:t>
      </w:r>
      <w:r w:rsidR="00BB4EDF">
        <w:t xml:space="preserve"> </w:t>
      </w:r>
      <w:r w:rsidR="00BB4EDF" w:rsidRPr="00BB4EDF">
        <w:t>(</w:t>
      </w:r>
      <w:proofErr w:type="spellStart"/>
      <w:r w:rsidR="00BB4EDF" w:rsidRPr="00BB4EDF">
        <w:t>Kadria</w:t>
      </w:r>
      <w:proofErr w:type="spellEnd"/>
      <w:r w:rsidR="00BB4EDF" w:rsidRPr="00BB4EDF">
        <w:t xml:space="preserve"> Ali Abdel-</w:t>
      </w:r>
      <w:proofErr w:type="spellStart"/>
      <w:r w:rsidR="00BB4EDF" w:rsidRPr="00BB4EDF">
        <w:t>Motaal</w:t>
      </w:r>
      <w:proofErr w:type="spellEnd"/>
      <w:r w:rsidR="00BB4EDF" w:rsidRPr="00BB4EDF">
        <w:t xml:space="preserve"> and Chun, 2025)</w:t>
      </w:r>
      <w:r>
        <w:t>.</w:t>
      </w:r>
    </w:p>
    <w:p w14:paraId="7BCB3443" w14:textId="423B2580" w:rsidR="00917C3C" w:rsidRDefault="00917C3C" w:rsidP="00436189">
      <w:pPr>
        <w:pStyle w:val="Heading3"/>
      </w:pPr>
      <w:bookmarkStart w:id="26" w:name="_Toc216300512"/>
      <w:r>
        <w:t>Situational Responsiveness</w:t>
      </w:r>
      <w:bookmarkEnd w:id="26"/>
    </w:p>
    <w:p w14:paraId="617081BA" w14:textId="38D1AE75" w:rsidR="00917C3C" w:rsidRDefault="00917C3C" w:rsidP="00917C3C">
      <w:r>
        <w:t>Situational Awareness was also exhibited by Chung as evidenced by his ability to organize quickly across the various levels of government and to marshal resources effectively, especially in case of a situation that was localized like the Daegu outbreak</w:t>
      </w:r>
      <w:r w:rsidR="00BB4EDF">
        <w:t xml:space="preserve"> </w:t>
      </w:r>
      <w:r w:rsidR="00BB4EDF" w:rsidRPr="00BB4EDF">
        <w:t>(Koo, 2022)</w:t>
      </w:r>
      <w:r>
        <w:t xml:space="preserve">. This confirmed the idea that leadership by political elites under the influence of crisis experience and high sensitivity is quite </w:t>
      </w:r>
      <w:r w:rsidR="00436189">
        <w:t>favourable</w:t>
      </w:r>
      <w:r>
        <w:t xml:space="preserve"> to the management of crisis under the centralized and coordinated system.</w:t>
      </w:r>
    </w:p>
    <w:p w14:paraId="576E0398" w14:textId="3577048F" w:rsidR="00917C3C" w:rsidRDefault="00436189" w:rsidP="00436189">
      <w:pPr>
        <w:pStyle w:val="Heading3"/>
      </w:pPr>
      <w:bookmarkStart w:id="27" w:name="_Toc216300513"/>
      <w:r w:rsidRPr="00436189">
        <w:lastRenderedPageBreak/>
        <w:t>Advantages and Disadvantages</w:t>
      </w:r>
      <w:bookmarkEnd w:id="27"/>
    </w:p>
    <w:p w14:paraId="7DF3605E" w14:textId="2066FF2C" w:rsidR="00917C3C" w:rsidRDefault="00917C3C" w:rsidP="00917C3C">
      <w:r>
        <w:t>The unmatched strength in the strategy by Chung was the effectiveness and coordination of the reaction resulting in extremely low rates of infections and deaths relative to the rest of the world. The leadership style was able to maximize operational efficiency of the system. Nonetheless, the centralized character developed certain inefficiencies in the form of delay in getting individual vaccine contracts</w:t>
      </w:r>
      <w:r w:rsidR="00BB4EDF">
        <w:t xml:space="preserve"> </w:t>
      </w:r>
      <w:r w:rsidR="00BB4EDF" w:rsidRPr="00BB4EDF">
        <w:t>(Liu et al., 2023)</w:t>
      </w:r>
      <w:r>
        <w:t>. Moreover, the inflexibility at the policy implementation level brought out gaps in social support of the quarantined people, demonstrating that there is always a necessity to create a balance between the national efficiency and local social equity.</w:t>
      </w:r>
    </w:p>
    <w:p w14:paraId="477B25AC" w14:textId="6F109B36" w:rsidR="00436189" w:rsidRDefault="00436189" w:rsidP="00436189">
      <w:pPr>
        <w:pStyle w:val="Heading2"/>
      </w:pPr>
      <w:bookmarkStart w:id="28" w:name="_Toc216300514"/>
      <w:r w:rsidRPr="00436189">
        <w:t>3.3 Leadership Theories and Style in Canada: Justin Trudeau’s Collaborative-Transformational Approach</w:t>
      </w:r>
      <w:bookmarkEnd w:id="28"/>
    </w:p>
    <w:p w14:paraId="712298A7" w14:textId="3B73B10F" w:rsidR="00A71645" w:rsidRDefault="00A71645" w:rsidP="00A71645">
      <w:r w:rsidRPr="00A71645">
        <w:t>Considering the magnitude and extent of the epidemic, the federal government is well positioned to act as a principal spokesman in public health communication.</w:t>
      </w:r>
      <w:r>
        <w:t xml:space="preserve"> </w:t>
      </w:r>
      <w:r w:rsidRPr="00A71645">
        <w:t>Commencing on 13 March 2020, Prime Minister Justin Trudeau provided almost daily media briefings to the public during the first wave of the epidemic; by 29 June 2020, he had conducted 81 national speeches over the course of 110 days</w:t>
      </w:r>
      <w:r w:rsidR="00BB4EDF">
        <w:t xml:space="preserve"> </w:t>
      </w:r>
      <w:r w:rsidR="00BB4EDF" w:rsidRPr="00BB4EDF">
        <w:t>(Lockett et al., 2025)</w:t>
      </w:r>
      <w:r w:rsidRPr="00A71645">
        <w:t>.</w:t>
      </w:r>
      <w:r>
        <w:t xml:space="preserve"> </w:t>
      </w:r>
      <w:r w:rsidRPr="00A71645">
        <w:t xml:space="preserve">The Prime Minister's report was consistently followed by a subsequent press conference by national public health officials, notably CPHO </w:t>
      </w:r>
      <w:proofErr w:type="spellStart"/>
      <w:r w:rsidRPr="00A71645">
        <w:t>Dr.</w:t>
      </w:r>
      <w:proofErr w:type="spellEnd"/>
      <w:r w:rsidRPr="00A71645">
        <w:t xml:space="preserve"> Theresa Tam; these briefings also took place daily throughout the first wave and throughout November and December 2020</w:t>
      </w:r>
      <w:r w:rsidR="00BB4EDF">
        <w:t xml:space="preserve"> </w:t>
      </w:r>
      <w:r w:rsidR="00BB4EDF" w:rsidRPr="00BB4EDF">
        <w:t>(Mao, 2024)</w:t>
      </w:r>
      <w:r w:rsidRPr="00A71645">
        <w:t>.</w:t>
      </w:r>
      <w:r>
        <w:t xml:space="preserve"> </w:t>
      </w:r>
      <w:r w:rsidRPr="00A71645">
        <w:t>The Prime Minister and the Chief Public Health Officer repeatedly used social media platforms, such as Twitter, to articulate their strategy for addressing the epidemic by flattening the curve (e.g., #PlankTheCurve) and adhering to public health recommendations (e.g., #StayAtHome).</w:t>
      </w:r>
    </w:p>
    <w:p w14:paraId="26654244" w14:textId="4E7C5386" w:rsidR="00A71645" w:rsidRDefault="00A71645" w:rsidP="00A71645">
      <w:r>
        <w:t>Prime Minister Justin Trudeau operated during the pandemic with the style that was largely Transformational Leadership and highly Situational approach that was created by the highly fragmented nature of the federal government of Canada</w:t>
      </w:r>
      <w:r w:rsidR="00BB4EDF">
        <w:t xml:space="preserve"> </w:t>
      </w:r>
      <w:r w:rsidR="00BB4EDF" w:rsidRPr="00BB4EDF">
        <w:t>(Mathieu et al., 2024)</w:t>
      </w:r>
      <w:r>
        <w:t>.</w:t>
      </w:r>
    </w:p>
    <w:p w14:paraId="034B3944" w14:textId="091A8EF7" w:rsidR="00A71645" w:rsidRDefault="00A71645" w:rsidP="00A71645">
      <w:pPr>
        <w:pStyle w:val="Heading3"/>
      </w:pPr>
      <w:bookmarkStart w:id="29" w:name="_Toc216300515"/>
      <w:r w:rsidRPr="00A71645">
        <w:t>Transformational Core and Character</w:t>
      </w:r>
      <w:bookmarkEnd w:id="29"/>
    </w:p>
    <w:p w14:paraId="20AA8A68" w14:textId="59056AE3" w:rsidR="00A71645" w:rsidRDefault="00A71645" w:rsidP="00A71645">
      <w:r>
        <w:t>The leadership of Trudeau was based on inspirational communication, empathy and putting the nation in the pursuit of a common goal. His day-to-day televised conferences throughout the first crisis managed to keep the country together and in check at a time when uncertainty prevailed</w:t>
      </w:r>
      <w:r w:rsidR="00BB4EDF">
        <w:t xml:space="preserve"> </w:t>
      </w:r>
      <w:r w:rsidR="00BB4EDF" w:rsidRPr="00BB4EDF">
        <w:t>(Nicola et al., 2020)</w:t>
      </w:r>
      <w:r w:rsidR="00BB4EDF">
        <w:t xml:space="preserve">. </w:t>
      </w:r>
      <w:r>
        <w:t>Academic examination established that perceived character, integrity, and emphasis on collective welfare by Trudeau were necessary in language of creating and sustaining identification-based trust, which was positively related to compliance of citizens to public health measures</w:t>
      </w:r>
      <w:r w:rsidR="00BB4EDF">
        <w:t xml:space="preserve"> </w:t>
      </w:r>
      <w:r w:rsidR="00BB4EDF" w:rsidRPr="00BB4EDF">
        <w:t>(Navarro and Velasco, 2022)</w:t>
      </w:r>
      <w:r>
        <w:t xml:space="preserve">. His quick activation of federal financial authority to develop the most advanced economic support initiatives ever, </w:t>
      </w:r>
      <w:r>
        <w:lastRenderedPageBreak/>
        <w:t>including the Canada Emergency Response Benefit (CERB) testified to an unmistakably transformational perspective of solidarity.</w:t>
      </w:r>
    </w:p>
    <w:p w14:paraId="522ECDF1" w14:textId="54949863" w:rsidR="00A71645" w:rsidRDefault="00A71645" w:rsidP="00A71645">
      <w:pPr>
        <w:pStyle w:val="Heading3"/>
      </w:pPr>
      <w:bookmarkStart w:id="30" w:name="_Toc216300516"/>
      <w:r w:rsidRPr="00A71645">
        <w:t>Situational Governance and Coordination Limits</w:t>
      </w:r>
      <w:bookmarkEnd w:id="30"/>
    </w:p>
    <w:p w14:paraId="104BA5C2" w14:textId="651530CE" w:rsidR="00A71645" w:rsidRDefault="00A71645" w:rsidP="00A71645">
      <w:r>
        <w:t>Since the constitutional allocation of authority, the involvement of the provincial leaders by Trudeau had to be Situational and collaborative and not commanding. This practice was mostly in line with Theory Y, where provincial leaders are given the power to make customized responses. The government of the Trudeau was offering guidelines (a transactional exchange) and emergency funding and mobilized federal capacity, including the military only when provincial services collapsed disastrously (e.g., long-term care homes)</w:t>
      </w:r>
      <w:r w:rsidR="00BB4EDF">
        <w:t xml:space="preserve"> </w:t>
      </w:r>
      <w:r w:rsidR="00BB4EDF" w:rsidRPr="00BB4EDF">
        <w:t xml:space="preserve">(Nour and </w:t>
      </w:r>
      <w:proofErr w:type="spellStart"/>
      <w:r w:rsidR="00BB4EDF" w:rsidRPr="00BB4EDF">
        <w:t>Kisa</w:t>
      </w:r>
      <w:proofErr w:type="spellEnd"/>
      <w:r w:rsidR="00BB4EDF" w:rsidRPr="00BB4EDF">
        <w:t>, 2024)</w:t>
      </w:r>
      <w:r>
        <w:t>.</w:t>
      </w:r>
    </w:p>
    <w:p w14:paraId="474DBF85" w14:textId="6F7D7605" w:rsidR="00A71645" w:rsidRDefault="00A71645" w:rsidP="00A71645">
      <w:pPr>
        <w:pStyle w:val="Heading3"/>
      </w:pPr>
      <w:bookmarkStart w:id="31" w:name="_Toc216300517"/>
      <w:r>
        <w:t>Advantages and Disadvantages</w:t>
      </w:r>
      <w:bookmarkEnd w:id="31"/>
    </w:p>
    <w:p w14:paraId="38FB3536" w14:textId="1AF3A49A" w:rsidR="00A71645" w:rsidRDefault="00A71645" w:rsidP="00A71645">
      <w:r>
        <w:t>The collaborative-transformational style employed by Trudeau was able to keep the nation unified and the society stable as the centralized health authority was absent</w:t>
      </w:r>
      <w:r w:rsidR="00BB4EDF">
        <w:t xml:space="preserve"> </w:t>
      </w:r>
      <w:r w:rsidR="00BB4EDF" w:rsidRPr="00BB4EDF">
        <w:t>(OBS, 2020)</w:t>
      </w:r>
      <w:r>
        <w:t>. Nevertheless, the constitution was divided up in such a way that it introduced structural constraints that only great leadership would not can overcome. The dependency on the negotiation and consensus with the PTs decreased the speed of making important decisions and created the confusion among the population because of different provincial schedules and standards.</w:t>
      </w:r>
    </w:p>
    <w:p w14:paraId="6B1F5848" w14:textId="6E5B0A3C" w:rsidR="00436189" w:rsidRDefault="00A71645" w:rsidP="00A71645">
      <w:r>
        <w:t>The vaccine rollout (service development stage) clearly explained the disadvantages of this setup.</w:t>
      </w:r>
      <w:r w:rsidR="00BB4EDF">
        <w:t xml:space="preserve"> </w:t>
      </w:r>
      <w:r>
        <w:t>The inter-governmental complexities between the federal procurement and the provincial distribution brought delays and inefficiencies that slowed down the response speed within the country</w:t>
      </w:r>
      <w:r w:rsidR="00BB4EDF">
        <w:t xml:space="preserve"> </w:t>
      </w:r>
      <w:r w:rsidR="00BB4EDF" w:rsidRPr="00BB4EDF">
        <w:t>(Oliver et al., 2020)</w:t>
      </w:r>
      <w:r>
        <w:t>.</w:t>
      </w:r>
      <w:r w:rsidR="00BB4EDF">
        <w:t xml:space="preserve"> </w:t>
      </w:r>
      <w:r>
        <w:t>Canadian experience is such that despite the high efficiency of Transformational leadership in the social and political domain (the establishment of trust and economic relief), the systemic inefficiency of the decentralized federalism did not allow eliminating the fundamental issues of the system, which led to serious health disparities between jurisdictions</w:t>
      </w:r>
      <w:r w:rsidR="00BB4EDF">
        <w:t xml:space="preserve"> </w:t>
      </w:r>
      <w:r w:rsidR="00BB4EDF" w:rsidRPr="00BB4EDF">
        <w:t>(Penn Today, 2022)</w:t>
      </w:r>
      <w:r>
        <w:t>. The absence of a clear chain of command left a gap in accountability that made the national strategy and efficiency measurement more complicated.</w:t>
      </w:r>
    </w:p>
    <w:p w14:paraId="753AF18F" w14:textId="70675748" w:rsidR="00A71645" w:rsidRDefault="00A71645" w:rsidP="00A71645">
      <w:pPr>
        <w:pStyle w:val="Heading2"/>
      </w:pPr>
      <w:bookmarkStart w:id="32" w:name="_Toc216300518"/>
      <w:r w:rsidRPr="00A71645">
        <w:t>3.4 Comparative Synthesis: Leadership Influence on Efficiency and Service Development</w:t>
      </w:r>
      <w:bookmarkEnd w:id="32"/>
    </w:p>
    <w:p w14:paraId="7EC70C46" w14:textId="6B92F363" w:rsidR="00A71645" w:rsidRDefault="00A71645" w:rsidP="00A71645">
      <w:r>
        <w:t>The experience of these three countries proves that the best way leaders should react to a significant health crisis depends on the ready structure of the system and its maturity.</w:t>
      </w:r>
    </w:p>
    <w:p w14:paraId="6206A618" w14:textId="55298E0B" w:rsidR="00A71645" w:rsidRDefault="00A71645" w:rsidP="00A71645">
      <w:r>
        <w:t>South Korea had the most effective operational performance by showing the best fit of leadership-system: Proactive-Transactional leadership was perfectly fit within institutional framework (KDCA) designed to have a quick and standardized system of logistical deployment</w:t>
      </w:r>
      <w:r w:rsidR="00BB4EDF">
        <w:t xml:space="preserve"> </w:t>
      </w:r>
      <w:r w:rsidR="00BB4EDF" w:rsidRPr="00BB4EDF">
        <w:lastRenderedPageBreak/>
        <w:t>(</w:t>
      </w:r>
      <w:proofErr w:type="spellStart"/>
      <w:r w:rsidR="00BB4EDF" w:rsidRPr="00BB4EDF">
        <w:t>Polizzi</w:t>
      </w:r>
      <w:proofErr w:type="spellEnd"/>
      <w:r w:rsidR="00BB4EDF" w:rsidRPr="00BB4EDF">
        <w:t xml:space="preserve"> et al., 2024)</w:t>
      </w:r>
      <w:r>
        <w:t>. The standards of institutional readiness and the institutionalized service development procedures gave the background to the successful transactional command.</w:t>
      </w:r>
    </w:p>
    <w:p w14:paraId="2034A16B" w14:textId="20FC4FD4" w:rsidR="00A71645" w:rsidRDefault="00A71645" w:rsidP="00A71645">
      <w:r>
        <w:t>On the other hand, Spain displayed the extreme significance of Situational Adaptability. The inability of Illa to balance his original Transformational rhetoric with operational preparedness resulted in disaster and he had to shift to a temporary, reactive mode of operation using the Transactional command</w:t>
      </w:r>
      <w:r w:rsidR="00BB4EDF">
        <w:t xml:space="preserve"> </w:t>
      </w:r>
      <w:r w:rsidR="00BB4EDF" w:rsidRPr="00BB4EDF">
        <w:t>(Public, 2024)</w:t>
      </w:r>
      <w:r>
        <w:t>. His eventual recovery to a collaborative, Situational style was the precondition of the eventual recovery of the system, which effectively used the decentralized delivery capacity in conducting the mass vaccination program.</w:t>
      </w:r>
    </w:p>
    <w:p w14:paraId="7D7667EC" w14:textId="256FE8B9" w:rsidR="00A71645" w:rsidRDefault="00A71645" w:rsidP="00A71645">
      <w:r>
        <w:t>Canada presented the weaknesses of Transformational Influence in a very disjointed structure. Although Justin Trudeau managed to establish the trust of people and national unity, his leadership was unable to guarantee the required transactional efficiency and standardization to achieve the timely development of the national policy and services, which consequently resulted in the suboptimal collective outcomes because of the high variance in provincial agency</w:t>
      </w:r>
      <w:r w:rsidR="00BB4EDF">
        <w:t xml:space="preserve"> </w:t>
      </w:r>
      <w:r w:rsidR="00BB4EDF" w:rsidRPr="00BB4EDF">
        <w:t>(Ricci, 2022)</w:t>
      </w:r>
      <w:r>
        <w:t>.</w:t>
      </w:r>
    </w:p>
    <w:p w14:paraId="478C6103" w14:textId="61264953" w:rsidR="00A71645" w:rsidRDefault="00A71645" w:rsidP="00A71645">
      <w:r>
        <w:t>As it has been highlighted in the analysis, to manage the crisis and maintain the course of the crisis, leaders must have the character to gain trust and the skill to move freely across styles: to use the command of the Transactional style to handle acute logistical execution and operational standardization, and the approach of Transformational and Situational ones to make people cooperate, develop long-term social compliance, and systems learning</w:t>
      </w:r>
      <w:r w:rsidR="00BB4EDF">
        <w:t xml:space="preserve"> </w:t>
      </w:r>
      <w:r w:rsidR="00BB4EDF" w:rsidRPr="00BB4EDF">
        <w:t>(</w:t>
      </w:r>
      <w:proofErr w:type="spellStart"/>
      <w:r w:rsidR="00BB4EDF" w:rsidRPr="00BB4EDF">
        <w:t>Royo</w:t>
      </w:r>
      <w:proofErr w:type="spellEnd"/>
      <w:r w:rsidR="00BB4EDF" w:rsidRPr="00BB4EDF">
        <w:t>, 2020)</w:t>
      </w:r>
      <w:r>
        <w:t>. The difference results are very strong evidence that when investing in system preparedness (as in South Korea) the reliance on reactive, temporary centralization is less, which in turn raises the overall system resilience</w:t>
      </w:r>
      <w:r w:rsidR="00BB4EDF">
        <w:t xml:space="preserve"> </w:t>
      </w:r>
      <w:r w:rsidR="00BB4EDF" w:rsidRPr="00BB4EDF">
        <w:t>(</w:t>
      </w:r>
      <w:proofErr w:type="spellStart"/>
      <w:r w:rsidR="00BB4EDF" w:rsidRPr="00BB4EDF">
        <w:t>Seijts</w:t>
      </w:r>
      <w:proofErr w:type="spellEnd"/>
      <w:r w:rsidR="00BB4EDF" w:rsidRPr="00BB4EDF">
        <w:t xml:space="preserve">, de </w:t>
      </w:r>
      <w:proofErr w:type="spellStart"/>
      <w:r w:rsidR="00BB4EDF" w:rsidRPr="00BB4EDF">
        <w:t>Clercy</w:t>
      </w:r>
      <w:proofErr w:type="spellEnd"/>
      <w:r w:rsidR="00BB4EDF" w:rsidRPr="00BB4EDF">
        <w:t xml:space="preserve"> and Miller, 2022)</w:t>
      </w:r>
      <w:r>
        <w:t>.</w:t>
      </w:r>
    </w:p>
    <w:p w14:paraId="286726D4" w14:textId="36D9568B" w:rsidR="00A71645" w:rsidRPr="00A71645" w:rsidRDefault="00A71645" w:rsidP="00A71645">
      <w:pPr>
        <w:rPr>
          <w:b/>
          <w:bCs/>
          <w:i/>
          <w:iCs/>
        </w:rPr>
      </w:pPr>
      <w:r w:rsidRPr="00A71645">
        <w:rPr>
          <w:b/>
          <w:bCs/>
          <w:i/>
          <w:iCs/>
        </w:rPr>
        <w:t>Table 2: Synthesis of Leadership Style, Systems Influence, and Health Outcomes</w:t>
      </w:r>
    </w:p>
    <w:tbl>
      <w:tblPr>
        <w:tblStyle w:val="GridTable5Dark-Accent5"/>
        <w:tblW w:w="0" w:type="auto"/>
        <w:tblLook w:val="04A0" w:firstRow="1" w:lastRow="0" w:firstColumn="1" w:lastColumn="0" w:noHBand="0" w:noVBand="1"/>
      </w:tblPr>
      <w:tblGrid>
        <w:gridCol w:w="1656"/>
        <w:gridCol w:w="2901"/>
        <w:gridCol w:w="1732"/>
        <w:gridCol w:w="1472"/>
        <w:gridCol w:w="1255"/>
      </w:tblGrid>
      <w:tr w:rsidR="00A71645" w14:paraId="1587C6FD" w14:textId="77777777" w:rsidTr="00A716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C9AB544" w14:textId="123B119F" w:rsidR="00A71645" w:rsidRDefault="00A71645" w:rsidP="00A71645">
            <w:r w:rsidRPr="00A71645">
              <w:t>Country/Leader</w:t>
            </w:r>
          </w:p>
        </w:tc>
        <w:tc>
          <w:tcPr>
            <w:tcW w:w="1803" w:type="dxa"/>
          </w:tcPr>
          <w:p w14:paraId="2628B1EB" w14:textId="0419CC94" w:rsidR="00A71645" w:rsidRDefault="00A71645" w:rsidP="00A71645">
            <w:pPr>
              <w:cnfStyle w:val="100000000000" w:firstRow="1" w:lastRow="0" w:firstColumn="0" w:lastColumn="0" w:oddVBand="0" w:evenVBand="0" w:oddHBand="0" w:evenHBand="0" w:firstRowFirstColumn="0" w:firstRowLastColumn="0" w:lastRowFirstColumn="0" w:lastRowLastColumn="0"/>
            </w:pPr>
            <w:r w:rsidRPr="00A71645">
              <w:t>Dominant Leadership Blend</w:t>
            </w:r>
          </w:p>
        </w:tc>
        <w:tc>
          <w:tcPr>
            <w:tcW w:w="1803" w:type="dxa"/>
          </w:tcPr>
          <w:p w14:paraId="023E5167" w14:textId="4A6CA8D4" w:rsidR="00A71645" w:rsidRDefault="00A71645" w:rsidP="00A71645">
            <w:pPr>
              <w:cnfStyle w:val="100000000000" w:firstRow="1" w:lastRow="0" w:firstColumn="0" w:lastColumn="0" w:oddVBand="0" w:evenVBand="0" w:oddHBand="0" w:evenHBand="0" w:firstRowFirstColumn="0" w:firstRowLastColumn="0" w:lastRowFirstColumn="0" w:lastRowLastColumn="0"/>
            </w:pPr>
            <w:r w:rsidRPr="00A71645">
              <w:t>Systems Influence Mechanism</w:t>
            </w:r>
          </w:p>
        </w:tc>
        <w:tc>
          <w:tcPr>
            <w:tcW w:w="1803" w:type="dxa"/>
          </w:tcPr>
          <w:p w14:paraId="2BC58568" w14:textId="6C302C0C" w:rsidR="00A71645" w:rsidRDefault="00A71645" w:rsidP="00A71645">
            <w:pPr>
              <w:cnfStyle w:val="100000000000" w:firstRow="1" w:lastRow="0" w:firstColumn="0" w:lastColumn="0" w:oddVBand="0" w:evenVBand="0" w:oddHBand="0" w:evenHBand="0" w:firstRowFirstColumn="0" w:firstRowLastColumn="0" w:lastRowFirstColumn="0" w:lastRowLastColumn="0"/>
            </w:pPr>
            <w:r w:rsidRPr="00A71645">
              <w:t>Efficiency Measurement Example</w:t>
            </w:r>
          </w:p>
        </w:tc>
        <w:tc>
          <w:tcPr>
            <w:tcW w:w="1804" w:type="dxa"/>
          </w:tcPr>
          <w:p w14:paraId="539BA7F8" w14:textId="5B4D4709" w:rsidR="00A71645" w:rsidRDefault="00A71645" w:rsidP="00A71645">
            <w:pPr>
              <w:cnfStyle w:val="100000000000" w:firstRow="1" w:lastRow="0" w:firstColumn="0" w:lastColumn="0" w:oddVBand="0" w:evenVBand="0" w:oddHBand="0" w:evenHBand="0" w:firstRowFirstColumn="0" w:firstRowLastColumn="0" w:lastRowFirstColumn="0" w:lastRowLastColumn="0"/>
            </w:pPr>
            <w:r w:rsidRPr="00A71645">
              <w:t>Health Outcomes Correlation</w:t>
            </w:r>
          </w:p>
        </w:tc>
      </w:tr>
      <w:tr w:rsidR="00A71645" w14:paraId="2F653F2B" w14:textId="77777777" w:rsidTr="00A716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4E98EFC" w14:textId="0C6ED2CE" w:rsidR="00A71645" w:rsidRDefault="00A71645" w:rsidP="00A71645">
            <w:r w:rsidRPr="00A71645">
              <w:t>Spain (Illa)</w:t>
            </w:r>
          </w:p>
        </w:tc>
        <w:tc>
          <w:tcPr>
            <w:tcW w:w="1803" w:type="dxa"/>
          </w:tcPr>
          <w:p w14:paraId="5F1F206D" w14:textId="64FFC01F" w:rsidR="00A71645" w:rsidRDefault="00A71645" w:rsidP="00A71645">
            <w:pPr>
              <w:cnfStyle w:val="000000100000" w:firstRow="0" w:lastRow="0" w:firstColumn="0" w:lastColumn="0" w:oddVBand="0" w:evenVBand="0" w:oddHBand="1" w:evenHBand="0" w:firstRowFirstColumn="0" w:firstRowLastColumn="0" w:lastRowFirstColumn="0" w:lastRowLastColumn="0"/>
            </w:pPr>
            <w:r w:rsidRPr="00A71645">
              <w:t>Situational/Adaptive (Reactive to Transactional)</w:t>
            </w:r>
          </w:p>
        </w:tc>
        <w:tc>
          <w:tcPr>
            <w:tcW w:w="1803" w:type="dxa"/>
          </w:tcPr>
          <w:p w14:paraId="482BEF5B" w14:textId="4A81F522" w:rsidR="00A71645" w:rsidRDefault="00A71645" w:rsidP="00A71645">
            <w:pPr>
              <w:cnfStyle w:val="000000100000" w:firstRow="0" w:lastRow="0" w:firstColumn="0" w:lastColumn="0" w:oddVBand="0" w:evenVBand="0" w:oddHBand="1" w:evenHBand="0" w:firstRowFirstColumn="0" w:firstRowLastColumn="0" w:lastRowFirstColumn="0" w:lastRowLastColumn="0"/>
            </w:pPr>
            <w:r w:rsidRPr="00A71645">
              <w:t xml:space="preserve">Command (Initial Recentralization); Collaboration </w:t>
            </w:r>
            <w:r w:rsidRPr="00A71645">
              <w:lastRenderedPageBreak/>
              <w:t>(Vaccine Rollout)</w:t>
            </w:r>
          </w:p>
        </w:tc>
        <w:tc>
          <w:tcPr>
            <w:tcW w:w="1803" w:type="dxa"/>
          </w:tcPr>
          <w:p w14:paraId="588A5644" w14:textId="55AE4683" w:rsidR="00A71645" w:rsidRDefault="00A71645" w:rsidP="00A71645">
            <w:pPr>
              <w:cnfStyle w:val="000000100000" w:firstRow="0" w:lastRow="0" w:firstColumn="0" w:lastColumn="0" w:oddVBand="0" w:evenVBand="0" w:oddHBand="1" w:evenHBand="0" w:firstRowFirstColumn="0" w:firstRowLastColumn="0" w:lastRowFirstColumn="0" w:lastRowLastColumn="0"/>
            </w:pPr>
            <w:r w:rsidRPr="00A71645">
              <w:lastRenderedPageBreak/>
              <w:t>Successful coordination and speed of later vaccine rollout</w:t>
            </w:r>
          </w:p>
        </w:tc>
        <w:tc>
          <w:tcPr>
            <w:tcW w:w="1804" w:type="dxa"/>
          </w:tcPr>
          <w:p w14:paraId="4E1C513C" w14:textId="1E2E56BB" w:rsidR="00A71645" w:rsidRDefault="00A71645" w:rsidP="00A71645">
            <w:pPr>
              <w:cnfStyle w:val="000000100000" w:firstRow="0" w:lastRow="0" w:firstColumn="0" w:lastColumn="0" w:oddVBand="0" w:evenVBand="0" w:oddHBand="1" w:evenHBand="0" w:firstRowFirstColumn="0" w:firstRowLastColumn="0" w:lastRowFirstColumn="0" w:lastRowLastColumn="0"/>
            </w:pPr>
            <w:r w:rsidRPr="00A71645">
              <w:t xml:space="preserve">High initial mortality, strong later recovery in </w:t>
            </w:r>
            <w:r w:rsidRPr="00A71645">
              <w:lastRenderedPageBreak/>
              <w:t>vaccination rates</w:t>
            </w:r>
          </w:p>
        </w:tc>
      </w:tr>
      <w:tr w:rsidR="00A71645" w14:paraId="083F60E4" w14:textId="77777777" w:rsidTr="00A71645">
        <w:tc>
          <w:tcPr>
            <w:cnfStyle w:val="001000000000" w:firstRow="0" w:lastRow="0" w:firstColumn="1" w:lastColumn="0" w:oddVBand="0" w:evenVBand="0" w:oddHBand="0" w:evenHBand="0" w:firstRowFirstColumn="0" w:firstRowLastColumn="0" w:lastRowFirstColumn="0" w:lastRowLastColumn="0"/>
            <w:tcW w:w="1803" w:type="dxa"/>
          </w:tcPr>
          <w:p w14:paraId="5A351C54" w14:textId="3D5803AA" w:rsidR="00A71645" w:rsidRDefault="00A71645" w:rsidP="00A71645">
            <w:r w:rsidRPr="00A71645">
              <w:lastRenderedPageBreak/>
              <w:t>South Korea (Chung)</w:t>
            </w:r>
          </w:p>
        </w:tc>
        <w:tc>
          <w:tcPr>
            <w:tcW w:w="1803" w:type="dxa"/>
          </w:tcPr>
          <w:p w14:paraId="428C95D6" w14:textId="432C7B9E" w:rsidR="00A71645" w:rsidRDefault="00A71645" w:rsidP="00A71645">
            <w:pPr>
              <w:cnfStyle w:val="000000000000" w:firstRow="0" w:lastRow="0" w:firstColumn="0" w:lastColumn="0" w:oddVBand="0" w:evenVBand="0" w:oddHBand="0" w:evenHBand="0" w:firstRowFirstColumn="0" w:firstRowLastColumn="0" w:lastRowFirstColumn="0" w:lastRowLastColumn="0"/>
            </w:pPr>
            <w:r w:rsidRPr="00A71645">
              <w:t>Proactive-Transactional/Transformational Blend</w:t>
            </w:r>
          </w:p>
        </w:tc>
        <w:tc>
          <w:tcPr>
            <w:tcW w:w="1803" w:type="dxa"/>
          </w:tcPr>
          <w:p w14:paraId="265D0BFC" w14:textId="56C3E56A" w:rsidR="00A71645" w:rsidRDefault="00A71645" w:rsidP="00A71645">
            <w:pPr>
              <w:cnfStyle w:val="000000000000" w:firstRow="0" w:lastRow="0" w:firstColumn="0" w:lastColumn="0" w:oddVBand="0" w:evenVBand="0" w:oddHBand="0" w:evenHBand="0" w:firstRowFirstColumn="0" w:firstRowLastColumn="0" w:lastRowFirstColumn="0" w:lastRowLastColumn="0"/>
            </w:pPr>
            <w:r w:rsidRPr="00A71645">
              <w:t>Clear process standards; Centralized coordination (KDCA)</w:t>
            </w:r>
          </w:p>
        </w:tc>
        <w:tc>
          <w:tcPr>
            <w:tcW w:w="1803" w:type="dxa"/>
          </w:tcPr>
          <w:p w14:paraId="5AA182D6" w14:textId="7E58299B" w:rsidR="00A71645" w:rsidRDefault="00A71645" w:rsidP="00A71645">
            <w:pPr>
              <w:cnfStyle w:val="000000000000" w:firstRow="0" w:lastRow="0" w:firstColumn="0" w:lastColumn="0" w:oddVBand="0" w:evenVBand="0" w:oddHBand="0" w:evenHBand="0" w:firstRowFirstColumn="0" w:firstRowLastColumn="0" w:lastRowFirstColumn="0" w:lastRowLastColumn="0"/>
            </w:pPr>
            <w:r w:rsidRPr="00A71645">
              <w:t>130M tests conducted, demonstrating logistical scale and efficiency</w:t>
            </w:r>
          </w:p>
        </w:tc>
        <w:tc>
          <w:tcPr>
            <w:tcW w:w="1804" w:type="dxa"/>
          </w:tcPr>
          <w:p w14:paraId="01251FBE" w14:textId="2C9DE8A3" w:rsidR="00A71645" w:rsidRDefault="00A71645" w:rsidP="00A71645">
            <w:pPr>
              <w:cnfStyle w:val="000000000000" w:firstRow="0" w:lastRow="0" w:firstColumn="0" w:lastColumn="0" w:oddVBand="0" w:evenVBand="0" w:oddHBand="0" w:evenHBand="0" w:firstRowFirstColumn="0" w:firstRowLastColumn="0" w:lastRowFirstColumn="0" w:lastRowLastColumn="0"/>
            </w:pPr>
            <w:r w:rsidRPr="00A71645">
              <w:t>Low initial mortality without mandatory national lockdowns</w:t>
            </w:r>
          </w:p>
        </w:tc>
      </w:tr>
      <w:tr w:rsidR="00A71645" w14:paraId="320D7842" w14:textId="77777777" w:rsidTr="00A716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274CC65" w14:textId="266DE8C6" w:rsidR="00A71645" w:rsidRDefault="00A71645" w:rsidP="00A71645">
            <w:r w:rsidRPr="00A71645">
              <w:t>Canada (Trudeau)</w:t>
            </w:r>
          </w:p>
        </w:tc>
        <w:tc>
          <w:tcPr>
            <w:tcW w:w="1803" w:type="dxa"/>
          </w:tcPr>
          <w:p w14:paraId="55D1FB32" w14:textId="586444A3" w:rsidR="00A71645" w:rsidRDefault="00A71645" w:rsidP="00A71645">
            <w:pPr>
              <w:cnfStyle w:val="000000100000" w:firstRow="0" w:lastRow="0" w:firstColumn="0" w:lastColumn="0" w:oddVBand="0" w:evenVBand="0" w:oddHBand="1" w:evenHBand="0" w:firstRowFirstColumn="0" w:firstRowLastColumn="0" w:lastRowFirstColumn="0" w:lastRowLastColumn="0"/>
            </w:pPr>
            <w:r w:rsidRPr="00A71645">
              <w:t>Transformational/Collaborative</w:t>
            </w:r>
          </w:p>
        </w:tc>
        <w:tc>
          <w:tcPr>
            <w:tcW w:w="1803" w:type="dxa"/>
          </w:tcPr>
          <w:p w14:paraId="739E8DB5" w14:textId="6AD3B68E" w:rsidR="00A71645" w:rsidRDefault="00A71645" w:rsidP="00A71645">
            <w:pPr>
              <w:cnfStyle w:val="000000100000" w:firstRow="0" w:lastRow="0" w:firstColumn="0" w:lastColumn="0" w:oddVBand="0" w:evenVBand="0" w:oddHBand="1" w:evenHBand="0" w:firstRowFirstColumn="0" w:firstRowLastColumn="0" w:lastRowFirstColumn="0" w:lastRowLastColumn="0"/>
            </w:pPr>
            <w:r w:rsidRPr="00A71645">
              <w:t>Influence, Financial leverage (CERB); Coordination mandates</w:t>
            </w:r>
          </w:p>
        </w:tc>
        <w:tc>
          <w:tcPr>
            <w:tcW w:w="1803" w:type="dxa"/>
          </w:tcPr>
          <w:p w14:paraId="24AF5E6E" w14:textId="3E3C87C7" w:rsidR="00A71645" w:rsidRDefault="00A71645" w:rsidP="00A71645">
            <w:pPr>
              <w:cnfStyle w:val="000000100000" w:firstRow="0" w:lastRow="0" w:firstColumn="0" w:lastColumn="0" w:oddVBand="0" w:evenVBand="0" w:oddHBand="1" w:evenHBand="0" w:firstRowFirstColumn="0" w:firstRowLastColumn="0" w:lastRowFirstColumn="0" w:lastRowLastColumn="0"/>
            </w:pPr>
            <w:r w:rsidRPr="00A71645">
              <w:t>Inconsistent and delayed early vaccine distribution across provinces</w:t>
            </w:r>
          </w:p>
        </w:tc>
        <w:tc>
          <w:tcPr>
            <w:tcW w:w="1804" w:type="dxa"/>
          </w:tcPr>
          <w:p w14:paraId="76C6573B" w14:textId="15E04929" w:rsidR="00A71645" w:rsidRDefault="00A71645" w:rsidP="00A71645">
            <w:pPr>
              <w:cnfStyle w:val="000000100000" w:firstRow="0" w:lastRow="0" w:firstColumn="0" w:lastColumn="0" w:oddVBand="0" w:evenVBand="0" w:oddHBand="1" w:evenHBand="0" w:firstRowFirstColumn="0" w:firstRowLastColumn="0" w:lastRowFirstColumn="0" w:lastRowLastColumn="0"/>
            </w:pPr>
            <w:r w:rsidRPr="00A71645">
              <w:t>Highly varied provincial outcomes; higher life expectancy loss post-2020</w:t>
            </w:r>
          </w:p>
        </w:tc>
      </w:tr>
    </w:tbl>
    <w:p w14:paraId="4AD9E3A5" w14:textId="2F1631FF" w:rsidR="00A71645" w:rsidRDefault="00A71645" w:rsidP="00A71645"/>
    <w:p w14:paraId="0188C4E7" w14:textId="77777777" w:rsidR="00A71645" w:rsidRDefault="00A71645">
      <w:pPr>
        <w:spacing w:line="259" w:lineRule="auto"/>
        <w:jc w:val="left"/>
      </w:pPr>
      <w:r>
        <w:br w:type="page"/>
      </w:r>
    </w:p>
    <w:p w14:paraId="361A39CB" w14:textId="77777777" w:rsidR="00A71645" w:rsidRDefault="00A71645" w:rsidP="00A71645">
      <w:pPr>
        <w:pStyle w:val="Heading1"/>
      </w:pPr>
      <w:bookmarkStart w:id="33" w:name="_Toc216300519"/>
      <w:r>
        <w:lastRenderedPageBreak/>
        <w:t>4. Conclusion</w:t>
      </w:r>
      <w:bookmarkEnd w:id="33"/>
    </w:p>
    <w:p w14:paraId="1E27029F" w14:textId="0806D377" w:rsidR="00A71645" w:rsidRDefault="00A71645" w:rsidP="00A71645">
      <w:r>
        <w:t>This comparative analysis of the COVID-19 responses in Spain, South Korea, and Canada demonstrates a conclusive link between governance structure, leadership adaptability, and health system outcomes. The critical finding is that system resilience and response effectiveness are predicated on institutional preparedness and leadership capable of maximizing institutional strengths and mitigating weaknesses. South Korea’s exemplary performance confirms the efficiency of a centralized, well-prepared public health system operating under Proactive-Transactional Leadership.</w:t>
      </w:r>
      <w:r w:rsidR="00096B73">
        <w:t xml:space="preserve"> </w:t>
      </w:r>
      <w:r>
        <w:t xml:space="preserve">Both Spain and Canada revealed the inherent difficulties of decentralized systems. Spain's high initial death toll resulted from governance fragmentation and reactive leadership, but Salvador Illa’s subsequent demonstration of Situational Leadership adapting from crisis command to collaboration allowed the system to learn and execute a highly efficient vaccination program, proving that structural weaknesses can be overcome through adaptive political will. Canada’s experience demonstrated the limits of even effective Transformational Leadership in a fragmented federal structure; Justin Trudeau’s focus on national solidarity could not overcome the deep-seated coordination failures and variability in provincial policy choice, which resulted in inconsistent outcomes and accountability deficits.   </w:t>
      </w:r>
    </w:p>
    <w:p w14:paraId="7928D8E8" w14:textId="036C8534" w:rsidR="00A71645" w:rsidRDefault="00A71645" w:rsidP="00A71645">
      <w:r>
        <w:t>To improve future health and social care outcomes, the lessons are clear: institutions must prioritize systems thinking by investing proactively in resilient governance (like South Korea’s KDCA reform), ensuring robust data infrastructure, and developing leaders who possess the dexterity to command transactionally during acute phases while maintaining the transformational character necessary to sustain public trust and foster collaboration across jurisdictional divides during prolonged crises.</w:t>
      </w:r>
    </w:p>
    <w:p w14:paraId="753EBD15" w14:textId="02E8BA61" w:rsidR="00A71645" w:rsidRDefault="00A71645">
      <w:pPr>
        <w:spacing w:line="259" w:lineRule="auto"/>
        <w:jc w:val="left"/>
      </w:pPr>
      <w:r>
        <w:br w:type="page"/>
      </w:r>
    </w:p>
    <w:p w14:paraId="3542D682" w14:textId="43424C07" w:rsidR="00A71645" w:rsidRDefault="00A71645" w:rsidP="00A71645">
      <w:pPr>
        <w:pStyle w:val="Heading1"/>
      </w:pPr>
      <w:bookmarkStart w:id="34" w:name="_Toc216300520"/>
      <w:r>
        <w:lastRenderedPageBreak/>
        <w:t>5. References</w:t>
      </w:r>
      <w:bookmarkEnd w:id="34"/>
    </w:p>
    <w:p w14:paraId="717A9606" w14:textId="7EEC24B0" w:rsidR="00BB4EDF" w:rsidRDefault="00BB4EDF" w:rsidP="00BB4EDF">
      <w:r>
        <w:t xml:space="preserve">Aarons, G. (2020). Transformational and Transactional Leadership: Association with Attitudes toward Evidence-Based Practice. </w:t>
      </w:r>
      <w:r>
        <w:rPr>
          <w:i/>
          <w:iCs/>
        </w:rPr>
        <w:t>Psychiatric Services</w:t>
      </w:r>
      <w:r>
        <w:t xml:space="preserve">, [online] 57(8), pp.1162–1169. </w:t>
      </w:r>
      <w:proofErr w:type="spellStart"/>
      <w:r>
        <w:t>doi</w:t>
      </w:r>
      <w:proofErr w:type="spellEnd"/>
      <w:r>
        <w:t xml:space="preserve">: </w:t>
      </w:r>
      <w:hyperlink r:id="rId12" w:history="1">
        <w:r w:rsidRPr="00B007F8">
          <w:rPr>
            <w:rStyle w:val="Hyperlink"/>
          </w:rPr>
          <w:t>https://doi.org/10.1176/appi.ps.57.8.1162</w:t>
        </w:r>
      </w:hyperlink>
      <w:r>
        <w:t>.</w:t>
      </w:r>
    </w:p>
    <w:p w14:paraId="06DA54A7" w14:textId="1410B65E" w:rsidR="00BB4EDF" w:rsidRDefault="00BB4EDF" w:rsidP="00BB4EDF">
      <w:r>
        <w:t>Al-</w:t>
      </w:r>
      <w:proofErr w:type="spellStart"/>
      <w:r>
        <w:t>Rjoub</w:t>
      </w:r>
      <w:proofErr w:type="spellEnd"/>
      <w:r>
        <w:t xml:space="preserve">, S., </w:t>
      </w:r>
      <w:proofErr w:type="spellStart"/>
      <w:r>
        <w:t>Alsharawneh</w:t>
      </w:r>
      <w:proofErr w:type="spellEnd"/>
      <w:r>
        <w:t xml:space="preserve">, A., </w:t>
      </w:r>
      <w:proofErr w:type="spellStart"/>
      <w:r>
        <w:t>Alhawajreh</w:t>
      </w:r>
      <w:proofErr w:type="spellEnd"/>
      <w:r>
        <w:t xml:space="preserve">, M. and Othman, E. (2024). Exploring the Impact of Transformational and Transactional Style of Leadership on Nursing Care Performance and Patient Outcomes. </w:t>
      </w:r>
      <w:r>
        <w:rPr>
          <w:i/>
          <w:iCs/>
        </w:rPr>
        <w:t>Journal of Healthcare Leadership</w:t>
      </w:r>
      <w:r>
        <w:t xml:space="preserve">, [online] 16(16), pp.557–568. </w:t>
      </w:r>
      <w:proofErr w:type="spellStart"/>
      <w:r>
        <w:t>doi</w:t>
      </w:r>
      <w:proofErr w:type="spellEnd"/>
      <w:r>
        <w:t xml:space="preserve">: </w:t>
      </w:r>
      <w:hyperlink r:id="rId13" w:history="1">
        <w:r w:rsidRPr="00B007F8">
          <w:rPr>
            <w:rStyle w:val="Hyperlink"/>
          </w:rPr>
          <w:t>https://doi.org/10.2147/jhl.s496266</w:t>
        </w:r>
      </w:hyperlink>
      <w:r>
        <w:t>.</w:t>
      </w:r>
    </w:p>
    <w:p w14:paraId="00EE3083" w14:textId="6AAD0CDA" w:rsidR="00BB4EDF" w:rsidRDefault="00BB4EDF" w:rsidP="00BB4EDF">
      <w:r>
        <w:t xml:space="preserve">Aleman, E. (2023). Political leadership in times of pandemic in the Spanish State and Euskadi. </w:t>
      </w:r>
      <w:proofErr w:type="spellStart"/>
      <w:r>
        <w:rPr>
          <w:i/>
          <w:iCs/>
        </w:rPr>
        <w:t>Oñati</w:t>
      </w:r>
      <w:proofErr w:type="spellEnd"/>
      <w:r>
        <w:rPr>
          <w:i/>
          <w:iCs/>
        </w:rPr>
        <w:t xml:space="preserve"> Socio-Legal Series</w:t>
      </w:r>
      <w:r>
        <w:t xml:space="preserve">, 13(2), pp.218–252. </w:t>
      </w:r>
      <w:proofErr w:type="spellStart"/>
      <w:r>
        <w:t>doi</w:t>
      </w:r>
      <w:proofErr w:type="spellEnd"/>
      <w:r>
        <w:t xml:space="preserve">: </w:t>
      </w:r>
      <w:hyperlink r:id="rId14" w:history="1">
        <w:r w:rsidRPr="00B007F8">
          <w:rPr>
            <w:rStyle w:val="Hyperlink"/>
          </w:rPr>
          <w:t>https://doi.org/10.35295/osls.iisl/0000-0000-0000-1337</w:t>
        </w:r>
      </w:hyperlink>
      <w:r>
        <w:t>.</w:t>
      </w:r>
    </w:p>
    <w:p w14:paraId="4CC7BAA6" w14:textId="77EE96E5" w:rsidR="00BB4EDF" w:rsidRDefault="00BB4EDF" w:rsidP="00BB4EDF">
      <w:proofErr w:type="spellStart"/>
      <w:r>
        <w:t>Allin</w:t>
      </w:r>
      <w:proofErr w:type="spellEnd"/>
      <w:r>
        <w:t xml:space="preserve">, S., Fitzpatrick, T., </w:t>
      </w:r>
      <w:proofErr w:type="spellStart"/>
      <w:r>
        <w:t>Marchildon</w:t>
      </w:r>
      <w:proofErr w:type="spellEnd"/>
      <w:r>
        <w:t>, G. and Quesnel-</w:t>
      </w:r>
      <w:proofErr w:type="spellStart"/>
      <w:r>
        <w:t>Vallée</w:t>
      </w:r>
      <w:proofErr w:type="spellEnd"/>
      <w:r>
        <w:t xml:space="preserve">, A. (2021). The Federal Government and Canada’s COVID-19 Responses: From ‘We’re ready, we’re prepared’ to ‘Fires are burning’. </w:t>
      </w:r>
      <w:r>
        <w:rPr>
          <w:i/>
          <w:iCs/>
        </w:rPr>
        <w:t>Health Economics, Policy and Law</w:t>
      </w:r>
      <w:r>
        <w:t xml:space="preserve">, 17(1), pp.1–40. </w:t>
      </w:r>
      <w:proofErr w:type="spellStart"/>
      <w:r>
        <w:t>doi</w:t>
      </w:r>
      <w:proofErr w:type="spellEnd"/>
      <w:r>
        <w:t xml:space="preserve">: </w:t>
      </w:r>
      <w:hyperlink r:id="rId15" w:history="1">
        <w:r w:rsidRPr="00B007F8">
          <w:rPr>
            <w:rStyle w:val="Hyperlink"/>
          </w:rPr>
          <w:t>https://doi.org/10.1017/s1744133121000220</w:t>
        </w:r>
      </w:hyperlink>
      <w:r>
        <w:t>.</w:t>
      </w:r>
    </w:p>
    <w:p w14:paraId="255060D4" w14:textId="77777777" w:rsidR="00BB4EDF" w:rsidRDefault="00BB4EDF" w:rsidP="00BB4EDF">
      <w:r>
        <w:t>Andrés Rodríguez-Pose and Vidal-</w:t>
      </w:r>
      <w:proofErr w:type="spellStart"/>
      <w:r>
        <w:t>Bover</w:t>
      </w:r>
      <w:proofErr w:type="spellEnd"/>
      <w:r>
        <w:t xml:space="preserve">, M. (2023). </w:t>
      </w:r>
      <w:r>
        <w:rPr>
          <w:i/>
          <w:iCs/>
        </w:rPr>
        <w:t>Decentralisation, Unfunded Mandates, and the Regional Response to the COVID-19 Pandemic</w:t>
      </w:r>
      <w:r>
        <w:t>.</w:t>
      </w:r>
    </w:p>
    <w:p w14:paraId="179F60E3" w14:textId="796BE1D7" w:rsidR="00BB4EDF" w:rsidRDefault="00BB4EDF" w:rsidP="00BB4EDF">
      <w:r>
        <w:t xml:space="preserve">Ashby, E., </w:t>
      </w:r>
      <w:proofErr w:type="spellStart"/>
      <w:r>
        <w:t>Minicucci</w:t>
      </w:r>
      <w:proofErr w:type="spellEnd"/>
      <w:r>
        <w:t xml:space="preserve">, C., Liao, Q., </w:t>
      </w:r>
      <w:proofErr w:type="spellStart"/>
      <w:r>
        <w:t>Buonsenso</w:t>
      </w:r>
      <w:proofErr w:type="spellEnd"/>
      <w:r>
        <w:t>, D., Sebastián González</w:t>
      </w:r>
      <w:r>
        <w:rPr>
          <w:rFonts w:ascii="Cambria Math" w:hAnsi="Cambria Math" w:cs="Cambria Math"/>
        </w:rPr>
        <w:t>‐</w:t>
      </w:r>
      <w:proofErr w:type="spellStart"/>
      <w:r>
        <w:t>Dambrauskas</w:t>
      </w:r>
      <w:proofErr w:type="spellEnd"/>
      <w:r>
        <w:t xml:space="preserve">, </w:t>
      </w:r>
      <w:proofErr w:type="spellStart"/>
      <w:r>
        <w:t>Obreg</w:t>
      </w:r>
      <w:r>
        <w:rPr>
          <w:rFonts w:cs="Arial"/>
        </w:rPr>
        <w:t>ó</w:t>
      </w:r>
      <w:r>
        <w:t>n</w:t>
      </w:r>
      <w:proofErr w:type="spellEnd"/>
      <w:r>
        <w:t xml:space="preserve">, R., Zahn, M., Hallman, W.K. and John, C.C. (2023). Systems Thinking for Public Health: A Case Study Using U.S. Public Education. </w:t>
      </w:r>
      <w:r>
        <w:rPr>
          <w:i/>
          <w:iCs/>
        </w:rPr>
        <w:t>NAM perspectives</w:t>
      </w:r>
      <w:r>
        <w:t xml:space="preserve">, 11(7). </w:t>
      </w:r>
      <w:proofErr w:type="spellStart"/>
      <w:r>
        <w:t>doi</w:t>
      </w:r>
      <w:proofErr w:type="spellEnd"/>
      <w:r>
        <w:t xml:space="preserve">: </w:t>
      </w:r>
      <w:hyperlink r:id="rId16" w:history="1">
        <w:r w:rsidRPr="00B007F8">
          <w:rPr>
            <w:rStyle w:val="Hyperlink"/>
          </w:rPr>
          <w:t>https://doi.org/10.31478/202311a</w:t>
        </w:r>
      </w:hyperlink>
      <w:r>
        <w:t>.</w:t>
      </w:r>
    </w:p>
    <w:p w14:paraId="58549CF6" w14:textId="10243220" w:rsidR="00BB4EDF" w:rsidRDefault="00BB4EDF" w:rsidP="00BB4EDF">
      <w:r>
        <w:t xml:space="preserve">Asthana, S., Mukherjee, S., Phelan, A.L. and </w:t>
      </w:r>
      <w:proofErr w:type="spellStart"/>
      <w:r>
        <w:t>Standley</w:t>
      </w:r>
      <w:proofErr w:type="spellEnd"/>
      <w:r>
        <w:t xml:space="preserve">, C.J. (2024). Governance and Public Health Decision-Making During the COVID-19 Pandemic: A Scoping Review. </w:t>
      </w:r>
      <w:r>
        <w:rPr>
          <w:i/>
          <w:iCs/>
        </w:rPr>
        <w:t>Public health reviews</w:t>
      </w:r>
      <w:r>
        <w:t xml:space="preserve">, 45. </w:t>
      </w:r>
      <w:proofErr w:type="spellStart"/>
      <w:r>
        <w:t>doi</w:t>
      </w:r>
      <w:proofErr w:type="spellEnd"/>
      <w:r>
        <w:t xml:space="preserve">: </w:t>
      </w:r>
      <w:hyperlink r:id="rId17" w:history="1">
        <w:r w:rsidRPr="00B007F8">
          <w:rPr>
            <w:rStyle w:val="Hyperlink"/>
          </w:rPr>
          <w:t>https://doi.org/10.3389/phrs.2024.1606095</w:t>
        </w:r>
      </w:hyperlink>
      <w:r>
        <w:t>.</w:t>
      </w:r>
    </w:p>
    <w:p w14:paraId="4116618F" w14:textId="739BDE32" w:rsidR="00BB4EDF" w:rsidRDefault="00BB4EDF" w:rsidP="00BB4EDF">
      <w:proofErr w:type="spellStart"/>
      <w:r>
        <w:t>Bezio</w:t>
      </w:r>
      <w:proofErr w:type="spellEnd"/>
      <w:r>
        <w:t xml:space="preserve">, K. (2022). What Pandemics Teach Us About Servant Leadership. </w:t>
      </w:r>
      <w:r>
        <w:rPr>
          <w:i/>
          <w:iCs/>
        </w:rPr>
        <w:t>Interdisciplinary Journal of Leadership Studies Interdisciplinary Journal of Leadership Studies</w:t>
      </w:r>
      <w:r>
        <w:t xml:space="preserve">, [online] 1. Available at: </w:t>
      </w:r>
      <w:hyperlink r:id="rId18" w:history="1">
        <w:r w:rsidRPr="00B007F8">
          <w:rPr>
            <w:rStyle w:val="Hyperlink"/>
          </w:rPr>
          <w:t>https://scholarship.richmond.edu/cgi/viewcontent.cgi?article=1008&amp;context=ijls</w:t>
        </w:r>
      </w:hyperlink>
      <w:r>
        <w:t>.</w:t>
      </w:r>
    </w:p>
    <w:p w14:paraId="12A97CC6" w14:textId="6DDFFE24" w:rsidR="00BB4EDF" w:rsidRDefault="00BB4EDF" w:rsidP="00BB4EDF">
      <w:proofErr w:type="spellStart"/>
      <w:r>
        <w:t>Canan</w:t>
      </w:r>
      <w:proofErr w:type="spellEnd"/>
      <w:r>
        <w:t xml:space="preserve"> </w:t>
      </w:r>
      <w:proofErr w:type="spellStart"/>
      <w:r>
        <w:t>Tercan</w:t>
      </w:r>
      <w:proofErr w:type="spellEnd"/>
      <w:r>
        <w:t xml:space="preserve"> (2025). </w:t>
      </w:r>
      <w:r>
        <w:rPr>
          <w:i/>
          <w:iCs/>
        </w:rPr>
        <w:t>The unyielding leadership of Pedro Sanchez</w:t>
      </w:r>
      <w:r>
        <w:t xml:space="preserve">. [online] Daily Sabah. Available at: </w:t>
      </w:r>
      <w:hyperlink r:id="rId19" w:history="1">
        <w:r w:rsidRPr="00B007F8">
          <w:rPr>
            <w:rStyle w:val="Hyperlink"/>
          </w:rPr>
          <w:t>https://www.dailysabah.com/opinion/op-ed/the-unyielding-leadership-of-pedro-sanchez</w:t>
        </w:r>
      </w:hyperlink>
      <w:r>
        <w:t>.</w:t>
      </w:r>
    </w:p>
    <w:p w14:paraId="6F05F35F" w14:textId="77777777" w:rsidR="00BB4EDF" w:rsidRDefault="00BB4EDF" w:rsidP="00BB4EDF"/>
    <w:p w14:paraId="0B2478E5" w14:textId="30715FF1" w:rsidR="00BB4EDF" w:rsidRDefault="00BB4EDF" w:rsidP="00BB4EDF">
      <w:r>
        <w:lastRenderedPageBreak/>
        <w:t xml:space="preserve">Cho, Y.-M. and Lee, S.G. (2024). Survey study on the Korean quarantine-at-home system for Covid-19: suggestions for improvements. </w:t>
      </w:r>
      <w:r>
        <w:rPr>
          <w:i/>
          <w:iCs/>
        </w:rPr>
        <w:t>Journal of public health policy</w:t>
      </w:r>
      <w:r>
        <w:t xml:space="preserve">, [online] 45(3), pp.431–445. </w:t>
      </w:r>
      <w:proofErr w:type="spellStart"/>
      <w:r>
        <w:t>doi</w:t>
      </w:r>
      <w:proofErr w:type="spellEnd"/>
      <w:r>
        <w:t xml:space="preserve">: </w:t>
      </w:r>
      <w:hyperlink r:id="rId20" w:history="1">
        <w:r w:rsidRPr="00B007F8">
          <w:rPr>
            <w:rStyle w:val="Hyperlink"/>
          </w:rPr>
          <w:t>https://doi.org/10.1057/s41271-024-00489-y</w:t>
        </w:r>
      </w:hyperlink>
      <w:r>
        <w:t>.</w:t>
      </w:r>
    </w:p>
    <w:p w14:paraId="113EAF2D" w14:textId="4B7AAF13" w:rsidR="00BB4EDF" w:rsidRDefault="00BB4EDF" w:rsidP="00BB4EDF">
      <w:r>
        <w:t xml:space="preserve">Choi, K., Choi, H. and </w:t>
      </w:r>
      <w:proofErr w:type="spellStart"/>
      <w:r>
        <w:t>Kahng</w:t>
      </w:r>
      <w:proofErr w:type="spellEnd"/>
      <w:r>
        <w:t xml:space="preserve">, B. (2022). COVID-19 epidemic under the K-quarantine model: Network approach. </w:t>
      </w:r>
      <w:r>
        <w:rPr>
          <w:i/>
          <w:iCs/>
        </w:rPr>
        <w:t>Chaos, Solitons &amp; Fractals</w:t>
      </w:r>
      <w:r>
        <w:t xml:space="preserve">, 157, p.111904. </w:t>
      </w:r>
      <w:proofErr w:type="spellStart"/>
      <w:r>
        <w:t>doi</w:t>
      </w:r>
      <w:proofErr w:type="spellEnd"/>
      <w:r>
        <w:t xml:space="preserve">: </w:t>
      </w:r>
      <w:hyperlink r:id="rId21" w:history="1">
        <w:r w:rsidRPr="00B007F8">
          <w:rPr>
            <w:rStyle w:val="Hyperlink"/>
          </w:rPr>
          <w:t>https://doi.org/10.1016/j.chaos.2022.111904</w:t>
        </w:r>
      </w:hyperlink>
      <w:r>
        <w:t>.</w:t>
      </w:r>
    </w:p>
    <w:p w14:paraId="2CD31DDA" w14:textId="7D826153" w:rsidR="00BB4EDF" w:rsidRDefault="00BB4EDF" w:rsidP="00BB4EDF">
      <w:proofErr w:type="spellStart"/>
      <w:r>
        <w:t>Demeke</w:t>
      </w:r>
      <w:proofErr w:type="spellEnd"/>
      <w:r>
        <w:t xml:space="preserve">, G.K., Engen, M. van and Markos, S. (2024). Servant Leadership in the Healthcare Literature: A Systematic Review. </w:t>
      </w:r>
      <w:r>
        <w:rPr>
          <w:i/>
          <w:iCs/>
        </w:rPr>
        <w:t>Journal of healthcare leadership</w:t>
      </w:r>
      <w:r>
        <w:t xml:space="preserve">, Volume 16(16), pp.1–14. </w:t>
      </w:r>
      <w:proofErr w:type="spellStart"/>
      <w:r>
        <w:t>doi</w:t>
      </w:r>
      <w:proofErr w:type="spellEnd"/>
      <w:r>
        <w:t xml:space="preserve">: </w:t>
      </w:r>
      <w:hyperlink r:id="rId22" w:history="1">
        <w:r w:rsidRPr="00B007F8">
          <w:rPr>
            <w:rStyle w:val="Hyperlink"/>
          </w:rPr>
          <w:t>https://doi.org/10.2147/JHL.S440160</w:t>
        </w:r>
      </w:hyperlink>
      <w:r>
        <w:t>.</w:t>
      </w:r>
    </w:p>
    <w:p w14:paraId="3A2CF921" w14:textId="4E427E6D" w:rsidR="00BB4EDF" w:rsidRDefault="00BB4EDF" w:rsidP="00BB4EDF">
      <w:proofErr w:type="spellStart"/>
      <w:r>
        <w:t>Erkoreka</w:t>
      </w:r>
      <w:proofErr w:type="spellEnd"/>
      <w:r>
        <w:t>, M. and Hernando</w:t>
      </w:r>
      <w:r>
        <w:rPr>
          <w:rFonts w:ascii="Cambria Math" w:hAnsi="Cambria Math" w:cs="Cambria Math"/>
        </w:rPr>
        <w:t>‐</w:t>
      </w:r>
      <w:r>
        <w:t>P</w:t>
      </w:r>
      <w:r>
        <w:rPr>
          <w:rFonts w:cs="Arial"/>
        </w:rPr>
        <w:t>é</w:t>
      </w:r>
      <w:r>
        <w:t>rez, J. (2022). Decentralization: A handicap in fighting the COVID</w:t>
      </w:r>
      <w:r>
        <w:rPr>
          <w:rFonts w:ascii="Cambria Math" w:hAnsi="Cambria Math" w:cs="Cambria Math"/>
        </w:rPr>
        <w:t>‐</w:t>
      </w:r>
      <w:r>
        <w:t xml:space="preserve">19 pandemic? The response of the regional governments in Spain. </w:t>
      </w:r>
      <w:r>
        <w:rPr>
          <w:i/>
          <w:iCs/>
        </w:rPr>
        <w:t>Public Administration and Development</w:t>
      </w:r>
      <w:r>
        <w:t xml:space="preserve">, 43(2). </w:t>
      </w:r>
      <w:proofErr w:type="spellStart"/>
      <w:r>
        <w:t>doi</w:t>
      </w:r>
      <w:proofErr w:type="spellEnd"/>
      <w:r>
        <w:t xml:space="preserve">: </w:t>
      </w:r>
      <w:hyperlink r:id="rId23" w:history="1">
        <w:r w:rsidRPr="00B007F8">
          <w:rPr>
            <w:rStyle w:val="Hyperlink"/>
          </w:rPr>
          <w:t>https://doi.org/10.1002/pad.1988</w:t>
        </w:r>
      </w:hyperlink>
      <w:r>
        <w:t>.</w:t>
      </w:r>
    </w:p>
    <w:p w14:paraId="6A5E4505" w14:textId="526C1BCC" w:rsidR="00BB4EDF" w:rsidRDefault="00BB4EDF" w:rsidP="00BB4EDF">
      <w:proofErr w:type="spellStart"/>
      <w:r>
        <w:t>Esade</w:t>
      </w:r>
      <w:proofErr w:type="spellEnd"/>
      <w:r>
        <w:t xml:space="preserve">. (2021). </w:t>
      </w:r>
      <w:r>
        <w:rPr>
          <w:i/>
          <w:iCs/>
        </w:rPr>
        <w:t xml:space="preserve">Salvador Illa at </w:t>
      </w:r>
      <w:proofErr w:type="spellStart"/>
      <w:r>
        <w:rPr>
          <w:i/>
          <w:iCs/>
        </w:rPr>
        <w:t>Esade</w:t>
      </w:r>
      <w:proofErr w:type="spellEnd"/>
      <w:r>
        <w:rPr>
          <w:i/>
          <w:iCs/>
        </w:rPr>
        <w:t xml:space="preserve">: ‘Managing a pandemic does not allow for partial solutions. It requires us all to get organised and pull together’ - </w:t>
      </w:r>
      <w:proofErr w:type="spellStart"/>
      <w:r>
        <w:rPr>
          <w:i/>
          <w:iCs/>
        </w:rPr>
        <w:t>Esade</w:t>
      </w:r>
      <w:proofErr w:type="spellEnd"/>
      <w:r>
        <w:t xml:space="preserve">. [online] Available at: </w:t>
      </w:r>
      <w:hyperlink r:id="rId24" w:history="1">
        <w:r w:rsidRPr="00B007F8">
          <w:rPr>
            <w:rStyle w:val="Hyperlink"/>
          </w:rPr>
          <w:t>https://www.esade.edu/en/news/salvador-illa-esade-managing-a-pandemic-does-not-allow-for-partial-solutions-it-requires-us</w:t>
        </w:r>
      </w:hyperlink>
      <w:r>
        <w:t>.</w:t>
      </w:r>
    </w:p>
    <w:p w14:paraId="3D8ACF72" w14:textId="417CF51A" w:rsidR="00BB4EDF" w:rsidRDefault="00BB4EDF" w:rsidP="00BB4EDF">
      <w:r>
        <w:t xml:space="preserve">Farhan, B. (2021). A new strategic leadership model for surviving and coping: Lessons from Canada’s leadership approach to COVID-19. </w:t>
      </w:r>
      <w:r>
        <w:rPr>
          <w:i/>
          <w:iCs/>
        </w:rPr>
        <w:t>Cogent Business &amp; Management</w:t>
      </w:r>
      <w:r>
        <w:t xml:space="preserve">, 8(1), p.1883221. </w:t>
      </w:r>
      <w:proofErr w:type="spellStart"/>
      <w:r>
        <w:t>doi</w:t>
      </w:r>
      <w:proofErr w:type="spellEnd"/>
      <w:r>
        <w:t xml:space="preserve">: </w:t>
      </w:r>
      <w:hyperlink r:id="rId25" w:history="1">
        <w:r w:rsidRPr="00B007F8">
          <w:rPr>
            <w:rStyle w:val="Hyperlink"/>
          </w:rPr>
          <w:t>https://doi.org/10.1080/23311975.2021.1883221</w:t>
        </w:r>
      </w:hyperlink>
      <w:r>
        <w:t>.</w:t>
      </w:r>
    </w:p>
    <w:p w14:paraId="11452135" w14:textId="29F8FA94" w:rsidR="00BB4EDF" w:rsidRDefault="00BB4EDF" w:rsidP="00BB4EDF">
      <w:proofErr w:type="spellStart"/>
      <w:r>
        <w:t>Fierlbeck</w:t>
      </w:r>
      <w:proofErr w:type="spellEnd"/>
      <w:r>
        <w:t xml:space="preserve">, K. and </w:t>
      </w:r>
      <w:proofErr w:type="spellStart"/>
      <w:r>
        <w:t>Pawa</w:t>
      </w:r>
      <w:proofErr w:type="spellEnd"/>
      <w:r>
        <w:t xml:space="preserve">, J. (2025). Dynamics of public health federalism in Canada. </w:t>
      </w:r>
      <w:r>
        <w:rPr>
          <w:i/>
          <w:iCs/>
        </w:rPr>
        <w:t>Healthcare management forum</w:t>
      </w:r>
      <w:r>
        <w:t xml:space="preserve">, [online] 38(6), pp.519–525. </w:t>
      </w:r>
      <w:proofErr w:type="spellStart"/>
      <w:r>
        <w:t>doi</w:t>
      </w:r>
      <w:proofErr w:type="spellEnd"/>
      <w:r>
        <w:t xml:space="preserve">: </w:t>
      </w:r>
      <w:hyperlink r:id="rId26" w:history="1">
        <w:r w:rsidRPr="00B007F8">
          <w:rPr>
            <w:rStyle w:val="Hyperlink"/>
          </w:rPr>
          <w:t>https://doi.org/10.1177/08404704251362066</w:t>
        </w:r>
      </w:hyperlink>
      <w:r>
        <w:t>.</w:t>
      </w:r>
    </w:p>
    <w:p w14:paraId="2417AB19" w14:textId="4490CEF6" w:rsidR="00BB4EDF" w:rsidRDefault="00BB4EDF" w:rsidP="00BB4EDF">
      <w:r>
        <w:t xml:space="preserve">Hwang, J. (2025). Pandemic Visions: Contested Trustworthiness and Implementation of Alternative COVID-19 Testing at Seoul National University. </w:t>
      </w:r>
      <w:r>
        <w:rPr>
          <w:i/>
          <w:iCs/>
        </w:rPr>
        <w:t>East Asian Science, Technology and Society: An International Journal</w:t>
      </w:r>
      <w:r>
        <w:t xml:space="preserve">, pp.1–29. </w:t>
      </w:r>
      <w:proofErr w:type="spellStart"/>
      <w:r>
        <w:t>doi</w:t>
      </w:r>
      <w:proofErr w:type="spellEnd"/>
      <w:r>
        <w:t xml:space="preserve">: </w:t>
      </w:r>
      <w:hyperlink r:id="rId27" w:history="1">
        <w:r w:rsidRPr="00B007F8">
          <w:rPr>
            <w:rStyle w:val="Hyperlink"/>
          </w:rPr>
          <w:t>https://doi.org/10.1080/18752160.2025.2550093</w:t>
        </w:r>
      </w:hyperlink>
      <w:r>
        <w:t>.</w:t>
      </w:r>
    </w:p>
    <w:p w14:paraId="3B0BA471" w14:textId="4EB5F412" w:rsidR="00BB4EDF" w:rsidRDefault="00BB4EDF" w:rsidP="00BB4EDF">
      <w:proofErr w:type="spellStart"/>
      <w:r>
        <w:t>Kadria</w:t>
      </w:r>
      <w:proofErr w:type="spellEnd"/>
      <w:r>
        <w:t xml:space="preserve"> Ali Abdel-</w:t>
      </w:r>
      <w:proofErr w:type="spellStart"/>
      <w:r>
        <w:t>Motaal</w:t>
      </w:r>
      <w:proofErr w:type="spellEnd"/>
      <w:r>
        <w:t xml:space="preserve"> and Chun, S. (2025). Governance in Crisis: A Mixed-Methods Analysis of Global Health Governance During COVID-19. </w:t>
      </w:r>
      <w:r>
        <w:rPr>
          <w:i/>
          <w:iCs/>
        </w:rPr>
        <w:t>International Journal of Environmental Research and Public Health</w:t>
      </w:r>
      <w:r>
        <w:t xml:space="preserve">, [online] 22(8), pp.1305–1305. </w:t>
      </w:r>
      <w:proofErr w:type="spellStart"/>
      <w:r>
        <w:t>doi</w:t>
      </w:r>
      <w:proofErr w:type="spellEnd"/>
      <w:r>
        <w:t xml:space="preserve">: </w:t>
      </w:r>
      <w:hyperlink r:id="rId28" w:history="1">
        <w:r w:rsidRPr="00B007F8">
          <w:rPr>
            <w:rStyle w:val="Hyperlink"/>
          </w:rPr>
          <w:t>https://doi.org/10.3390/ijerph22081305</w:t>
        </w:r>
      </w:hyperlink>
      <w:r>
        <w:t>.</w:t>
      </w:r>
    </w:p>
    <w:p w14:paraId="1B44613A" w14:textId="77777777" w:rsidR="00BB4EDF" w:rsidRDefault="00BB4EDF" w:rsidP="00BB4EDF"/>
    <w:p w14:paraId="48B04C08" w14:textId="633837B8" w:rsidR="00BB4EDF" w:rsidRDefault="00BB4EDF" w:rsidP="00BB4EDF">
      <w:r>
        <w:lastRenderedPageBreak/>
        <w:t>Kaul, V., Shah, V.H. and El-</w:t>
      </w:r>
      <w:proofErr w:type="spellStart"/>
      <w:r>
        <w:t>Serag</w:t>
      </w:r>
      <w:proofErr w:type="spellEnd"/>
      <w:r>
        <w:t xml:space="preserve">, H. (2020). Leadership during Crisis: Lessons and Applications from the COVID-19 Pandemic. </w:t>
      </w:r>
      <w:r>
        <w:rPr>
          <w:i/>
          <w:iCs/>
        </w:rPr>
        <w:t>Gastroenterology</w:t>
      </w:r>
      <w:r>
        <w:t xml:space="preserve">, 159(3), pp.809–812. </w:t>
      </w:r>
      <w:proofErr w:type="spellStart"/>
      <w:r>
        <w:t>doi</w:t>
      </w:r>
      <w:proofErr w:type="spellEnd"/>
      <w:r>
        <w:t xml:space="preserve">: </w:t>
      </w:r>
      <w:hyperlink r:id="rId29" w:history="1">
        <w:r w:rsidRPr="00B007F8">
          <w:rPr>
            <w:rStyle w:val="Hyperlink"/>
          </w:rPr>
          <w:t>https://doi.org/10.1053/j.gastro.2020.04.076</w:t>
        </w:r>
      </w:hyperlink>
      <w:r>
        <w:t>.</w:t>
      </w:r>
    </w:p>
    <w:p w14:paraId="2E61A59A" w14:textId="4398BF10" w:rsidR="00BB4EDF" w:rsidRDefault="00BB4EDF" w:rsidP="00BB4EDF">
      <w:r>
        <w:t xml:space="preserve">Koo, J.-W. (2022). Global perceptions of South Korea’s COVID-19 policy responses: Topic </w:t>
      </w:r>
      <w:proofErr w:type="spellStart"/>
      <w:r>
        <w:t>modeling</w:t>
      </w:r>
      <w:proofErr w:type="spellEnd"/>
      <w:r>
        <w:t xml:space="preserve"> with tweets. </w:t>
      </w:r>
      <w:r>
        <w:rPr>
          <w:i/>
          <w:iCs/>
        </w:rPr>
        <w:t>Journal of Human Rights</w:t>
      </w:r>
      <w:r>
        <w:t xml:space="preserve">, 21(3), pp.334–353. </w:t>
      </w:r>
      <w:proofErr w:type="spellStart"/>
      <w:r>
        <w:t>doi</w:t>
      </w:r>
      <w:proofErr w:type="spellEnd"/>
      <w:r>
        <w:t xml:space="preserve">: </w:t>
      </w:r>
      <w:hyperlink r:id="rId30" w:history="1">
        <w:r w:rsidRPr="00B007F8">
          <w:rPr>
            <w:rStyle w:val="Hyperlink"/>
          </w:rPr>
          <w:t>https://doi.org/10.1080/14754835.2022.2080497</w:t>
        </w:r>
      </w:hyperlink>
      <w:r>
        <w:t>.</w:t>
      </w:r>
    </w:p>
    <w:p w14:paraId="731ABE7D" w14:textId="6BF6F836" w:rsidR="00BB4EDF" w:rsidRDefault="00BB4EDF" w:rsidP="00BB4EDF">
      <w:r>
        <w:t xml:space="preserve">Liu, L., </w:t>
      </w:r>
      <w:proofErr w:type="spellStart"/>
      <w:r>
        <w:t>Mirkovski</w:t>
      </w:r>
      <w:proofErr w:type="spellEnd"/>
      <w:r>
        <w:t xml:space="preserve">, K., Lowry, P.B. and Vu, Q. (2023). ‘Do as I say but not as I do’: Influence of political leaders’ populist communication styles on public adherence in a crisis using the global case of COVID-19 movement restrictions. </w:t>
      </w:r>
      <w:r>
        <w:rPr>
          <w:i/>
          <w:iCs/>
        </w:rPr>
        <w:t>Data and Information Management</w:t>
      </w:r>
      <w:r>
        <w:t xml:space="preserve">, [online] 7(2), p.100039. </w:t>
      </w:r>
      <w:proofErr w:type="spellStart"/>
      <w:r>
        <w:t>doi</w:t>
      </w:r>
      <w:proofErr w:type="spellEnd"/>
      <w:r>
        <w:t xml:space="preserve">: </w:t>
      </w:r>
      <w:hyperlink r:id="rId31" w:history="1">
        <w:r w:rsidRPr="00B007F8">
          <w:rPr>
            <w:rStyle w:val="Hyperlink"/>
          </w:rPr>
          <w:t>https://doi.org/10.1016/j.dim.2023.100039</w:t>
        </w:r>
      </w:hyperlink>
      <w:r>
        <w:t>.</w:t>
      </w:r>
    </w:p>
    <w:p w14:paraId="640AAE6E" w14:textId="0ABCAEAB" w:rsidR="00BB4EDF" w:rsidRDefault="00BB4EDF" w:rsidP="00BB4EDF">
      <w:r>
        <w:t xml:space="preserve">Lockett, M., Tamayo, G.C., </w:t>
      </w:r>
      <w:proofErr w:type="spellStart"/>
      <w:r>
        <w:t>Schalet</w:t>
      </w:r>
      <w:proofErr w:type="spellEnd"/>
      <w:r>
        <w:t xml:space="preserve">, B.D., </w:t>
      </w:r>
      <w:proofErr w:type="spellStart"/>
      <w:r>
        <w:t>Reise</w:t>
      </w:r>
      <w:proofErr w:type="spellEnd"/>
      <w:r>
        <w:t xml:space="preserve">, S.P. and </w:t>
      </w:r>
      <w:proofErr w:type="spellStart"/>
      <w:r>
        <w:t>Kimerling</w:t>
      </w:r>
      <w:proofErr w:type="spellEnd"/>
      <w:r>
        <w:t xml:space="preserve">, R. (2025). Changes in healthcare engagement during the COVID-19 pandemic. </w:t>
      </w:r>
      <w:r>
        <w:rPr>
          <w:i/>
          <w:iCs/>
        </w:rPr>
        <w:t>Journal of Patient-Reported Outcomes</w:t>
      </w:r>
      <w:r>
        <w:t xml:space="preserve">, 9(1). </w:t>
      </w:r>
      <w:proofErr w:type="spellStart"/>
      <w:r>
        <w:t>doi</w:t>
      </w:r>
      <w:proofErr w:type="spellEnd"/>
      <w:r>
        <w:t xml:space="preserve">: </w:t>
      </w:r>
      <w:hyperlink r:id="rId32" w:history="1">
        <w:r w:rsidRPr="00B007F8">
          <w:rPr>
            <w:rStyle w:val="Hyperlink"/>
          </w:rPr>
          <w:t>https://doi.org/10.1186/s41687-025-00850-z</w:t>
        </w:r>
      </w:hyperlink>
      <w:r>
        <w:t>.</w:t>
      </w:r>
    </w:p>
    <w:p w14:paraId="08D296E5" w14:textId="203537EE" w:rsidR="00BB4EDF" w:rsidRDefault="00BB4EDF" w:rsidP="00BB4EDF">
      <w:r>
        <w:t xml:space="preserve">Mao, Y. (2024). Why do democracies respond differently to COVID-19? A comparison of the United States and South Korea. </w:t>
      </w:r>
      <w:r>
        <w:rPr>
          <w:i/>
          <w:iCs/>
        </w:rPr>
        <w:t>Frontiers in public health</w:t>
      </w:r>
      <w:r>
        <w:t xml:space="preserve">, 11. </w:t>
      </w:r>
      <w:proofErr w:type="spellStart"/>
      <w:r>
        <w:t>doi</w:t>
      </w:r>
      <w:proofErr w:type="spellEnd"/>
      <w:r>
        <w:t xml:space="preserve">: </w:t>
      </w:r>
      <w:hyperlink r:id="rId33" w:history="1">
        <w:r w:rsidRPr="00B007F8">
          <w:rPr>
            <w:rStyle w:val="Hyperlink"/>
          </w:rPr>
          <w:t>https://doi.org/10.3389/fpubh.2023.1285552</w:t>
        </w:r>
      </w:hyperlink>
      <w:r>
        <w:t>.</w:t>
      </w:r>
    </w:p>
    <w:p w14:paraId="11F37602" w14:textId="50A6274E" w:rsidR="00BB4EDF" w:rsidRDefault="00BB4EDF" w:rsidP="00BB4EDF">
      <w:r>
        <w:t xml:space="preserve">Mathieu, E., Ritchie, H., </w:t>
      </w:r>
      <w:proofErr w:type="spellStart"/>
      <w:r>
        <w:t>Rodés-Guirao</w:t>
      </w:r>
      <w:proofErr w:type="spellEnd"/>
      <w:r>
        <w:t xml:space="preserve">, L., Appel, C., </w:t>
      </w:r>
      <w:proofErr w:type="spellStart"/>
      <w:r>
        <w:t>Gavrilov</w:t>
      </w:r>
      <w:proofErr w:type="spellEnd"/>
      <w:r>
        <w:t xml:space="preserve">, D., </w:t>
      </w:r>
      <w:proofErr w:type="spellStart"/>
      <w:r>
        <w:t>Giattino</w:t>
      </w:r>
      <w:proofErr w:type="spellEnd"/>
      <w:r>
        <w:t xml:space="preserve">, C., </w:t>
      </w:r>
      <w:proofErr w:type="spellStart"/>
      <w:r>
        <w:t>Hasell</w:t>
      </w:r>
      <w:proofErr w:type="spellEnd"/>
      <w:r>
        <w:t xml:space="preserve">, J., Macdonald, B., </w:t>
      </w:r>
      <w:proofErr w:type="spellStart"/>
      <w:r>
        <w:t>Dattani</w:t>
      </w:r>
      <w:proofErr w:type="spellEnd"/>
      <w:r>
        <w:t xml:space="preserve">, S., </w:t>
      </w:r>
      <w:proofErr w:type="spellStart"/>
      <w:r>
        <w:t>Beltekian</w:t>
      </w:r>
      <w:proofErr w:type="spellEnd"/>
      <w:r>
        <w:t xml:space="preserve">, D., Ortiz-Ospina, E. and </w:t>
      </w:r>
      <w:proofErr w:type="spellStart"/>
      <w:r>
        <w:t>Roser</w:t>
      </w:r>
      <w:proofErr w:type="spellEnd"/>
      <w:r>
        <w:t xml:space="preserve">, M. (2024). </w:t>
      </w:r>
      <w:r>
        <w:rPr>
          <w:i/>
          <w:iCs/>
        </w:rPr>
        <w:t>Coronavirus (COVID-19) Vaccinations - Statistics and Research</w:t>
      </w:r>
      <w:r>
        <w:t xml:space="preserve">. [online] Our World in Data. Available at: </w:t>
      </w:r>
      <w:hyperlink r:id="rId34" w:history="1">
        <w:r w:rsidRPr="00B007F8">
          <w:rPr>
            <w:rStyle w:val="Hyperlink"/>
          </w:rPr>
          <w:t>https://ourworldindata.org/covid-vaccinations</w:t>
        </w:r>
      </w:hyperlink>
      <w:r>
        <w:t>.</w:t>
      </w:r>
    </w:p>
    <w:p w14:paraId="4402E1A6" w14:textId="3BD050F1" w:rsidR="00BB4EDF" w:rsidRDefault="00BB4EDF" w:rsidP="00BB4EDF">
      <w:r>
        <w:t xml:space="preserve">Navarro, C. and Velasco, F. (2022). From centralisation to new ways of multi-level coordination: Spain’s intergovernmental response to the COVID-19 pandemic. </w:t>
      </w:r>
      <w:r>
        <w:rPr>
          <w:i/>
          <w:iCs/>
        </w:rPr>
        <w:t>Local Government Studies</w:t>
      </w:r>
      <w:r>
        <w:t xml:space="preserve">, 48(2), pp.1–20. </w:t>
      </w:r>
      <w:proofErr w:type="spellStart"/>
      <w:r>
        <w:t>doi</w:t>
      </w:r>
      <w:proofErr w:type="spellEnd"/>
      <w:r>
        <w:t xml:space="preserve">: </w:t>
      </w:r>
      <w:hyperlink r:id="rId35" w:history="1">
        <w:r w:rsidRPr="00B007F8">
          <w:rPr>
            <w:rStyle w:val="Hyperlink"/>
          </w:rPr>
          <w:t>https://doi.org/10.1080/03003930.2022.2042683</w:t>
        </w:r>
      </w:hyperlink>
      <w:r>
        <w:t>.</w:t>
      </w:r>
    </w:p>
    <w:p w14:paraId="3D977C9D" w14:textId="5B196802" w:rsidR="00BB4EDF" w:rsidRDefault="00BB4EDF" w:rsidP="00BB4EDF">
      <w:r>
        <w:t xml:space="preserve">Nicola, M., </w:t>
      </w:r>
      <w:proofErr w:type="spellStart"/>
      <w:r>
        <w:t>Sohrabi</w:t>
      </w:r>
      <w:proofErr w:type="spellEnd"/>
      <w:r>
        <w:t xml:space="preserve">, C., Mathew, G., </w:t>
      </w:r>
      <w:proofErr w:type="spellStart"/>
      <w:r>
        <w:t>Kerwan</w:t>
      </w:r>
      <w:proofErr w:type="spellEnd"/>
      <w:r>
        <w:t xml:space="preserve">, A., Al-Jabir, A., Griffin, M., Agha, M. and Agha, R. (2020). Health Policy and Leadership Models During the COVID-19 Pandemic- Review Article. </w:t>
      </w:r>
      <w:r>
        <w:rPr>
          <w:i/>
          <w:iCs/>
        </w:rPr>
        <w:t>International Journal of Surgery</w:t>
      </w:r>
      <w:r>
        <w:t xml:space="preserve">, [online] 81(81), pp.122–129. Available at: </w:t>
      </w:r>
      <w:hyperlink r:id="rId36" w:history="1">
        <w:r w:rsidRPr="00B007F8">
          <w:rPr>
            <w:rStyle w:val="Hyperlink"/>
          </w:rPr>
          <w:t>https://www.sciencedirect.com/science/article/pii/S1743919120305616</w:t>
        </w:r>
      </w:hyperlink>
      <w:r>
        <w:t>.</w:t>
      </w:r>
    </w:p>
    <w:p w14:paraId="77946EAB" w14:textId="7B7331B0" w:rsidR="00BB4EDF" w:rsidRDefault="00BB4EDF" w:rsidP="00BB4EDF">
      <w:r>
        <w:t xml:space="preserve">Nour, M.M. and </w:t>
      </w:r>
      <w:proofErr w:type="spellStart"/>
      <w:r>
        <w:t>Kisa</w:t>
      </w:r>
      <w:proofErr w:type="spellEnd"/>
      <w:r>
        <w:t xml:space="preserve">, A. (2024). Political Leaders’ Communication Strategies during COVID-19 in Highly Infected Countries: A Scoping Review. </w:t>
      </w:r>
      <w:r>
        <w:rPr>
          <w:i/>
          <w:iCs/>
        </w:rPr>
        <w:t>Healthcare</w:t>
      </w:r>
      <w:r>
        <w:t xml:space="preserve">, 12(6), pp.607–607. </w:t>
      </w:r>
      <w:proofErr w:type="spellStart"/>
      <w:r>
        <w:t>doi</w:t>
      </w:r>
      <w:proofErr w:type="spellEnd"/>
      <w:r>
        <w:t xml:space="preserve">: </w:t>
      </w:r>
      <w:hyperlink r:id="rId37" w:history="1">
        <w:r w:rsidRPr="00B007F8">
          <w:rPr>
            <w:rStyle w:val="Hyperlink"/>
          </w:rPr>
          <w:t>https://doi.org/10.3390/healthcare12060607</w:t>
        </w:r>
      </w:hyperlink>
      <w:r>
        <w:t>.</w:t>
      </w:r>
    </w:p>
    <w:p w14:paraId="37BB4587" w14:textId="77777777" w:rsidR="00BB4EDF" w:rsidRDefault="00BB4EDF" w:rsidP="00BB4EDF"/>
    <w:p w14:paraId="14669BF2" w14:textId="62681019" w:rsidR="00BB4EDF" w:rsidRDefault="00BB4EDF" w:rsidP="00BB4EDF">
      <w:r>
        <w:lastRenderedPageBreak/>
        <w:t xml:space="preserve">OBS. (2020). </w:t>
      </w:r>
      <w:r>
        <w:rPr>
          <w:i/>
          <w:iCs/>
        </w:rPr>
        <w:t>Analyses</w:t>
      </w:r>
      <w:r>
        <w:t xml:space="preserve">. [online] Available at: </w:t>
      </w:r>
      <w:hyperlink r:id="rId38" w:history="1">
        <w:r w:rsidRPr="00B007F8">
          <w:rPr>
            <w:rStyle w:val="Hyperlink"/>
          </w:rPr>
          <w:t>https://eurohealthobservatory.who.int/monitors/health-systems-monitor/analyses/hspm/spain-2024/spain-creates-a-national-public-health-agency-to-strengthen-public-health-governance</w:t>
        </w:r>
      </w:hyperlink>
    </w:p>
    <w:p w14:paraId="3F795646" w14:textId="16698AB8" w:rsidR="00BB4EDF" w:rsidRDefault="00BB4EDF" w:rsidP="00BB4EDF">
      <w:r>
        <w:t xml:space="preserve">Oliver, N., Barber, X., </w:t>
      </w:r>
      <w:proofErr w:type="spellStart"/>
      <w:r>
        <w:t>Roomp</w:t>
      </w:r>
      <w:proofErr w:type="spellEnd"/>
      <w:r>
        <w:t xml:space="preserve">, K. and </w:t>
      </w:r>
      <w:proofErr w:type="spellStart"/>
      <w:r>
        <w:t>Roomp</w:t>
      </w:r>
      <w:proofErr w:type="spellEnd"/>
      <w:r>
        <w:t xml:space="preserve">, K. (2020). Assessing the Impact of the COVID-19 Pandemic in Spain: Large-Scale, Online, Self-Reported Population Survey. </w:t>
      </w:r>
      <w:r>
        <w:rPr>
          <w:i/>
          <w:iCs/>
        </w:rPr>
        <w:t>Journal of Medical Internet Research</w:t>
      </w:r>
      <w:r>
        <w:t xml:space="preserve">, [online] 22(9), p.e21319. </w:t>
      </w:r>
      <w:proofErr w:type="spellStart"/>
      <w:r>
        <w:t>doi</w:t>
      </w:r>
      <w:proofErr w:type="spellEnd"/>
      <w:r>
        <w:t xml:space="preserve">: </w:t>
      </w:r>
      <w:hyperlink r:id="rId39" w:history="1">
        <w:r w:rsidRPr="00B007F8">
          <w:rPr>
            <w:rStyle w:val="Hyperlink"/>
          </w:rPr>
          <w:t>https://doi.org/10.2196/21319</w:t>
        </w:r>
      </w:hyperlink>
      <w:r>
        <w:t>.</w:t>
      </w:r>
    </w:p>
    <w:p w14:paraId="2CEFA096" w14:textId="06D5F16E" w:rsidR="00BB4EDF" w:rsidRDefault="00BB4EDF" w:rsidP="00BB4EDF">
      <w:r>
        <w:t xml:space="preserve">Penn Today. (2022). </w:t>
      </w:r>
      <w:r>
        <w:rPr>
          <w:i/>
          <w:iCs/>
        </w:rPr>
        <w:t>South Korea’s response to COVID-19: Lessons for the next pandemic</w:t>
      </w:r>
      <w:r>
        <w:t xml:space="preserve">. [online] Available at: </w:t>
      </w:r>
      <w:hyperlink r:id="rId40" w:history="1">
        <w:r w:rsidRPr="00B007F8">
          <w:rPr>
            <w:rStyle w:val="Hyperlink"/>
          </w:rPr>
          <w:t>https://penntoday.upenn.edu/news/pwh-chung-sye-kyun-south-koreas-response-covid-19-lessons-next-pandemic</w:t>
        </w:r>
      </w:hyperlink>
      <w:r>
        <w:t>.</w:t>
      </w:r>
    </w:p>
    <w:p w14:paraId="7FF05635" w14:textId="0789446B" w:rsidR="00BB4EDF" w:rsidRDefault="00BB4EDF" w:rsidP="00BB4EDF">
      <w:proofErr w:type="spellStart"/>
      <w:r>
        <w:t>Polizzi</w:t>
      </w:r>
      <w:proofErr w:type="spellEnd"/>
      <w:r>
        <w:t xml:space="preserve">, A., Zhang, L., Sergey </w:t>
      </w:r>
      <w:proofErr w:type="spellStart"/>
      <w:r>
        <w:t>Timonin</w:t>
      </w:r>
      <w:proofErr w:type="spellEnd"/>
      <w:r>
        <w:t xml:space="preserve">, Gupta, A., Dowd, J.B., Leon, D.A. and </w:t>
      </w:r>
      <w:proofErr w:type="spellStart"/>
      <w:r>
        <w:t>Aburto</w:t>
      </w:r>
      <w:proofErr w:type="spellEnd"/>
      <w:r>
        <w:t xml:space="preserve">, J.M. (2024). Indirect effects of the COVID-19 pandemic: A cause-of-death analysis of life expectancy changes in 24 countries, 2015 to 2022. </w:t>
      </w:r>
      <w:r>
        <w:rPr>
          <w:i/>
          <w:iCs/>
        </w:rPr>
        <w:t>PNAS Nexus</w:t>
      </w:r>
      <w:r>
        <w:t xml:space="preserve">, 4(1). </w:t>
      </w:r>
      <w:proofErr w:type="spellStart"/>
      <w:r>
        <w:t>doi</w:t>
      </w:r>
      <w:proofErr w:type="spellEnd"/>
      <w:r>
        <w:t xml:space="preserve">: </w:t>
      </w:r>
      <w:hyperlink r:id="rId41" w:history="1">
        <w:r w:rsidRPr="00B007F8">
          <w:rPr>
            <w:rStyle w:val="Hyperlink"/>
          </w:rPr>
          <w:t>https://doi.org/10.1093/pnasnexus/pgae508</w:t>
        </w:r>
      </w:hyperlink>
      <w:r>
        <w:t>.</w:t>
      </w:r>
    </w:p>
    <w:p w14:paraId="4228268A" w14:textId="746E23C4" w:rsidR="00BB4EDF" w:rsidRDefault="00BB4EDF" w:rsidP="00BB4EDF">
      <w:r>
        <w:t xml:space="preserve">Public (2024). </w:t>
      </w:r>
      <w:r>
        <w:rPr>
          <w:i/>
          <w:iCs/>
        </w:rPr>
        <w:t>PHAC Science Strategy 2024-2025 to 2029-2030 - Canada.ca</w:t>
      </w:r>
      <w:r>
        <w:t xml:space="preserve">. [online] Canada.ca. Available at: </w:t>
      </w:r>
      <w:hyperlink r:id="rId42" w:history="1">
        <w:r w:rsidRPr="00B007F8">
          <w:rPr>
            <w:rStyle w:val="Hyperlink"/>
          </w:rPr>
          <w:t>https://www.canada.ca/en/public-health/services/publications/science-research-data/science-strategy-2024-2025-2029-2030.html</w:t>
        </w:r>
      </w:hyperlink>
      <w:r>
        <w:t>.</w:t>
      </w:r>
    </w:p>
    <w:p w14:paraId="195B5C91" w14:textId="745A455F" w:rsidR="00BB4EDF" w:rsidRDefault="00BB4EDF" w:rsidP="00BB4EDF">
      <w:r>
        <w:t xml:space="preserve">Ricci, M. (2022). Issue 1 Article 6 1-19-2022 Public Health System is Essential for Future Pandemic Responses. </w:t>
      </w:r>
      <w:r>
        <w:rPr>
          <w:i/>
          <w:iCs/>
        </w:rPr>
        <w:t>Seattle Journal of Technology, Environmental &amp; Innovation Law Seattle Journal of Technology, Environmental &amp; Innovation Law</w:t>
      </w:r>
      <w:r>
        <w:t xml:space="preserve">, [online] 12. Available at: </w:t>
      </w:r>
      <w:hyperlink r:id="rId43" w:history="1">
        <w:r w:rsidRPr="00B007F8">
          <w:rPr>
            <w:rStyle w:val="Hyperlink"/>
          </w:rPr>
          <w:t>https://digitalcommons.law.seattleu.edu/cgi/viewcontent.cgi?article=1033&amp;context=sjteil</w:t>
        </w:r>
      </w:hyperlink>
      <w:r>
        <w:t>.</w:t>
      </w:r>
    </w:p>
    <w:p w14:paraId="60FAF7BF" w14:textId="67B1D178" w:rsidR="00BB4EDF" w:rsidRDefault="00BB4EDF" w:rsidP="00BB4EDF">
      <w:proofErr w:type="spellStart"/>
      <w:r>
        <w:t>Royo</w:t>
      </w:r>
      <w:proofErr w:type="spellEnd"/>
      <w:r>
        <w:t>, S. (2020). Responding to COVID</w:t>
      </w:r>
      <w:r>
        <w:rPr>
          <w:rFonts w:ascii="Cambria Math" w:hAnsi="Cambria Math" w:cs="Cambria Math"/>
        </w:rPr>
        <w:t>‐</w:t>
      </w:r>
      <w:r>
        <w:t xml:space="preserve">19: The Case of Spain. </w:t>
      </w:r>
      <w:r>
        <w:rPr>
          <w:i/>
          <w:iCs/>
        </w:rPr>
        <w:t>European Policy Analysis</w:t>
      </w:r>
      <w:r>
        <w:t xml:space="preserve">, 6(2). </w:t>
      </w:r>
      <w:proofErr w:type="spellStart"/>
      <w:r>
        <w:t>doi</w:t>
      </w:r>
      <w:proofErr w:type="spellEnd"/>
      <w:r>
        <w:t xml:space="preserve">: </w:t>
      </w:r>
      <w:hyperlink r:id="rId44" w:history="1">
        <w:r w:rsidRPr="00B007F8">
          <w:rPr>
            <w:rStyle w:val="Hyperlink"/>
          </w:rPr>
          <w:t>https://doi.org/10.1002/epa2.1099</w:t>
        </w:r>
      </w:hyperlink>
      <w:r>
        <w:t>.</w:t>
      </w:r>
    </w:p>
    <w:p w14:paraId="16FF48C2" w14:textId="26AB270B" w:rsidR="00BB4EDF" w:rsidRDefault="00BB4EDF" w:rsidP="00BB4EDF">
      <w:r>
        <w:t xml:space="preserve">Ryu, S.-K. and Chung, S.-G. (2021). Korea’s Early COVID-19 Response: Findings and Implications. </w:t>
      </w:r>
      <w:r>
        <w:rPr>
          <w:i/>
          <w:iCs/>
        </w:rPr>
        <w:t>International Journal of Environmental Research and Public Health</w:t>
      </w:r>
      <w:r>
        <w:t xml:space="preserve">, 18(16), p.8316. </w:t>
      </w:r>
      <w:proofErr w:type="spellStart"/>
      <w:r>
        <w:t>doi</w:t>
      </w:r>
      <w:proofErr w:type="spellEnd"/>
      <w:r>
        <w:t xml:space="preserve">: </w:t>
      </w:r>
      <w:hyperlink r:id="rId45" w:history="1">
        <w:r w:rsidRPr="00B007F8">
          <w:rPr>
            <w:rStyle w:val="Hyperlink"/>
          </w:rPr>
          <w:t>https://doi.org/10.3390/ijerph18168316</w:t>
        </w:r>
      </w:hyperlink>
      <w:r>
        <w:t>.</w:t>
      </w:r>
    </w:p>
    <w:p w14:paraId="5A97034E" w14:textId="699390E9" w:rsidR="00BB4EDF" w:rsidRDefault="00BB4EDF" w:rsidP="00BB4EDF">
      <w:proofErr w:type="spellStart"/>
      <w:r>
        <w:t>Seijts</w:t>
      </w:r>
      <w:proofErr w:type="spellEnd"/>
      <w:r>
        <w:t xml:space="preserve">, G., de </w:t>
      </w:r>
      <w:proofErr w:type="spellStart"/>
      <w:r>
        <w:t>Clercy</w:t>
      </w:r>
      <w:proofErr w:type="spellEnd"/>
      <w:r>
        <w:t xml:space="preserve">, C. and Miller, R. (2022). Character and Trust in Crisis Leadership: Probing the Relationships Among Character, Identification-Based Trust, and Perceptions of Effectiveness in Political Leadership During the COVID-19 Pandemic. </w:t>
      </w:r>
      <w:r>
        <w:rPr>
          <w:i/>
          <w:iCs/>
        </w:rPr>
        <w:t xml:space="preserve">The Journal of Applied </w:t>
      </w:r>
      <w:proofErr w:type="spellStart"/>
      <w:r>
        <w:rPr>
          <w:i/>
          <w:iCs/>
        </w:rPr>
        <w:t>Behavioral</w:t>
      </w:r>
      <w:proofErr w:type="spellEnd"/>
      <w:r>
        <w:rPr>
          <w:i/>
          <w:iCs/>
        </w:rPr>
        <w:t xml:space="preserve"> Science</w:t>
      </w:r>
      <w:r>
        <w:t xml:space="preserve">, 59(1), p.002188632211106. </w:t>
      </w:r>
      <w:proofErr w:type="spellStart"/>
      <w:r>
        <w:t>doi</w:t>
      </w:r>
      <w:proofErr w:type="spellEnd"/>
      <w:r>
        <w:t xml:space="preserve">: </w:t>
      </w:r>
      <w:hyperlink r:id="rId46" w:history="1">
        <w:r w:rsidRPr="00B007F8">
          <w:rPr>
            <w:rStyle w:val="Hyperlink"/>
          </w:rPr>
          <w:t>https://doi.org/10.1177/00218863221110627</w:t>
        </w:r>
      </w:hyperlink>
      <w:r>
        <w:t>.</w:t>
      </w:r>
    </w:p>
    <w:p w14:paraId="4C8093CB" w14:textId="77777777" w:rsidR="00BB4EDF" w:rsidRDefault="00BB4EDF" w:rsidP="00BB4EDF"/>
    <w:p w14:paraId="6E66B674" w14:textId="6559917E" w:rsidR="00BB4EDF" w:rsidRDefault="00BB4EDF" w:rsidP="00BB4EDF">
      <w:proofErr w:type="spellStart"/>
      <w:r>
        <w:lastRenderedPageBreak/>
        <w:t>Silburn</w:t>
      </w:r>
      <w:proofErr w:type="spellEnd"/>
      <w:r>
        <w:t xml:space="preserve">, A. (2025). Systems thinking in public health policy development. </w:t>
      </w:r>
      <w:r>
        <w:rPr>
          <w:i/>
          <w:iCs/>
        </w:rPr>
        <w:t>Frontiers in Health Services</w:t>
      </w:r>
      <w:r>
        <w:t xml:space="preserve">, 5. </w:t>
      </w:r>
      <w:proofErr w:type="spellStart"/>
      <w:r>
        <w:t>doi</w:t>
      </w:r>
      <w:proofErr w:type="spellEnd"/>
      <w:r>
        <w:t xml:space="preserve">: </w:t>
      </w:r>
      <w:hyperlink r:id="rId47" w:history="1">
        <w:r w:rsidRPr="00B007F8">
          <w:rPr>
            <w:rStyle w:val="Hyperlink"/>
          </w:rPr>
          <w:t>https://doi.org/10.3389/frhs.2025.1555284</w:t>
        </w:r>
      </w:hyperlink>
      <w:r>
        <w:t>.</w:t>
      </w:r>
    </w:p>
    <w:p w14:paraId="7572684A" w14:textId="18203918" w:rsidR="00BB4EDF" w:rsidRDefault="00BB4EDF" w:rsidP="00BB4EDF">
      <w:proofErr w:type="spellStart"/>
      <w:r>
        <w:t>Sriharan</w:t>
      </w:r>
      <w:proofErr w:type="spellEnd"/>
      <w:r>
        <w:t xml:space="preserve">, A., </w:t>
      </w:r>
      <w:proofErr w:type="spellStart"/>
      <w:r>
        <w:t>Hertelendy</w:t>
      </w:r>
      <w:proofErr w:type="spellEnd"/>
      <w:r>
        <w:t xml:space="preserve">, A.J., Banaszak-Holl, J., </w:t>
      </w:r>
      <w:proofErr w:type="spellStart"/>
      <w:r>
        <w:t>Fleig</w:t>
      </w:r>
      <w:proofErr w:type="spellEnd"/>
      <w:r>
        <w:t xml:space="preserve">-Palmer, M.M., Mitchell, C., Nigam, A., </w:t>
      </w:r>
      <w:proofErr w:type="spellStart"/>
      <w:r>
        <w:t>Gutberg</w:t>
      </w:r>
      <w:proofErr w:type="spellEnd"/>
      <w:r>
        <w:t xml:space="preserve">, J., Rapp, D.J. and Singer, S.J. (2021). Public health and health sector crisis leadership during pandemics: A review of the medical and business literature. </w:t>
      </w:r>
      <w:r>
        <w:rPr>
          <w:i/>
          <w:iCs/>
        </w:rPr>
        <w:t>Medical Care Research and Review</w:t>
      </w:r>
      <w:r>
        <w:t xml:space="preserve">, [online] 79(4), p.107755872110392. Available at: </w:t>
      </w:r>
      <w:hyperlink r:id="rId48" w:history="1">
        <w:r w:rsidRPr="00B007F8">
          <w:rPr>
            <w:rStyle w:val="Hyperlink"/>
          </w:rPr>
          <w:t>https://doi.org/10.1177%2F10775587211039201</w:t>
        </w:r>
      </w:hyperlink>
      <w:r>
        <w:t>.</w:t>
      </w:r>
    </w:p>
    <w:p w14:paraId="4117CB4E" w14:textId="04134263" w:rsidR="00BB4EDF" w:rsidRDefault="00BB4EDF" w:rsidP="00BB4EDF">
      <w:r>
        <w:t xml:space="preserve">Susana (2020). </w:t>
      </w:r>
      <w:r>
        <w:rPr>
          <w:i/>
          <w:iCs/>
        </w:rPr>
        <w:t>Old Norms and New Challenges in Spain’s Response to COVID-19 | The Regulatory Review</w:t>
      </w:r>
      <w:r>
        <w:t xml:space="preserve">. [online] The Regulatory Review. Available at: </w:t>
      </w:r>
      <w:hyperlink r:id="rId49" w:history="1">
        <w:r w:rsidRPr="00B007F8">
          <w:rPr>
            <w:rStyle w:val="Hyperlink"/>
          </w:rPr>
          <w:t>https://www.theregreview.org/2020/05/20/de-la-sierra-old-norms-new-challenges-spain-response-covid-19/</w:t>
        </w:r>
      </w:hyperlink>
    </w:p>
    <w:p w14:paraId="48DF42E1" w14:textId="40CAED75" w:rsidR="00BB4EDF" w:rsidRDefault="00BB4EDF" w:rsidP="00BB4EDF">
      <w:proofErr w:type="spellStart"/>
      <w:r>
        <w:t>Teruel</w:t>
      </w:r>
      <w:proofErr w:type="spellEnd"/>
      <w:r>
        <w:t xml:space="preserve">, J.R., Pino, E. del and Real-Dato, J. (2023). The Limits of Power Concentration and Expert Knowledge in Emergency Management: Spain’s Government Response during the First Phase of the Covid-19 Pandemic. </w:t>
      </w:r>
      <w:r>
        <w:rPr>
          <w:i/>
          <w:iCs/>
        </w:rPr>
        <w:t>South European Society and Politics</w:t>
      </w:r>
      <w:r>
        <w:t xml:space="preserve">, 27(4), pp.1–33. </w:t>
      </w:r>
      <w:proofErr w:type="spellStart"/>
      <w:r>
        <w:t>doi</w:t>
      </w:r>
      <w:proofErr w:type="spellEnd"/>
      <w:r>
        <w:t xml:space="preserve">: </w:t>
      </w:r>
      <w:hyperlink r:id="rId50" w:history="1">
        <w:r w:rsidRPr="00B007F8">
          <w:rPr>
            <w:rStyle w:val="Hyperlink"/>
          </w:rPr>
          <w:t>https://doi.org/10.1080/13608746.2022.2091861</w:t>
        </w:r>
      </w:hyperlink>
      <w:r>
        <w:t>.</w:t>
      </w:r>
    </w:p>
    <w:p w14:paraId="38159FE2" w14:textId="766C9776" w:rsidR="00BB4EDF" w:rsidRDefault="00BB4EDF" w:rsidP="00BB4EDF">
      <w:proofErr w:type="spellStart"/>
      <w:r>
        <w:t>Yoo</w:t>
      </w:r>
      <w:proofErr w:type="spellEnd"/>
      <w:r>
        <w:t xml:space="preserve">, K.J., Kwon, S., Choi, Y. and </w:t>
      </w:r>
      <w:proofErr w:type="spellStart"/>
      <w:r>
        <w:t>Bishai</w:t>
      </w:r>
      <w:proofErr w:type="spellEnd"/>
      <w:r>
        <w:t xml:space="preserve">, D.M. (2021). Systematic assessment of South Korea’s capabilities to control COVID-19. </w:t>
      </w:r>
      <w:r>
        <w:rPr>
          <w:i/>
          <w:iCs/>
        </w:rPr>
        <w:t>Health Policy</w:t>
      </w:r>
      <w:r>
        <w:t xml:space="preserve">, 125(5). </w:t>
      </w:r>
      <w:proofErr w:type="spellStart"/>
      <w:r>
        <w:t>doi</w:t>
      </w:r>
      <w:proofErr w:type="spellEnd"/>
      <w:r>
        <w:t xml:space="preserve">: </w:t>
      </w:r>
      <w:hyperlink r:id="rId51" w:history="1">
        <w:r w:rsidRPr="00B007F8">
          <w:rPr>
            <w:rStyle w:val="Hyperlink"/>
          </w:rPr>
          <w:t>https://doi.org/10.1016/j.healthpol.2021.02.011</w:t>
        </w:r>
      </w:hyperlink>
      <w:r>
        <w:t>.</w:t>
      </w:r>
    </w:p>
    <w:p w14:paraId="30A37B64" w14:textId="4A533273" w:rsidR="00BB4EDF" w:rsidRDefault="00BB4EDF" w:rsidP="00BB4EDF">
      <w:r>
        <w:t xml:space="preserve">Zhao, L., </w:t>
      </w:r>
      <w:proofErr w:type="spellStart"/>
      <w:r>
        <w:t>Jin</w:t>
      </w:r>
      <w:proofErr w:type="spellEnd"/>
      <w:r>
        <w:t xml:space="preserve">, Y., Zhou, L., Yang, P., Qian, Y., Huang, X. and Min, M. (2023). Evaluation of health system resilience in 60 countries based on their responses to COVID-19. [online] 10. </w:t>
      </w:r>
      <w:proofErr w:type="spellStart"/>
      <w:r>
        <w:t>doi</w:t>
      </w:r>
      <w:proofErr w:type="spellEnd"/>
      <w:r>
        <w:t xml:space="preserve">: </w:t>
      </w:r>
      <w:hyperlink r:id="rId52" w:history="1">
        <w:r w:rsidRPr="00B007F8">
          <w:rPr>
            <w:rStyle w:val="Hyperlink"/>
          </w:rPr>
          <w:t>https://doi.org/10.3389/fpubh.2022.1081068</w:t>
        </w:r>
      </w:hyperlink>
      <w:r>
        <w:t>.</w:t>
      </w:r>
    </w:p>
    <w:p w14:paraId="4762A669" w14:textId="77777777" w:rsidR="00BB4EDF" w:rsidRDefault="00BB4EDF" w:rsidP="00BB4EDF"/>
    <w:p w14:paraId="616B73FE" w14:textId="77777777" w:rsidR="00A71645" w:rsidRDefault="00A71645" w:rsidP="00A71645"/>
    <w:sectPr w:rsidR="00A71645">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24B10" w14:textId="77777777" w:rsidR="001050FB" w:rsidRDefault="001050FB" w:rsidP="00BB4EDF">
      <w:pPr>
        <w:spacing w:after="0" w:line="240" w:lineRule="auto"/>
      </w:pPr>
      <w:r>
        <w:separator/>
      </w:r>
    </w:p>
  </w:endnote>
  <w:endnote w:type="continuationSeparator" w:id="0">
    <w:p w14:paraId="243D76DB" w14:textId="77777777" w:rsidR="001050FB" w:rsidRDefault="001050FB" w:rsidP="00BB4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8665559"/>
      <w:docPartObj>
        <w:docPartGallery w:val="Page Numbers (Bottom of Page)"/>
        <w:docPartUnique/>
      </w:docPartObj>
    </w:sdtPr>
    <w:sdtEndPr>
      <w:rPr>
        <w:color w:val="7F7F7F" w:themeColor="background1" w:themeShade="7F"/>
        <w:spacing w:val="60"/>
      </w:rPr>
    </w:sdtEndPr>
    <w:sdtContent>
      <w:p w14:paraId="6E707F1F" w14:textId="0FA72266" w:rsidR="00BB4EDF" w:rsidRDefault="00BB4ED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5AA060E" w14:textId="77777777" w:rsidR="00BB4EDF" w:rsidRDefault="00BB4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427E7" w14:textId="77777777" w:rsidR="001050FB" w:rsidRDefault="001050FB" w:rsidP="00BB4EDF">
      <w:pPr>
        <w:spacing w:after="0" w:line="240" w:lineRule="auto"/>
      </w:pPr>
      <w:r>
        <w:separator/>
      </w:r>
    </w:p>
  </w:footnote>
  <w:footnote w:type="continuationSeparator" w:id="0">
    <w:p w14:paraId="39195071" w14:textId="77777777" w:rsidR="001050FB" w:rsidRDefault="001050FB" w:rsidP="00BB4E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756E7"/>
    <w:multiLevelType w:val="hybridMultilevel"/>
    <w:tmpl w:val="49222130"/>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0F5294"/>
    <w:multiLevelType w:val="hybridMultilevel"/>
    <w:tmpl w:val="5A667ACE"/>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7AC"/>
    <w:rsid w:val="00096B73"/>
    <w:rsid w:val="000F63EC"/>
    <w:rsid w:val="001050FB"/>
    <w:rsid w:val="00426A00"/>
    <w:rsid w:val="00436189"/>
    <w:rsid w:val="005D01DC"/>
    <w:rsid w:val="00600093"/>
    <w:rsid w:val="006D67AC"/>
    <w:rsid w:val="0070675C"/>
    <w:rsid w:val="008F5886"/>
    <w:rsid w:val="008F63C4"/>
    <w:rsid w:val="009109B0"/>
    <w:rsid w:val="00917C3C"/>
    <w:rsid w:val="00955F96"/>
    <w:rsid w:val="00984C03"/>
    <w:rsid w:val="009C5216"/>
    <w:rsid w:val="00A71645"/>
    <w:rsid w:val="00AC1F30"/>
    <w:rsid w:val="00BB4EDF"/>
    <w:rsid w:val="00C12E49"/>
    <w:rsid w:val="00C14A13"/>
    <w:rsid w:val="00C80C26"/>
    <w:rsid w:val="00D277A3"/>
    <w:rsid w:val="00E46585"/>
    <w:rsid w:val="00E64813"/>
    <w:rsid w:val="00FE6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28594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A00"/>
    <w:pPr>
      <w:spacing w:line="360" w:lineRule="auto"/>
      <w:jc w:val="both"/>
    </w:pPr>
    <w:rPr>
      <w:rFonts w:ascii="Arial" w:hAnsi="Arial"/>
    </w:rPr>
  </w:style>
  <w:style w:type="paragraph" w:styleId="Heading1">
    <w:name w:val="heading 1"/>
    <w:basedOn w:val="Normal"/>
    <w:next w:val="Normal"/>
    <w:link w:val="Heading1Char"/>
    <w:autoRedefine/>
    <w:uiPriority w:val="9"/>
    <w:qFormat/>
    <w:rsid w:val="00C80C26"/>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C80C26"/>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C80C26"/>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80C26"/>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C80C26"/>
    <w:rPr>
      <w:rFonts w:ascii="Arial" w:eastAsiaTheme="majorEastAsia" w:hAnsi="Arial" w:cstheme="majorBidi"/>
      <w:color w:val="2F5496" w:themeColor="accent1" w:themeShade="BF"/>
      <w:sz w:val="32"/>
      <w:szCs w:val="32"/>
    </w:rPr>
  </w:style>
  <w:style w:type="table" w:styleId="GridTable4-Accent4">
    <w:name w:val="Grid Table 4 Accent 4"/>
    <w:basedOn w:val="TableNormal"/>
    <w:uiPriority w:val="49"/>
    <w:rsid w:val="00C80C26"/>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7Colorful-Accent5">
    <w:name w:val="Grid Table 7 Colorful Accent 5"/>
    <w:basedOn w:val="TableNormal"/>
    <w:uiPriority w:val="52"/>
    <w:rsid w:val="00C80C26"/>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paragraph" w:styleId="ListParagraph">
    <w:name w:val="List Paragraph"/>
    <w:basedOn w:val="Normal"/>
    <w:uiPriority w:val="34"/>
    <w:qFormat/>
    <w:rsid w:val="00C80C26"/>
    <w:pPr>
      <w:ind w:left="720"/>
      <w:contextualSpacing/>
    </w:pPr>
  </w:style>
  <w:style w:type="character" w:customStyle="1" w:styleId="Heading3Char">
    <w:name w:val="Heading 3 Char"/>
    <w:basedOn w:val="DefaultParagraphFont"/>
    <w:link w:val="Heading3"/>
    <w:uiPriority w:val="9"/>
    <w:rsid w:val="00C80C26"/>
    <w:rPr>
      <w:rFonts w:ascii="Arial" w:eastAsiaTheme="majorEastAsia" w:hAnsi="Arial" w:cstheme="majorBidi"/>
      <w:color w:val="1F3763" w:themeColor="accent1" w:themeShade="7F"/>
      <w:sz w:val="26"/>
      <w:szCs w:val="24"/>
    </w:rPr>
  </w:style>
  <w:style w:type="table" w:styleId="TableGrid">
    <w:name w:val="Table Grid"/>
    <w:basedOn w:val="TableNormal"/>
    <w:uiPriority w:val="39"/>
    <w:rsid w:val="005D01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5D01D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NormalWeb">
    <w:name w:val="Normal (Web)"/>
    <w:basedOn w:val="Normal"/>
    <w:uiPriority w:val="99"/>
    <w:semiHidden/>
    <w:unhideWhenUsed/>
    <w:rsid w:val="00BB4EDF"/>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B4E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EDF"/>
    <w:rPr>
      <w:rFonts w:ascii="Arial" w:hAnsi="Arial"/>
    </w:rPr>
  </w:style>
  <w:style w:type="paragraph" w:styleId="Footer">
    <w:name w:val="footer"/>
    <w:basedOn w:val="Normal"/>
    <w:link w:val="FooterChar"/>
    <w:uiPriority w:val="99"/>
    <w:unhideWhenUsed/>
    <w:rsid w:val="00BB4E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EDF"/>
    <w:rPr>
      <w:rFonts w:ascii="Arial" w:hAnsi="Arial"/>
    </w:rPr>
  </w:style>
  <w:style w:type="character" w:styleId="Hyperlink">
    <w:name w:val="Hyperlink"/>
    <w:basedOn w:val="DefaultParagraphFont"/>
    <w:uiPriority w:val="99"/>
    <w:unhideWhenUsed/>
    <w:rsid w:val="00BB4EDF"/>
    <w:rPr>
      <w:color w:val="0563C1" w:themeColor="hyperlink"/>
      <w:u w:val="single"/>
    </w:rPr>
  </w:style>
  <w:style w:type="character" w:styleId="UnresolvedMention">
    <w:name w:val="Unresolved Mention"/>
    <w:basedOn w:val="DefaultParagraphFont"/>
    <w:uiPriority w:val="99"/>
    <w:semiHidden/>
    <w:unhideWhenUsed/>
    <w:rsid w:val="00BB4EDF"/>
    <w:rPr>
      <w:color w:val="605E5C"/>
      <w:shd w:val="clear" w:color="auto" w:fill="E1DFDD"/>
    </w:rPr>
  </w:style>
  <w:style w:type="paragraph" w:styleId="TOCHeading">
    <w:name w:val="TOC Heading"/>
    <w:basedOn w:val="Heading1"/>
    <w:next w:val="Normal"/>
    <w:uiPriority w:val="39"/>
    <w:unhideWhenUsed/>
    <w:qFormat/>
    <w:rsid w:val="00096B73"/>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096B73"/>
    <w:pPr>
      <w:spacing w:after="100"/>
    </w:pPr>
  </w:style>
  <w:style w:type="paragraph" w:styleId="TOC2">
    <w:name w:val="toc 2"/>
    <w:basedOn w:val="Normal"/>
    <w:next w:val="Normal"/>
    <w:autoRedefine/>
    <w:uiPriority w:val="39"/>
    <w:unhideWhenUsed/>
    <w:rsid w:val="00096B73"/>
    <w:pPr>
      <w:spacing w:after="100"/>
      <w:ind w:left="220"/>
    </w:pPr>
  </w:style>
  <w:style w:type="paragraph" w:styleId="TOC3">
    <w:name w:val="toc 3"/>
    <w:basedOn w:val="Normal"/>
    <w:next w:val="Normal"/>
    <w:autoRedefine/>
    <w:uiPriority w:val="39"/>
    <w:unhideWhenUsed/>
    <w:rsid w:val="00096B7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738973">
      <w:bodyDiv w:val="1"/>
      <w:marLeft w:val="0"/>
      <w:marRight w:val="0"/>
      <w:marTop w:val="0"/>
      <w:marBottom w:val="0"/>
      <w:divBdr>
        <w:top w:val="none" w:sz="0" w:space="0" w:color="auto"/>
        <w:left w:val="none" w:sz="0" w:space="0" w:color="auto"/>
        <w:bottom w:val="none" w:sz="0" w:space="0" w:color="auto"/>
        <w:right w:val="none" w:sz="0" w:space="0" w:color="auto"/>
      </w:divBdr>
    </w:div>
    <w:div w:id="1483888173">
      <w:bodyDiv w:val="1"/>
      <w:marLeft w:val="0"/>
      <w:marRight w:val="0"/>
      <w:marTop w:val="0"/>
      <w:marBottom w:val="0"/>
      <w:divBdr>
        <w:top w:val="none" w:sz="0" w:space="0" w:color="auto"/>
        <w:left w:val="none" w:sz="0" w:space="0" w:color="auto"/>
        <w:bottom w:val="none" w:sz="0" w:space="0" w:color="auto"/>
        <w:right w:val="none" w:sz="0" w:space="0" w:color="auto"/>
      </w:divBdr>
      <w:divsChild>
        <w:div w:id="10276339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47/jhl.s496266" TargetMode="External"/><Relationship Id="rId18" Type="http://schemas.openxmlformats.org/officeDocument/2006/relationships/hyperlink" Target="https://scholarship.richmond.edu/cgi/viewcontent.cgi?article=1008&amp;context=ijls" TargetMode="External"/><Relationship Id="rId26" Type="http://schemas.openxmlformats.org/officeDocument/2006/relationships/hyperlink" Target="https://doi.org/10.1177/08404704251362066" TargetMode="External"/><Relationship Id="rId39" Type="http://schemas.openxmlformats.org/officeDocument/2006/relationships/hyperlink" Target="https://doi.org/10.2196/21319" TargetMode="External"/><Relationship Id="rId21" Type="http://schemas.openxmlformats.org/officeDocument/2006/relationships/hyperlink" Target="https://doi.org/10.1016/j.chaos.2022.111904" TargetMode="External"/><Relationship Id="rId34" Type="http://schemas.openxmlformats.org/officeDocument/2006/relationships/hyperlink" Target="https://ourworldindata.org/covid-vaccinations" TargetMode="External"/><Relationship Id="rId42" Type="http://schemas.openxmlformats.org/officeDocument/2006/relationships/hyperlink" Target="https://www.canada.ca/en/public-health/services/publications/science-research-data/science-strategy-2024-2025-2029-2030.html" TargetMode="External"/><Relationship Id="rId47" Type="http://schemas.openxmlformats.org/officeDocument/2006/relationships/hyperlink" Target="https://doi.org/10.3389/frhs.2025.1555284" TargetMode="External"/><Relationship Id="rId50" Type="http://schemas.openxmlformats.org/officeDocument/2006/relationships/hyperlink" Target="https://doi.org/10.1080/13608746.2022.2091861"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1478/202311a" TargetMode="External"/><Relationship Id="rId29" Type="http://schemas.openxmlformats.org/officeDocument/2006/relationships/hyperlink" Target="https://doi.org/10.1053/j.gastro.2020.04.076" TargetMode="External"/><Relationship Id="rId11" Type="http://schemas.openxmlformats.org/officeDocument/2006/relationships/image" Target="media/image4.jpeg"/><Relationship Id="rId24" Type="http://schemas.openxmlformats.org/officeDocument/2006/relationships/hyperlink" Target="https://www.esade.edu/en/news/salvador-illa-esade-managing-a-pandemic-does-not-allow-for-partial-solutions-it-requires-us" TargetMode="External"/><Relationship Id="rId32" Type="http://schemas.openxmlformats.org/officeDocument/2006/relationships/hyperlink" Target="https://doi.org/10.1186/s41687-025-00850-z" TargetMode="External"/><Relationship Id="rId37" Type="http://schemas.openxmlformats.org/officeDocument/2006/relationships/hyperlink" Target="https://doi.org/10.3390/healthcare12060607" TargetMode="External"/><Relationship Id="rId40" Type="http://schemas.openxmlformats.org/officeDocument/2006/relationships/hyperlink" Target="https://penntoday.upenn.edu/news/pwh-chung-sye-kyun-south-koreas-response-covid-19-lessons-next-pandemic" TargetMode="External"/><Relationship Id="rId45" Type="http://schemas.openxmlformats.org/officeDocument/2006/relationships/hyperlink" Target="https://doi.org/10.3390/ijerph18168316"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hyperlink" Target="https://www.dailysabah.com/opinion/op-ed/the-unyielding-leadership-of-pedro-sanchez" TargetMode="External"/><Relationship Id="rId31" Type="http://schemas.openxmlformats.org/officeDocument/2006/relationships/hyperlink" Target="https://doi.org/10.1016/j.dim.2023.100039" TargetMode="External"/><Relationship Id="rId44" Type="http://schemas.openxmlformats.org/officeDocument/2006/relationships/hyperlink" Target="https://doi.org/10.1002/epa2.1099" TargetMode="External"/><Relationship Id="rId52" Type="http://schemas.openxmlformats.org/officeDocument/2006/relationships/hyperlink" Target="https://doi.org/10.3389/fpubh.2022.108106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35295/osls.iisl/0000-0000-0000-1337" TargetMode="External"/><Relationship Id="rId22" Type="http://schemas.openxmlformats.org/officeDocument/2006/relationships/hyperlink" Target="https://doi.org/10.2147/JHL.S440160" TargetMode="External"/><Relationship Id="rId27" Type="http://schemas.openxmlformats.org/officeDocument/2006/relationships/hyperlink" Target="https://doi.org/10.1080/18752160.2025.2550093" TargetMode="External"/><Relationship Id="rId30" Type="http://schemas.openxmlformats.org/officeDocument/2006/relationships/hyperlink" Target="https://doi.org/10.1080/14754835.2022.2080497" TargetMode="External"/><Relationship Id="rId35" Type="http://schemas.openxmlformats.org/officeDocument/2006/relationships/hyperlink" Target="https://doi.org/10.1080/03003930.2022.2042683" TargetMode="External"/><Relationship Id="rId43" Type="http://schemas.openxmlformats.org/officeDocument/2006/relationships/hyperlink" Target="https://digitalcommons.law.seattleu.edu/cgi/viewcontent.cgi?article=1033&amp;context=sjteil" TargetMode="External"/><Relationship Id="rId48" Type="http://schemas.openxmlformats.org/officeDocument/2006/relationships/hyperlink" Target="https://doi.org/10.1177%2F10775587211039201" TargetMode="External"/><Relationship Id="rId8" Type="http://schemas.openxmlformats.org/officeDocument/2006/relationships/image" Target="media/image1.jpeg"/><Relationship Id="rId51" Type="http://schemas.openxmlformats.org/officeDocument/2006/relationships/hyperlink" Target="https://doi.org/10.1016/j.healthpol.2021.02.011" TargetMode="External"/><Relationship Id="rId3" Type="http://schemas.openxmlformats.org/officeDocument/2006/relationships/styles" Target="styles.xml"/><Relationship Id="rId12" Type="http://schemas.openxmlformats.org/officeDocument/2006/relationships/hyperlink" Target="https://doi.org/10.1176/appi.ps.57.8.1162" TargetMode="External"/><Relationship Id="rId17" Type="http://schemas.openxmlformats.org/officeDocument/2006/relationships/hyperlink" Target="https://doi.org/10.3389/phrs.2024.1606095" TargetMode="External"/><Relationship Id="rId25" Type="http://schemas.openxmlformats.org/officeDocument/2006/relationships/hyperlink" Target="https://doi.org/10.1080/23311975.2021.1883221" TargetMode="External"/><Relationship Id="rId33" Type="http://schemas.openxmlformats.org/officeDocument/2006/relationships/hyperlink" Target="https://doi.org/10.3389/fpubh.2023.1285552" TargetMode="External"/><Relationship Id="rId38" Type="http://schemas.openxmlformats.org/officeDocument/2006/relationships/hyperlink" Target="https://eurohealthobservatory.who.int/monitors/health-systems-monitor/analyses/hspm/spain-2024/spain-creates-a-national-public-health-agency-to-strengthen-public-health-governance" TargetMode="External"/><Relationship Id="rId46" Type="http://schemas.openxmlformats.org/officeDocument/2006/relationships/hyperlink" Target="https://doi.org/10.1177/00218863221110627" TargetMode="External"/><Relationship Id="rId20" Type="http://schemas.openxmlformats.org/officeDocument/2006/relationships/hyperlink" Target="https://doi.org/10.1057/s41271-024-00489-y" TargetMode="External"/><Relationship Id="rId41" Type="http://schemas.openxmlformats.org/officeDocument/2006/relationships/hyperlink" Target="https://doi.org/10.1093/pnasnexus/pgae508"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7/s1744133121000220" TargetMode="External"/><Relationship Id="rId23" Type="http://schemas.openxmlformats.org/officeDocument/2006/relationships/hyperlink" Target="https://doi.org/10.1002/pad.1988" TargetMode="External"/><Relationship Id="rId28" Type="http://schemas.openxmlformats.org/officeDocument/2006/relationships/hyperlink" Target="https://doi.org/10.3390/ijerph22081305" TargetMode="External"/><Relationship Id="rId36" Type="http://schemas.openxmlformats.org/officeDocument/2006/relationships/hyperlink" Target="https://www.sciencedirect.com/science/article/pii/S1743919120305616" TargetMode="External"/><Relationship Id="rId49" Type="http://schemas.openxmlformats.org/officeDocument/2006/relationships/hyperlink" Target="https://www.theregreview.org/2020/05/20/de-la-sierra-old-norms-new-challenges-spain-response-covid-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2676FA-93D8-4EBD-9CC5-28FBA7046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8472</Words>
  <Characters>48291</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2025-12-10T17:08:00Z</dcterms:created>
  <dcterms:modified xsi:type="dcterms:W3CDTF">2025-12-15T11:31:00Z</dcterms:modified>
</cp:coreProperties>
</file>