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23068" w14:textId="77777777" w:rsidR="00190217" w:rsidRPr="000D784C" w:rsidRDefault="00190217" w:rsidP="00190217">
      <w:pPr>
        <w:jc w:val="center"/>
        <w:rPr>
          <w:rFonts w:cstheme="minorHAnsi"/>
          <w:sz w:val="24"/>
          <w:szCs w:val="24"/>
        </w:rPr>
      </w:pPr>
      <w:r w:rsidRPr="000D784C">
        <w:rPr>
          <w:rFonts w:cstheme="minorHAnsi"/>
          <w:sz w:val="24"/>
          <w:szCs w:val="24"/>
        </w:rPr>
        <w:t>Communicating and Counselling</w:t>
      </w:r>
    </w:p>
    <w:p w14:paraId="7AF016AB" w14:textId="77777777" w:rsidR="00190217" w:rsidRPr="000D784C" w:rsidRDefault="00190217" w:rsidP="00190217">
      <w:pPr>
        <w:jc w:val="center"/>
        <w:rPr>
          <w:rFonts w:cstheme="minorHAnsi"/>
          <w:sz w:val="24"/>
          <w:szCs w:val="24"/>
        </w:rPr>
      </w:pPr>
      <w:r w:rsidRPr="000D784C">
        <w:rPr>
          <w:rFonts w:cstheme="minorHAnsi"/>
          <w:sz w:val="24"/>
          <w:szCs w:val="24"/>
        </w:rPr>
        <w:t>Video Critique</w:t>
      </w:r>
    </w:p>
    <w:p w14:paraId="65783E46" w14:textId="77777777" w:rsidR="00190217" w:rsidRPr="000D784C" w:rsidRDefault="00190217">
      <w:pPr>
        <w:rPr>
          <w:rFonts w:cstheme="minorHAnsi"/>
          <w:sz w:val="24"/>
          <w:szCs w:val="24"/>
        </w:rPr>
      </w:pPr>
    </w:p>
    <w:p w14:paraId="3C5131AE" w14:textId="06A40DA9" w:rsidR="001850AC" w:rsidRPr="000D784C" w:rsidRDefault="00190217">
      <w:pPr>
        <w:rPr>
          <w:rFonts w:cstheme="minorHAnsi"/>
          <w:sz w:val="24"/>
          <w:szCs w:val="24"/>
        </w:rPr>
      </w:pPr>
      <w:r w:rsidRPr="000D784C">
        <w:rPr>
          <w:rFonts w:cstheme="minorHAnsi"/>
          <w:sz w:val="24"/>
          <w:szCs w:val="24"/>
        </w:rPr>
        <w:t xml:space="preserve"> </w:t>
      </w:r>
      <w:r w:rsidR="005D498F" w:rsidRPr="000D784C">
        <w:rPr>
          <w:rFonts w:cstheme="minorHAnsi"/>
          <w:sz w:val="24"/>
          <w:szCs w:val="24"/>
        </w:rPr>
        <w:t xml:space="preserve">  </w:t>
      </w:r>
      <w:r w:rsidR="001850AC" w:rsidRPr="000D784C">
        <w:rPr>
          <w:rFonts w:cstheme="minorHAnsi"/>
          <w:sz w:val="24"/>
          <w:szCs w:val="24"/>
        </w:rPr>
        <w:t>This assignment will discuss the video critique of Carl Rogers and his client Gloria</w:t>
      </w:r>
      <w:r w:rsidR="0035171A" w:rsidRPr="000D784C">
        <w:rPr>
          <w:rFonts w:cstheme="minorHAnsi"/>
          <w:sz w:val="24"/>
          <w:szCs w:val="24"/>
        </w:rPr>
        <w:t xml:space="preserve">, discussing the difference between congruence and incongruence. Allowing the reader to </w:t>
      </w:r>
      <w:r w:rsidR="00F560CF" w:rsidRPr="000D784C">
        <w:rPr>
          <w:rFonts w:cstheme="minorHAnsi"/>
          <w:sz w:val="24"/>
          <w:szCs w:val="24"/>
        </w:rPr>
        <w:t>differentiate</w:t>
      </w:r>
      <w:r w:rsidR="0035171A" w:rsidRPr="000D784C">
        <w:rPr>
          <w:rFonts w:cstheme="minorHAnsi"/>
          <w:sz w:val="24"/>
          <w:szCs w:val="24"/>
        </w:rPr>
        <w:t xml:space="preserve"> between the client and the counsellors body language and how the counsellor </w:t>
      </w:r>
      <w:r w:rsidR="00F560CF" w:rsidRPr="000D784C">
        <w:rPr>
          <w:rFonts w:cstheme="minorHAnsi"/>
          <w:sz w:val="24"/>
          <w:szCs w:val="24"/>
        </w:rPr>
        <w:t>applies</w:t>
      </w:r>
      <w:r w:rsidR="0035171A" w:rsidRPr="000D784C">
        <w:rPr>
          <w:rFonts w:cstheme="minorHAnsi"/>
          <w:sz w:val="24"/>
          <w:szCs w:val="24"/>
        </w:rPr>
        <w:t xml:space="preserve"> the core conditions for a therapeutic approach with his client. </w:t>
      </w:r>
      <w:r w:rsidR="00F560CF" w:rsidRPr="000D784C">
        <w:rPr>
          <w:rFonts w:cstheme="minorHAnsi"/>
          <w:sz w:val="24"/>
          <w:szCs w:val="24"/>
        </w:rPr>
        <w:t xml:space="preserve">It will also discover how the importance of communication and counselling effects the health and care settings and how they provide care. </w:t>
      </w:r>
    </w:p>
    <w:p w14:paraId="631EE93F" w14:textId="67471F17" w:rsidR="005D498F" w:rsidRPr="000D784C" w:rsidRDefault="005D498F">
      <w:pPr>
        <w:rPr>
          <w:rFonts w:cstheme="minorHAnsi"/>
          <w:sz w:val="24"/>
          <w:szCs w:val="24"/>
        </w:rPr>
      </w:pPr>
      <w:r w:rsidRPr="000D784C">
        <w:rPr>
          <w:rFonts w:cstheme="minorHAnsi"/>
          <w:sz w:val="24"/>
          <w:szCs w:val="24"/>
        </w:rPr>
        <w:t xml:space="preserve">  </w:t>
      </w:r>
      <w:r w:rsidR="001850AC" w:rsidRPr="000D784C">
        <w:rPr>
          <w:rFonts w:cstheme="minorHAnsi"/>
          <w:sz w:val="24"/>
          <w:szCs w:val="24"/>
        </w:rPr>
        <w:t xml:space="preserve">Upon entering the </w:t>
      </w:r>
      <w:r w:rsidR="002546AF" w:rsidRPr="000D784C">
        <w:rPr>
          <w:rFonts w:cstheme="minorHAnsi"/>
          <w:sz w:val="24"/>
          <w:szCs w:val="24"/>
        </w:rPr>
        <w:t>room,</w:t>
      </w:r>
      <w:r w:rsidR="001850AC" w:rsidRPr="000D784C">
        <w:rPr>
          <w:rFonts w:cstheme="minorHAnsi"/>
          <w:sz w:val="24"/>
          <w:szCs w:val="24"/>
        </w:rPr>
        <w:t xml:space="preserve"> it is evident that Gloria is incongruent. </w:t>
      </w:r>
      <w:r w:rsidR="00B74C20" w:rsidRPr="000D784C">
        <w:rPr>
          <w:rFonts w:cstheme="minorHAnsi"/>
          <w:sz w:val="24"/>
          <w:szCs w:val="24"/>
        </w:rPr>
        <w:t xml:space="preserve"> </w:t>
      </w:r>
      <w:r w:rsidR="001850AC" w:rsidRPr="000D784C">
        <w:rPr>
          <w:rFonts w:cstheme="minorHAnsi"/>
          <w:sz w:val="24"/>
          <w:szCs w:val="24"/>
        </w:rPr>
        <w:t xml:space="preserve">Thorne and Lambers (1998) and </w:t>
      </w:r>
      <w:proofErr w:type="spellStart"/>
      <w:r w:rsidR="001850AC" w:rsidRPr="000D784C">
        <w:rPr>
          <w:rFonts w:cstheme="minorHAnsi"/>
          <w:sz w:val="24"/>
          <w:szCs w:val="24"/>
        </w:rPr>
        <w:t>Berking</w:t>
      </w:r>
      <w:proofErr w:type="spellEnd"/>
      <w:r w:rsidR="00A82B88" w:rsidRPr="000D784C">
        <w:rPr>
          <w:rFonts w:cstheme="minorHAnsi"/>
          <w:sz w:val="24"/>
          <w:szCs w:val="24"/>
        </w:rPr>
        <w:t xml:space="preserve">, Grosse </w:t>
      </w:r>
      <w:proofErr w:type="spellStart"/>
      <w:r w:rsidR="00A82B88" w:rsidRPr="000D784C">
        <w:rPr>
          <w:rFonts w:cstheme="minorHAnsi"/>
          <w:sz w:val="24"/>
          <w:szCs w:val="24"/>
        </w:rPr>
        <w:t>Holtforth</w:t>
      </w:r>
      <w:proofErr w:type="spellEnd"/>
      <w:r w:rsidR="00A82B88" w:rsidRPr="000D784C">
        <w:rPr>
          <w:rFonts w:cstheme="minorHAnsi"/>
          <w:sz w:val="24"/>
          <w:szCs w:val="24"/>
        </w:rPr>
        <w:t xml:space="preserve"> and Jacobi (2003) champion the resemblance that incongruence is where a client does not represent the feelings that they have, to the actions a client may be presenting. It can be a difference between reality and self-awareness. </w:t>
      </w:r>
      <w:r w:rsidR="00B74C20" w:rsidRPr="000D784C">
        <w:rPr>
          <w:rFonts w:cstheme="minorHAnsi"/>
          <w:sz w:val="24"/>
          <w:szCs w:val="24"/>
        </w:rPr>
        <w:t xml:space="preserve"> </w:t>
      </w:r>
      <w:r w:rsidR="00A82B88" w:rsidRPr="000D784C">
        <w:rPr>
          <w:rFonts w:cstheme="minorHAnsi"/>
          <w:sz w:val="24"/>
          <w:szCs w:val="24"/>
        </w:rPr>
        <w:t>This is demonstrated in Gloria by</w:t>
      </w:r>
      <w:r w:rsidR="00B74C20" w:rsidRPr="000D784C">
        <w:rPr>
          <w:rFonts w:cstheme="minorHAnsi"/>
          <w:sz w:val="24"/>
          <w:szCs w:val="24"/>
        </w:rPr>
        <w:t xml:space="preserve"> Gloria</w:t>
      </w:r>
      <w:r w:rsidR="00A82B88" w:rsidRPr="000D784C">
        <w:rPr>
          <w:rFonts w:cstheme="minorHAnsi"/>
          <w:sz w:val="24"/>
          <w:szCs w:val="24"/>
        </w:rPr>
        <w:t xml:space="preserve"> behav</w:t>
      </w:r>
      <w:r w:rsidR="00604778" w:rsidRPr="000D784C">
        <w:rPr>
          <w:rFonts w:cstheme="minorHAnsi"/>
          <w:sz w:val="24"/>
          <w:szCs w:val="24"/>
        </w:rPr>
        <w:t xml:space="preserve">ing and explaining that she is nervous, Gloria speaks in a low </w:t>
      </w:r>
      <w:r w:rsidR="00EC2D17" w:rsidRPr="000D784C">
        <w:rPr>
          <w:rFonts w:cstheme="minorHAnsi"/>
          <w:sz w:val="24"/>
          <w:szCs w:val="24"/>
        </w:rPr>
        <w:t>voice,</w:t>
      </w:r>
      <w:r w:rsidR="00604778" w:rsidRPr="000D784C">
        <w:rPr>
          <w:rFonts w:cstheme="minorHAnsi"/>
          <w:sz w:val="24"/>
          <w:szCs w:val="24"/>
        </w:rPr>
        <w:t xml:space="preserve"> but Carl can hear the tremor in her voice due to Gloria shaking and taking many deep breaths in</w:t>
      </w:r>
      <w:r w:rsidR="00581635" w:rsidRPr="000D784C">
        <w:rPr>
          <w:rFonts w:cstheme="minorHAnsi"/>
          <w:sz w:val="24"/>
          <w:szCs w:val="24"/>
        </w:rPr>
        <w:t xml:space="preserve">; Gloria is hesitant to speak and fills the gaps of conversation with </w:t>
      </w:r>
      <w:r w:rsidR="008114E1" w:rsidRPr="000D784C">
        <w:rPr>
          <w:rFonts w:cstheme="minorHAnsi"/>
          <w:sz w:val="24"/>
          <w:szCs w:val="24"/>
        </w:rPr>
        <w:t>discourse markers</w:t>
      </w:r>
      <w:r w:rsidR="002A7D78" w:rsidRPr="000D784C">
        <w:rPr>
          <w:rFonts w:cstheme="minorHAnsi"/>
          <w:sz w:val="24"/>
          <w:szCs w:val="24"/>
        </w:rPr>
        <w:t xml:space="preserve"> such as using ums and ah</w:t>
      </w:r>
      <w:r w:rsidR="008114E1" w:rsidRPr="000D784C">
        <w:rPr>
          <w:rFonts w:cstheme="minorHAnsi"/>
          <w:sz w:val="24"/>
          <w:szCs w:val="24"/>
        </w:rPr>
        <w:t>’</w:t>
      </w:r>
      <w:r w:rsidR="002A7D78" w:rsidRPr="000D784C">
        <w:rPr>
          <w:rFonts w:cstheme="minorHAnsi"/>
          <w:sz w:val="24"/>
          <w:szCs w:val="24"/>
        </w:rPr>
        <w:t>s</w:t>
      </w:r>
      <w:r w:rsidR="00604778" w:rsidRPr="000D784C">
        <w:rPr>
          <w:rFonts w:cstheme="minorHAnsi"/>
          <w:sz w:val="24"/>
          <w:szCs w:val="24"/>
        </w:rPr>
        <w:t xml:space="preserve">.  At the beginning of the session Gloria </w:t>
      </w:r>
      <w:r w:rsidR="00581635" w:rsidRPr="000D784C">
        <w:rPr>
          <w:rFonts w:cstheme="minorHAnsi"/>
          <w:sz w:val="24"/>
          <w:szCs w:val="24"/>
        </w:rPr>
        <w:t>is very fidgety, constantly moving her hand</w:t>
      </w:r>
      <w:r w:rsidR="0037327F" w:rsidRPr="000D784C">
        <w:rPr>
          <w:rFonts w:cstheme="minorHAnsi"/>
          <w:sz w:val="24"/>
          <w:szCs w:val="24"/>
        </w:rPr>
        <w:t xml:space="preserve"> in her lap whilst her other hand is placed at the back of the seat</w:t>
      </w:r>
      <w:r w:rsidR="00581635" w:rsidRPr="000D784C">
        <w:rPr>
          <w:rFonts w:cstheme="minorHAnsi"/>
          <w:sz w:val="24"/>
          <w:szCs w:val="24"/>
        </w:rPr>
        <w:t xml:space="preserve"> and moving her head from side to side and shrugs </w:t>
      </w:r>
      <w:r w:rsidR="00EC2D17" w:rsidRPr="000D784C">
        <w:rPr>
          <w:rFonts w:cstheme="minorHAnsi"/>
          <w:sz w:val="24"/>
          <w:szCs w:val="24"/>
        </w:rPr>
        <w:t>her head when she discusses her life. Gloria is sat far back in the chair but i</w:t>
      </w:r>
      <w:r w:rsidR="00A82B88" w:rsidRPr="000D784C">
        <w:rPr>
          <w:rFonts w:cstheme="minorHAnsi"/>
          <w:sz w:val="24"/>
          <w:szCs w:val="24"/>
        </w:rPr>
        <w:t xml:space="preserve">n contrast </w:t>
      </w:r>
      <w:r w:rsidR="00B74C20" w:rsidRPr="000D784C">
        <w:rPr>
          <w:rFonts w:cstheme="minorHAnsi"/>
          <w:sz w:val="24"/>
          <w:szCs w:val="24"/>
        </w:rPr>
        <w:t>to Gloria’s behaviour and body language, Carl Rogers body language shows that he is congruent</w:t>
      </w:r>
      <w:r w:rsidR="00581635" w:rsidRPr="000D784C">
        <w:rPr>
          <w:rFonts w:cstheme="minorHAnsi"/>
          <w:sz w:val="24"/>
          <w:szCs w:val="24"/>
        </w:rPr>
        <w:t xml:space="preserve"> sitting forward in the chair, leaning toward Gloria, engaged and expressing his openness</w:t>
      </w:r>
      <w:r w:rsidR="00B74C20" w:rsidRPr="000D784C">
        <w:rPr>
          <w:rFonts w:cstheme="minorHAnsi"/>
          <w:sz w:val="24"/>
          <w:szCs w:val="24"/>
        </w:rPr>
        <w:t xml:space="preserve">.  According to </w:t>
      </w:r>
      <w:proofErr w:type="spellStart"/>
      <w:r w:rsidR="00B74C20" w:rsidRPr="000D784C">
        <w:rPr>
          <w:rFonts w:cstheme="minorHAnsi"/>
          <w:sz w:val="24"/>
          <w:szCs w:val="24"/>
        </w:rPr>
        <w:t>Sutanti</w:t>
      </w:r>
      <w:proofErr w:type="spellEnd"/>
      <w:r w:rsidR="00B74C20" w:rsidRPr="000D784C">
        <w:rPr>
          <w:rFonts w:cstheme="minorHAnsi"/>
          <w:sz w:val="24"/>
          <w:szCs w:val="24"/>
        </w:rPr>
        <w:t xml:space="preserve"> (2020) congruence is a relationship where a counsellor can be authentic, empathetic and genuine with the client, which allows a calm trustworthy experience and environment. </w:t>
      </w:r>
      <w:r w:rsidR="00A82B88" w:rsidRPr="000D784C">
        <w:rPr>
          <w:rFonts w:cstheme="minorHAnsi"/>
          <w:sz w:val="24"/>
          <w:szCs w:val="24"/>
        </w:rPr>
        <w:t xml:space="preserve"> </w:t>
      </w:r>
      <w:r w:rsidR="00B74C20" w:rsidRPr="000D784C">
        <w:rPr>
          <w:rFonts w:cstheme="minorHAnsi"/>
          <w:sz w:val="24"/>
          <w:szCs w:val="24"/>
        </w:rPr>
        <w:t>This is shown by Carl Rogers immediately and right the way through the session.  Carl Ro</w:t>
      </w:r>
      <w:r w:rsidR="00604778" w:rsidRPr="000D784C">
        <w:rPr>
          <w:rFonts w:cstheme="minorHAnsi"/>
          <w:sz w:val="24"/>
          <w:szCs w:val="24"/>
        </w:rPr>
        <w:t xml:space="preserve">gers explains that he will be transparent, open and honest, that he will not portray as fake or pretend to like a client or agree with them if he does not feel that way or take that stance. </w:t>
      </w:r>
      <w:r w:rsidRPr="000D784C">
        <w:rPr>
          <w:rFonts w:cstheme="minorHAnsi"/>
          <w:sz w:val="24"/>
          <w:szCs w:val="24"/>
        </w:rPr>
        <w:t xml:space="preserve"> </w:t>
      </w:r>
      <w:r w:rsidR="00EC2D17" w:rsidRPr="000D784C">
        <w:rPr>
          <w:rFonts w:cstheme="minorHAnsi"/>
          <w:sz w:val="24"/>
          <w:szCs w:val="24"/>
        </w:rPr>
        <w:t>When Gloria is speaking Carl Rogers will react and smile at some statements that are made</w:t>
      </w:r>
      <w:r w:rsidRPr="000D784C">
        <w:rPr>
          <w:rFonts w:cstheme="minorHAnsi"/>
          <w:sz w:val="24"/>
          <w:szCs w:val="24"/>
        </w:rPr>
        <w:t>, this shows that Carl Rogers is actively listening and being empathetic.  Bohart and Greenberg (1997), Clarke (2007) and Book (1988) refer to empathy as seeing a client’s world, thoughts and feelings as they would see and feel them, being empathetic toward the understanding of what a client has been through, going through or feels.  A client needs to feel that they are being understood, acknowledged and heard to accept and sense the true empathy.</w:t>
      </w:r>
    </w:p>
    <w:p w14:paraId="7E0ED0A6" w14:textId="60D7B785" w:rsidR="008F1DCA" w:rsidRPr="000D784C" w:rsidRDefault="005D498F">
      <w:pPr>
        <w:rPr>
          <w:rFonts w:cstheme="minorHAnsi"/>
          <w:sz w:val="24"/>
          <w:szCs w:val="24"/>
        </w:rPr>
      </w:pPr>
      <w:r w:rsidRPr="000D784C">
        <w:rPr>
          <w:rFonts w:cstheme="minorHAnsi"/>
          <w:sz w:val="24"/>
          <w:szCs w:val="24"/>
        </w:rPr>
        <w:t xml:space="preserve">  </w:t>
      </w:r>
      <w:r w:rsidR="002546AF" w:rsidRPr="000D784C">
        <w:rPr>
          <w:rFonts w:cstheme="minorHAnsi"/>
          <w:sz w:val="24"/>
          <w:szCs w:val="24"/>
        </w:rPr>
        <w:t xml:space="preserve">When speaking Gloria tends to have a nervous laugh </w:t>
      </w:r>
      <w:r w:rsidR="002546AF" w:rsidRPr="000D784C">
        <w:rPr>
          <w:rFonts w:cstheme="minorHAnsi"/>
          <w:sz w:val="24"/>
          <w:szCs w:val="24"/>
        </w:rPr>
        <w:t xml:space="preserve">which is reciprocated by Carl Rogers in a more soothing and comfortable laugh.  </w:t>
      </w:r>
      <w:r w:rsidR="00E1699D" w:rsidRPr="000D784C">
        <w:rPr>
          <w:rFonts w:cstheme="minorHAnsi"/>
          <w:sz w:val="24"/>
          <w:szCs w:val="24"/>
        </w:rPr>
        <w:t xml:space="preserve">Kelly and True (1980) and Edelmann et al (1984) all observe that non-verbal communication can have a positive empathetic impact when communicating with an individual or client.  This can be done by nodding the head, eye contact, open body language and open hand gestures.  This allows the client to feel the openness and congruence of the therapist.  </w:t>
      </w:r>
      <w:r w:rsidRPr="000D784C">
        <w:rPr>
          <w:rFonts w:cstheme="minorHAnsi"/>
          <w:sz w:val="24"/>
          <w:szCs w:val="24"/>
        </w:rPr>
        <w:t>Carl Rogers has very consistent eye contact</w:t>
      </w:r>
      <w:r w:rsidR="002546AF" w:rsidRPr="000D784C">
        <w:rPr>
          <w:rFonts w:cstheme="minorHAnsi"/>
          <w:sz w:val="24"/>
          <w:szCs w:val="24"/>
        </w:rPr>
        <w:t xml:space="preserve"> with Gloria, ensuring that Gloria is aware he is listening and understanding what she is saying to him</w:t>
      </w:r>
      <w:r w:rsidR="00DB1E6E" w:rsidRPr="000D784C">
        <w:rPr>
          <w:rFonts w:cstheme="minorHAnsi"/>
          <w:sz w:val="24"/>
          <w:szCs w:val="24"/>
        </w:rPr>
        <w:t xml:space="preserve">, which ultimately allows her to become more relaxed, open and receptive to Carl </w:t>
      </w:r>
      <w:r w:rsidR="00DB1E6E" w:rsidRPr="000D784C">
        <w:rPr>
          <w:rFonts w:cstheme="minorHAnsi"/>
          <w:sz w:val="24"/>
          <w:szCs w:val="24"/>
        </w:rPr>
        <w:lastRenderedPageBreak/>
        <w:t>Rogers, letting down her guard and communicating better, allowing the level of trust to improve, equalling Gloria to become congruent</w:t>
      </w:r>
      <w:r w:rsidR="0037327F" w:rsidRPr="000D784C">
        <w:rPr>
          <w:rFonts w:cstheme="minorHAnsi"/>
          <w:sz w:val="24"/>
          <w:szCs w:val="24"/>
        </w:rPr>
        <w:t xml:space="preserve"> and use more hand gestures with both hands</w:t>
      </w:r>
      <w:r w:rsidR="002546AF" w:rsidRPr="000D784C">
        <w:rPr>
          <w:rFonts w:cstheme="minorHAnsi"/>
          <w:sz w:val="24"/>
          <w:szCs w:val="24"/>
        </w:rPr>
        <w:t xml:space="preserve">. </w:t>
      </w:r>
      <w:r w:rsidR="00014CC8" w:rsidRPr="000D784C">
        <w:rPr>
          <w:rFonts w:cstheme="minorHAnsi"/>
          <w:sz w:val="24"/>
          <w:szCs w:val="24"/>
        </w:rPr>
        <w:t xml:space="preserve">Maintaining good eye contact in a counselling session and in practise in everyday life is extremely important as explained by Hietanen (2018) it allows an individual or client to see that they have the attention of the listener – thus providing ground for trust for the speaker, so that they feel comfortable and confident to carry on speaking. </w:t>
      </w:r>
      <w:r w:rsidR="00362FB3" w:rsidRPr="000D784C">
        <w:rPr>
          <w:rFonts w:cstheme="minorHAnsi"/>
          <w:sz w:val="24"/>
          <w:szCs w:val="24"/>
        </w:rPr>
        <w:t xml:space="preserve"> Core conditions must be built for a counsellor and client to have and maintain a therapeutic relationship.  </w:t>
      </w:r>
      <w:r w:rsidR="00E22A54" w:rsidRPr="000D784C">
        <w:rPr>
          <w:rFonts w:cstheme="minorHAnsi"/>
          <w:sz w:val="24"/>
          <w:szCs w:val="24"/>
        </w:rPr>
        <w:t xml:space="preserve">Sarpe and </w:t>
      </w:r>
      <w:proofErr w:type="spellStart"/>
      <w:r w:rsidR="00E22A54" w:rsidRPr="000D784C">
        <w:rPr>
          <w:rFonts w:cstheme="minorHAnsi"/>
          <w:sz w:val="24"/>
          <w:szCs w:val="24"/>
        </w:rPr>
        <w:t>Ladea</w:t>
      </w:r>
      <w:proofErr w:type="spellEnd"/>
      <w:r w:rsidR="00E22A54" w:rsidRPr="000D784C">
        <w:rPr>
          <w:rFonts w:cstheme="minorHAnsi"/>
          <w:sz w:val="24"/>
          <w:szCs w:val="24"/>
        </w:rPr>
        <w:t xml:space="preserve"> (2011) explain that for a counsellor to be successful they must consist of three elements: congruence, empathy and unconditional positive regard.  Bohart et al (2013) clarifies that without unconditional positive regard the client would experience negative, cold and unwelcoming feelings causing them to stay incongruent. </w:t>
      </w:r>
      <w:r w:rsidR="008F1DCA" w:rsidRPr="000D784C">
        <w:rPr>
          <w:rFonts w:cstheme="minorHAnsi"/>
          <w:sz w:val="24"/>
          <w:szCs w:val="24"/>
        </w:rPr>
        <w:t xml:space="preserve"> Lambert and Barley (2001) and Bolsinger et all (2020) all show the similarities among the stance of how remaining a therapeutic relationship in a counselling setting is fundamental for a client to accept themselves and their surroundings.</w:t>
      </w:r>
    </w:p>
    <w:p w14:paraId="30EAA193" w14:textId="6B6F007D" w:rsidR="00DA1868" w:rsidRPr="000D784C" w:rsidRDefault="00DA1868">
      <w:pPr>
        <w:rPr>
          <w:rFonts w:cstheme="minorHAnsi"/>
          <w:sz w:val="24"/>
          <w:szCs w:val="24"/>
        </w:rPr>
      </w:pPr>
      <w:r w:rsidRPr="000D784C">
        <w:rPr>
          <w:rFonts w:cstheme="minorHAnsi"/>
          <w:sz w:val="24"/>
          <w:szCs w:val="24"/>
        </w:rPr>
        <w:t xml:space="preserve">  Communication is essential in any </w:t>
      </w:r>
      <w:r w:rsidR="000D784C" w:rsidRPr="000D784C">
        <w:rPr>
          <w:rFonts w:cstheme="minorHAnsi"/>
          <w:sz w:val="24"/>
          <w:szCs w:val="24"/>
        </w:rPr>
        <w:t>setting,</w:t>
      </w:r>
      <w:r w:rsidRPr="000D784C">
        <w:rPr>
          <w:rFonts w:cstheme="minorHAnsi"/>
          <w:sz w:val="24"/>
          <w:szCs w:val="24"/>
        </w:rPr>
        <w:t xml:space="preserve"> but it is critical and essential in </w:t>
      </w:r>
      <w:r w:rsidR="004B203F" w:rsidRPr="000D784C">
        <w:rPr>
          <w:rFonts w:cstheme="minorHAnsi"/>
          <w:sz w:val="24"/>
          <w:szCs w:val="24"/>
        </w:rPr>
        <w:t>a</w:t>
      </w:r>
      <w:r w:rsidRPr="000D784C">
        <w:rPr>
          <w:rFonts w:cstheme="minorHAnsi"/>
          <w:sz w:val="24"/>
          <w:szCs w:val="24"/>
        </w:rPr>
        <w:t xml:space="preserve"> health and care environment. As Ford (2017) illustrates </w:t>
      </w:r>
      <w:r w:rsidR="004B203F" w:rsidRPr="000D784C">
        <w:rPr>
          <w:rFonts w:cstheme="minorHAnsi"/>
          <w:sz w:val="24"/>
          <w:szCs w:val="24"/>
        </w:rPr>
        <w:t>good practise of communication can be seen in residential care, hospitals and doctor surgeries, schools and community care. It helps build rapport between different health care professionals and among patients and clinicians. Allowing effective time management, use of equipment and appointments and reduces stress for both professionals and patients.</w:t>
      </w:r>
      <w:r w:rsidR="00133438" w:rsidRPr="000D784C">
        <w:rPr>
          <w:rFonts w:cstheme="minorHAnsi"/>
          <w:sz w:val="24"/>
          <w:szCs w:val="24"/>
        </w:rPr>
        <w:t xml:space="preserve"> It is used as person centred towards the patient or client; client based and offered without judgement, accepting the individual’s problem without conviction.</w:t>
      </w:r>
      <w:r w:rsidR="004B203F" w:rsidRPr="000D784C">
        <w:rPr>
          <w:rFonts w:cstheme="minorHAnsi"/>
          <w:sz w:val="24"/>
          <w:szCs w:val="24"/>
        </w:rPr>
        <w:t xml:space="preserve">  The </w:t>
      </w:r>
      <w:r w:rsidR="00951226" w:rsidRPr="000D784C">
        <w:rPr>
          <w:rFonts w:cstheme="minorHAnsi"/>
          <w:sz w:val="24"/>
          <w:szCs w:val="24"/>
        </w:rPr>
        <w:t xml:space="preserve">importance of counselling in a health and care setting is that it is a tool that can be used across a large variation of settings; these can include schools, hospitals and doctors but also from </w:t>
      </w:r>
      <w:r w:rsidR="004E40FB" w:rsidRPr="000D784C">
        <w:rPr>
          <w:rFonts w:cstheme="minorHAnsi"/>
          <w:sz w:val="24"/>
          <w:szCs w:val="24"/>
        </w:rPr>
        <w:t xml:space="preserve">an </w:t>
      </w:r>
      <w:r w:rsidR="0064503B" w:rsidRPr="000D784C">
        <w:rPr>
          <w:rFonts w:cstheme="minorHAnsi"/>
          <w:sz w:val="24"/>
          <w:szCs w:val="24"/>
        </w:rPr>
        <w:t>employer’s</w:t>
      </w:r>
      <w:r w:rsidR="004E40FB" w:rsidRPr="000D784C">
        <w:rPr>
          <w:rFonts w:cstheme="minorHAnsi"/>
          <w:sz w:val="24"/>
          <w:szCs w:val="24"/>
        </w:rPr>
        <w:t xml:space="preserve"> duty to help maintain a positive and healthy workforce. </w:t>
      </w:r>
      <w:r w:rsidR="0064503B" w:rsidRPr="000D784C">
        <w:rPr>
          <w:rFonts w:cstheme="minorHAnsi"/>
          <w:sz w:val="24"/>
          <w:szCs w:val="24"/>
        </w:rPr>
        <w:t xml:space="preserve"> Communication and counselling </w:t>
      </w:r>
      <w:r w:rsidR="000E24DB" w:rsidRPr="000D784C">
        <w:rPr>
          <w:rFonts w:cstheme="minorHAnsi"/>
          <w:sz w:val="24"/>
          <w:szCs w:val="24"/>
        </w:rPr>
        <w:t>have</w:t>
      </w:r>
      <w:r w:rsidR="0064503B" w:rsidRPr="000D784C">
        <w:rPr>
          <w:rFonts w:cstheme="minorHAnsi"/>
          <w:sz w:val="24"/>
          <w:szCs w:val="24"/>
        </w:rPr>
        <w:t xml:space="preserve"> long been used in health</w:t>
      </w:r>
      <w:r w:rsidR="007267FC" w:rsidRPr="000D784C">
        <w:rPr>
          <w:rFonts w:cstheme="minorHAnsi"/>
          <w:sz w:val="24"/>
          <w:szCs w:val="24"/>
        </w:rPr>
        <w:t xml:space="preserve"> and</w:t>
      </w:r>
      <w:r w:rsidR="0064503B" w:rsidRPr="000D784C">
        <w:rPr>
          <w:rFonts w:cstheme="minorHAnsi"/>
          <w:sz w:val="24"/>
          <w:szCs w:val="24"/>
        </w:rPr>
        <w:t xml:space="preserve"> care settings, making positive progress as exhibited by Gill et al (2008)</w:t>
      </w:r>
      <w:r w:rsidR="00D2487D" w:rsidRPr="000D784C">
        <w:rPr>
          <w:rFonts w:cstheme="minorHAnsi"/>
          <w:sz w:val="24"/>
          <w:szCs w:val="24"/>
        </w:rPr>
        <w:t xml:space="preserve">, Hebert, </w:t>
      </w:r>
      <w:proofErr w:type="spellStart"/>
      <w:r w:rsidR="00D2487D" w:rsidRPr="000D784C">
        <w:rPr>
          <w:rFonts w:cstheme="minorHAnsi"/>
          <w:sz w:val="24"/>
          <w:szCs w:val="24"/>
        </w:rPr>
        <w:t>Caughy</w:t>
      </w:r>
      <w:proofErr w:type="spellEnd"/>
      <w:r w:rsidR="00D2487D" w:rsidRPr="000D784C">
        <w:rPr>
          <w:rFonts w:cstheme="minorHAnsi"/>
          <w:sz w:val="24"/>
          <w:szCs w:val="24"/>
        </w:rPr>
        <w:t xml:space="preserve"> and </w:t>
      </w:r>
      <w:proofErr w:type="spellStart"/>
      <w:r w:rsidR="00D2487D" w:rsidRPr="000D784C">
        <w:rPr>
          <w:rFonts w:cstheme="minorHAnsi"/>
          <w:sz w:val="24"/>
          <w:szCs w:val="24"/>
        </w:rPr>
        <w:t>Shuval</w:t>
      </w:r>
      <w:proofErr w:type="spellEnd"/>
      <w:r w:rsidR="00D2487D" w:rsidRPr="000D784C">
        <w:rPr>
          <w:rFonts w:cstheme="minorHAnsi"/>
          <w:sz w:val="24"/>
          <w:szCs w:val="24"/>
        </w:rPr>
        <w:t xml:space="preserve"> (2012) and Schirmer (1998) </w:t>
      </w:r>
      <w:r w:rsidR="007267FC" w:rsidRPr="000D784C">
        <w:rPr>
          <w:rFonts w:cstheme="minorHAnsi"/>
          <w:sz w:val="24"/>
          <w:szCs w:val="24"/>
        </w:rPr>
        <w:t xml:space="preserve">it allows a client or patient to express concerns, which can be done by </w:t>
      </w:r>
      <w:r w:rsidR="009213EB" w:rsidRPr="000D784C">
        <w:rPr>
          <w:rFonts w:cstheme="minorHAnsi"/>
          <w:sz w:val="24"/>
          <w:szCs w:val="24"/>
        </w:rPr>
        <w:t xml:space="preserve">talking to a health professional. Health care professionals can help with mental health, physical health, coping and finding solutions for emotions such as anger or low self-esteem, as well as talking and assisting a </w:t>
      </w:r>
      <w:r w:rsidR="004C0DA6" w:rsidRPr="000D784C">
        <w:rPr>
          <w:rFonts w:cstheme="minorHAnsi"/>
          <w:sz w:val="24"/>
          <w:szCs w:val="24"/>
        </w:rPr>
        <w:t>client trough strategy</w:t>
      </w:r>
      <w:r w:rsidR="009213EB" w:rsidRPr="000D784C">
        <w:rPr>
          <w:rFonts w:cstheme="minorHAnsi"/>
          <w:sz w:val="24"/>
          <w:szCs w:val="24"/>
        </w:rPr>
        <w:t xml:space="preserve"> to help with </w:t>
      </w:r>
      <w:r w:rsidR="00D1161E" w:rsidRPr="000D784C">
        <w:rPr>
          <w:rFonts w:cstheme="minorHAnsi"/>
          <w:sz w:val="24"/>
          <w:szCs w:val="24"/>
        </w:rPr>
        <w:t xml:space="preserve">the loss of jobs, bereavement or a breakdown of relationships. </w:t>
      </w:r>
      <w:r w:rsidR="007777A4" w:rsidRPr="000D784C">
        <w:rPr>
          <w:rFonts w:cstheme="minorHAnsi"/>
          <w:sz w:val="24"/>
          <w:szCs w:val="24"/>
        </w:rPr>
        <w:t xml:space="preserve"> </w:t>
      </w:r>
    </w:p>
    <w:p w14:paraId="3D770311" w14:textId="6A9B0FC4" w:rsidR="00133438" w:rsidRPr="000D784C" w:rsidRDefault="007777A4">
      <w:pPr>
        <w:rPr>
          <w:rFonts w:cstheme="minorHAnsi"/>
          <w:sz w:val="24"/>
          <w:szCs w:val="24"/>
        </w:rPr>
      </w:pPr>
      <w:r w:rsidRPr="000D784C">
        <w:rPr>
          <w:rFonts w:cstheme="minorHAnsi"/>
          <w:sz w:val="24"/>
          <w:szCs w:val="24"/>
        </w:rPr>
        <w:t xml:space="preserve"> </w:t>
      </w:r>
      <w:r w:rsidR="004C0DA6" w:rsidRPr="000D784C">
        <w:rPr>
          <w:rFonts w:cstheme="minorHAnsi"/>
          <w:sz w:val="24"/>
          <w:szCs w:val="24"/>
        </w:rPr>
        <w:t xml:space="preserve"> </w:t>
      </w:r>
      <w:r w:rsidR="0035171A" w:rsidRPr="000D784C">
        <w:rPr>
          <w:rFonts w:cstheme="minorHAnsi"/>
          <w:sz w:val="24"/>
          <w:szCs w:val="24"/>
        </w:rPr>
        <w:t xml:space="preserve">In conclusion of this </w:t>
      </w:r>
      <w:r w:rsidR="004C0DA6" w:rsidRPr="000D784C">
        <w:rPr>
          <w:rFonts w:cstheme="minorHAnsi"/>
          <w:sz w:val="24"/>
          <w:szCs w:val="24"/>
        </w:rPr>
        <w:t>assignment,</w:t>
      </w:r>
      <w:r w:rsidR="0035171A" w:rsidRPr="000D784C">
        <w:rPr>
          <w:rFonts w:cstheme="minorHAnsi"/>
          <w:sz w:val="24"/>
          <w:szCs w:val="24"/>
        </w:rPr>
        <w:t xml:space="preserve"> </w:t>
      </w:r>
      <w:r w:rsidR="00B335AB" w:rsidRPr="000D784C">
        <w:rPr>
          <w:rFonts w:cstheme="minorHAnsi"/>
          <w:sz w:val="24"/>
          <w:szCs w:val="24"/>
        </w:rPr>
        <w:t xml:space="preserve">it is apparent that communication and counselling skills are readily available among the health and care sectors, used widely by many different care professionals. This has been shown by Carl Rogers whilst counselling Gloria. Carl Rogers has used the </w:t>
      </w:r>
      <w:r w:rsidR="004C0DA6" w:rsidRPr="000D784C">
        <w:rPr>
          <w:rFonts w:cstheme="minorHAnsi"/>
          <w:sz w:val="24"/>
          <w:szCs w:val="24"/>
        </w:rPr>
        <w:t>person-centred</w:t>
      </w:r>
      <w:r w:rsidR="00B335AB" w:rsidRPr="000D784C">
        <w:rPr>
          <w:rFonts w:cstheme="minorHAnsi"/>
          <w:sz w:val="24"/>
          <w:szCs w:val="24"/>
        </w:rPr>
        <w:t xml:space="preserve"> approach whilst in the sitting with Gloria; as he has been empathetic towards Gloria, showing her unconditional positive regard whilst listening to Gloria speak, allowing good body language and eye contact which resulted in Gloria becoming congruent </w:t>
      </w:r>
      <w:r w:rsidR="004C0DA6" w:rsidRPr="000D784C">
        <w:rPr>
          <w:rFonts w:cstheme="minorHAnsi"/>
          <w:sz w:val="24"/>
          <w:szCs w:val="24"/>
        </w:rPr>
        <w:t>halfway</w:t>
      </w:r>
      <w:r w:rsidR="00B335AB" w:rsidRPr="000D784C">
        <w:rPr>
          <w:rFonts w:cstheme="minorHAnsi"/>
          <w:sz w:val="24"/>
          <w:szCs w:val="24"/>
        </w:rPr>
        <w:t xml:space="preserve"> through the session</w:t>
      </w:r>
      <w:r w:rsidR="0037327F" w:rsidRPr="000D784C">
        <w:rPr>
          <w:rFonts w:cstheme="minorHAnsi"/>
          <w:sz w:val="24"/>
          <w:szCs w:val="24"/>
        </w:rPr>
        <w:t xml:space="preserve"> which was shown in her body language and hand gestures. </w:t>
      </w:r>
    </w:p>
    <w:p w14:paraId="0625596D" w14:textId="14C9B274" w:rsidR="000A4923" w:rsidRPr="000D784C" w:rsidRDefault="000A4923">
      <w:pPr>
        <w:rPr>
          <w:rFonts w:cstheme="minorHAnsi"/>
          <w:sz w:val="24"/>
          <w:szCs w:val="24"/>
        </w:rPr>
      </w:pPr>
    </w:p>
    <w:p w14:paraId="19E2D8D4" w14:textId="720A1F78" w:rsidR="00525BA8" w:rsidRPr="000D784C" w:rsidRDefault="00525BA8">
      <w:pPr>
        <w:rPr>
          <w:rFonts w:cstheme="minorHAnsi"/>
          <w:sz w:val="24"/>
          <w:szCs w:val="24"/>
        </w:rPr>
      </w:pPr>
    </w:p>
    <w:p w14:paraId="09662FAA" w14:textId="3CC1CDAF" w:rsidR="00525BA8" w:rsidRPr="000D784C" w:rsidRDefault="00525BA8">
      <w:pPr>
        <w:rPr>
          <w:rFonts w:cstheme="minorHAnsi"/>
          <w:sz w:val="24"/>
          <w:szCs w:val="24"/>
        </w:rPr>
      </w:pPr>
      <w:r w:rsidRPr="000D784C">
        <w:rPr>
          <w:rFonts w:cstheme="minorHAnsi"/>
          <w:sz w:val="24"/>
          <w:szCs w:val="24"/>
        </w:rPr>
        <w:lastRenderedPageBreak/>
        <w:t>References</w:t>
      </w:r>
    </w:p>
    <w:p w14:paraId="386A3AB2" w14:textId="77777777" w:rsidR="00061753" w:rsidRPr="000D784C" w:rsidRDefault="00061753" w:rsidP="00061753">
      <w:pPr>
        <w:rPr>
          <w:rFonts w:cstheme="minorHAnsi"/>
          <w:sz w:val="24"/>
          <w:szCs w:val="24"/>
        </w:rPr>
      </w:pPr>
      <w:hyperlink r:id="rId6" w:history="1">
        <w:proofErr w:type="spellStart"/>
        <w:r w:rsidRPr="000D784C">
          <w:rPr>
            <w:rStyle w:val="Hyperlink"/>
            <w:rFonts w:cstheme="minorHAnsi"/>
            <w:color w:val="auto"/>
            <w:sz w:val="24"/>
            <w:szCs w:val="24"/>
            <w:u w:val="none"/>
            <w:bdr w:val="none" w:sz="0" w:space="0" w:color="auto" w:frame="1"/>
          </w:rPr>
          <w:t>Berking</w:t>
        </w:r>
        <w:proofErr w:type="spellEnd"/>
      </w:hyperlink>
      <w:r w:rsidRPr="000D784C">
        <w:rPr>
          <w:rStyle w:val="comma-separator"/>
          <w:rFonts w:cstheme="minorHAnsi"/>
          <w:sz w:val="24"/>
          <w:szCs w:val="24"/>
          <w:bdr w:val="none" w:sz="0" w:space="0" w:color="auto" w:frame="1"/>
          <w:shd w:val="clear" w:color="auto" w:fill="FFFFFF"/>
        </w:rPr>
        <w:t xml:space="preserve">, </w:t>
      </w:r>
      <w:hyperlink r:id="rId7" w:history="1">
        <w:r w:rsidRPr="000D784C">
          <w:rPr>
            <w:rStyle w:val="Hyperlink"/>
            <w:rFonts w:cstheme="minorHAnsi"/>
            <w:color w:val="auto"/>
            <w:sz w:val="24"/>
            <w:szCs w:val="24"/>
            <w:u w:val="none"/>
            <w:bdr w:val="none" w:sz="0" w:space="0" w:color="auto" w:frame="1"/>
          </w:rPr>
          <w:t xml:space="preserve">M., Grosse </w:t>
        </w:r>
        <w:proofErr w:type="spellStart"/>
        <w:r w:rsidRPr="000D784C">
          <w:rPr>
            <w:rStyle w:val="Hyperlink"/>
            <w:rFonts w:cstheme="minorHAnsi"/>
            <w:color w:val="auto"/>
            <w:sz w:val="24"/>
            <w:szCs w:val="24"/>
            <w:u w:val="none"/>
            <w:bdr w:val="none" w:sz="0" w:space="0" w:color="auto" w:frame="1"/>
          </w:rPr>
          <w:t>Holtforth</w:t>
        </w:r>
        <w:proofErr w:type="spellEnd"/>
      </w:hyperlink>
      <w:r w:rsidRPr="000D784C">
        <w:rPr>
          <w:rStyle w:val="comma-separator"/>
          <w:rFonts w:cstheme="minorHAnsi"/>
          <w:sz w:val="24"/>
          <w:szCs w:val="24"/>
          <w:bdr w:val="none" w:sz="0" w:space="0" w:color="auto" w:frame="1"/>
          <w:shd w:val="clear" w:color="auto" w:fill="FFFFFF"/>
        </w:rPr>
        <w:t xml:space="preserve">, M. and </w:t>
      </w:r>
      <w:r w:rsidRPr="000D784C">
        <w:rPr>
          <w:rStyle w:val="accordion-tabbedtab-mobile"/>
          <w:rFonts w:cstheme="minorHAnsi"/>
          <w:sz w:val="24"/>
          <w:szCs w:val="24"/>
          <w:bdr w:val="none" w:sz="0" w:space="0" w:color="auto" w:frame="1"/>
        </w:rPr>
        <w:t>Jacobi, C. (2003) ‘</w:t>
      </w:r>
      <w:r w:rsidRPr="000D784C">
        <w:rPr>
          <w:rFonts w:cstheme="minorHAnsi"/>
          <w:sz w:val="24"/>
          <w:szCs w:val="24"/>
        </w:rPr>
        <w:t xml:space="preserve">Reduction of incongruence in inpatient psychotherapy’ </w:t>
      </w:r>
      <w:r w:rsidRPr="000D784C">
        <w:rPr>
          <w:rFonts w:cstheme="minorHAnsi"/>
          <w:i/>
          <w:iCs/>
          <w:sz w:val="24"/>
          <w:szCs w:val="24"/>
        </w:rPr>
        <w:t>Clinical psychology and psychotherapy,</w:t>
      </w:r>
      <w:r w:rsidRPr="000D784C">
        <w:rPr>
          <w:rFonts w:cstheme="minorHAnsi"/>
          <w:sz w:val="24"/>
          <w:szCs w:val="24"/>
        </w:rPr>
        <w:t xml:space="preserve"> 10(2), pp. 86-92.</w:t>
      </w:r>
    </w:p>
    <w:p w14:paraId="5E5A9009" w14:textId="77777777" w:rsidR="00061753" w:rsidRPr="000D784C" w:rsidRDefault="00061753" w:rsidP="00061753">
      <w:pPr>
        <w:rPr>
          <w:rFonts w:cstheme="minorHAnsi"/>
          <w:sz w:val="24"/>
          <w:szCs w:val="24"/>
          <w:shd w:val="clear" w:color="auto" w:fill="FFFFFF"/>
        </w:rPr>
      </w:pPr>
      <w:r w:rsidRPr="000D784C">
        <w:rPr>
          <w:rFonts w:cstheme="minorHAnsi"/>
          <w:sz w:val="24"/>
          <w:szCs w:val="24"/>
          <w:shd w:val="clear" w:color="auto" w:fill="FFFFFF"/>
        </w:rPr>
        <w:t xml:space="preserve">Bohart, A. and Greenberg, L. (1997) ‘Empathy and psychotherapy: An introductory overview.’ </w:t>
      </w:r>
      <w:r w:rsidRPr="000D784C">
        <w:rPr>
          <w:rStyle w:val="Emphasis"/>
          <w:rFonts w:cstheme="minorHAnsi"/>
          <w:sz w:val="24"/>
          <w:szCs w:val="24"/>
          <w:shd w:val="clear" w:color="auto" w:fill="FFFFFF"/>
        </w:rPr>
        <w:t>Empathy reconsidered: New directions in psychotherapy</w:t>
      </w:r>
      <w:r w:rsidRPr="000D784C">
        <w:rPr>
          <w:rFonts w:cstheme="minorHAnsi"/>
          <w:sz w:val="24"/>
          <w:szCs w:val="24"/>
          <w:shd w:val="clear" w:color="auto" w:fill="FFFFFF"/>
        </w:rPr>
        <w:t>. American Psychological Association.</w:t>
      </w:r>
    </w:p>
    <w:p w14:paraId="53548D26" w14:textId="77777777" w:rsidR="00061753" w:rsidRPr="000D784C" w:rsidRDefault="00061753" w:rsidP="00061753">
      <w:pPr>
        <w:shd w:val="clear" w:color="auto" w:fill="FFFFFF"/>
        <w:spacing w:after="0" w:line="240" w:lineRule="auto"/>
        <w:rPr>
          <w:rFonts w:cstheme="minorHAnsi"/>
          <w:sz w:val="24"/>
          <w:szCs w:val="24"/>
        </w:rPr>
      </w:pPr>
      <w:r w:rsidRPr="000D784C">
        <w:rPr>
          <w:rFonts w:eastAsia="Times New Roman" w:cstheme="minorHAnsi"/>
          <w:kern w:val="0"/>
          <w:sz w:val="24"/>
          <w:szCs w:val="24"/>
          <w:lang w:eastAsia="en-GB"/>
          <w14:ligatures w14:val="none"/>
        </w:rPr>
        <w:t xml:space="preserve">Bohart, A., O'Hara, M., Cooper, M. and Schmid, P. (2013) </w:t>
      </w:r>
      <w:r w:rsidRPr="000D784C">
        <w:rPr>
          <w:rFonts w:cstheme="minorHAnsi"/>
          <w:i/>
          <w:iCs/>
          <w:sz w:val="24"/>
          <w:szCs w:val="24"/>
        </w:rPr>
        <w:t xml:space="preserve">The Handbook of Person-Centred Psychotherapy and Counselling. </w:t>
      </w:r>
      <w:r w:rsidRPr="000D784C">
        <w:rPr>
          <w:rFonts w:cstheme="minorHAnsi"/>
          <w:sz w:val="24"/>
          <w:szCs w:val="24"/>
        </w:rPr>
        <w:t>2</w:t>
      </w:r>
      <w:r w:rsidRPr="000D784C">
        <w:rPr>
          <w:rFonts w:cstheme="minorHAnsi"/>
          <w:sz w:val="24"/>
          <w:szCs w:val="24"/>
          <w:vertAlign w:val="superscript"/>
        </w:rPr>
        <w:t>nd</w:t>
      </w:r>
      <w:r w:rsidRPr="000D784C">
        <w:rPr>
          <w:rFonts w:cstheme="minorHAnsi"/>
          <w:sz w:val="24"/>
          <w:szCs w:val="24"/>
        </w:rPr>
        <w:t xml:space="preserve"> </w:t>
      </w:r>
      <w:proofErr w:type="spellStart"/>
      <w:r w:rsidRPr="000D784C">
        <w:rPr>
          <w:rFonts w:cstheme="minorHAnsi"/>
          <w:sz w:val="24"/>
          <w:szCs w:val="24"/>
        </w:rPr>
        <w:t>edn</w:t>
      </w:r>
      <w:proofErr w:type="spellEnd"/>
      <w:r w:rsidRPr="000D784C">
        <w:rPr>
          <w:rFonts w:cstheme="minorHAnsi"/>
          <w:sz w:val="24"/>
          <w:szCs w:val="24"/>
        </w:rPr>
        <w:t>. London: Palgrave Macmillan.</w:t>
      </w:r>
    </w:p>
    <w:p w14:paraId="6DB7C983" w14:textId="77777777" w:rsidR="00061753" w:rsidRPr="000D784C" w:rsidRDefault="00061753" w:rsidP="00061753">
      <w:pPr>
        <w:shd w:val="clear" w:color="auto" w:fill="FFFFFF"/>
        <w:spacing w:after="0" w:line="240" w:lineRule="auto"/>
        <w:rPr>
          <w:rFonts w:eastAsia="Times New Roman" w:cstheme="minorHAnsi"/>
          <w:kern w:val="0"/>
          <w:sz w:val="24"/>
          <w:szCs w:val="24"/>
          <w:lang w:eastAsia="en-GB"/>
          <w14:ligatures w14:val="none"/>
        </w:rPr>
      </w:pPr>
    </w:p>
    <w:p w14:paraId="3EBA9735" w14:textId="374694DB" w:rsidR="00061753" w:rsidRPr="000D784C" w:rsidRDefault="00061753" w:rsidP="00061753">
      <w:pPr>
        <w:rPr>
          <w:rFonts w:cstheme="minorHAnsi"/>
          <w:sz w:val="24"/>
          <w:szCs w:val="24"/>
          <w:shd w:val="clear" w:color="auto" w:fill="FFFFFF"/>
        </w:rPr>
      </w:pPr>
      <w:r w:rsidRPr="000D784C">
        <w:rPr>
          <w:rFonts w:cstheme="minorHAnsi"/>
          <w:sz w:val="24"/>
          <w:szCs w:val="24"/>
          <w:shd w:val="clear" w:color="auto" w:fill="FFFFFF"/>
        </w:rPr>
        <w:t xml:space="preserve">Bolsinger, J., Jaeger, M., Hoff, P. and Theodoridou, A. (2020) ‘Challenges and Opportunities in Building and Maintaining a Good Therapeutic Relationship in Acute Psychiatric Settings: A Narrative Review’. </w:t>
      </w:r>
      <w:r w:rsidRPr="000D784C">
        <w:rPr>
          <w:rFonts w:cstheme="minorHAnsi"/>
          <w:i/>
          <w:iCs/>
          <w:sz w:val="24"/>
          <w:szCs w:val="24"/>
          <w:shd w:val="clear" w:color="auto" w:fill="FFFFFF"/>
        </w:rPr>
        <w:t xml:space="preserve">Frontiers in Psychiatry, </w:t>
      </w:r>
      <w:r w:rsidRPr="000D784C">
        <w:rPr>
          <w:rFonts w:cstheme="minorHAnsi"/>
          <w:sz w:val="24"/>
          <w:szCs w:val="24"/>
          <w:shd w:val="clear" w:color="auto" w:fill="FFFFFF"/>
        </w:rPr>
        <w:t>10.</w:t>
      </w:r>
    </w:p>
    <w:p w14:paraId="29C962A9" w14:textId="607DF9E7" w:rsidR="000D784C" w:rsidRPr="000D784C" w:rsidRDefault="000D784C" w:rsidP="00061753">
      <w:pPr>
        <w:rPr>
          <w:rFonts w:cstheme="minorHAnsi"/>
          <w:sz w:val="24"/>
          <w:szCs w:val="24"/>
          <w:shd w:val="clear" w:color="auto" w:fill="FFFFFF"/>
        </w:rPr>
      </w:pPr>
      <w:r w:rsidRPr="000D784C">
        <w:rPr>
          <w:rFonts w:cstheme="minorHAnsi"/>
          <w:sz w:val="24"/>
          <w:szCs w:val="24"/>
          <w:shd w:val="clear" w:color="auto" w:fill="FFFFFF"/>
        </w:rPr>
        <w:t xml:space="preserve">Book, H. (1988) ‘Empathy: Misconceptions and misuses in psychotherapy’ </w:t>
      </w:r>
      <w:r w:rsidRPr="000D784C">
        <w:rPr>
          <w:rFonts w:cstheme="minorHAnsi"/>
          <w:i/>
          <w:iCs/>
          <w:sz w:val="24"/>
          <w:szCs w:val="24"/>
          <w:shd w:val="clear" w:color="auto" w:fill="FFFFFF"/>
        </w:rPr>
        <w:t>American Journal of psychiatry</w:t>
      </w:r>
      <w:r w:rsidRPr="000D784C">
        <w:rPr>
          <w:rFonts w:cstheme="minorHAnsi"/>
          <w:sz w:val="24"/>
          <w:szCs w:val="24"/>
          <w:shd w:val="clear" w:color="auto" w:fill="FFFFFF"/>
        </w:rPr>
        <w:t>, 145(4), pp. 420-424.</w:t>
      </w:r>
    </w:p>
    <w:p w14:paraId="32C737E0" w14:textId="77777777" w:rsidR="00061753" w:rsidRPr="000D784C" w:rsidRDefault="00061753" w:rsidP="00061753">
      <w:pPr>
        <w:rPr>
          <w:rFonts w:cstheme="minorHAnsi"/>
          <w:sz w:val="24"/>
          <w:szCs w:val="24"/>
        </w:rPr>
      </w:pPr>
      <w:r w:rsidRPr="000D784C">
        <w:rPr>
          <w:rFonts w:cstheme="minorHAnsi"/>
          <w:sz w:val="24"/>
          <w:szCs w:val="24"/>
          <w:shd w:val="clear" w:color="auto" w:fill="FFFFFF"/>
        </w:rPr>
        <w:t xml:space="preserve">Clark, A. (2007). </w:t>
      </w:r>
      <w:r w:rsidRPr="000D784C">
        <w:rPr>
          <w:rFonts w:cstheme="minorHAnsi"/>
          <w:i/>
          <w:iCs/>
          <w:sz w:val="24"/>
          <w:szCs w:val="24"/>
          <w:shd w:val="clear" w:color="auto" w:fill="FFFFFF"/>
        </w:rPr>
        <w:t xml:space="preserve">Empathy in </w:t>
      </w:r>
      <w:proofErr w:type="spellStart"/>
      <w:r w:rsidRPr="000D784C">
        <w:rPr>
          <w:rFonts w:cstheme="minorHAnsi"/>
          <w:i/>
          <w:iCs/>
          <w:sz w:val="24"/>
          <w:szCs w:val="24"/>
          <w:shd w:val="clear" w:color="auto" w:fill="FFFFFF"/>
        </w:rPr>
        <w:t>Counseling</w:t>
      </w:r>
      <w:proofErr w:type="spellEnd"/>
      <w:r w:rsidRPr="000D784C">
        <w:rPr>
          <w:rFonts w:cstheme="minorHAnsi"/>
          <w:i/>
          <w:iCs/>
          <w:sz w:val="24"/>
          <w:szCs w:val="24"/>
          <w:shd w:val="clear" w:color="auto" w:fill="FFFFFF"/>
        </w:rPr>
        <w:t xml:space="preserve"> and Psychotherapy: Perspectives and Practices.</w:t>
      </w:r>
      <w:r w:rsidRPr="000D784C">
        <w:rPr>
          <w:rFonts w:cstheme="minorHAnsi"/>
          <w:sz w:val="24"/>
          <w:szCs w:val="24"/>
          <w:shd w:val="clear" w:color="auto" w:fill="FFFFFF"/>
        </w:rPr>
        <w:t xml:space="preserve"> 1</w:t>
      </w:r>
      <w:r w:rsidRPr="000D784C">
        <w:rPr>
          <w:rFonts w:cstheme="minorHAnsi"/>
          <w:sz w:val="24"/>
          <w:szCs w:val="24"/>
          <w:shd w:val="clear" w:color="auto" w:fill="FFFFFF"/>
          <w:vertAlign w:val="superscript"/>
        </w:rPr>
        <w:t>st</w:t>
      </w:r>
      <w:r w:rsidRPr="000D784C">
        <w:rPr>
          <w:rFonts w:cstheme="minorHAnsi"/>
          <w:sz w:val="24"/>
          <w:szCs w:val="24"/>
          <w:shd w:val="clear" w:color="auto" w:fill="FFFFFF"/>
        </w:rPr>
        <w:t xml:space="preserve"> </w:t>
      </w:r>
      <w:proofErr w:type="spellStart"/>
      <w:r w:rsidRPr="000D784C">
        <w:rPr>
          <w:rFonts w:cstheme="minorHAnsi"/>
          <w:sz w:val="24"/>
          <w:szCs w:val="24"/>
          <w:shd w:val="clear" w:color="auto" w:fill="FFFFFF"/>
        </w:rPr>
        <w:t>edn</w:t>
      </w:r>
      <w:proofErr w:type="spellEnd"/>
      <w:r w:rsidRPr="000D784C">
        <w:rPr>
          <w:rFonts w:cstheme="minorHAnsi"/>
          <w:sz w:val="24"/>
          <w:szCs w:val="24"/>
          <w:shd w:val="clear" w:color="auto" w:fill="FFFFFF"/>
        </w:rPr>
        <w:t xml:space="preserve">. Oxford: Routledge. </w:t>
      </w:r>
    </w:p>
    <w:p w14:paraId="1FB75548" w14:textId="77777777" w:rsidR="00061753" w:rsidRPr="000D784C" w:rsidRDefault="00061753" w:rsidP="00061753">
      <w:pPr>
        <w:rPr>
          <w:rFonts w:cstheme="minorHAnsi"/>
          <w:sz w:val="24"/>
          <w:szCs w:val="24"/>
        </w:rPr>
      </w:pPr>
      <w:r w:rsidRPr="000D784C">
        <w:rPr>
          <w:rFonts w:cstheme="minorHAnsi"/>
          <w:sz w:val="24"/>
          <w:szCs w:val="24"/>
        </w:rPr>
        <w:t xml:space="preserve">Edelmann, R., Done, B., Easterbrook, J., Evans, J., Foster, T. and Green M. (1984) ‘Disablement and Eye Contact’. </w:t>
      </w:r>
      <w:r w:rsidRPr="000D784C">
        <w:rPr>
          <w:rFonts w:cstheme="minorHAnsi"/>
          <w:i/>
          <w:iCs/>
          <w:sz w:val="24"/>
          <w:szCs w:val="24"/>
        </w:rPr>
        <w:t>Perceptual and Motor Skills.</w:t>
      </w:r>
      <w:r w:rsidRPr="000D784C">
        <w:rPr>
          <w:rFonts w:cstheme="minorHAnsi"/>
          <w:sz w:val="24"/>
          <w:szCs w:val="24"/>
        </w:rPr>
        <w:t xml:space="preserve"> 58(3), pp. 849-850. </w:t>
      </w:r>
    </w:p>
    <w:p w14:paraId="574F7AE1" w14:textId="77777777" w:rsidR="00061753" w:rsidRPr="000D784C" w:rsidRDefault="00061753" w:rsidP="00061753">
      <w:pPr>
        <w:rPr>
          <w:rFonts w:cstheme="minorHAnsi"/>
          <w:sz w:val="24"/>
          <w:szCs w:val="24"/>
          <w:bdr w:val="none" w:sz="0" w:space="0" w:color="auto" w:frame="1"/>
        </w:rPr>
      </w:pPr>
      <w:r w:rsidRPr="000D784C">
        <w:rPr>
          <w:rFonts w:cstheme="minorHAnsi"/>
          <w:sz w:val="24"/>
          <w:szCs w:val="24"/>
          <w:shd w:val="clear" w:color="auto" w:fill="FFFFFF"/>
        </w:rPr>
        <w:t>Ford, S. (2017) ‘</w:t>
      </w:r>
      <w:r w:rsidRPr="000D784C">
        <w:rPr>
          <w:rFonts w:cstheme="minorHAnsi"/>
          <w:sz w:val="24"/>
          <w:szCs w:val="24"/>
          <w:bdr w:val="none" w:sz="0" w:space="0" w:color="auto" w:frame="1"/>
        </w:rPr>
        <w:t xml:space="preserve">Communication skills 1: benefits of effective communication for patients’. </w:t>
      </w:r>
      <w:r w:rsidRPr="000D784C">
        <w:rPr>
          <w:rFonts w:cstheme="minorHAnsi"/>
          <w:i/>
          <w:iCs/>
          <w:sz w:val="24"/>
          <w:szCs w:val="24"/>
          <w:bdr w:val="none" w:sz="0" w:space="0" w:color="auto" w:frame="1"/>
        </w:rPr>
        <w:t>The Nursing Times.</w:t>
      </w:r>
    </w:p>
    <w:p w14:paraId="1F29EDC5" w14:textId="77777777" w:rsidR="00061753" w:rsidRPr="000D784C" w:rsidRDefault="00061753" w:rsidP="00061753">
      <w:pPr>
        <w:rPr>
          <w:rFonts w:cstheme="minorHAnsi"/>
          <w:sz w:val="24"/>
          <w:szCs w:val="24"/>
          <w:shd w:val="clear" w:color="auto" w:fill="FFFFFF"/>
        </w:rPr>
      </w:pPr>
      <w:r w:rsidRPr="000D784C">
        <w:rPr>
          <w:rFonts w:cstheme="minorHAnsi"/>
          <w:sz w:val="24"/>
          <w:szCs w:val="24"/>
          <w:shd w:val="clear" w:color="auto" w:fill="FFFFFF"/>
        </w:rPr>
        <w:t>Gill, S., </w:t>
      </w:r>
      <w:proofErr w:type="spellStart"/>
      <w:r w:rsidRPr="000D784C">
        <w:rPr>
          <w:rFonts w:cstheme="minorHAnsi"/>
          <w:sz w:val="24"/>
          <w:szCs w:val="24"/>
          <w:shd w:val="clear" w:color="auto" w:fill="FFFFFF"/>
        </w:rPr>
        <w:t>Bor</w:t>
      </w:r>
      <w:proofErr w:type="spellEnd"/>
      <w:r w:rsidRPr="000D784C">
        <w:rPr>
          <w:rFonts w:cstheme="minorHAnsi"/>
          <w:sz w:val="24"/>
          <w:szCs w:val="24"/>
          <w:shd w:val="clear" w:color="auto" w:fill="FFFFFF"/>
        </w:rPr>
        <w:t>, R., Evans, A. and Miller, R. (2008) </w:t>
      </w:r>
      <w:r w:rsidRPr="000D784C">
        <w:rPr>
          <w:rFonts w:cstheme="minorHAnsi"/>
          <w:i/>
          <w:iCs/>
          <w:sz w:val="24"/>
          <w:szCs w:val="24"/>
          <w:shd w:val="clear" w:color="auto" w:fill="FFFFFF"/>
        </w:rPr>
        <w:t>Counselling in Health Care Settings: A Handbook for Practitioners.</w:t>
      </w:r>
      <w:r w:rsidRPr="000D784C">
        <w:rPr>
          <w:rFonts w:cstheme="minorHAnsi"/>
          <w:sz w:val="24"/>
          <w:szCs w:val="24"/>
          <w:shd w:val="clear" w:color="auto" w:fill="FFFFFF"/>
        </w:rPr>
        <w:t> London: Palgrave Macmillan.</w:t>
      </w:r>
    </w:p>
    <w:p w14:paraId="269364DA" w14:textId="77777777" w:rsidR="00061753" w:rsidRPr="000D784C" w:rsidRDefault="00061753" w:rsidP="00061753">
      <w:pPr>
        <w:shd w:val="clear" w:color="auto" w:fill="FFFFFF"/>
        <w:spacing w:after="0" w:line="240" w:lineRule="auto"/>
        <w:rPr>
          <w:rFonts w:eastAsia="Times New Roman" w:cstheme="minorHAnsi"/>
          <w:kern w:val="0"/>
          <w:sz w:val="24"/>
          <w:szCs w:val="24"/>
          <w:lang w:eastAsia="en-GB"/>
          <w14:ligatures w14:val="none"/>
        </w:rPr>
      </w:pPr>
      <w:r w:rsidRPr="000D784C">
        <w:rPr>
          <w:rFonts w:eastAsia="Times New Roman" w:cstheme="minorHAnsi"/>
          <w:kern w:val="0"/>
          <w:sz w:val="24"/>
          <w:szCs w:val="24"/>
          <w:lang w:eastAsia="en-GB"/>
          <w14:ligatures w14:val="none"/>
        </w:rPr>
        <w:t>Hébert, E., </w:t>
      </w:r>
      <w:proofErr w:type="spellStart"/>
      <w:r w:rsidRPr="000D784C">
        <w:rPr>
          <w:rFonts w:eastAsia="Times New Roman" w:cstheme="minorHAnsi"/>
          <w:kern w:val="0"/>
          <w:sz w:val="24"/>
          <w:szCs w:val="24"/>
          <w:lang w:eastAsia="en-GB"/>
          <w14:ligatures w14:val="none"/>
        </w:rPr>
        <w:t>Caughy</w:t>
      </w:r>
      <w:proofErr w:type="spellEnd"/>
      <w:r w:rsidRPr="000D784C">
        <w:rPr>
          <w:rFonts w:eastAsia="Times New Roman" w:cstheme="minorHAnsi"/>
          <w:kern w:val="0"/>
          <w:sz w:val="24"/>
          <w:szCs w:val="24"/>
          <w:lang w:eastAsia="en-GB"/>
          <w14:ligatures w14:val="none"/>
        </w:rPr>
        <w:t>, M. and </w:t>
      </w:r>
      <w:proofErr w:type="spellStart"/>
      <w:r w:rsidRPr="000D784C">
        <w:rPr>
          <w:rFonts w:eastAsia="Times New Roman" w:cstheme="minorHAnsi"/>
          <w:kern w:val="0"/>
          <w:sz w:val="24"/>
          <w:szCs w:val="24"/>
          <w:lang w:eastAsia="en-GB"/>
          <w14:ligatures w14:val="none"/>
        </w:rPr>
        <w:t>Shuval</w:t>
      </w:r>
      <w:proofErr w:type="spellEnd"/>
      <w:r w:rsidRPr="000D784C">
        <w:rPr>
          <w:rFonts w:eastAsia="Times New Roman" w:cstheme="minorHAnsi"/>
          <w:kern w:val="0"/>
          <w:sz w:val="24"/>
          <w:szCs w:val="24"/>
          <w:lang w:eastAsia="en-GB"/>
          <w14:ligatures w14:val="none"/>
        </w:rPr>
        <w:t xml:space="preserve">, K. (2012) ‘Primary care providers' perceptions of physical activity counselling in a clinical setting: a systematic review’ </w:t>
      </w:r>
      <w:r w:rsidRPr="000D784C">
        <w:rPr>
          <w:rFonts w:eastAsia="Times New Roman" w:cstheme="minorHAnsi"/>
          <w:i/>
          <w:iCs/>
          <w:kern w:val="0"/>
          <w:sz w:val="24"/>
          <w:szCs w:val="24"/>
          <w:lang w:eastAsia="en-GB"/>
          <w14:ligatures w14:val="none"/>
        </w:rPr>
        <w:t>British Journal of Sports Medicine,</w:t>
      </w:r>
      <w:r w:rsidRPr="000D784C">
        <w:rPr>
          <w:rFonts w:eastAsia="Times New Roman" w:cstheme="minorHAnsi"/>
          <w:kern w:val="0"/>
          <w:sz w:val="24"/>
          <w:szCs w:val="24"/>
          <w:lang w:eastAsia="en-GB"/>
          <w14:ligatures w14:val="none"/>
        </w:rPr>
        <w:t xml:space="preserve"> 46, pp. 625-631.</w:t>
      </w:r>
    </w:p>
    <w:p w14:paraId="7F90C134" w14:textId="77777777" w:rsidR="00061753" w:rsidRPr="000D784C" w:rsidRDefault="00061753" w:rsidP="00061753">
      <w:pPr>
        <w:shd w:val="clear" w:color="auto" w:fill="FFFFFF"/>
        <w:spacing w:after="0" w:line="240" w:lineRule="auto"/>
        <w:rPr>
          <w:rFonts w:eastAsia="Times New Roman" w:cstheme="minorHAnsi"/>
          <w:kern w:val="0"/>
          <w:sz w:val="24"/>
          <w:szCs w:val="24"/>
          <w:lang w:eastAsia="en-GB"/>
          <w14:ligatures w14:val="none"/>
        </w:rPr>
      </w:pPr>
    </w:p>
    <w:p w14:paraId="6F50E910" w14:textId="77777777" w:rsidR="00061753" w:rsidRPr="000D784C" w:rsidRDefault="00061753" w:rsidP="00061753">
      <w:pPr>
        <w:rPr>
          <w:rFonts w:cstheme="minorHAnsi"/>
          <w:sz w:val="24"/>
          <w:szCs w:val="24"/>
          <w:shd w:val="clear" w:color="auto" w:fill="FFFFFF"/>
        </w:rPr>
      </w:pPr>
      <w:r w:rsidRPr="000D784C">
        <w:rPr>
          <w:rFonts w:cstheme="minorHAnsi"/>
          <w:sz w:val="24"/>
          <w:szCs w:val="24"/>
          <w:shd w:val="clear" w:color="auto" w:fill="FFFFFF"/>
        </w:rPr>
        <w:t>Hietanen, J. (2018) ‘Affective Eye Contact: An Integrative Review’ </w:t>
      </w:r>
      <w:r w:rsidRPr="000D784C">
        <w:rPr>
          <w:rFonts w:cstheme="minorHAnsi"/>
          <w:i/>
          <w:iCs/>
          <w:sz w:val="24"/>
          <w:szCs w:val="24"/>
          <w:shd w:val="clear" w:color="auto" w:fill="FFFFFF"/>
        </w:rPr>
        <w:t>Frontiers in psychology,</w:t>
      </w:r>
      <w:r w:rsidRPr="000D784C">
        <w:rPr>
          <w:rFonts w:cstheme="minorHAnsi"/>
          <w:sz w:val="24"/>
          <w:szCs w:val="24"/>
          <w:shd w:val="clear" w:color="auto" w:fill="FFFFFF"/>
        </w:rPr>
        <w:t> 9, pp. 1587.</w:t>
      </w:r>
    </w:p>
    <w:p w14:paraId="0E0A10B6" w14:textId="77777777" w:rsidR="00061753" w:rsidRPr="000D784C" w:rsidRDefault="00061753" w:rsidP="00061753">
      <w:pPr>
        <w:rPr>
          <w:rFonts w:cstheme="minorHAnsi"/>
          <w:sz w:val="24"/>
          <w:szCs w:val="24"/>
        </w:rPr>
      </w:pPr>
      <w:r w:rsidRPr="000D784C">
        <w:rPr>
          <w:rFonts w:cstheme="minorHAnsi"/>
          <w:sz w:val="24"/>
          <w:szCs w:val="24"/>
        </w:rPr>
        <w:t xml:space="preserve">Kelly, E. and True, J. (1980) ‘Eye Contact and Communication of Facilitative Conditions’. </w:t>
      </w:r>
      <w:r w:rsidRPr="000D784C">
        <w:rPr>
          <w:rFonts w:cstheme="minorHAnsi"/>
          <w:i/>
          <w:iCs/>
          <w:sz w:val="24"/>
          <w:szCs w:val="24"/>
        </w:rPr>
        <w:t>Perceptual and Motor Skills,</w:t>
      </w:r>
      <w:r w:rsidRPr="000D784C">
        <w:rPr>
          <w:rFonts w:cstheme="minorHAnsi"/>
          <w:sz w:val="24"/>
          <w:szCs w:val="24"/>
        </w:rPr>
        <w:t xml:space="preserve"> 51(3), pp. 815-820. </w:t>
      </w:r>
    </w:p>
    <w:p w14:paraId="332FE05F" w14:textId="493D8F5E" w:rsidR="00061753" w:rsidRPr="000D784C" w:rsidRDefault="00061753" w:rsidP="00061753">
      <w:pPr>
        <w:rPr>
          <w:rFonts w:cstheme="minorHAnsi"/>
          <w:sz w:val="24"/>
          <w:szCs w:val="24"/>
          <w:shd w:val="clear" w:color="auto" w:fill="FFFFFF"/>
        </w:rPr>
      </w:pPr>
      <w:r w:rsidRPr="000D784C">
        <w:rPr>
          <w:rFonts w:cstheme="minorHAnsi"/>
          <w:sz w:val="24"/>
          <w:szCs w:val="24"/>
          <w:shd w:val="clear" w:color="auto" w:fill="FFFFFF"/>
        </w:rPr>
        <w:t>Lambert, M. and Barley, D. (2001) ‘Research summary on the therapeutic relationship and psychotherapy outcome’. </w:t>
      </w:r>
      <w:r w:rsidRPr="000D784C">
        <w:rPr>
          <w:rStyle w:val="Emphasis"/>
          <w:rFonts w:cstheme="minorHAnsi"/>
          <w:sz w:val="24"/>
          <w:szCs w:val="24"/>
          <w:shd w:val="clear" w:color="auto" w:fill="FFFFFF"/>
        </w:rPr>
        <w:t>Psychotherapy: Theory, Research, Practice, Training.</w:t>
      </w:r>
      <w:r w:rsidRPr="000D784C">
        <w:rPr>
          <w:rStyle w:val="Emphasis"/>
          <w:rFonts w:cstheme="minorHAnsi"/>
          <w:i w:val="0"/>
          <w:iCs w:val="0"/>
          <w:sz w:val="24"/>
          <w:szCs w:val="24"/>
          <w:shd w:val="clear" w:color="auto" w:fill="FFFFFF"/>
        </w:rPr>
        <w:t xml:space="preserve"> 38</w:t>
      </w:r>
      <w:r w:rsidRPr="000D784C">
        <w:rPr>
          <w:rFonts w:cstheme="minorHAnsi"/>
          <w:sz w:val="24"/>
          <w:szCs w:val="24"/>
          <w:shd w:val="clear" w:color="auto" w:fill="FFFFFF"/>
        </w:rPr>
        <w:t>(4), pp. 357–361.</w:t>
      </w:r>
    </w:p>
    <w:p w14:paraId="59B1F592" w14:textId="7BFD161F" w:rsidR="000D784C" w:rsidRPr="000D784C" w:rsidRDefault="000D784C" w:rsidP="00061753">
      <w:pPr>
        <w:rPr>
          <w:rFonts w:cstheme="minorHAnsi"/>
          <w:sz w:val="24"/>
          <w:szCs w:val="24"/>
          <w:shd w:val="clear" w:color="auto" w:fill="FFFFFF"/>
        </w:rPr>
      </w:pPr>
      <w:r w:rsidRPr="000D784C">
        <w:rPr>
          <w:rFonts w:cstheme="minorHAnsi"/>
          <w:sz w:val="24"/>
          <w:szCs w:val="24"/>
          <w:shd w:val="clear" w:color="auto" w:fill="FFFFFF"/>
        </w:rPr>
        <w:t xml:space="preserve">Sarpe, C. and </w:t>
      </w:r>
      <w:proofErr w:type="spellStart"/>
      <w:r w:rsidRPr="000D784C">
        <w:rPr>
          <w:rFonts w:cstheme="minorHAnsi"/>
          <w:sz w:val="24"/>
          <w:szCs w:val="24"/>
          <w:shd w:val="clear" w:color="auto" w:fill="FFFFFF"/>
        </w:rPr>
        <w:t>Ladea</w:t>
      </w:r>
      <w:proofErr w:type="spellEnd"/>
      <w:r w:rsidRPr="000D784C">
        <w:rPr>
          <w:rFonts w:cstheme="minorHAnsi"/>
          <w:sz w:val="24"/>
          <w:szCs w:val="24"/>
          <w:shd w:val="clear" w:color="auto" w:fill="FFFFFF"/>
        </w:rPr>
        <w:t xml:space="preserve">, M. (2011) ‘Can the lack of unconditional positive regard change the correct diagnose and the decision of treatment? Case report’ </w:t>
      </w:r>
      <w:r w:rsidRPr="000D784C">
        <w:rPr>
          <w:rFonts w:cstheme="minorHAnsi"/>
          <w:i/>
          <w:iCs/>
          <w:sz w:val="24"/>
          <w:szCs w:val="24"/>
          <w:shd w:val="clear" w:color="auto" w:fill="FFFFFF"/>
        </w:rPr>
        <w:t>European Psychiatry</w:t>
      </w:r>
      <w:r w:rsidRPr="000D784C">
        <w:rPr>
          <w:rFonts w:cstheme="minorHAnsi"/>
          <w:sz w:val="24"/>
          <w:szCs w:val="24"/>
          <w:shd w:val="clear" w:color="auto" w:fill="FFFFFF"/>
        </w:rPr>
        <w:t>, 26(1), pp. 1326</w:t>
      </w:r>
    </w:p>
    <w:p w14:paraId="2234CBFB" w14:textId="77777777" w:rsidR="00061753" w:rsidRPr="000D784C" w:rsidRDefault="00061753" w:rsidP="00061753">
      <w:pPr>
        <w:shd w:val="clear" w:color="auto" w:fill="FFFFFF"/>
        <w:spacing w:after="0" w:line="240" w:lineRule="auto"/>
        <w:rPr>
          <w:rFonts w:eastAsia="Times New Roman" w:cstheme="minorHAnsi"/>
          <w:kern w:val="0"/>
          <w:sz w:val="24"/>
          <w:szCs w:val="24"/>
          <w:lang w:eastAsia="en-GB"/>
          <w14:ligatures w14:val="none"/>
        </w:rPr>
      </w:pPr>
      <w:proofErr w:type="spellStart"/>
      <w:r w:rsidRPr="000D784C">
        <w:rPr>
          <w:rFonts w:eastAsia="Times New Roman" w:cstheme="minorHAnsi"/>
          <w:kern w:val="0"/>
          <w:sz w:val="24"/>
          <w:szCs w:val="24"/>
          <w:lang w:eastAsia="en-GB"/>
          <w14:ligatures w14:val="none"/>
        </w:rPr>
        <w:t>Schrimer</w:t>
      </w:r>
      <w:proofErr w:type="spellEnd"/>
      <w:r w:rsidRPr="000D784C">
        <w:rPr>
          <w:rFonts w:eastAsia="Times New Roman" w:cstheme="minorHAnsi"/>
          <w:kern w:val="0"/>
          <w:sz w:val="24"/>
          <w:szCs w:val="24"/>
          <w:lang w:eastAsia="en-GB"/>
          <w14:ligatures w14:val="none"/>
        </w:rPr>
        <w:t xml:space="preserve">, J. (1998) ‘Review of Counselling in health care settings’ </w:t>
      </w:r>
      <w:r w:rsidRPr="000D784C">
        <w:rPr>
          <w:rFonts w:eastAsia="Times New Roman" w:cstheme="minorHAnsi"/>
          <w:i/>
          <w:iCs/>
          <w:kern w:val="0"/>
          <w:sz w:val="24"/>
          <w:szCs w:val="24"/>
          <w:lang w:eastAsia="en-GB"/>
          <w14:ligatures w14:val="none"/>
        </w:rPr>
        <w:t>Families, Systems and Health,</w:t>
      </w:r>
      <w:r w:rsidRPr="000D784C">
        <w:rPr>
          <w:rFonts w:eastAsia="Times New Roman" w:cstheme="minorHAnsi"/>
          <w:kern w:val="0"/>
          <w:sz w:val="24"/>
          <w:szCs w:val="24"/>
          <w:lang w:eastAsia="en-GB"/>
          <w14:ligatures w14:val="none"/>
        </w:rPr>
        <w:t xml:space="preserve"> 16(4), pp. 458-460.</w:t>
      </w:r>
    </w:p>
    <w:p w14:paraId="5E822935" w14:textId="77777777" w:rsidR="00061753" w:rsidRPr="000D784C" w:rsidRDefault="00061753" w:rsidP="00061753">
      <w:pPr>
        <w:shd w:val="clear" w:color="auto" w:fill="FFFFFF"/>
        <w:spacing w:after="0" w:line="240" w:lineRule="auto"/>
        <w:rPr>
          <w:rFonts w:eastAsia="Times New Roman" w:cstheme="minorHAnsi"/>
          <w:kern w:val="0"/>
          <w:sz w:val="24"/>
          <w:szCs w:val="24"/>
          <w:lang w:eastAsia="en-GB"/>
          <w14:ligatures w14:val="none"/>
        </w:rPr>
      </w:pPr>
    </w:p>
    <w:p w14:paraId="4273CBF7" w14:textId="77777777" w:rsidR="00061753" w:rsidRPr="000D784C" w:rsidRDefault="00061753" w:rsidP="00061753">
      <w:pPr>
        <w:rPr>
          <w:rFonts w:cstheme="minorHAnsi"/>
          <w:sz w:val="24"/>
          <w:szCs w:val="24"/>
        </w:rPr>
      </w:pPr>
      <w:proofErr w:type="spellStart"/>
      <w:r w:rsidRPr="000D784C">
        <w:rPr>
          <w:rFonts w:cstheme="minorHAnsi"/>
          <w:sz w:val="24"/>
          <w:szCs w:val="24"/>
        </w:rPr>
        <w:t>Sutanti</w:t>
      </w:r>
      <w:proofErr w:type="spellEnd"/>
      <w:r w:rsidRPr="000D784C">
        <w:rPr>
          <w:rFonts w:cstheme="minorHAnsi"/>
          <w:sz w:val="24"/>
          <w:szCs w:val="24"/>
        </w:rPr>
        <w:t xml:space="preserve">, N. (2020) ‘Understanding congruence in person-centred counselling practice: A trainee counsellor’s perspective’. </w:t>
      </w:r>
      <w:r w:rsidRPr="000D784C">
        <w:rPr>
          <w:rFonts w:cstheme="minorHAnsi"/>
          <w:i/>
          <w:iCs/>
          <w:sz w:val="24"/>
          <w:szCs w:val="24"/>
        </w:rPr>
        <w:t xml:space="preserve">Journal of Professionals in Guidance and </w:t>
      </w:r>
      <w:proofErr w:type="spellStart"/>
      <w:r w:rsidRPr="000D784C">
        <w:rPr>
          <w:rFonts w:cstheme="minorHAnsi"/>
          <w:i/>
          <w:iCs/>
          <w:sz w:val="24"/>
          <w:szCs w:val="24"/>
        </w:rPr>
        <w:t>Counseling</w:t>
      </w:r>
      <w:proofErr w:type="spellEnd"/>
      <w:r w:rsidRPr="000D784C">
        <w:rPr>
          <w:rFonts w:cstheme="minorHAnsi"/>
          <w:sz w:val="24"/>
          <w:szCs w:val="24"/>
        </w:rPr>
        <w:t>, 1(2), Pp. 47-55.</w:t>
      </w:r>
    </w:p>
    <w:p w14:paraId="71FC9208" w14:textId="5D5C8F6D" w:rsidR="00525BA8" w:rsidRPr="000D784C" w:rsidRDefault="00061753">
      <w:pPr>
        <w:rPr>
          <w:rFonts w:cstheme="minorHAnsi"/>
          <w:sz w:val="24"/>
          <w:szCs w:val="24"/>
        </w:rPr>
      </w:pPr>
      <w:r w:rsidRPr="000D784C">
        <w:rPr>
          <w:rFonts w:cstheme="minorHAnsi"/>
          <w:sz w:val="24"/>
          <w:szCs w:val="24"/>
        </w:rPr>
        <w:t xml:space="preserve">Thorne, B. and Lambers, E. (1998) </w:t>
      </w:r>
      <w:r w:rsidRPr="000D784C">
        <w:rPr>
          <w:rFonts w:cstheme="minorHAnsi"/>
          <w:i/>
          <w:iCs/>
          <w:sz w:val="24"/>
          <w:szCs w:val="24"/>
        </w:rPr>
        <w:t>Person-Centred Therapy: A European Perspective</w:t>
      </w:r>
      <w:r w:rsidRPr="000D784C">
        <w:rPr>
          <w:rFonts w:cstheme="minorHAnsi"/>
          <w:sz w:val="24"/>
          <w:szCs w:val="24"/>
        </w:rPr>
        <w:t xml:space="preserve">. London: SAGE Publications. </w:t>
      </w:r>
    </w:p>
    <w:sectPr w:rsidR="00525BA8" w:rsidRPr="000D784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AB840" w14:textId="77777777" w:rsidR="009C23EA" w:rsidRDefault="009C23EA" w:rsidP="00190217">
      <w:pPr>
        <w:spacing w:after="0" w:line="240" w:lineRule="auto"/>
      </w:pPr>
      <w:r>
        <w:separator/>
      </w:r>
    </w:p>
  </w:endnote>
  <w:endnote w:type="continuationSeparator" w:id="0">
    <w:p w14:paraId="2EAB0E59" w14:textId="77777777" w:rsidR="009C23EA" w:rsidRDefault="009C23EA" w:rsidP="00190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50AD5" w14:textId="77777777" w:rsidR="009C23EA" w:rsidRDefault="009C23EA" w:rsidP="00190217">
      <w:pPr>
        <w:spacing w:after="0" w:line="240" w:lineRule="auto"/>
      </w:pPr>
      <w:r>
        <w:separator/>
      </w:r>
    </w:p>
  </w:footnote>
  <w:footnote w:type="continuationSeparator" w:id="0">
    <w:p w14:paraId="679D7767" w14:textId="77777777" w:rsidR="009C23EA" w:rsidRDefault="009C23EA" w:rsidP="001902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E9F72" w14:textId="43D38618" w:rsidR="00190217" w:rsidRDefault="00190217">
    <w:pPr>
      <w:pStyle w:val="Header"/>
      <w:jc w:val="right"/>
      <w:rPr>
        <w:color w:val="4472C4" w:themeColor="accent1"/>
      </w:rPr>
    </w:pPr>
    <w:sdt>
      <w:sdtPr>
        <w:rPr>
          <w:color w:val="4472C4" w:themeColor="accent1"/>
        </w:rPr>
        <w:alias w:val="Title"/>
        <w:tag w:val=""/>
        <w:id w:val="664756013"/>
        <w:placeholder>
          <w:docPart w:val="409BADA34F204AF0B6C6C095F463D1FB"/>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2100378</w:t>
        </w:r>
      </w:sdtContent>
    </w:sdt>
    <w:r>
      <w:rPr>
        <w:color w:val="4472C4" w:themeColor="accent1"/>
      </w:rPr>
      <w:t xml:space="preserve"> | </w:t>
    </w:r>
    <w:sdt>
      <w:sdtPr>
        <w:rPr>
          <w:color w:val="4472C4" w:themeColor="accent1"/>
        </w:rPr>
        <w:alias w:val="Author"/>
        <w:tag w:val=""/>
        <w:id w:val="-1677181147"/>
        <w:placeholder>
          <w:docPart w:val="E91AE43CAAA941ECAB58EDC564AD7A7F"/>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Charlotte Ashford</w:t>
        </w:r>
      </w:sdtContent>
    </w:sdt>
  </w:p>
  <w:p w14:paraId="2D3056EA" w14:textId="77777777" w:rsidR="00190217" w:rsidRDefault="001902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217"/>
    <w:rsid w:val="00014CC8"/>
    <w:rsid w:val="00061753"/>
    <w:rsid w:val="00066AF9"/>
    <w:rsid w:val="000764A1"/>
    <w:rsid w:val="000A4923"/>
    <w:rsid w:val="000D784C"/>
    <w:rsid w:val="000E24DB"/>
    <w:rsid w:val="00133438"/>
    <w:rsid w:val="001850AC"/>
    <w:rsid w:val="00190217"/>
    <w:rsid w:val="002546AF"/>
    <w:rsid w:val="002A7D78"/>
    <w:rsid w:val="0035171A"/>
    <w:rsid w:val="00362FB3"/>
    <w:rsid w:val="0037327F"/>
    <w:rsid w:val="003F1AF7"/>
    <w:rsid w:val="0047687F"/>
    <w:rsid w:val="004874FF"/>
    <w:rsid w:val="004B203F"/>
    <w:rsid w:val="004C0DA6"/>
    <w:rsid w:val="004E40FB"/>
    <w:rsid w:val="00525BA8"/>
    <w:rsid w:val="00581635"/>
    <w:rsid w:val="005D498F"/>
    <w:rsid w:val="005E56F7"/>
    <w:rsid w:val="00604778"/>
    <w:rsid w:val="0064503B"/>
    <w:rsid w:val="007267FC"/>
    <w:rsid w:val="007668B6"/>
    <w:rsid w:val="007777A4"/>
    <w:rsid w:val="008114E1"/>
    <w:rsid w:val="008556E3"/>
    <w:rsid w:val="008F1DCA"/>
    <w:rsid w:val="009213EB"/>
    <w:rsid w:val="00951226"/>
    <w:rsid w:val="009C23EA"/>
    <w:rsid w:val="00A82B88"/>
    <w:rsid w:val="00B0334C"/>
    <w:rsid w:val="00B24EBB"/>
    <w:rsid w:val="00B335AB"/>
    <w:rsid w:val="00B74C20"/>
    <w:rsid w:val="00CB5E83"/>
    <w:rsid w:val="00D1161E"/>
    <w:rsid w:val="00D2487D"/>
    <w:rsid w:val="00DA1868"/>
    <w:rsid w:val="00DB1E6E"/>
    <w:rsid w:val="00E1699D"/>
    <w:rsid w:val="00E22A54"/>
    <w:rsid w:val="00E87D50"/>
    <w:rsid w:val="00EC2D17"/>
    <w:rsid w:val="00F56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C7179"/>
  <w15:chartTrackingRefBased/>
  <w15:docId w15:val="{DAB58D8C-6BA3-4F62-A740-258CC6DB9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617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0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217"/>
  </w:style>
  <w:style w:type="paragraph" w:styleId="Footer">
    <w:name w:val="footer"/>
    <w:basedOn w:val="Normal"/>
    <w:link w:val="FooterChar"/>
    <w:uiPriority w:val="99"/>
    <w:unhideWhenUsed/>
    <w:rsid w:val="00190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217"/>
  </w:style>
  <w:style w:type="character" w:customStyle="1" w:styleId="Heading1Char">
    <w:name w:val="Heading 1 Char"/>
    <w:basedOn w:val="DefaultParagraphFont"/>
    <w:link w:val="Heading1"/>
    <w:uiPriority w:val="9"/>
    <w:rsid w:val="00061753"/>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061753"/>
    <w:rPr>
      <w:i/>
      <w:iCs/>
    </w:rPr>
  </w:style>
  <w:style w:type="character" w:customStyle="1" w:styleId="accordion-tabbedtab-mobile">
    <w:name w:val="accordion-tabbed__tab-mobile"/>
    <w:basedOn w:val="DefaultParagraphFont"/>
    <w:rsid w:val="00061753"/>
  </w:style>
  <w:style w:type="character" w:styleId="Hyperlink">
    <w:name w:val="Hyperlink"/>
    <w:basedOn w:val="DefaultParagraphFont"/>
    <w:uiPriority w:val="99"/>
    <w:semiHidden/>
    <w:unhideWhenUsed/>
    <w:rsid w:val="00061753"/>
    <w:rPr>
      <w:color w:val="0000FF"/>
      <w:u w:val="single"/>
    </w:rPr>
  </w:style>
  <w:style w:type="character" w:customStyle="1" w:styleId="comma-separator">
    <w:name w:val="comma-separator"/>
    <w:basedOn w:val="DefaultParagraphFont"/>
    <w:rsid w:val="00061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onlinelibrary.wiley.com/action/doSearch?ContribAuthorRaw=Grosse+Holtforth%2C+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action/doSearch?ContribAuthorRaw=Berking%2C+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9BADA34F204AF0B6C6C095F463D1FB"/>
        <w:category>
          <w:name w:val="General"/>
          <w:gallery w:val="placeholder"/>
        </w:category>
        <w:types>
          <w:type w:val="bbPlcHdr"/>
        </w:types>
        <w:behaviors>
          <w:behavior w:val="content"/>
        </w:behaviors>
        <w:guid w:val="{0774F023-0CF6-49DB-BBD6-5C39B83500B2}"/>
      </w:docPartPr>
      <w:docPartBody>
        <w:p w:rsidR="00000000" w:rsidRDefault="00B83695" w:rsidP="00B83695">
          <w:pPr>
            <w:pStyle w:val="409BADA34F204AF0B6C6C095F463D1FB"/>
          </w:pPr>
          <w:r>
            <w:rPr>
              <w:color w:val="4472C4" w:themeColor="accent1"/>
            </w:rPr>
            <w:t>[Document title]</w:t>
          </w:r>
        </w:p>
      </w:docPartBody>
    </w:docPart>
    <w:docPart>
      <w:docPartPr>
        <w:name w:val="E91AE43CAAA941ECAB58EDC564AD7A7F"/>
        <w:category>
          <w:name w:val="General"/>
          <w:gallery w:val="placeholder"/>
        </w:category>
        <w:types>
          <w:type w:val="bbPlcHdr"/>
        </w:types>
        <w:behaviors>
          <w:behavior w:val="content"/>
        </w:behaviors>
        <w:guid w:val="{BAE3B923-0D7C-48F1-B378-3CD960446EDA}"/>
      </w:docPartPr>
      <w:docPartBody>
        <w:p w:rsidR="00000000" w:rsidRDefault="00B83695" w:rsidP="00B83695">
          <w:pPr>
            <w:pStyle w:val="E91AE43CAAA941ECAB58EDC564AD7A7F"/>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695"/>
    <w:rsid w:val="005133DC"/>
    <w:rsid w:val="00B83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9BADA34F204AF0B6C6C095F463D1FB">
    <w:name w:val="409BADA34F204AF0B6C6C095F463D1FB"/>
    <w:rsid w:val="00B83695"/>
  </w:style>
  <w:style w:type="paragraph" w:customStyle="1" w:styleId="E91AE43CAAA941ECAB58EDC564AD7A7F">
    <w:name w:val="E91AE43CAAA941ECAB58EDC564AD7A7F"/>
    <w:rsid w:val="00B836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378</TotalTime>
  <Pages>4</Pages>
  <Words>1435</Words>
  <Characters>8182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2100378</vt:lpstr>
    </vt:vector>
  </TitlesOfParts>
  <Company/>
  <LinksUpToDate>false</LinksUpToDate>
  <CharactersWithSpaces>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2100378</dc:title>
  <dc:subject/>
  <dc:creator>Charlotte Ashford</dc:creator>
  <cp:keywords/>
  <dc:description/>
  <cp:lastModifiedBy>Charlotte Ashford</cp:lastModifiedBy>
  <cp:revision>25</cp:revision>
  <dcterms:created xsi:type="dcterms:W3CDTF">2022-04-05T10:45:00Z</dcterms:created>
  <dcterms:modified xsi:type="dcterms:W3CDTF">2022-04-07T18:10:00Z</dcterms:modified>
</cp:coreProperties>
</file>