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6A022" w14:textId="46AA3100" w:rsidR="00861A9B" w:rsidRDefault="00861A9B" w:rsidP="004A16A6">
      <w:pPr>
        <w:spacing w:line="360" w:lineRule="auto"/>
      </w:pPr>
      <w:r>
        <w:t>AC 1.1</w:t>
      </w:r>
    </w:p>
    <w:p w14:paraId="3A69D274" w14:textId="7E3C0B33" w:rsidR="00914A9B" w:rsidRDefault="00107943" w:rsidP="004A16A6">
      <w:pPr>
        <w:spacing w:line="360" w:lineRule="auto"/>
      </w:pPr>
      <w:r>
        <w:t xml:space="preserve">The choice of </w:t>
      </w:r>
      <w:r w:rsidR="00F56ADD">
        <w:t>structure in an organisation</w:t>
      </w:r>
      <w:r>
        <w:t xml:space="preserve"> </w:t>
      </w:r>
      <w:r w:rsidR="00A95434">
        <w:t xml:space="preserve">has a profound effect on both performance and culture and ensuring both contribute efficiently towards </w:t>
      </w:r>
      <w:r w:rsidR="00A04B85">
        <w:t>its</w:t>
      </w:r>
      <w:r w:rsidR="00A95434">
        <w:t xml:space="preserve"> strategic </w:t>
      </w:r>
      <w:r w:rsidR="00A04B85">
        <w:t>goals</w:t>
      </w:r>
      <w:r w:rsidR="00A95434">
        <w:t xml:space="preserve"> (Taylor and Woodhams, 2022).  </w:t>
      </w:r>
    </w:p>
    <w:p w14:paraId="08DC115C" w14:textId="48C84A14" w:rsidR="008E37E4" w:rsidRDefault="008E37E4" w:rsidP="004A16A6">
      <w:pPr>
        <w:spacing w:line="360" w:lineRule="auto"/>
      </w:pPr>
      <w:r>
        <w:t xml:space="preserve">Under Kirsten’s small-scale, personal management structure, Calmere House benefitted from direct oversight from one person, </w:t>
      </w:r>
      <w:r w:rsidR="0025654C">
        <w:t>simplifying the</w:t>
      </w:r>
      <w:r>
        <w:t xml:space="preserve"> channel</w:t>
      </w:r>
      <w:r w:rsidR="0025654C">
        <w:t xml:space="preserve">s </w:t>
      </w:r>
      <w:r>
        <w:t>of communication</w:t>
      </w:r>
      <w:r w:rsidR="0025654C">
        <w:t xml:space="preserve">, thus, enabling her team to be more informed and agile </w:t>
      </w:r>
      <w:r w:rsidR="00937995" w:rsidRPr="00937995">
        <w:t>(</w:t>
      </w:r>
      <w:r w:rsidR="0025654C">
        <w:rPr>
          <w:rFonts w:eastAsia="Times New Roman" w:cstheme="minorHAnsi"/>
          <w:lang w:eastAsia="en-GB"/>
        </w:rPr>
        <w:t>Cresswell</w:t>
      </w:r>
      <w:r w:rsidR="00937995" w:rsidRPr="00937995">
        <w:rPr>
          <w:rFonts w:eastAsia="Times New Roman" w:cstheme="minorHAnsi"/>
          <w:lang w:eastAsia="en-GB"/>
        </w:rPr>
        <w:t>, 20</w:t>
      </w:r>
      <w:r w:rsidR="0025654C">
        <w:rPr>
          <w:rFonts w:eastAsia="Times New Roman" w:cstheme="minorHAnsi"/>
          <w:lang w:eastAsia="en-GB"/>
        </w:rPr>
        <w:t>18)</w:t>
      </w:r>
      <w:r>
        <w:t xml:space="preserve">. </w:t>
      </w:r>
      <w:r w:rsidR="00761886">
        <w:t>Deciding to forgo</w:t>
      </w:r>
      <w:r>
        <w:t xml:space="preserve"> multiple layers of hierarchy cultivated a close relationship between Kirsten and her employees in which they could raise concerns or voice opinions</w:t>
      </w:r>
      <w:r w:rsidR="00542BB6">
        <w:t xml:space="preserve"> that </w:t>
      </w:r>
      <w:r w:rsidR="0025654C">
        <w:t>could</w:t>
      </w:r>
      <w:r w:rsidR="00542BB6">
        <w:t xml:space="preserve"> be addressed immediately</w:t>
      </w:r>
      <w:r w:rsidR="0025654C">
        <w:t xml:space="preserve"> </w:t>
      </w:r>
      <w:r w:rsidR="0025654C" w:rsidRPr="00937995">
        <w:t>(</w:t>
      </w:r>
      <w:r w:rsidR="0025654C" w:rsidRPr="00937995">
        <w:rPr>
          <w:rFonts w:eastAsia="Times New Roman" w:cstheme="minorHAnsi"/>
          <w:lang w:eastAsia="en-GB"/>
        </w:rPr>
        <w:t>Kvachantiradze, 2023)</w:t>
      </w:r>
      <w:r>
        <w:t xml:space="preserve">. </w:t>
      </w:r>
      <w:r w:rsidR="00E9261B">
        <w:t xml:space="preserve">Kirsten’s decision to </w:t>
      </w:r>
      <w:r w:rsidR="00761886">
        <w:t>engage</w:t>
      </w:r>
      <w:r w:rsidR="00E9261B">
        <w:t xml:space="preserve"> staff in recruitment and selection processes empowered her staff to make decisions that would affect organisational performance, thus investing them in the care home’s strategic </w:t>
      </w:r>
      <w:r w:rsidR="00E9261B" w:rsidRPr="00937995">
        <w:t>goals</w:t>
      </w:r>
      <w:r w:rsidR="00937995" w:rsidRPr="00937995">
        <w:t xml:space="preserve"> </w:t>
      </w:r>
      <w:r w:rsidR="00B3632D">
        <w:t xml:space="preserve">and contributing to high staff retention </w:t>
      </w:r>
      <w:r w:rsidR="00937995" w:rsidRPr="00937995">
        <w:t>(</w:t>
      </w:r>
      <w:r w:rsidR="00542BB6">
        <w:rPr>
          <w:rFonts w:eastAsia="Times New Roman" w:cstheme="minorHAnsi"/>
          <w:lang w:eastAsia="en-GB"/>
        </w:rPr>
        <w:t>Cole</w:t>
      </w:r>
      <w:r w:rsidR="00937995" w:rsidRPr="00937995">
        <w:rPr>
          <w:rFonts w:eastAsia="Times New Roman" w:cstheme="minorHAnsi"/>
          <w:lang w:eastAsia="en-GB"/>
        </w:rPr>
        <w:t>, 20</w:t>
      </w:r>
      <w:r w:rsidR="00761886">
        <w:rPr>
          <w:rFonts w:eastAsia="Times New Roman" w:cstheme="minorHAnsi"/>
          <w:lang w:eastAsia="en-GB"/>
        </w:rPr>
        <w:t>1</w:t>
      </w:r>
      <w:r w:rsidR="00542BB6">
        <w:rPr>
          <w:rFonts w:eastAsia="Times New Roman" w:cstheme="minorHAnsi"/>
          <w:lang w:eastAsia="en-GB"/>
        </w:rPr>
        <w:t>8</w:t>
      </w:r>
      <w:r w:rsidR="00937995" w:rsidRPr="00937995">
        <w:rPr>
          <w:rFonts w:eastAsia="Times New Roman" w:cstheme="minorHAnsi"/>
          <w:lang w:eastAsia="en-GB"/>
        </w:rPr>
        <w:t>)</w:t>
      </w:r>
      <w:r w:rsidR="00E9261B" w:rsidRPr="00937995">
        <w:t xml:space="preserve">. </w:t>
      </w:r>
      <w:r w:rsidR="00530588" w:rsidRPr="00937995">
        <w:t xml:space="preserve">However, without </w:t>
      </w:r>
      <w:r w:rsidR="0099501B" w:rsidRPr="00937995">
        <w:t xml:space="preserve">policies and </w:t>
      </w:r>
      <w:r w:rsidR="0099501B">
        <w:t xml:space="preserve">procedures to follow within the organisation, this </w:t>
      </w:r>
      <w:r w:rsidR="000C18D8">
        <w:t>could have opened</w:t>
      </w:r>
      <w:r w:rsidR="0099501B">
        <w:t xml:space="preserve"> Calmere House up to a quality improvement process that </w:t>
      </w:r>
      <w:r w:rsidR="000C18D8">
        <w:t>was</w:t>
      </w:r>
      <w:r w:rsidR="0099501B">
        <w:t xml:space="preserve"> lacking, thus, </w:t>
      </w:r>
      <w:r w:rsidR="006F6EE4">
        <w:t xml:space="preserve">potentially </w:t>
      </w:r>
      <w:r w:rsidR="0099501B">
        <w:t>impacting on residents’ experience</w:t>
      </w:r>
      <w:r w:rsidR="006F6EE4">
        <w:t xml:space="preserve"> (Winters et al, 2014)</w:t>
      </w:r>
      <w:r w:rsidR="0099501B">
        <w:t xml:space="preserve">.  </w:t>
      </w:r>
      <w:r w:rsidR="00937995">
        <w:t xml:space="preserve">Furthermore, an absence of </w:t>
      </w:r>
      <w:r w:rsidR="00937995" w:rsidRPr="00937995">
        <w:t>clear hierarchical roles and responsibilities</w:t>
      </w:r>
      <w:r w:rsidR="00937995">
        <w:t xml:space="preserve"> in a flat </w:t>
      </w:r>
      <w:r w:rsidR="002F75C7">
        <w:t xml:space="preserve">organisational </w:t>
      </w:r>
      <w:r w:rsidR="00937995">
        <w:t>structure, especially supervisory positions,</w:t>
      </w:r>
      <w:r w:rsidR="00937995" w:rsidRPr="00937995">
        <w:t xml:space="preserve"> </w:t>
      </w:r>
      <w:r w:rsidR="00761886">
        <w:t>could</w:t>
      </w:r>
      <w:r w:rsidR="00937995">
        <w:t xml:space="preserve"> translate into an absence of accountability in terms of </w:t>
      </w:r>
      <w:r w:rsidR="00761886">
        <w:t>decision-making</w:t>
      </w:r>
      <w:r w:rsidR="00937995">
        <w:t xml:space="preserve">, performance and compliance with regulations </w:t>
      </w:r>
      <w:r w:rsidR="00761886">
        <w:t xml:space="preserve">set by </w:t>
      </w:r>
      <w:r w:rsidR="00A01FA4">
        <w:t xml:space="preserve">bodies such as </w:t>
      </w:r>
      <w:r w:rsidR="00761886">
        <w:t>the</w:t>
      </w:r>
      <w:r w:rsidR="00937995">
        <w:t xml:space="preserve"> Care Quality Commission</w:t>
      </w:r>
      <w:r w:rsidR="00761886">
        <w:t xml:space="preserve"> (Matriano, 2024).</w:t>
      </w:r>
    </w:p>
    <w:p w14:paraId="437962BF" w14:textId="2E7A289C" w:rsidR="00A01FA4" w:rsidRDefault="002F75C7" w:rsidP="004A16A6">
      <w:pPr>
        <w:spacing w:line="360" w:lineRule="auto"/>
      </w:pPr>
      <w:r>
        <w:t>Chaffinch Groups’ hierarchical bureaucratic structure would bring a level of consistency to Calmere House’s services, standardising procedures to ensure all residents received the same high quality of care</w:t>
      </w:r>
      <w:r w:rsidR="0089100A">
        <w:t xml:space="preserve"> (Buchanan and Huczynski, 2003)</w:t>
      </w:r>
      <w:r>
        <w:t xml:space="preserve">. </w:t>
      </w:r>
      <w:r w:rsidR="00F56ADD">
        <w:t>The introduction of multiple layers of hierarchy opens up career pathways for staff which, if communicated and managed by Kath correctly, could improve staff retention and motivation</w:t>
      </w:r>
      <w:r w:rsidR="001F7C5B">
        <w:t xml:space="preserve"> (Childs, 2019)</w:t>
      </w:r>
      <w:r w:rsidR="00F56ADD">
        <w:t xml:space="preserve">. </w:t>
      </w:r>
      <w:r>
        <w:t xml:space="preserve">Additional layers of management with defined roles </w:t>
      </w:r>
      <w:r w:rsidR="00B23504">
        <w:t>would address any confusion around responsibilities for vital operational elements such as health and safety standards and regulatory compliance, particularly with the introduction of the Group’s policies and procedures</w:t>
      </w:r>
      <w:r w:rsidR="00720EDD">
        <w:t xml:space="preserve"> (Mullins and McLean, 2019)</w:t>
      </w:r>
      <w:r w:rsidR="00B23504">
        <w:t>.</w:t>
      </w:r>
      <w:r w:rsidR="00EC12C5">
        <w:t xml:space="preserve"> However, this focus on following procedures can depersonalise the care and ignore the individual needs of residents, as seen in Calmere House with the changes in residents’ rooms without consideration for preference (Greener, 2019). </w:t>
      </w:r>
      <w:r w:rsidR="00B23504">
        <w:t xml:space="preserve"> </w:t>
      </w:r>
      <w:r w:rsidR="00EC12C5">
        <w:t>Additionally</w:t>
      </w:r>
      <w:r w:rsidR="00F959B8">
        <w:t xml:space="preserve">, </w:t>
      </w:r>
      <w:r w:rsidR="00F56ADD">
        <w:t xml:space="preserve">communication and </w:t>
      </w:r>
      <w:r w:rsidR="00F959B8">
        <w:t>decision-making through multiple layers of management can become slow and lack the responsiveness needed to react to changes in resident health, potentially risking a drop in the quality of care (</w:t>
      </w:r>
      <w:r w:rsidR="00A412C9" w:rsidRPr="00A412C9">
        <w:t>Zheltoukhova</w:t>
      </w:r>
      <w:r w:rsidR="00F56ADD">
        <w:t>, 2014</w:t>
      </w:r>
      <w:r w:rsidR="00F959B8">
        <w:t>).</w:t>
      </w:r>
      <w:r w:rsidR="00EC12C5">
        <w:t xml:space="preserve"> </w:t>
      </w:r>
    </w:p>
    <w:p w14:paraId="66725B5F" w14:textId="7C3AD250" w:rsidR="00A74AB1" w:rsidRDefault="00A74AB1" w:rsidP="004A16A6">
      <w:pPr>
        <w:spacing w:line="360" w:lineRule="auto"/>
      </w:pPr>
    </w:p>
    <w:p w14:paraId="1A6913CD" w14:textId="77777777" w:rsidR="004B6145" w:rsidRDefault="004B6145" w:rsidP="004A16A6">
      <w:pPr>
        <w:spacing w:line="360" w:lineRule="auto"/>
      </w:pPr>
    </w:p>
    <w:p w14:paraId="77A352CD" w14:textId="4CD4CA7E" w:rsidR="00861A9B" w:rsidRDefault="00861A9B" w:rsidP="004A16A6">
      <w:pPr>
        <w:spacing w:line="360" w:lineRule="auto"/>
      </w:pPr>
      <w:r>
        <w:lastRenderedPageBreak/>
        <w:t>AC 1.2</w:t>
      </w:r>
    </w:p>
    <w:p w14:paraId="3A9CECB3" w14:textId="5CB7EE77" w:rsidR="00EA3A73" w:rsidRDefault="00FD09A7" w:rsidP="004A16A6">
      <w:pPr>
        <w:spacing w:line="360" w:lineRule="auto"/>
      </w:pPr>
      <w:r>
        <w:t>A rational approach to strategy formulation</w:t>
      </w:r>
      <w:r w:rsidR="00AE0154">
        <w:t xml:space="preserve"> </w:t>
      </w:r>
      <w:r>
        <w:t>is a deliberate process of calculation, utilising different tools of analysis to consider any and all factors that could contribute to the achievement of the organisation</w:t>
      </w:r>
      <w:r w:rsidR="00C027ED">
        <w:t>’s</w:t>
      </w:r>
      <w:r>
        <w:t xml:space="preserve"> strategic goals (Marchington et al, 2021). </w:t>
      </w:r>
      <w:r w:rsidR="003A7482">
        <w:t xml:space="preserve">Approaching the formulation of their strategy rationally will provide a long-term plan for Chaffinch Group to stay competitive in the market and satisfy the demands of their customers (Marchington et al, 2021). </w:t>
      </w:r>
      <w:r w:rsidR="00EA3A73">
        <w:t>Chaffinch Group have completed a horizontal integration with Calmere House; the purchase of the residential care home includes the acquisition of their residents, employees and resources (Taylor and Woodhams, 2022). Following this integration, they will need to ensure Calmere House aligns with their overall strategic goals and conduct both internal and external analyses to understand the market landscape and Calmere House’s capabilities (Lucarz, 2022).</w:t>
      </w:r>
    </w:p>
    <w:p w14:paraId="5FF045EE" w14:textId="0B3C7674" w:rsidR="00A74AB1" w:rsidRDefault="00FD09A7" w:rsidP="004A16A6">
      <w:pPr>
        <w:spacing w:line="360" w:lineRule="auto"/>
      </w:pPr>
      <w:r>
        <w:t>To begin with, Chaffinch Group can define what their key strategic aims are which, primary of all, would be providing a service of value to their customers (Armstrong, 2012). Setting clear objectives from the outset will enable Chaffinch Group to align their strategic direction with the needs of their customers and how they will utilise their available resources to achieve this</w:t>
      </w:r>
      <w:r w:rsidR="0072296E">
        <w:t xml:space="preserve"> (Myers and Parsons, 2020)</w:t>
      </w:r>
      <w:r>
        <w:t>. Furthermore, the objectives will be measurable in terms of outcomes, such as increases in resident numbers and satisfaction</w:t>
      </w:r>
      <w:r w:rsidR="004450BA">
        <w:t xml:space="preserve">, including their goal to fill 100% of resident rooms within six months </w:t>
      </w:r>
      <w:r w:rsidR="008B38D0">
        <w:t>(Taylor and Woodhams, 2022).</w:t>
      </w:r>
    </w:p>
    <w:p w14:paraId="7C25B767" w14:textId="3AA0528C" w:rsidR="00C027ED" w:rsidRDefault="00C027ED" w:rsidP="004A16A6">
      <w:pPr>
        <w:spacing w:line="360" w:lineRule="auto"/>
      </w:pPr>
      <w:r>
        <w:t xml:space="preserve">To assess external trends, Chaffinch Group can use the PESTLE analysis to </w:t>
      </w:r>
      <w:r w:rsidR="00057122">
        <w:t xml:space="preserve">better understand </w:t>
      </w:r>
      <w:r w:rsidR="00F6256E">
        <w:t>changing</w:t>
      </w:r>
      <w:r w:rsidR="00057122">
        <w:t xml:space="preserve"> customer needs through </w:t>
      </w:r>
      <w:r>
        <w:t>changes in healthcare policies and regulations, shifts in the economic landscape such as funding pressures from government and local authorities, and developments in technology that could improve residents’ quality of care</w:t>
      </w:r>
      <w:r w:rsidR="00016A37">
        <w:t xml:space="preserve"> (Hayden, 2025)</w:t>
      </w:r>
      <w:r>
        <w:t>. On the other hand, a SWOT analysis would provide an internal audit of Chaffinch Group’s resources such as staffing levels and capabilities, facilities and finances to highlight where they are succeeding and where they are possibly at risk</w:t>
      </w:r>
      <w:r w:rsidR="00016A37">
        <w:t xml:space="preserve"> </w:t>
      </w:r>
      <w:r w:rsidR="00057122">
        <w:t xml:space="preserve">in terms of meeting customer needs </w:t>
      </w:r>
      <w:r w:rsidR="00016A37">
        <w:t>(CIPD, 2025</w:t>
      </w:r>
      <w:r w:rsidR="00EF1B6F">
        <w:t>a</w:t>
      </w:r>
      <w:r w:rsidR="00016A37">
        <w:t>)</w:t>
      </w:r>
      <w:r>
        <w:t>.</w:t>
      </w:r>
      <w:r w:rsidR="00057122">
        <w:t xml:space="preserve"> For example, the analyses would identify that the residents are unhappy with the lack of personalisation in their room refurbishments and what Chaffinch Group’s capabilities are to address this.</w:t>
      </w:r>
      <w:r>
        <w:t xml:space="preserve"> </w:t>
      </w:r>
      <w:r w:rsidR="00861A9B">
        <w:t xml:space="preserve">Both tools of analysis would supply Chaffinch Group with </w:t>
      </w:r>
      <w:r w:rsidR="004450BA">
        <w:t>a wide selection of</w:t>
      </w:r>
      <w:r w:rsidR="00861A9B">
        <w:t xml:space="preserve"> </w:t>
      </w:r>
      <w:r w:rsidR="004450BA">
        <w:t xml:space="preserve">data to make strategic decisions, also known as evidence-based practice (CIPD, 2025b). </w:t>
      </w:r>
    </w:p>
    <w:p w14:paraId="19885C3E" w14:textId="5470081E" w:rsidR="00826F89" w:rsidRDefault="004610B5" w:rsidP="004A16A6">
      <w:pPr>
        <w:spacing w:line="360" w:lineRule="auto"/>
      </w:pPr>
      <w:r>
        <w:t>AC 1.3</w:t>
      </w:r>
    </w:p>
    <w:p w14:paraId="5C879AAB" w14:textId="003A1F5D" w:rsidR="00DF64D8" w:rsidRDefault="00DF64D8" w:rsidP="004A16A6">
      <w:pPr>
        <w:spacing w:line="360" w:lineRule="auto"/>
      </w:pPr>
      <w:r>
        <w:t>Understanding how external factors will impact on Calmere House, and the residential care industry as a whole, is vital for an effective</w:t>
      </w:r>
      <w:r w:rsidR="008100FE">
        <w:t xml:space="preserve"> organisation</w:t>
      </w:r>
      <w:r w:rsidR="000877A1">
        <w:t xml:space="preserve">al </w:t>
      </w:r>
      <w:r>
        <w:t xml:space="preserve">strategy and ensuring they stay competitive in a </w:t>
      </w:r>
      <w:r>
        <w:lastRenderedPageBreak/>
        <w:t>challenging</w:t>
      </w:r>
      <w:r w:rsidR="008100FE">
        <w:t xml:space="preserve"> and competitive</w:t>
      </w:r>
      <w:r>
        <w:t xml:space="preserve"> sector (Taylor and Woodhams, 2022). Without the valuable context of various external forces </w:t>
      </w:r>
      <w:r w:rsidR="00703214">
        <w:t>affecting</w:t>
      </w:r>
      <w:r>
        <w:t xml:space="preserve"> the operations of Calmere House, Chaffinch Group will not be agile enough to react to sudden shifts or changes in, for example, regulations, funding or public perception (CIPD, 2019).</w:t>
      </w:r>
    </w:p>
    <w:p w14:paraId="54ACA402" w14:textId="0C110CD4" w:rsidR="004C383A" w:rsidRDefault="004C383A" w:rsidP="004A16A6">
      <w:pPr>
        <w:spacing w:line="360" w:lineRule="auto"/>
      </w:pPr>
      <w:r>
        <w:t>The current financial environment in the country is becoming more and more difficult for organisations in residential care, in particular, the cost-of-living crisis and funding pressures from local authorities and the NHS.</w:t>
      </w:r>
      <w:r w:rsidR="00A532B8">
        <w:t xml:space="preserve"> The Care Quality Commission’s (CQC) 2023-2024 report found that not only has inflation and staff salaries raised costs for care providers, leading to a reduction in reserves and financial resilience, but fee rates from local authorities have not increased at pace with rising costs. This gap between cost of services and return on investment has unfortunately resulted in providers rejecting contracts due to their inability to provide sustainable levels of care to customers</w:t>
      </w:r>
      <w:r w:rsidR="006E2B59">
        <w:t xml:space="preserve">/residents </w:t>
      </w:r>
      <w:r w:rsidR="00A532B8">
        <w:t xml:space="preserve">(CQC, 2024). </w:t>
      </w:r>
      <w:r w:rsidR="006E2B59">
        <w:t xml:space="preserve">Care England’s (2024) Sector Pulse Check further corroborated the CQC’s findings that government and local authority fees are not covering increasing operational costs such as rising energy prices and the National Living Wage increase. </w:t>
      </w:r>
      <w:r w:rsidR="00921072">
        <w:t xml:space="preserve">Chaffinch Group will need to weigh up the need to pay their staff a living wage or risk losing them to competitors whilst </w:t>
      </w:r>
      <w:r w:rsidR="0034602B">
        <w:t>working in</w:t>
      </w:r>
      <w:r w:rsidR="00921072">
        <w:t xml:space="preserve"> a sector that continues to be underfunded by local authorities, resulting in service closures in some cases (Care England, 2024). </w:t>
      </w:r>
    </w:p>
    <w:p w14:paraId="2FB3181E" w14:textId="7938D932" w:rsidR="004C62EC" w:rsidRDefault="004C62EC" w:rsidP="004A16A6">
      <w:pPr>
        <w:spacing w:line="360" w:lineRule="auto"/>
      </w:pPr>
      <w:r>
        <w:t xml:space="preserve">One external factor that will benefit the residential care industry over the next few years is the country’s ageing demographic. UK Parliament has announced that the United Kingdom is ‘an ageing society’ due to a low fertility rate and increasing life expectancy (UK Parliament, 2025). </w:t>
      </w:r>
      <w:r w:rsidR="004D0554">
        <w:t xml:space="preserve">Furthermore, over a quarter of UK society is predicted to be over 65 years of age by 2072 (UK Parliament, 2025). This presents both a challenge and an opportunity for care providers in the country; there will undoubtedly be a significant increase in demand for care services which will provide a growing customer base for Calmere House and work towards Chaffinch Group’s goal of 100% resident rooms filled (Uberoi, 2025). </w:t>
      </w:r>
      <w:r w:rsidR="00BE3AA6">
        <w:t>Additional funding</w:t>
      </w:r>
      <w:r w:rsidR="00FD107D">
        <w:t xml:space="preserve"> from government to local authorities </w:t>
      </w:r>
      <w:r w:rsidR="00BE3AA6">
        <w:t xml:space="preserve">continues to rise year on year </w:t>
      </w:r>
      <w:r w:rsidR="00FD107D">
        <w:t>and this extra expenditure will enable providers like Chaffinch Group to invest in their staff and their quality of care (Foster and Harker, 2025).</w:t>
      </w:r>
    </w:p>
    <w:p w14:paraId="640A0341" w14:textId="0E26D4AC" w:rsidR="004C62EC" w:rsidRDefault="004C62EC" w:rsidP="004A16A6">
      <w:pPr>
        <w:spacing w:line="360" w:lineRule="auto"/>
      </w:pPr>
      <w:r>
        <w:t>AC 1.4</w:t>
      </w:r>
    </w:p>
    <w:p w14:paraId="31646714" w14:textId="7E953FE4" w:rsidR="006F76B4" w:rsidRDefault="00A0530E" w:rsidP="004A16A6">
      <w:pPr>
        <w:spacing w:line="360" w:lineRule="auto"/>
      </w:pPr>
      <w:r>
        <w:t xml:space="preserve">Digital </w:t>
      </w:r>
      <w:r w:rsidR="00B877B7">
        <w:t>and technological developments are assisting in providing more efficient systems for care workers and higher quality care to residents. Several studies have piloted different types of technology in care settings such as sleep quality technology</w:t>
      </w:r>
      <w:r w:rsidR="009C44AB">
        <w:t>, lighting systems, acoustic monitoring</w:t>
      </w:r>
      <w:r w:rsidR="00B877B7">
        <w:t xml:space="preserve"> and VR headsets to improve the quality of life of care residents (Baker et al, 2010; Carey-Smith, Evans and Orpwood, 2013</w:t>
      </w:r>
      <w:r w:rsidR="009C44AB">
        <w:t xml:space="preserve">; </w:t>
      </w:r>
      <w:r w:rsidR="00EF4F8F">
        <w:t>CQC</w:t>
      </w:r>
      <w:r w:rsidR="009C44AB">
        <w:t>, 2024</w:t>
      </w:r>
      <w:r w:rsidR="00B877B7">
        <w:t xml:space="preserve">). </w:t>
      </w:r>
      <w:r w:rsidR="007F70B7">
        <w:t xml:space="preserve">Mobile and tablet applications </w:t>
      </w:r>
      <w:r w:rsidR="004E0ACB">
        <w:t>(‘apps’) could be</w:t>
      </w:r>
      <w:r w:rsidR="007F70B7">
        <w:t xml:space="preserve"> used to </w:t>
      </w:r>
      <w:r w:rsidR="007F70B7">
        <w:lastRenderedPageBreak/>
        <w:t xml:space="preserve">support communication between </w:t>
      </w:r>
      <w:r w:rsidR="004E0ACB">
        <w:t xml:space="preserve">Calmere House </w:t>
      </w:r>
      <w:r w:rsidR="007F70B7">
        <w:t>staff and residents</w:t>
      </w:r>
      <w:r w:rsidR="004E0ACB">
        <w:t xml:space="preserve"> suffering from speech difficulties or hearing loss</w:t>
      </w:r>
      <w:r w:rsidR="007F70B7">
        <w:t xml:space="preserve"> in care such as text-</w:t>
      </w:r>
      <w:r w:rsidR="004E0ACB">
        <w:t xml:space="preserve">to-speech functions, personalised photos and videos and translation apps, enabling the staff better meet the needs of their residents (Wilson et al, 2020). </w:t>
      </w:r>
      <w:r w:rsidR="00C07CBA">
        <w:t xml:space="preserve">Digitalised care records are now in place at 72% of CQC-registered care providers and have been found to be a safer, more efficient and compliant form of information storage (Department of Health and Social Care, 2024; Keshta and Odeh, 2021). Chaffinch Group would benefit from implementing a digital record system </w:t>
      </w:r>
      <w:r w:rsidR="000E5075">
        <w:t xml:space="preserve">at Calmere House </w:t>
      </w:r>
      <w:r w:rsidR="00C07CBA">
        <w:t xml:space="preserve">not only for staff efficiency </w:t>
      </w:r>
      <w:r>
        <w:t xml:space="preserve">and accuracy </w:t>
      </w:r>
      <w:r w:rsidR="00C07CBA">
        <w:t>but also to provide a high quality of care to current residents and attract new residents</w:t>
      </w:r>
      <w:r w:rsidR="00EF4F8F">
        <w:t xml:space="preserve"> (CQC, 2023).</w:t>
      </w:r>
    </w:p>
    <w:p w14:paraId="2A593F79" w14:textId="4211AAE7" w:rsidR="00B77A83" w:rsidRDefault="00B77A83" w:rsidP="004A16A6">
      <w:pPr>
        <w:spacing w:line="360" w:lineRule="auto"/>
      </w:pPr>
      <w:r>
        <w:t xml:space="preserve">Artificial </w:t>
      </w:r>
      <w:r w:rsidR="00796596">
        <w:t xml:space="preserve">Intelligence (AI) and predictive analysis tools are becoming increasingly embedded in care practice, particularly within the NHS. There is a market of care technology providers developing AI monitoring and detection tools that </w:t>
      </w:r>
      <w:r w:rsidR="000E5075">
        <w:t>Calmere House staff</w:t>
      </w:r>
      <w:r w:rsidR="00796596">
        <w:t xml:space="preserve"> could utilise in the delivery of their care such as software that can predict the likelihood of falls and detection software that can identify symptoms of winter illnesses, reducing risk of injury or disease through preventative measures (NHS England, 2025). </w:t>
      </w:r>
      <w:r w:rsidR="00F870CF">
        <w:t xml:space="preserve">E-learning platforms are </w:t>
      </w:r>
      <w:r w:rsidR="00E149D6">
        <w:t xml:space="preserve">becoming the more common form of training in the workplace and there is evidence to show that facilitating staff training through online platforms improves staff members’ skills, knowledge and level of care whilst also reducing turnover rates, addressing one of Chaffinch Group’s biggest issues at Calmere House (MacDonald and Walton, 2007). </w:t>
      </w:r>
    </w:p>
    <w:p w14:paraId="3AD626E0" w14:textId="58E78FB2" w:rsidR="00FB6EB6" w:rsidRDefault="00FB6EB6" w:rsidP="004A16A6">
      <w:pPr>
        <w:spacing w:line="360" w:lineRule="auto"/>
      </w:pPr>
      <w:r>
        <w:t>AC 2.1</w:t>
      </w:r>
    </w:p>
    <w:p w14:paraId="772E6450" w14:textId="1753B9BB" w:rsidR="00C1742B" w:rsidRDefault="002A643E" w:rsidP="004A16A6">
      <w:pPr>
        <w:spacing w:line="360" w:lineRule="auto"/>
      </w:pPr>
      <w:r>
        <w:rPr>
          <w:rFonts w:cstheme="minorHAnsi"/>
          <w:shd w:val="clear" w:color="auto" w:fill="FFFFFF"/>
        </w:rPr>
        <w:t xml:space="preserve">It is important for Chaffinch Group to understand organisational and employee behaviour at Calmere House to help them achieve their strategic goals, work more effectively and improve their services (Robbins and Judge, 2017). </w:t>
      </w:r>
      <w:r w:rsidR="005C40E9">
        <w:t>In order to understand how Chaffinch Group’s takeover of Calmere House has encountered several issues, we can look through the lens of o</w:t>
      </w:r>
      <w:r w:rsidR="00F72686">
        <w:t>rganisational culture</w:t>
      </w:r>
      <w:r w:rsidR="005C40E9">
        <w:t xml:space="preserve">. Culture is the ‘shared meaning </w:t>
      </w:r>
      <w:r w:rsidR="005C40E9" w:rsidRPr="005C40E9">
        <w:rPr>
          <w:rFonts w:cstheme="minorHAnsi"/>
          <w:shd w:val="clear" w:color="auto" w:fill="FFFFFF"/>
        </w:rPr>
        <w:t>employees derive about the basic assumptions, values, and beliefs that underlie their experiences at work’, thus</w:t>
      </w:r>
      <w:r w:rsidR="005C40E9">
        <w:rPr>
          <w:rFonts w:cstheme="minorHAnsi"/>
          <w:shd w:val="clear" w:color="auto" w:fill="FFFFFF"/>
        </w:rPr>
        <w:t xml:space="preserve">, </w:t>
      </w:r>
      <w:r w:rsidR="00AE5DD4">
        <w:rPr>
          <w:rFonts w:cstheme="minorHAnsi"/>
          <w:shd w:val="clear" w:color="auto" w:fill="FFFFFF"/>
        </w:rPr>
        <w:t xml:space="preserve">significantly impacting </w:t>
      </w:r>
      <w:r w:rsidR="005C40E9">
        <w:rPr>
          <w:rFonts w:cstheme="minorHAnsi"/>
          <w:shd w:val="clear" w:color="auto" w:fill="FFFFFF"/>
        </w:rPr>
        <w:t xml:space="preserve">how they behave at their organisation (Schneider and Barbera, 2014, p. 4). </w:t>
      </w:r>
      <w:r w:rsidR="00AE5DD4">
        <w:rPr>
          <w:rFonts w:cstheme="minorHAnsi"/>
          <w:shd w:val="clear" w:color="auto" w:fill="FFFFFF"/>
        </w:rPr>
        <w:t xml:space="preserve"> </w:t>
      </w:r>
    </w:p>
    <w:p w14:paraId="18F38447" w14:textId="74410A2D" w:rsidR="00C1742B" w:rsidRDefault="00C1742B" w:rsidP="004A16A6">
      <w:pPr>
        <w:spacing w:line="360" w:lineRule="auto"/>
      </w:pPr>
      <w:r>
        <w:t xml:space="preserve">Charles Handy’s model of culture </w:t>
      </w:r>
      <w:r w:rsidR="008E46FB">
        <w:t xml:space="preserve">shows us how Kath’s new management style under Chaffinch Group was not as well received by staff as Kirsten’s. </w:t>
      </w:r>
      <w:r>
        <w:t>Although, Kirsten was responsible for all decisions relating to the organisation</w:t>
      </w:r>
      <w:r w:rsidR="00F72686">
        <w:t xml:space="preserve"> which would seemingly align with Handy’s power culture, she </w:t>
      </w:r>
      <w:r>
        <w:t>communicated this information regularly to staff</w:t>
      </w:r>
      <w:r w:rsidR="00F72686">
        <w:t xml:space="preserve"> and included their input and voice in processes such as new employee selections, making Calmere House originally a task culture</w:t>
      </w:r>
      <w:r w:rsidR="00C81986">
        <w:t xml:space="preserve"> (Handy, 1993)</w:t>
      </w:r>
      <w:r w:rsidR="00F72686">
        <w:t xml:space="preserve">. Conversely, despite Chaffinch Group introducing clear policies, procedures and a bureaucratic hierarchy, Kath’s management style has fostered a power culture at Calmere House where staff </w:t>
      </w:r>
      <w:r w:rsidR="00F72686">
        <w:lastRenderedPageBreak/>
        <w:t>voice is severely limited; they are expected to follow her instructions without question</w:t>
      </w:r>
      <w:r w:rsidR="00C81986">
        <w:t xml:space="preserve"> </w:t>
      </w:r>
      <w:r w:rsidR="00AC0176">
        <w:t xml:space="preserve">whilst she hires agency workers without their input </w:t>
      </w:r>
      <w:r w:rsidR="00C81986">
        <w:t>(Handy, 1993)</w:t>
      </w:r>
      <w:r w:rsidR="00F72686">
        <w:t xml:space="preserve">. </w:t>
      </w:r>
      <w:r w:rsidR="00AC0176">
        <w:t>This has left Calmere House staff feeling that their opinions are not valued, contributing to the increasing turnover rate</w:t>
      </w:r>
      <w:r w:rsidR="00763270">
        <w:t xml:space="preserve"> (CIPD, 2025c).</w:t>
      </w:r>
    </w:p>
    <w:p w14:paraId="3C6808E6" w14:textId="2879828B" w:rsidR="00002230" w:rsidRDefault="00002230" w:rsidP="004A16A6">
      <w:pPr>
        <w:spacing w:line="360" w:lineRule="auto"/>
      </w:pPr>
      <w:r>
        <w:t>Additionally, Schein’s</w:t>
      </w:r>
      <w:r w:rsidR="00C3722D">
        <w:t xml:space="preserve"> model of organisational culture can shed light on how several changes made by Chaffinch Group during their takeover has disrupted organisational and human behaviour. </w:t>
      </w:r>
      <w:r w:rsidR="000678B3">
        <w:t xml:space="preserve">Schein (1992) splits elements of organisational culture into three levels: visible artifacts, values for expected attitudes or behaviours and the underlying assumptions of how individuals perceive the organisation and those within it. </w:t>
      </w:r>
      <w:r w:rsidR="00BB7133">
        <w:t>Artifacts under Chaffinch Group’s ownership such as the new hierarchical structure, new policies and procedures and facility refurbishments are a drastic change from the flat structure and ad-hoc processes under Kirsten’s leadership</w:t>
      </w:r>
      <w:r w:rsidR="00421859">
        <w:t xml:space="preserve"> (Schein, 1992)</w:t>
      </w:r>
      <w:r w:rsidR="00BB7133">
        <w:t>. Kath does not appear to communicate Chaffinch Group’s values and business goals as clearly as Kirsten did in her regular staff meetings and onboarding process which leaves Calmere House staff with a lack of direction</w:t>
      </w:r>
      <w:r w:rsidR="00421859">
        <w:t xml:space="preserve"> (Schein, 1992)</w:t>
      </w:r>
      <w:r w:rsidR="00BB7133">
        <w:t>. Lastly, Calmere House’s underlying ethos of ‘high quality care with a personal touch’ under Kirsten’s ownership appears to directly clash with Kath’s comment on Chaffinch Group needing to ‘see a return on their investment’</w:t>
      </w:r>
      <w:r w:rsidR="00421859">
        <w:t xml:space="preserve"> (Schein, 1992)</w:t>
      </w:r>
      <w:r w:rsidR="00BB7133">
        <w:t xml:space="preserve">. All of these </w:t>
      </w:r>
      <w:r w:rsidR="00F13587">
        <w:t xml:space="preserve">inherent </w:t>
      </w:r>
      <w:r w:rsidR="00BB7133">
        <w:t xml:space="preserve">changes </w:t>
      </w:r>
      <w:r w:rsidR="00DB5045">
        <w:t xml:space="preserve">to culture </w:t>
      </w:r>
      <w:r w:rsidR="00F13587">
        <w:t xml:space="preserve">that Chaffinch Group have made in Calmere House has </w:t>
      </w:r>
      <w:r w:rsidR="00AE26D9">
        <w:t xml:space="preserve">negatively </w:t>
      </w:r>
      <w:r w:rsidR="00F13587">
        <w:t xml:space="preserve">affected the human behaviour within the organisation (Schein and Schein, 2017). </w:t>
      </w:r>
    </w:p>
    <w:p w14:paraId="6B65850B" w14:textId="30ADE42B" w:rsidR="00DB5045" w:rsidRDefault="00DB5045" w:rsidP="004A16A6">
      <w:pPr>
        <w:spacing w:line="360" w:lineRule="auto"/>
      </w:pPr>
    </w:p>
    <w:p w14:paraId="1A171220" w14:textId="7A53F3E9" w:rsidR="00DB5045" w:rsidRDefault="00DB5045" w:rsidP="004A16A6">
      <w:pPr>
        <w:spacing w:line="360" w:lineRule="auto"/>
      </w:pPr>
      <w:r>
        <w:t>AC 2.2</w:t>
      </w:r>
    </w:p>
    <w:p w14:paraId="01C12A82" w14:textId="7802B3CF" w:rsidR="00DB5045" w:rsidRDefault="00DB5045" w:rsidP="004A16A6">
      <w:pPr>
        <w:spacing w:line="360" w:lineRule="auto"/>
      </w:pPr>
      <w:r>
        <w:t>People practices</w:t>
      </w:r>
      <w:r w:rsidR="00783EFE">
        <w:t xml:space="preserve"> within the employee lifecycle</w:t>
      </w:r>
      <w:r>
        <w:t xml:space="preserve"> like recruitment and selection can have a significant impact on organisational culture</w:t>
      </w:r>
      <w:r w:rsidR="00783EFE">
        <w:t xml:space="preserve">, especially employee trust and confidence in the organisation </w:t>
      </w:r>
      <w:r>
        <w:t>(ICS Learn, 202</w:t>
      </w:r>
      <w:r w:rsidR="00783EFE">
        <w:t xml:space="preserve">1; Taylor and Woodhams, 2022). </w:t>
      </w:r>
      <w:r w:rsidR="008B0BFD">
        <w:t xml:space="preserve">Historically, </w:t>
      </w:r>
      <w:r w:rsidR="007321EC">
        <w:t xml:space="preserve">Calmere House staff regularly participated in the selection process of a new employee and behaviours in line with Calmere House’s values were as valued as relevant qualifications and experience. Moving away from </w:t>
      </w:r>
      <w:r w:rsidR="00851DBB">
        <w:t>employee involvement in decision making</w:t>
      </w:r>
      <w:r w:rsidR="007321EC">
        <w:t xml:space="preserve"> processes and the inclusion of behaviours to assess </w:t>
      </w:r>
      <w:r w:rsidR="00851DBB">
        <w:t>person-organisational fit</w:t>
      </w:r>
      <w:r w:rsidR="007321EC">
        <w:t xml:space="preserve"> has eroded away at the </w:t>
      </w:r>
      <w:r w:rsidR="00851DBB">
        <w:t>commitment and</w:t>
      </w:r>
      <w:r w:rsidR="007321EC">
        <w:t xml:space="preserve"> trust of the Calmere House team and left them feeling </w:t>
      </w:r>
      <w:r w:rsidR="00851DBB">
        <w:t>disengaged (Ogu, 2024; Alfes, Shantz and Alahakone, 2016)</w:t>
      </w:r>
      <w:r w:rsidR="007321EC">
        <w:t>. Furthermore, the introduction of agency outsourcing could send a message to Calmere House employees that Chaffinch Group value a speedy recruitment and selection process over appointment based upon shared cultural values and behaviours</w:t>
      </w:r>
      <w:r w:rsidR="00CA15A8">
        <w:t xml:space="preserve"> (Gilani and Jamshed, 2016)</w:t>
      </w:r>
      <w:r w:rsidR="007321EC">
        <w:t>. Indeed, this is most likely contributing to the increasing employee turnover as employees begin to miss co-workers they assisted in selecting who have left and are dissatisfied with no longer being involved in the process</w:t>
      </w:r>
      <w:r w:rsidR="006C57D1">
        <w:t xml:space="preserve"> (Ogu, 2024).</w:t>
      </w:r>
      <w:r w:rsidR="007321EC">
        <w:t xml:space="preserve"> </w:t>
      </w:r>
    </w:p>
    <w:p w14:paraId="3DD6195D" w14:textId="15EE9325" w:rsidR="007321EC" w:rsidRDefault="00AD56C8" w:rsidP="004A16A6">
      <w:pPr>
        <w:spacing w:line="360" w:lineRule="auto"/>
      </w:pPr>
      <w:r>
        <w:lastRenderedPageBreak/>
        <w:t>Employee voice is a vital form of expression of organisational</w:t>
      </w:r>
      <w:r w:rsidR="00545FC5">
        <w:t xml:space="preserve"> culture and</w:t>
      </w:r>
      <w:r>
        <w:t xml:space="preserve"> behaviour and is one of the seven dimensions the CIPD believes is fundamental for ‘good work’ (Young and Tong, 2025). </w:t>
      </w:r>
      <w:r w:rsidR="007321EC">
        <w:t>Kirsten’s leadership provided ample opportunities for employee voice to be heard</w:t>
      </w:r>
      <w:r w:rsidR="009A68E0">
        <w:t xml:space="preserve"> i</w:t>
      </w:r>
      <w:r w:rsidR="007321EC">
        <w:t>n regular staff meetings</w:t>
      </w:r>
      <w:r w:rsidR="009A68E0">
        <w:t xml:space="preserve"> and</w:t>
      </w:r>
      <w:r w:rsidR="007321EC">
        <w:t xml:space="preserve"> one-to-one check ins</w:t>
      </w:r>
      <w:r w:rsidR="009A68E0">
        <w:t>.</w:t>
      </w:r>
      <w:r w:rsidR="007321EC">
        <w:t xml:space="preserve"> </w:t>
      </w:r>
      <w:r w:rsidR="009A68E0">
        <w:t>This two-way communication allowed Kirsten to communicate vital and relevant information to staff whilst also creating safe spaces for employees to give their opinions on organisational matters</w:t>
      </w:r>
      <w:r w:rsidR="00305396">
        <w:t xml:space="preserve"> (CIPD, 2025d)</w:t>
      </w:r>
      <w:r w:rsidR="009A68E0">
        <w:t xml:space="preserve">. Chaffinch Group’s top-down bureaucratic approach paired with Kath’s autocratic management style has stifled employee voice at Calmere House </w:t>
      </w:r>
      <w:r w:rsidR="00545FC5">
        <w:t>and staff perceive Kath as a manager that does not want to hear them (Ruck, 2017)</w:t>
      </w:r>
      <w:r w:rsidR="009A68E0">
        <w:t>. This has only negatively impacted organisational culture and behaviour at Calmere House; staff have become less motivated and engaged and are more likely to leave, also contributing to the turnover rate (CIPD, 2022).</w:t>
      </w:r>
    </w:p>
    <w:p w14:paraId="00F851FE" w14:textId="77777777" w:rsidR="006152A8" w:rsidRDefault="004408F4" w:rsidP="004A16A6">
      <w:pPr>
        <w:spacing w:line="360" w:lineRule="auto"/>
      </w:pPr>
      <w:r>
        <w:t xml:space="preserve">Both changes, the removal of staff involvement in selection processes and limiting of employee voice, have detrimentally </w:t>
      </w:r>
      <w:r w:rsidR="00754EF3">
        <w:t>a</w:t>
      </w:r>
      <w:r>
        <w:t xml:space="preserve">ffected organisational culture and behaviours at Calmere House. Shifting from a collaborative, values-driven culture to a bureaucratic, </w:t>
      </w:r>
      <w:r w:rsidR="00754EF3">
        <w:t>results-driven culture has weakened staff trust, motivation and engagement</w:t>
      </w:r>
      <w:r w:rsidR="006821FA">
        <w:t xml:space="preserve"> and</w:t>
      </w:r>
      <w:r w:rsidR="00754EF3">
        <w:t xml:space="preserve"> rais</w:t>
      </w:r>
      <w:r w:rsidR="006821FA">
        <w:t>ed</w:t>
      </w:r>
      <w:r w:rsidR="00754EF3">
        <w:t xml:space="preserve"> employee sickness absence and turnover</w:t>
      </w:r>
      <w:r w:rsidR="006821FA">
        <w:t xml:space="preserve"> (Ogu, 2024; CIPD, 2022)</w:t>
      </w:r>
      <w:r w:rsidR="00754EF3">
        <w:t>.</w:t>
      </w:r>
    </w:p>
    <w:p w14:paraId="152B0777" w14:textId="25F69D2B" w:rsidR="00DB5045" w:rsidRDefault="000B6715" w:rsidP="004A16A6">
      <w:pPr>
        <w:spacing w:line="360" w:lineRule="auto"/>
      </w:pPr>
      <w:r>
        <w:t>AC 2.3</w:t>
      </w:r>
    </w:p>
    <w:p w14:paraId="350AC049" w14:textId="29F8AFE6" w:rsidR="006960AC" w:rsidRDefault="006960AC" w:rsidP="004A16A6">
      <w:pPr>
        <w:spacing w:line="360" w:lineRule="auto"/>
        <w:rPr>
          <w:rFonts w:cstheme="minorHAnsi"/>
        </w:rPr>
      </w:pPr>
      <w:r>
        <w:rPr>
          <w:rFonts w:cstheme="minorHAnsi"/>
        </w:rPr>
        <w:t xml:space="preserve">Society has changed rapidly in recent years in several aspects; economically, politically and legislatively, to name a few, and organisations are having to react and adapt to change quickly in order to </w:t>
      </w:r>
      <w:r w:rsidR="002167EE">
        <w:rPr>
          <w:rFonts w:cstheme="minorHAnsi"/>
        </w:rPr>
        <w:t>compete and meet customer expectations</w:t>
      </w:r>
      <w:r>
        <w:rPr>
          <w:rFonts w:cstheme="minorHAnsi"/>
        </w:rPr>
        <w:t xml:space="preserve"> (Roberts and Tracey, 2024). Chaffinch Group’s approach to the change in management at Calmere House was important in terms of gaining the trust of the employees</w:t>
      </w:r>
      <w:r w:rsidR="00AC746B">
        <w:rPr>
          <w:rFonts w:cstheme="minorHAnsi"/>
        </w:rPr>
        <w:t>, retaining them</w:t>
      </w:r>
      <w:r>
        <w:rPr>
          <w:rFonts w:cstheme="minorHAnsi"/>
        </w:rPr>
        <w:t xml:space="preserve"> and linking </w:t>
      </w:r>
      <w:r w:rsidR="00AC746B">
        <w:rPr>
          <w:rFonts w:cstheme="minorHAnsi"/>
        </w:rPr>
        <w:t>the group’s</w:t>
      </w:r>
      <w:r>
        <w:rPr>
          <w:rFonts w:cstheme="minorHAnsi"/>
        </w:rPr>
        <w:t xml:space="preserve"> values with the </w:t>
      </w:r>
      <w:r w:rsidR="00006AF4">
        <w:rPr>
          <w:rFonts w:cstheme="minorHAnsi"/>
        </w:rPr>
        <w:t xml:space="preserve">organisational culture and behaviours at the care home </w:t>
      </w:r>
      <w:r>
        <w:rPr>
          <w:rFonts w:cstheme="minorHAnsi"/>
        </w:rPr>
        <w:t>(</w:t>
      </w:r>
      <w:r w:rsidR="00006AF4">
        <w:rPr>
          <w:rFonts w:cstheme="minorHAnsi"/>
        </w:rPr>
        <w:t xml:space="preserve">Balogun and Hailey, 2014; </w:t>
      </w:r>
      <w:r>
        <w:rPr>
          <w:rFonts w:cstheme="minorHAnsi"/>
        </w:rPr>
        <w:t>Rousseau and ten Have, 2022</w:t>
      </w:r>
      <w:r w:rsidR="00006AF4">
        <w:rPr>
          <w:rFonts w:cstheme="minorHAnsi"/>
        </w:rPr>
        <w:t>).</w:t>
      </w:r>
      <w:r w:rsidR="0064374D">
        <w:rPr>
          <w:rFonts w:cstheme="minorHAnsi"/>
        </w:rPr>
        <w:t xml:space="preserve"> There are a plethora of change management models that Chaffinch Group could have used to better manage the change in ownership; one being Kotter’s 8-Step Model.</w:t>
      </w:r>
    </w:p>
    <w:p w14:paraId="38E3753F" w14:textId="52A90881" w:rsidR="0064374D" w:rsidRDefault="0094323E" w:rsidP="004A16A6">
      <w:pPr>
        <w:spacing w:line="360" w:lineRule="auto"/>
        <w:rPr>
          <w:rFonts w:cstheme="minorHAnsi"/>
        </w:rPr>
      </w:pPr>
      <w:r>
        <w:rPr>
          <w:rFonts w:cstheme="minorHAnsi"/>
        </w:rPr>
        <w:t>Kotter’s 8-Step Model provides a framework for implementing change that emphasises regular communication, transparency and employee participation (</w:t>
      </w:r>
      <w:r w:rsidR="005D3792">
        <w:rPr>
          <w:rFonts w:cstheme="minorHAnsi"/>
        </w:rPr>
        <w:t>Taylor, 2022, p. 68</w:t>
      </w:r>
      <w:r w:rsidR="002167EE">
        <w:rPr>
          <w:rFonts w:cstheme="minorHAnsi"/>
        </w:rPr>
        <w:t xml:space="preserve">). </w:t>
      </w:r>
      <w:r w:rsidR="0033053F">
        <w:rPr>
          <w:rFonts w:cstheme="minorHAnsi"/>
        </w:rPr>
        <w:t xml:space="preserve">Using the initial stages of Kotter’s model, staff at Calmere House would have been conveyed the urgency and necessity of change and better understood the strategic vision of Chaffinch Group’s ownership (Roberts and Tracey, 2024). </w:t>
      </w:r>
      <w:r w:rsidR="002167EE">
        <w:rPr>
          <w:rFonts w:cstheme="minorHAnsi"/>
        </w:rPr>
        <w:t xml:space="preserve">By including employees in the </w:t>
      </w:r>
      <w:r w:rsidR="0068249F">
        <w:rPr>
          <w:rFonts w:cstheme="minorHAnsi"/>
        </w:rPr>
        <w:t>transition</w:t>
      </w:r>
      <w:r w:rsidR="002167EE">
        <w:rPr>
          <w:rFonts w:cstheme="minorHAnsi"/>
        </w:rPr>
        <w:t xml:space="preserve"> process, Chaffinch Group could have created change agents who could have worked as a coalition to </w:t>
      </w:r>
      <w:r w:rsidR="006E2415">
        <w:rPr>
          <w:rFonts w:cstheme="minorHAnsi"/>
        </w:rPr>
        <w:t xml:space="preserve">encourage </w:t>
      </w:r>
      <w:r w:rsidR="00FB0EB6">
        <w:rPr>
          <w:rFonts w:cstheme="minorHAnsi"/>
        </w:rPr>
        <w:t>colleagues to get on board with the change</w:t>
      </w:r>
      <w:r w:rsidR="002167EE">
        <w:rPr>
          <w:rFonts w:cstheme="minorHAnsi"/>
        </w:rPr>
        <w:t xml:space="preserve"> and drive </w:t>
      </w:r>
      <w:r w:rsidR="00FB0EB6">
        <w:rPr>
          <w:rFonts w:cstheme="minorHAnsi"/>
        </w:rPr>
        <w:t>it</w:t>
      </w:r>
      <w:r w:rsidR="002167EE">
        <w:rPr>
          <w:rFonts w:cstheme="minorHAnsi"/>
        </w:rPr>
        <w:t xml:space="preserve"> cross-levelly instead of just top-down from senior leadership (Torrington et al, 2020).  </w:t>
      </w:r>
      <w:r w:rsidR="00460FD1">
        <w:rPr>
          <w:rFonts w:cstheme="minorHAnsi"/>
        </w:rPr>
        <w:t xml:space="preserve">Two-way communication would have allowed Chaffinch Group to empower </w:t>
      </w:r>
      <w:r w:rsidR="00460FD1">
        <w:rPr>
          <w:rFonts w:cstheme="minorHAnsi"/>
        </w:rPr>
        <w:lastRenderedPageBreak/>
        <w:t xml:space="preserve">employee voice in the process and create a narrative to celebrated short-term wins to sustain momentum (Taylor, 2022, p.68). </w:t>
      </w:r>
    </w:p>
    <w:p w14:paraId="39B817C1" w14:textId="4D0DE26A" w:rsidR="00EA7027" w:rsidRDefault="00EA7027" w:rsidP="004A16A6">
      <w:pPr>
        <w:spacing w:line="360" w:lineRule="auto"/>
        <w:rPr>
          <w:rFonts w:cstheme="minorHAnsi"/>
        </w:rPr>
      </w:pPr>
      <w:r>
        <w:rPr>
          <w:rFonts w:cstheme="minorHAnsi"/>
        </w:rPr>
        <w:t xml:space="preserve">Another change management model </w:t>
      </w:r>
      <w:r w:rsidR="005E647D">
        <w:rPr>
          <w:rFonts w:cstheme="minorHAnsi"/>
        </w:rPr>
        <w:t xml:space="preserve">that could shed light on how Chaffinch Group could have successfully managed change at Calmere House is Jeff Hiatt’s ADKAR Model. The five stages, Awareness, Desire, Knowledge, Ability and Reinforcement, </w:t>
      </w:r>
      <w:r w:rsidR="002915E2">
        <w:rPr>
          <w:rFonts w:cstheme="minorHAnsi"/>
        </w:rPr>
        <w:t xml:space="preserve">could have better prepared employees at the care home for the change in ownership and supported them in accepting new cultural norms or behaviours (Hiatt, 2006). </w:t>
      </w:r>
      <w:r w:rsidR="005F2720">
        <w:rPr>
          <w:rFonts w:cstheme="minorHAnsi"/>
        </w:rPr>
        <w:t xml:space="preserve">Awareness raising of changes to </w:t>
      </w:r>
      <w:r w:rsidR="005B2885">
        <w:rPr>
          <w:rFonts w:cstheme="minorHAnsi"/>
        </w:rPr>
        <w:t xml:space="preserve">organisational </w:t>
      </w:r>
      <w:r w:rsidR="005F2720">
        <w:rPr>
          <w:rFonts w:cstheme="minorHAnsi"/>
        </w:rPr>
        <w:t>structure or policies and procedures could have been communicated through in person information sessions rather than by email to explain why these changes are necessary</w:t>
      </w:r>
      <w:r w:rsidR="00914400">
        <w:rPr>
          <w:rFonts w:cstheme="minorHAnsi"/>
        </w:rPr>
        <w:t xml:space="preserve"> and would have helped overcome the shock of Kirsten’s decision to sell</w:t>
      </w:r>
      <w:r w:rsidR="005F2720">
        <w:rPr>
          <w:rFonts w:cstheme="minorHAnsi"/>
        </w:rPr>
        <w:t xml:space="preserve"> (Hiatt, 2006).</w:t>
      </w:r>
      <w:r w:rsidR="00D0243D">
        <w:rPr>
          <w:rFonts w:cstheme="minorHAnsi"/>
        </w:rPr>
        <w:t xml:space="preserve"> </w:t>
      </w:r>
      <w:r w:rsidR="00914400">
        <w:rPr>
          <w:rFonts w:cstheme="minorHAnsi"/>
        </w:rPr>
        <w:t>Employees would have desired the change if they were included in decision-making processes and shown how they would grow and benefit from the change (Hiatt, 2006). Facilitating training on new policies and procedures would have provided employees with the knowledge and ability to adapt to the change and regular support and recognition throughout the process would have positively reinforced the change (Hiatt, 2006).</w:t>
      </w:r>
    </w:p>
    <w:p w14:paraId="6A65261E" w14:textId="09FDEB68" w:rsidR="006308AA" w:rsidRDefault="0025791D" w:rsidP="004A16A6">
      <w:pPr>
        <w:spacing w:line="360" w:lineRule="auto"/>
        <w:rPr>
          <w:rFonts w:ascii="Trebuchet MS" w:hAnsi="Trebuchet MS"/>
        </w:rPr>
      </w:pPr>
      <w:r>
        <w:rPr>
          <w:rFonts w:cstheme="minorHAnsi"/>
        </w:rPr>
        <w:t xml:space="preserve">AC 2.4 </w:t>
      </w:r>
      <w:r w:rsidR="006308AA">
        <w:rPr>
          <w:rFonts w:ascii="Trebuchet MS" w:hAnsi="Trebuchet MS"/>
        </w:rPr>
        <w:t xml:space="preserve"> </w:t>
      </w:r>
    </w:p>
    <w:p w14:paraId="2ABA2300" w14:textId="625D93A1" w:rsidR="00B17F8C" w:rsidRDefault="007928FB" w:rsidP="004A16A6">
      <w:pPr>
        <w:spacing w:line="360" w:lineRule="auto"/>
        <w:rPr>
          <w:rFonts w:cstheme="minorHAnsi"/>
        </w:rPr>
      </w:pPr>
      <w:r w:rsidRPr="00610B1C">
        <w:rPr>
          <w:rFonts w:cstheme="minorHAnsi"/>
        </w:rPr>
        <w:t xml:space="preserve">Understanding the employee experience of change is key for an effective organisational change initiative as employee attitudes </w:t>
      </w:r>
      <w:r w:rsidR="00610B1C" w:rsidRPr="00610B1C">
        <w:rPr>
          <w:rFonts w:cstheme="minorHAnsi"/>
        </w:rPr>
        <w:t>and engagement</w:t>
      </w:r>
      <w:r w:rsidRPr="00610B1C">
        <w:rPr>
          <w:rFonts w:cstheme="minorHAnsi"/>
        </w:rPr>
        <w:t xml:space="preserve"> </w:t>
      </w:r>
      <w:r w:rsidR="00610B1C" w:rsidRPr="00610B1C">
        <w:rPr>
          <w:rFonts w:cstheme="minorHAnsi"/>
        </w:rPr>
        <w:t>are</w:t>
      </w:r>
      <w:r w:rsidRPr="00610B1C">
        <w:rPr>
          <w:rFonts w:cstheme="minorHAnsi"/>
        </w:rPr>
        <w:t xml:space="preserve"> integral to the successful implementation of change (</w:t>
      </w:r>
      <w:r w:rsidR="00610B1C" w:rsidRPr="00610B1C">
        <w:rPr>
          <w:rFonts w:cstheme="minorHAnsi"/>
        </w:rPr>
        <w:t xml:space="preserve">Kotter, 1996). Furthermore, seeking a deeper comprehension of employee experience of change will enable organisations to put measures into place to address any employee resistance to change (Lines, 2005). </w:t>
      </w:r>
      <w:r w:rsidR="00610B1C">
        <w:rPr>
          <w:rFonts w:cstheme="minorHAnsi"/>
        </w:rPr>
        <w:t>Calmere House employees’ experience to change can be explained through the lens of the Kubler-Ross change curve.</w:t>
      </w:r>
    </w:p>
    <w:p w14:paraId="3AF5849F" w14:textId="0B798D8A" w:rsidR="00610B1C" w:rsidRDefault="00610B1C" w:rsidP="004A16A6">
      <w:pPr>
        <w:spacing w:line="360" w:lineRule="auto"/>
      </w:pPr>
      <w:r>
        <w:rPr>
          <w:rFonts w:cstheme="minorHAnsi"/>
        </w:rPr>
        <w:t xml:space="preserve">The change curve prescribes five responses individuals will experience when undergoing change, </w:t>
      </w:r>
      <w:r w:rsidR="0077239C">
        <w:rPr>
          <w:rFonts w:cstheme="minorHAnsi"/>
        </w:rPr>
        <w:t>also referred to as the</w:t>
      </w:r>
      <w:r>
        <w:rPr>
          <w:rFonts w:cstheme="minorHAnsi"/>
        </w:rPr>
        <w:t xml:space="preserve"> five stages of grief (Roberts and Tracey, 2024).</w:t>
      </w:r>
      <w:r w:rsidR="0077239C">
        <w:rPr>
          <w:rFonts w:cstheme="minorHAnsi"/>
        </w:rPr>
        <w:t xml:space="preserve"> The stages are </w:t>
      </w:r>
      <w:r w:rsidR="00054958">
        <w:rPr>
          <w:rFonts w:cstheme="minorHAnsi"/>
        </w:rPr>
        <w:t>mo</w:t>
      </w:r>
      <w:r w:rsidR="000660BA">
        <w:rPr>
          <w:rFonts w:cstheme="minorHAnsi"/>
        </w:rPr>
        <w:t xml:space="preserve">st </w:t>
      </w:r>
      <w:r w:rsidR="0077239C">
        <w:rPr>
          <w:rFonts w:cstheme="minorHAnsi"/>
        </w:rPr>
        <w:t xml:space="preserve">commonly known as </w:t>
      </w:r>
      <w:r w:rsidR="00054958">
        <w:rPr>
          <w:rFonts w:cstheme="minorHAnsi"/>
        </w:rPr>
        <w:t xml:space="preserve">shock, </w:t>
      </w:r>
      <w:r w:rsidR="0077239C">
        <w:rPr>
          <w:rFonts w:cstheme="minorHAnsi"/>
        </w:rPr>
        <w:t>denial, anger, bargaining, depression and acceptance and, although the</w:t>
      </w:r>
      <w:r w:rsidR="00726BF6">
        <w:rPr>
          <w:rFonts w:cstheme="minorHAnsi"/>
        </w:rPr>
        <w:t xml:space="preserve"> initial model was not intended to be an analysis tool </w:t>
      </w:r>
      <w:r w:rsidR="00054958">
        <w:rPr>
          <w:rFonts w:cstheme="minorHAnsi"/>
        </w:rPr>
        <w:t xml:space="preserve">for </w:t>
      </w:r>
      <w:r w:rsidR="00726BF6">
        <w:rPr>
          <w:rFonts w:cstheme="minorHAnsi"/>
        </w:rPr>
        <w:t>organisational change, later studies found the model to be applicable (</w:t>
      </w:r>
      <w:r w:rsidR="0077239C">
        <w:t>Kü</w:t>
      </w:r>
      <w:r w:rsidR="00726BF6">
        <w:t>b</w:t>
      </w:r>
      <w:r w:rsidR="0077239C">
        <w:t xml:space="preserve">ler-Ross </w:t>
      </w:r>
      <w:r w:rsidR="00726BF6">
        <w:t xml:space="preserve">and </w:t>
      </w:r>
      <w:r w:rsidR="0077239C">
        <w:t xml:space="preserve">Myss, </w:t>
      </w:r>
      <w:r w:rsidR="00726BF6">
        <w:t>2</w:t>
      </w:r>
      <w:r w:rsidR="0077239C">
        <w:t>008</w:t>
      </w:r>
      <w:r w:rsidR="00726BF6">
        <w:t>; Tarnoff, Bostwick and Barnes, 2021</w:t>
      </w:r>
      <w:r w:rsidR="0077239C">
        <w:t xml:space="preserve">). </w:t>
      </w:r>
      <w:r w:rsidR="00DF69B9">
        <w:t xml:space="preserve">Employees expressed shock </w:t>
      </w:r>
      <w:r w:rsidR="003F33D2">
        <w:t xml:space="preserve">and denial </w:t>
      </w:r>
      <w:r w:rsidR="00DF69B9">
        <w:t>initially at Kirsten’s sale of Calmere House due to their shared understanding of Kirsten’s values and passion as the owner</w:t>
      </w:r>
      <w:r w:rsidR="00DE78CE">
        <w:t xml:space="preserve"> and was this was further exarcerbated by Chaffinch Group’s poor communication with employees (Bessant and Whiting, 2025)</w:t>
      </w:r>
      <w:r w:rsidR="00DF69B9">
        <w:t xml:space="preserve">. </w:t>
      </w:r>
      <w:r w:rsidR="003F33D2">
        <w:t xml:space="preserve">This stage soon transitioned into anger following further changes </w:t>
      </w:r>
      <w:r w:rsidR="00DE78CE">
        <w:t xml:space="preserve">implemented </w:t>
      </w:r>
      <w:r w:rsidR="003F33D2">
        <w:t xml:space="preserve">such as </w:t>
      </w:r>
      <w:r w:rsidR="00DE78CE">
        <w:t>the introduction of Kath as the new</w:t>
      </w:r>
      <w:r w:rsidR="003F33D2">
        <w:t xml:space="preserve"> manager of Calmere House, new policies and procedures from Chaffinch Group and the shift in recruitment toward agency workers. </w:t>
      </w:r>
      <w:r w:rsidR="004A5252">
        <w:t>Calmere House employees</w:t>
      </w:r>
      <w:r w:rsidR="00FA4992">
        <w:t xml:space="preserve"> made a negative evaluation of Kath and</w:t>
      </w:r>
      <w:r w:rsidR="004A5252">
        <w:t xml:space="preserve"> displayed anger and resistance </w:t>
      </w:r>
      <w:r w:rsidR="00FA4992">
        <w:t>response</w:t>
      </w:r>
      <w:r w:rsidR="00206166">
        <w:t>s</w:t>
      </w:r>
      <w:r w:rsidR="00FA4992">
        <w:t xml:space="preserve"> by challenging her</w:t>
      </w:r>
      <w:r w:rsidR="004A5252">
        <w:t xml:space="preserve"> on her </w:t>
      </w:r>
      <w:r w:rsidR="004A5252">
        <w:lastRenderedPageBreak/>
        <w:t>instructions</w:t>
      </w:r>
      <w:r w:rsidR="00BF7BFC">
        <w:t xml:space="preserve"> (Myers, Hulks and Wiggins, 2012)</w:t>
      </w:r>
      <w:r w:rsidR="004A5252">
        <w:t xml:space="preserve">. It does not appear that much bargaining took place as employees felt unheard by Chaffinch Group and, eventually, employee reactions to the change in ownership transitioned to depression as shown by the feelings </w:t>
      </w:r>
      <w:r w:rsidR="009161B8">
        <w:t xml:space="preserve">of </w:t>
      </w:r>
      <w:r w:rsidR="004A5252">
        <w:t>hopelessness and dissatisfaction, the increase in employee turnover and rising sickness absence</w:t>
      </w:r>
      <w:r w:rsidR="00206166">
        <w:t xml:space="preserve"> (Myers, Hulks and Wiggins, 2012)</w:t>
      </w:r>
      <w:r w:rsidR="004A5252">
        <w:t xml:space="preserve">. </w:t>
      </w:r>
    </w:p>
    <w:p w14:paraId="42518CB3" w14:textId="34BFE6C6" w:rsidR="004A5252" w:rsidRDefault="009161B8" w:rsidP="004A16A6">
      <w:pPr>
        <w:spacing w:line="360" w:lineRule="auto"/>
      </w:pPr>
      <w:r>
        <w:t xml:space="preserve">Some </w:t>
      </w:r>
      <w:r w:rsidR="005B7AA4">
        <w:t xml:space="preserve">Calmere House employees </w:t>
      </w:r>
      <w:r>
        <w:t>may reach the</w:t>
      </w:r>
      <w:r w:rsidR="005B7AA4">
        <w:t xml:space="preserve"> acceptance stage of the change curve</w:t>
      </w:r>
      <w:r>
        <w:t xml:space="preserve"> wherein they </w:t>
      </w:r>
      <w:r w:rsidR="00A00E46">
        <w:t>eventually</w:t>
      </w:r>
      <w:r>
        <w:t xml:space="preserve"> integrate with the new changes in structure and processes, however, the mishandling of the change in ownership by Chaffinch Group through </w:t>
      </w:r>
      <w:r w:rsidR="00DE78CE">
        <w:t>lack of</w:t>
      </w:r>
      <w:r>
        <w:t xml:space="preserve"> communication and collaboration </w:t>
      </w:r>
      <w:r w:rsidR="00A00E46">
        <w:t>damaged employee trust in the change process, thus, negatively impacting employee experience (Rousseau and ten Have, 2022).</w:t>
      </w:r>
    </w:p>
    <w:p w14:paraId="76A34963" w14:textId="71435445" w:rsidR="00380E07" w:rsidRDefault="00380E07" w:rsidP="004A16A6">
      <w:pPr>
        <w:spacing w:line="360" w:lineRule="auto"/>
      </w:pPr>
    </w:p>
    <w:p w14:paraId="3F04DE44" w14:textId="2DA7131A" w:rsidR="00380E07" w:rsidRDefault="00380E07" w:rsidP="004A16A6">
      <w:pPr>
        <w:spacing w:line="360" w:lineRule="auto"/>
        <w:rPr>
          <w:rFonts w:ascii="Trebuchet MS" w:hAnsi="Trebuchet MS"/>
        </w:rPr>
      </w:pPr>
      <w:r>
        <w:t xml:space="preserve">AC 2.5 </w:t>
      </w:r>
    </w:p>
    <w:p w14:paraId="5185791A" w14:textId="1D432AD4" w:rsidR="0074114B" w:rsidRDefault="0074114B" w:rsidP="004A16A6">
      <w:pPr>
        <w:spacing w:line="360" w:lineRule="auto"/>
        <w:rPr>
          <w:rFonts w:cstheme="minorHAnsi"/>
        </w:rPr>
      </w:pPr>
      <w:r>
        <w:rPr>
          <w:rFonts w:cstheme="minorHAnsi"/>
        </w:rPr>
        <w:t xml:space="preserve">Prioritising employee wellbeing not only benefits people within an organisation but also the organisation itself; </w:t>
      </w:r>
      <w:r w:rsidR="003510C6">
        <w:rPr>
          <w:rFonts w:cstheme="minorHAnsi"/>
        </w:rPr>
        <w:t xml:space="preserve">employee wellbeing is directly linked to levels of sickness, motivation, engagement and job satisfaction, all of which affect organisational performance (Suff, 2025; CIPD 2023). </w:t>
      </w:r>
      <w:r w:rsidR="00E403EF">
        <w:rPr>
          <w:rFonts w:cstheme="minorHAnsi"/>
        </w:rPr>
        <w:t>Chaffinch Group must begin to promote employee wellbeing at Calmere House to address the rising turnover rate and sickness absence levels, both of which care will cost the organisation</w:t>
      </w:r>
      <w:r w:rsidR="00462DD9">
        <w:rPr>
          <w:rFonts w:cstheme="minorHAnsi"/>
        </w:rPr>
        <w:t xml:space="preserve"> financially</w:t>
      </w:r>
      <w:r w:rsidR="00E403EF">
        <w:rPr>
          <w:rFonts w:cstheme="minorHAnsi"/>
        </w:rPr>
        <w:t xml:space="preserve"> and impact upon the quality of care they can deliver to the residents</w:t>
      </w:r>
      <w:r w:rsidR="00462DD9">
        <w:rPr>
          <w:rFonts w:cstheme="minorHAnsi"/>
        </w:rPr>
        <w:t xml:space="preserve"> (Jackson, 2024; Soliman, 2025).</w:t>
      </w:r>
    </w:p>
    <w:p w14:paraId="54080F31" w14:textId="175B7E65" w:rsidR="00E403EF" w:rsidRDefault="003E2F34" w:rsidP="004A16A6">
      <w:pPr>
        <w:spacing w:line="360" w:lineRule="auto"/>
      </w:pPr>
      <w:r>
        <w:rPr>
          <w:rFonts w:cstheme="minorHAnsi"/>
        </w:rPr>
        <w:t>As Calmere House continue</w:t>
      </w:r>
      <w:r w:rsidR="00FD3B4B">
        <w:rPr>
          <w:rFonts w:cstheme="minorHAnsi"/>
        </w:rPr>
        <w:t>s</w:t>
      </w:r>
      <w:r>
        <w:rPr>
          <w:rFonts w:cstheme="minorHAnsi"/>
        </w:rPr>
        <w:t xml:space="preserve"> to lose more staff to absence and resignations, current employees’ workloads are increasing. </w:t>
      </w:r>
      <w:r w:rsidR="00B3445D">
        <w:rPr>
          <w:rFonts w:cstheme="minorHAnsi"/>
        </w:rPr>
        <w:t xml:space="preserve">Stress continues to be one of the most prevalent reasons for workplace absences and the CIPD (2023) found that workload is the most significant contributing factor to stress-related absence. </w:t>
      </w:r>
      <w:r w:rsidR="00236780">
        <w:rPr>
          <w:rFonts w:cstheme="minorHAnsi"/>
        </w:rPr>
        <w:t xml:space="preserve">Staffing levels at Calmere House are forcing employees to take on beyond their capacity which can create a feeling of lack of control, a common stress trigger (Mayne, 2023). </w:t>
      </w:r>
      <w:r w:rsidR="00026B9F">
        <w:rPr>
          <w:rFonts w:cstheme="minorHAnsi"/>
        </w:rPr>
        <w:t xml:space="preserve">If this work-related stress is not addressed, Calmere House employees are at risk of deteriorating physical and mental health including burnout, anxiety, depression and illnesses such as heart, muscle and digestive conditions (Acas, 2025). </w:t>
      </w:r>
      <w:r w:rsidR="00B55019">
        <w:rPr>
          <w:rFonts w:cstheme="minorHAnsi"/>
        </w:rPr>
        <w:t xml:space="preserve">Once the levels of stress are reduced, Calmere House employees will be more motivated, engaged and productive (Weston, 2019). </w:t>
      </w:r>
      <w:r w:rsidR="00026B9F">
        <w:rPr>
          <w:rFonts w:cstheme="minorHAnsi"/>
        </w:rPr>
        <w:t xml:space="preserve">Furthermore, </w:t>
      </w:r>
      <w:r w:rsidR="00026B9F">
        <w:t>the CIPD’s latest report on health and wellbeing at work found that ‘ill health currently costs the UK economy £150 billion annually’, therefore, Calmere House’s bottom line will be significantly impacted by continued sickness absence</w:t>
      </w:r>
      <w:r w:rsidR="002A2E76">
        <w:t xml:space="preserve"> (Sinclair and Suff, 2025, p.2)</w:t>
      </w:r>
      <w:r w:rsidR="00026B9F">
        <w:t xml:space="preserve">. </w:t>
      </w:r>
    </w:p>
    <w:p w14:paraId="2C0C9846" w14:textId="195F1AEE" w:rsidR="00A80D5B" w:rsidRDefault="00A80D5B" w:rsidP="004A16A6">
      <w:pPr>
        <w:spacing w:line="360" w:lineRule="auto"/>
      </w:pPr>
      <w:r>
        <w:t xml:space="preserve">Secondly, Calmere House employees’ experience of management could also be impacting upon their wellbeing. </w:t>
      </w:r>
      <w:r w:rsidR="00C15FFD">
        <w:t xml:space="preserve">Workplace culture, and the leadership and management within the workplace, has a </w:t>
      </w:r>
      <w:r w:rsidR="00C15FFD">
        <w:lastRenderedPageBreak/>
        <w:t xml:space="preserve">major influence over employee’s health and wellbeing, therefore, a toxic workplace is a damaging environment (Hlupic, 2020). </w:t>
      </w:r>
      <w:r w:rsidR="00D42975">
        <w:t xml:space="preserve">Kath’s autocratic management style and the lack of communication and interaction from senior management at Chaffinch Group has potentially had a negative impact on employee’s wellbeing. </w:t>
      </w:r>
      <w:r w:rsidR="004563FB">
        <w:t xml:space="preserve">Kath could improve her interactions with Calmere House employees by </w:t>
      </w:r>
      <w:r w:rsidR="0067786C">
        <w:t>adopting</w:t>
      </w:r>
      <w:r w:rsidR="004563FB">
        <w:t xml:space="preserve"> a more collaborative, consultative approach and investing time to get to know them and their </w:t>
      </w:r>
      <w:r w:rsidR="00084766">
        <w:t>long-term</w:t>
      </w:r>
      <w:r w:rsidR="0067786C">
        <w:t xml:space="preserve"> career goals which has been shown to improve employee engagement and decrease stress and absence (Lewis, Donaldson-Feilder and Tharani, 2012). </w:t>
      </w:r>
    </w:p>
    <w:p w14:paraId="293BC7D7" w14:textId="5359CBC2" w:rsidR="00796C35" w:rsidRPr="001E0925" w:rsidRDefault="00070460" w:rsidP="004A16A6">
      <w:pPr>
        <w:spacing w:line="360" w:lineRule="auto"/>
        <w:ind w:left="426" w:hanging="426"/>
        <w:rPr>
          <w:rFonts w:cstheme="minorHAnsi"/>
        </w:rPr>
      </w:pPr>
      <w:r w:rsidRPr="001E0925">
        <w:rPr>
          <w:rFonts w:cstheme="minorHAnsi"/>
        </w:rPr>
        <w:t xml:space="preserve">AC 3.1 </w:t>
      </w:r>
    </w:p>
    <w:p w14:paraId="5DF8DEF1" w14:textId="77777777" w:rsidR="00A26E94" w:rsidRPr="00A26E94" w:rsidRDefault="00796C35" w:rsidP="004A16A6">
      <w:pPr>
        <w:spacing w:after="0" w:line="360" w:lineRule="auto"/>
        <w:ind w:left="426" w:hanging="426"/>
        <w:rPr>
          <w:rFonts w:cstheme="minorHAnsi"/>
          <w:shd w:val="clear" w:color="auto" w:fill="FFFFFF"/>
        </w:rPr>
      </w:pPr>
      <w:r>
        <w:rPr>
          <w:rFonts w:cstheme="minorHAnsi"/>
        </w:rPr>
        <w:t xml:space="preserve">The employee lifecycle is </w:t>
      </w:r>
      <w:r w:rsidR="00A26E94">
        <w:rPr>
          <w:rFonts w:cstheme="minorHAnsi"/>
        </w:rPr>
        <w:t>most commonly split into six stages</w:t>
      </w:r>
      <w:r w:rsidR="00A26E94" w:rsidRPr="00A26E94">
        <w:rPr>
          <w:rFonts w:cstheme="minorHAnsi"/>
        </w:rPr>
        <w:t xml:space="preserve">: </w:t>
      </w:r>
      <w:r w:rsidR="00A26E94" w:rsidRPr="00A26E94">
        <w:rPr>
          <w:rFonts w:cstheme="minorHAnsi"/>
          <w:shd w:val="clear" w:color="auto" w:fill="FFFFFF"/>
        </w:rPr>
        <w:t>attraction, recruitment, onboarding,</w:t>
      </w:r>
    </w:p>
    <w:p w14:paraId="6757CFB3" w14:textId="486F2F2D" w:rsidR="00796C35" w:rsidRDefault="00A26E94" w:rsidP="004A16A6">
      <w:pPr>
        <w:spacing w:after="0" w:line="360" w:lineRule="auto"/>
        <w:rPr>
          <w:rFonts w:cstheme="minorHAnsi"/>
          <w:shd w:val="clear" w:color="auto" w:fill="FFFFFF"/>
        </w:rPr>
      </w:pPr>
      <w:r w:rsidRPr="00A26E94">
        <w:rPr>
          <w:rFonts w:cstheme="minorHAnsi"/>
          <w:shd w:val="clear" w:color="auto" w:fill="FFFFFF"/>
        </w:rPr>
        <w:t>development, retention and separation</w:t>
      </w:r>
      <w:r>
        <w:rPr>
          <w:rFonts w:cstheme="minorHAnsi"/>
          <w:shd w:val="clear" w:color="auto" w:fill="FFFFFF"/>
        </w:rPr>
        <w:t>, and managing these stages effectively is key to employee engagement and retention (Cattermole, 2019).</w:t>
      </w:r>
      <w:r w:rsidR="00EF1B6F">
        <w:rPr>
          <w:rFonts w:cstheme="minorHAnsi"/>
          <w:shd w:val="clear" w:color="auto" w:fill="FFFFFF"/>
        </w:rPr>
        <w:t xml:space="preserve"> Retention is vital for Chaffinch Group to prevent </w:t>
      </w:r>
      <w:r w:rsidR="00500E80">
        <w:rPr>
          <w:rFonts w:cstheme="minorHAnsi"/>
          <w:shd w:val="clear" w:color="auto" w:fill="FFFFFF"/>
        </w:rPr>
        <w:t>the loss of talented employees’ skillsets from Calmere House,</w:t>
      </w:r>
      <w:r w:rsidR="00EF1B6F">
        <w:rPr>
          <w:rFonts w:cstheme="minorHAnsi"/>
          <w:shd w:val="clear" w:color="auto" w:fill="FFFFFF"/>
        </w:rPr>
        <w:t xml:space="preserve"> thus, impacting organisational performance and costing the organisation financially to replace (</w:t>
      </w:r>
      <w:r w:rsidR="00DB37A3">
        <w:rPr>
          <w:rFonts w:cstheme="minorHAnsi"/>
          <w:shd w:val="clear" w:color="auto" w:fill="FFFFFF"/>
        </w:rPr>
        <w:t xml:space="preserve">Singh, 2019; </w:t>
      </w:r>
      <w:r w:rsidR="00EF1B6F">
        <w:rPr>
          <w:rFonts w:cstheme="minorHAnsi"/>
          <w:shd w:val="clear" w:color="auto" w:fill="FFFFFF"/>
        </w:rPr>
        <w:t xml:space="preserve">CIPD, 2025e). </w:t>
      </w:r>
    </w:p>
    <w:p w14:paraId="6C71A87D" w14:textId="5F59A6C3" w:rsidR="001B48C3" w:rsidRDefault="001B48C3" w:rsidP="004A16A6">
      <w:pPr>
        <w:spacing w:after="0" w:line="360" w:lineRule="auto"/>
        <w:rPr>
          <w:rFonts w:cstheme="minorHAnsi"/>
          <w:shd w:val="clear" w:color="auto" w:fill="FFFFFF"/>
        </w:rPr>
      </w:pPr>
    </w:p>
    <w:p w14:paraId="0D5F81A7" w14:textId="219CE86A" w:rsidR="001B48C3" w:rsidRDefault="001B48C3" w:rsidP="004A16A6">
      <w:pPr>
        <w:spacing w:after="0" w:line="360" w:lineRule="auto"/>
        <w:rPr>
          <w:rFonts w:cstheme="minorHAnsi"/>
          <w:shd w:val="clear" w:color="auto" w:fill="FFFFFF"/>
        </w:rPr>
      </w:pPr>
      <w:r>
        <w:rPr>
          <w:rFonts w:cstheme="minorHAnsi"/>
          <w:shd w:val="clear" w:color="auto" w:fill="FFFFFF"/>
        </w:rPr>
        <w:t>The people manager can provide</w:t>
      </w:r>
      <w:r w:rsidR="00E1082E">
        <w:rPr>
          <w:rFonts w:cstheme="minorHAnsi"/>
          <w:shd w:val="clear" w:color="auto" w:fill="FFFFFF"/>
        </w:rPr>
        <w:t xml:space="preserve"> positive</w:t>
      </w:r>
      <w:r>
        <w:rPr>
          <w:rFonts w:cstheme="minorHAnsi"/>
          <w:shd w:val="clear" w:color="auto" w:fill="FFFFFF"/>
        </w:rPr>
        <w:t xml:space="preserve"> day-to-day leadership and support</w:t>
      </w:r>
      <w:r w:rsidR="00E1082E">
        <w:rPr>
          <w:rFonts w:cstheme="minorHAnsi"/>
          <w:shd w:val="clear" w:color="auto" w:fill="FFFFFF"/>
        </w:rPr>
        <w:t>, building strong relationships with employees built on trust and encouraging a more cooperative and participative culture (Izidor and Iheriohanma, 2015). Through performance management, the people manager can further understand what motivates the workforce of Calmere House</w:t>
      </w:r>
      <w:r w:rsidR="0071517A">
        <w:rPr>
          <w:rFonts w:cstheme="minorHAnsi"/>
          <w:shd w:val="clear" w:color="auto" w:fill="FFFFFF"/>
        </w:rPr>
        <w:t xml:space="preserve">, set goals and </w:t>
      </w:r>
      <w:r w:rsidR="00E1082E">
        <w:rPr>
          <w:rFonts w:cstheme="minorHAnsi"/>
          <w:shd w:val="clear" w:color="auto" w:fill="FFFFFF"/>
        </w:rPr>
        <w:t xml:space="preserve">create development plans for employees’ career growth at the organisation (CIPD, 2021). </w:t>
      </w:r>
      <w:r w:rsidR="0071517A">
        <w:rPr>
          <w:rFonts w:cstheme="minorHAnsi"/>
          <w:shd w:val="clear" w:color="auto" w:fill="FFFFFF"/>
        </w:rPr>
        <w:t xml:space="preserve">By better understanding the employees, the people manager can monitor outcomes such as </w:t>
      </w:r>
      <w:r w:rsidR="007107FA">
        <w:rPr>
          <w:rFonts w:cstheme="minorHAnsi"/>
          <w:shd w:val="clear" w:color="auto" w:fill="FFFFFF"/>
        </w:rPr>
        <w:t xml:space="preserve">wellbeing, engagement, absence and turnover and implement organisational strategies and policies such as wellbeing, reward or flexible working initiatives, to address issues and support employees (Bosley and Gifford, 2023). </w:t>
      </w:r>
    </w:p>
    <w:p w14:paraId="718FD1A1" w14:textId="151F014F" w:rsidR="007107FA" w:rsidRDefault="007107FA" w:rsidP="004A16A6">
      <w:pPr>
        <w:spacing w:after="0" w:line="360" w:lineRule="auto"/>
        <w:rPr>
          <w:rFonts w:cstheme="minorHAnsi"/>
          <w:shd w:val="clear" w:color="auto" w:fill="FFFFFF"/>
        </w:rPr>
      </w:pPr>
    </w:p>
    <w:p w14:paraId="6181FC74" w14:textId="63D98B0A" w:rsidR="007107FA" w:rsidRDefault="007107FA" w:rsidP="004A16A6">
      <w:pPr>
        <w:spacing w:after="0" w:line="360" w:lineRule="auto"/>
        <w:rPr>
          <w:rFonts w:cstheme="minorHAnsi"/>
          <w:shd w:val="clear" w:color="auto" w:fill="FFFFFF"/>
        </w:rPr>
      </w:pPr>
      <w:r>
        <w:rPr>
          <w:rFonts w:cstheme="minorHAnsi"/>
          <w:shd w:val="clear" w:color="auto" w:fill="FFFFFF"/>
        </w:rPr>
        <w:t>Attraction and recruitment of talent is directly linked to retention and the recruitment advisor is responsible for ensuring the right people are</w:t>
      </w:r>
      <w:r w:rsidR="004562AF">
        <w:rPr>
          <w:rFonts w:cstheme="minorHAnsi"/>
          <w:shd w:val="clear" w:color="auto" w:fill="FFFFFF"/>
        </w:rPr>
        <w:t xml:space="preserve"> appointed and</w:t>
      </w:r>
      <w:r>
        <w:rPr>
          <w:rFonts w:cstheme="minorHAnsi"/>
          <w:shd w:val="clear" w:color="auto" w:fill="FFFFFF"/>
        </w:rPr>
        <w:t xml:space="preserve"> engaged </w:t>
      </w:r>
      <w:r w:rsidR="004562AF">
        <w:rPr>
          <w:rFonts w:cstheme="minorHAnsi"/>
          <w:shd w:val="clear" w:color="auto" w:fill="FFFFFF"/>
        </w:rPr>
        <w:t xml:space="preserve">from day one of onboarding (Hogarth and McCartney, 2024). </w:t>
      </w:r>
      <w:r w:rsidR="00BE5BE3">
        <w:rPr>
          <w:rFonts w:cstheme="minorHAnsi"/>
          <w:shd w:val="clear" w:color="auto" w:fill="FFFFFF"/>
        </w:rPr>
        <w:t xml:space="preserve">At the attraction stage, the advisor can </w:t>
      </w:r>
      <w:r w:rsidR="00334DFE">
        <w:rPr>
          <w:rFonts w:cstheme="minorHAnsi"/>
          <w:shd w:val="clear" w:color="auto" w:fill="FFFFFF"/>
        </w:rPr>
        <w:t>develop a strong employer brand for</w:t>
      </w:r>
      <w:r w:rsidR="00BE5BE3">
        <w:rPr>
          <w:rFonts w:cstheme="minorHAnsi"/>
          <w:shd w:val="clear" w:color="auto" w:fill="FFFFFF"/>
        </w:rPr>
        <w:t xml:space="preserve"> Calmere House that emphasises their values </w:t>
      </w:r>
      <w:r w:rsidR="00334DFE">
        <w:rPr>
          <w:rFonts w:cstheme="minorHAnsi"/>
          <w:shd w:val="clear" w:color="auto" w:fill="FFFFFF"/>
        </w:rPr>
        <w:t>to recruit top talent (Quilliam, 2024). Effective onboarding would be a key element of the advisor’s role, ensuring new employees have clarity on their role descriptions and expectations, reinforcing values and connecting the employee to the culture of the organisation (Hogarth and McCartney, 2024).</w:t>
      </w:r>
      <w:r w:rsidR="00B86FC6">
        <w:rPr>
          <w:rFonts w:cstheme="minorHAnsi"/>
          <w:shd w:val="clear" w:color="auto" w:fill="FFFFFF"/>
        </w:rPr>
        <w:t xml:space="preserve"> The recruitment advisor can also contribute to strategies aimed at identifying and development employees such as workforce and succession planning to develop current employees (Quilliam, 2024). </w:t>
      </w:r>
    </w:p>
    <w:p w14:paraId="2BB7ED3B" w14:textId="0B6C9E1D" w:rsidR="008608C7" w:rsidRDefault="008608C7" w:rsidP="004A16A6">
      <w:pPr>
        <w:spacing w:after="0" w:line="360" w:lineRule="auto"/>
        <w:rPr>
          <w:rFonts w:cstheme="minorHAnsi"/>
          <w:shd w:val="clear" w:color="auto" w:fill="FFFFFF"/>
        </w:rPr>
      </w:pPr>
    </w:p>
    <w:p w14:paraId="60FA66D8" w14:textId="7E700E54" w:rsidR="008608C7" w:rsidRDefault="008608C7" w:rsidP="004A16A6">
      <w:pPr>
        <w:spacing w:after="0" w:line="360" w:lineRule="auto"/>
        <w:rPr>
          <w:rFonts w:cstheme="minorHAnsi"/>
          <w:shd w:val="clear" w:color="auto" w:fill="FFFFFF"/>
        </w:rPr>
      </w:pPr>
      <w:r>
        <w:rPr>
          <w:rFonts w:cstheme="minorHAnsi"/>
          <w:shd w:val="clear" w:color="auto" w:fill="FFFFFF"/>
        </w:rPr>
        <w:lastRenderedPageBreak/>
        <w:t>The employment relations</w:t>
      </w:r>
      <w:r w:rsidR="00B52D76">
        <w:rPr>
          <w:rFonts w:cstheme="minorHAnsi"/>
          <w:shd w:val="clear" w:color="auto" w:fill="FFFFFF"/>
        </w:rPr>
        <w:t xml:space="preserve"> (ER)</w:t>
      </w:r>
      <w:r>
        <w:rPr>
          <w:rFonts w:cstheme="minorHAnsi"/>
          <w:shd w:val="clear" w:color="auto" w:fill="FFFFFF"/>
        </w:rPr>
        <w:t xml:space="preserve"> case advisor role would be to identify any </w:t>
      </w:r>
      <w:r w:rsidR="009567D2">
        <w:rPr>
          <w:rFonts w:cstheme="minorHAnsi"/>
          <w:shd w:val="clear" w:color="auto" w:fill="FFFFFF"/>
        </w:rPr>
        <w:t>workplace issues</w:t>
      </w:r>
      <w:r w:rsidR="007D65F3">
        <w:rPr>
          <w:rFonts w:cstheme="minorHAnsi"/>
          <w:shd w:val="clear" w:color="auto" w:fill="FFFFFF"/>
        </w:rPr>
        <w:t>, such as conflict, sickness absence and bullying,</w:t>
      </w:r>
      <w:r w:rsidR="009567D2">
        <w:rPr>
          <w:rFonts w:cstheme="minorHAnsi"/>
          <w:shd w:val="clear" w:color="auto" w:fill="FFFFFF"/>
        </w:rPr>
        <w:t xml:space="preserve"> and implement early intervention to prevent escalation (Ayling and Suff, 2025). </w:t>
      </w:r>
      <w:r w:rsidR="00B52D76">
        <w:rPr>
          <w:rFonts w:cstheme="minorHAnsi"/>
          <w:shd w:val="clear" w:color="auto" w:fill="FFFFFF"/>
        </w:rPr>
        <w:t xml:space="preserve">As part of their role, the ER advisor would build strong relationships with </w:t>
      </w:r>
      <w:r w:rsidR="004201C1">
        <w:rPr>
          <w:rFonts w:cstheme="minorHAnsi"/>
          <w:shd w:val="clear" w:color="auto" w:fill="FFFFFF"/>
        </w:rPr>
        <w:t xml:space="preserve">both </w:t>
      </w:r>
      <w:r w:rsidR="00B52D76">
        <w:rPr>
          <w:rFonts w:cstheme="minorHAnsi"/>
          <w:shd w:val="clear" w:color="auto" w:fill="FFFFFF"/>
        </w:rPr>
        <w:t>managers</w:t>
      </w:r>
      <w:r w:rsidR="004201C1">
        <w:rPr>
          <w:rFonts w:cstheme="minorHAnsi"/>
          <w:shd w:val="clear" w:color="auto" w:fill="FFFFFF"/>
        </w:rPr>
        <w:t xml:space="preserve"> and employees</w:t>
      </w:r>
      <w:r w:rsidR="00B52D76">
        <w:rPr>
          <w:rFonts w:cstheme="minorHAnsi"/>
          <w:shd w:val="clear" w:color="auto" w:fill="FFFFFF"/>
        </w:rPr>
        <w:t xml:space="preserve">, </w:t>
      </w:r>
      <w:r w:rsidR="004201C1">
        <w:rPr>
          <w:rFonts w:cstheme="minorHAnsi"/>
          <w:shd w:val="clear" w:color="auto" w:fill="FFFFFF"/>
        </w:rPr>
        <w:t xml:space="preserve">utilising mediation and conflict resolution skills to resolve disagreements </w:t>
      </w:r>
      <w:r w:rsidR="00ED4583">
        <w:rPr>
          <w:rFonts w:cstheme="minorHAnsi"/>
          <w:shd w:val="clear" w:color="auto" w:fill="FFFFFF"/>
        </w:rPr>
        <w:t>and prevent staff from leaving the organisation</w:t>
      </w:r>
      <w:r w:rsidR="004201C1">
        <w:rPr>
          <w:rFonts w:cstheme="minorHAnsi"/>
          <w:shd w:val="clear" w:color="auto" w:fill="FFFFFF"/>
        </w:rPr>
        <w:t xml:space="preserve"> (Torrington et al, 2020).</w:t>
      </w:r>
      <w:r w:rsidR="00B52D76">
        <w:rPr>
          <w:rFonts w:cstheme="minorHAnsi"/>
          <w:shd w:val="clear" w:color="auto" w:fill="FFFFFF"/>
        </w:rPr>
        <w:t xml:space="preserve"> </w:t>
      </w:r>
      <w:r w:rsidR="00F52A09">
        <w:rPr>
          <w:rFonts w:cstheme="minorHAnsi"/>
          <w:shd w:val="clear" w:color="auto" w:fill="FFFFFF"/>
        </w:rPr>
        <w:t xml:space="preserve">Through their knowledge and expertise in employment case law, the ER advisor can ensure staff are treated equally and fairly in the workplace, reinforcing the psychological contract that employees are valued and respected in an inclusive workplace culture (Ali, 2024). </w:t>
      </w:r>
    </w:p>
    <w:p w14:paraId="3F6B5EC2" w14:textId="64880032" w:rsidR="007107FA" w:rsidRDefault="007107FA" w:rsidP="004A16A6">
      <w:pPr>
        <w:spacing w:after="0" w:line="360" w:lineRule="auto"/>
        <w:rPr>
          <w:rFonts w:cstheme="minorHAnsi"/>
        </w:rPr>
      </w:pPr>
    </w:p>
    <w:p w14:paraId="507C5A53" w14:textId="19126A02" w:rsidR="008E4786" w:rsidRPr="0005043C" w:rsidRDefault="008E4786" w:rsidP="004A16A6">
      <w:pPr>
        <w:spacing w:after="0" w:line="360" w:lineRule="auto"/>
        <w:ind w:left="426" w:hanging="426"/>
        <w:rPr>
          <w:rFonts w:cstheme="minorHAnsi"/>
        </w:rPr>
      </w:pPr>
      <w:r w:rsidRPr="0005043C">
        <w:rPr>
          <w:rFonts w:cstheme="minorHAnsi"/>
        </w:rPr>
        <w:t>AC 3.2</w:t>
      </w:r>
    </w:p>
    <w:p w14:paraId="7A259512" w14:textId="77777777" w:rsidR="0005043C" w:rsidRDefault="0005043C" w:rsidP="004A16A6">
      <w:pPr>
        <w:spacing w:after="0" w:line="360" w:lineRule="auto"/>
        <w:rPr>
          <w:rFonts w:cstheme="minorHAnsi"/>
        </w:rPr>
      </w:pPr>
    </w:p>
    <w:p w14:paraId="40948E8E" w14:textId="7C559442" w:rsidR="00E97E80" w:rsidRDefault="00E97E80" w:rsidP="004A16A6">
      <w:pPr>
        <w:spacing w:after="0" w:line="360" w:lineRule="auto"/>
        <w:rPr>
          <w:rFonts w:cstheme="minorHAnsi"/>
        </w:rPr>
      </w:pPr>
      <w:r w:rsidRPr="00E97E80">
        <w:rPr>
          <w:rFonts w:cstheme="minorHAnsi"/>
        </w:rPr>
        <w:t>Strategic</w:t>
      </w:r>
      <w:r>
        <w:rPr>
          <w:rFonts w:cstheme="minorHAnsi"/>
        </w:rPr>
        <w:t xml:space="preserve"> human resource management is important for achieving organisational outcomes as it</w:t>
      </w:r>
    </w:p>
    <w:p w14:paraId="19EF6C43" w14:textId="69767ABE" w:rsidR="000F5362" w:rsidRDefault="00E97E80" w:rsidP="004A16A6">
      <w:pPr>
        <w:spacing w:after="0" w:line="360" w:lineRule="auto"/>
        <w:ind w:left="426" w:hanging="426"/>
        <w:rPr>
          <w:rFonts w:cstheme="minorHAnsi"/>
        </w:rPr>
      </w:pPr>
      <w:r>
        <w:rPr>
          <w:rFonts w:cstheme="minorHAnsi"/>
        </w:rPr>
        <w:t>aligns people practices with business</w:t>
      </w:r>
      <w:r w:rsidR="00CA4C41">
        <w:rPr>
          <w:rFonts w:cstheme="minorHAnsi"/>
        </w:rPr>
        <w:t xml:space="preserve"> strategy</w:t>
      </w:r>
      <w:r>
        <w:rPr>
          <w:rFonts w:cstheme="minorHAnsi"/>
        </w:rPr>
        <w:t xml:space="preserve">, ensuring </w:t>
      </w:r>
      <w:r w:rsidR="000F5362">
        <w:rPr>
          <w:rFonts w:cstheme="minorHAnsi"/>
        </w:rPr>
        <w:t>all elements of people</w:t>
      </w:r>
      <w:r w:rsidR="00CA4C41">
        <w:rPr>
          <w:rFonts w:cstheme="minorHAnsi"/>
        </w:rPr>
        <w:t xml:space="preserve"> practices</w:t>
      </w:r>
      <w:r w:rsidR="000F5362">
        <w:rPr>
          <w:rFonts w:cstheme="minorHAnsi"/>
        </w:rPr>
        <w:t xml:space="preserve"> such as</w:t>
      </w:r>
    </w:p>
    <w:p w14:paraId="00AE3DB6" w14:textId="77777777" w:rsidR="000F5362" w:rsidRDefault="000F5362" w:rsidP="004A16A6">
      <w:pPr>
        <w:spacing w:after="0" w:line="360" w:lineRule="auto"/>
        <w:ind w:left="426" w:hanging="426"/>
        <w:rPr>
          <w:rFonts w:cstheme="minorHAnsi"/>
        </w:rPr>
      </w:pPr>
      <w:r>
        <w:rPr>
          <w:rFonts w:cstheme="minorHAnsi"/>
        </w:rPr>
        <w:t>recruitment, onboarding, engagement and learning and development are meeting the needs of the</w:t>
      </w:r>
    </w:p>
    <w:p w14:paraId="21DF0E70" w14:textId="77777777" w:rsidR="008347D0" w:rsidRDefault="000F5362" w:rsidP="004A16A6">
      <w:pPr>
        <w:spacing w:after="0" w:line="360" w:lineRule="auto"/>
        <w:ind w:left="426" w:hanging="426"/>
        <w:rPr>
          <w:rFonts w:cstheme="minorHAnsi"/>
        </w:rPr>
      </w:pPr>
      <w:r>
        <w:rPr>
          <w:rFonts w:cstheme="minorHAnsi"/>
        </w:rPr>
        <w:t xml:space="preserve">organisation and its long-term goals (CIPD, 2025f). </w:t>
      </w:r>
      <w:r w:rsidR="00CA4C41">
        <w:rPr>
          <w:rFonts w:cstheme="minorHAnsi"/>
        </w:rPr>
        <w:t>Studies have shown that there is a correlatio</w:t>
      </w:r>
      <w:r w:rsidR="008347D0">
        <w:rPr>
          <w:rFonts w:cstheme="minorHAnsi"/>
        </w:rPr>
        <w:t>n</w:t>
      </w:r>
    </w:p>
    <w:p w14:paraId="2A1375D2" w14:textId="77777777" w:rsidR="008347D0" w:rsidRDefault="00CA4C41" w:rsidP="004A16A6">
      <w:pPr>
        <w:spacing w:after="0" w:line="360" w:lineRule="auto"/>
        <w:ind w:left="426" w:hanging="426"/>
        <w:rPr>
          <w:rFonts w:cstheme="minorHAnsi"/>
        </w:rPr>
      </w:pPr>
      <w:r>
        <w:rPr>
          <w:rFonts w:cstheme="minorHAnsi"/>
        </w:rPr>
        <w:t xml:space="preserve">between </w:t>
      </w:r>
      <w:r w:rsidR="008347D0">
        <w:rPr>
          <w:rFonts w:cstheme="minorHAnsi"/>
        </w:rPr>
        <w:t>the implementation of people practices and policies in an organisation and levels of</w:t>
      </w:r>
    </w:p>
    <w:p w14:paraId="795AB17E" w14:textId="42D4DB44" w:rsidR="007B2E21" w:rsidRDefault="008347D0" w:rsidP="004A16A6">
      <w:pPr>
        <w:spacing w:after="0" w:line="360" w:lineRule="auto"/>
        <w:ind w:left="426" w:hanging="426"/>
        <w:rPr>
          <w:rFonts w:cstheme="minorHAnsi"/>
        </w:rPr>
      </w:pPr>
      <w:r>
        <w:rPr>
          <w:rFonts w:cstheme="minorHAnsi"/>
        </w:rPr>
        <w:t>‘satisfaction, motivation</w:t>
      </w:r>
      <w:r w:rsidR="00A57660">
        <w:rPr>
          <w:rFonts w:cstheme="minorHAnsi"/>
        </w:rPr>
        <w:t xml:space="preserve">, </w:t>
      </w:r>
      <w:r w:rsidR="005E0317">
        <w:rPr>
          <w:rFonts w:cstheme="minorHAnsi"/>
        </w:rPr>
        <w:t>commitment</w:t>
      </w:r>
      <w:r>
        <w:rPr>
          <w:rFonts w:cstheme="minorHAnsi"/>
        </w:rPr>
        <w:t xml:space="preserve"> and operational performance’ (Purcell et</w:t>
      </w:r>
      <w:r w:rsidR="005E0317">
        <w:rPr>
          <w:rFonts w:cstheme="minorHAnsi"/>
        </w:rPr>
        <w:t xml:space="preserve"> </w:t>
      </w:r>
      <w:r>
        <w:rPr>
          <w:rFonts w:cstheme="minorHAnsi"/>
        </w:rPr>
        <w:t>al, 2003, p. 72).</w:t>
      </w:r>
    </w:p>
    <w:p w14:paraId="491F8A34" w14:textId="77777777" w:rsidR="007B2E21" w:rsidRDefault="007B2E21" w:rsidP="004A16A6">
      <w:pPr>
        <w:spacing w:after="0" w:line="360" w:lineRule="auto"/>
        <w:ind w:left="426" w:hanging="426"/>
        <w:rPr>
          <w:rFonts w:cstheme="minorHAnsi"/>
        </w:rPr>
      </w:pPr>
      <w:r>
        <w:rPr>
          <w:rFonts w:cstheme="minorHAnsi"/>
        </w:rPr>
        <w:t>Therefore, there are a range of practices within people management that Chaffinch Group can utilise</w:t>
      </w:r>
    </w:p>
    <w:p w14:paraId="3C5D6FFF" w14:textId="5A05C322" w:rsidR="00E97E80" w:rsidRDefault="007B2E21" w:rsidP="004A16A6">
      <w:pPr>
        <w:spacing w:after="0" w:line="360" w:lineRule="auto"/>
        <w:ind w:left="426" w:hanging="426"/>
        <w:rPr>
          <w:rFonts w:cstheme="minorHAnsi"/>
        </w:rPr>
      </w:pPr>
      <w:r>
        <w:rPr>
          <w:rFonts w:cstheme="minorHAnsi"/>
        </w:rPr>
        <w:t>to fill resident rooms.</w:t>
      </w:r>
    </w:p>
    <w:p w14:paraId="2A1BCBD1" w14:textId="0766C9F3" w:rsidR="007B2E21" w:rsidRDefault="007B2E21" w:rsidP="004A16A6">
      <w:pPr>
        <w:spacing w:after="0" w:line="360" w:lineRule="auto"/>
        <w:ind w:left="426" w:hanging="426"/>
        <w:rPr>
          <w:rFonts w:cstheme="minorHAnsi"/>
        </w:rPr>
      </w:pPr>
    </w:p>
    <w:p w14:paraId="5F4555B9" w14:textId="77777777" w:rsidR="003675E7" w:rsidRDefault="007B2E21" w:rsidP="004A16A6">
      <w:pPr>
        <w:spacing w:after="0" w:line="360" w:lineRule="auto"/>
        <w:ind w:left="426" w:hanging="426"/>
        <w:rPr>
          <w:rFonts w:cstheme="minorHAnsi"/>
        </w:rPr>
      </w:pPr>
      <w:r>
        <w:rPr>
          <w:rFonts w:cstheme="minorHAnsi"/>
        </w:rPr>
        <w:t xml:space="preserve">Firstly, </w:t>
      </w:r>
      <w:r w:rsidR="003675E7">
        <w:rPr>
          <w:rFonts w:cstheme="minorHAnsi"/>
        </w:rPr>
        <w:t>conducting a workforce planning process will identify any present and future workforce</w:t>
      </w:r>
    </w:p>
    <w:p w14:paraId="14E59A0B" w14:textId="77777777" w:rsidR="003675E7" w:rsidRDefault="003675E7" w:rsidP="004A16A6">
      <w:pPr>
        <w:spacing w:after="0" w:line="360" w:lineRule="auto"/>
        <w:ind w:left="426" w:hanging="426"/>
        <w:rPr>
          <w:rFonts w:cstheme="minorHAnsi"/>
        </w:rPr>
      </w:pPr>
      <w:r>
        <w:rPr>
          <w:rFonts w:cstheme="minorHAnsi"/>
        </w:rPr>
        <w:t>needs at Calmere House to ensure the care home is adequately staffed with the right skills to deliver</w:t>
      </w:r>
    </w:p>
    <w:p w14:paraId="3E8F74B9" w14:textId="77777777" w:rsidR="00926CC7" w:rsidRDefault="003675E7" w:rsidP="004A16A6">
      <w:pPr>
        <w:spacing w:after="0" w:line="360" w:lineRule="auto"/>
        <w:ind w:left="426" w:hanging="426"/>
        <w:rPr>
          <w:rFonts w:cstheme="minorHAnsi"/>
        </w:rPr>
      </w:pPr>
      <w:r>
        <w:rPr>
          <w:rFonts w:cstheme="minorHAnsi"/>
        </w:rPr>
        <w:t xml:space="preserve">a reliable, consistent quality of care to residents </w:t>
      </w:r>
      <w:r w:rsidR="0077700B">
        <w:rPr>
          <w:rFonts w:cstheme="minorHAnsi"/>
        </w:rPr>
        <w:t xml:space="preserve">(CIPD, 2025g). </w:t>
      </w:r>
      <w:r w:rsidR="00717130">
        <w:rPr>
          <w:rFonts w:cstheme="minorHAnsi"/>
        </w:rPr>
        <w:t xml:space="preserve">Workforce planning </w:t>
      </w:r>
      <w:r w:rsidR="00926CC7">
        <w:rPr>
          <w:rFonts w:cstheme="minorHAnsi"/>
        </w:rPr>
        <w:t>connects people</w:t>
      </w:r>
    </w:p>
    <w:p w14:paraId="2F3B3DCC" w14:textId="05F26168" w:rsidR="00717130" w:rsidRDefault="00926CC7" w:rsidP="004A16A6">
      <w:pPr>
        <w:spacing w:after="0" w:line="360" w:lineRule="auto"/>
        <w:ind w:left="426" w:hanging="426"/>
        <w:rPr>
          <w:rFonts w:cstheme="minorHAnsi"/>
        </w:rPr>
      </w:pPr>
      <w:r>
        <w:rPr>
          <w:rFonts w:cstheme="minorHAnsi"/>
        </w:rPr>
        <w:t xml:space="preserve">practices to the operational processes needed to deliver the business strategy and this </w:t>
      </w:r>
      <w:r w:rsidR="00717130">
        <w:rPr>
          <w:rFonts w:cstheme="minorHAnsi"/>
        </w:rPr>
        <w:t>data</w:t>
      </w:r>
      <w:r>
        <w:rPr>
          <w:rFonts w:cstheme="minorHAnsi"/>
        </w:rPr>
        <w:t xml:space="preserve"> </w:t>
      </w:r>
      <w:r w:rsidR="00717130">
        <w:rPr>
          <w:rFonts w:cstheme="minorHAnsi"/>
        </w:rPr>
        <w:t>can be</w:t>
      </w:r>
    </w:p>
    <w:p w14:paraId="443C459E" w14:textId="77777777" w:rsidR="00926CC7" w:rsidRDefault="00717130" w:rsidP="004A16A6">
      <w:pPr>
        <w:spacing w:after="0" w:line="360" w:lineRule="auto"/>
        <w:ind w:left="426" w:hanging="426"/>
        <w:rPr>
          <w:rFonts w:cstheme="minorHAnsi"/>
        </w:rPr>
      </w:pPr>
      <w:r>
        <w:rPr>
          <w:rFonts w:cstheme="minorHAnsi"/>
        </w:rPr>
        <w:t>further utilised in another crucial area of people practice; talent management</w:t>
      </w:r>
      <w:r w:rsidR="00926CC7">
        <w:rPr>
          <w:rFonts w:cstheme="minorHAnsi"/>
        </w:rPr>
        <w:t xml:space="preserve"> (Quilliam, 2024)</w:t>
      </w:r>
      <w:r>
        <w:rPr>
          <w:rFonts w:cstheme="minorHAnsi"/>
        </w:rPr>
        <w:t>. Once</w:t>
      </w:r>
    </w:p>
    <w:p w14:paraId="1D32C0DE" w14:textId="74CE1708" w:rsidR="00926CC7" w:rsidRDefault="00717130" w:rsidP="004A16A6">
      <w:pPr>
        <w:spacing w:after="0" w:line="360" w:lineRule="auto"/>
        <w:ind w:left="426" w:hanging="426"/>
        <w:rPr>
          <w:rFonts w:cstheme="minorHAnsi"/>
        </w:rPr>
      </w:pPr>
      <w:r>
        <w:rPr>
          <w:rFonts w:cstheme="minorHAnsi"/>
        </w:rPr>
        <w:t>Chaffinch Group</w:t>
      </w:r>
      <w:r w:rsidR="00926CC7">
        <w:rPr>
          <w:rFonts w:cstheme="minorHAnsi"/>
        </w:rPr>
        <w:t xml:space="preserve"> </w:t>
      </w:r>
      <w:r>
        <w:rPr>
          <w:rFonts w:cstheme="minorHAnsi"/>
        </w:rPr>
        <w:t>understand the labour supply and demand at Calmere House, this will inform the</w:t>
      </w:r>
    </w:p>
    <w:p w14:paraId="568CD6FD" w14:textId="622E16EF" w:rsidR="00717130" w:rsidRDefault="00926CC7" w:rsidP="004A16A6">
      <w:pPr>
        <w:spacing w:after="0" w:line="360" w:lineRule="auto"/>
        <w:ind w:left="426" w:hanging="426"/>
        <w:rPr>
          <w:rFonts w:cstheme="minorHAnsi"/>
        </w:rPr>
      </w:pPr>
      <w:r>
        <w:rPr>
          <w:rFonts w:cstheme="minorHAnsi"/>
        </w:rPr>
        <w:t>t</w:t>
      </w:r>
      <w:r w:rsidR="00717130">
        <w:rPr>
          <w:rFonts w:cstheme="minorHAnsi"/>
        </w:rPr>
        <w:t>alent</w:t>
      </w:r>
      <w:r>
        <w:rPr>
          <w:rFonts w:cstheme="minorHAnsi"/>
        </w:rPr>
        <w:t xml:space="preserve"> </w:t>
      </w:r>
      <w:r w:rsidR="00717130">
        <w:rPr>
          <w:rFonts w:cstheme="minorHAnsi"/>
        </w:rPr>
        <w:t>management strategy such as implementing recruitment practices to quickly and efficiently fill</w:t>
      </w:r>
    </w:p>
    <w:p w14:paraId="0832CBB3" w14:textId="77777777" w:rsidR="00717130" w:rsidRDefault="00717130" w:rsidP="004A16A6">
      <w:pPr>
        <w:spacing w:after="0" w:line="360" w:lineRule="auto"/>
        <w:ind w:left="426" w:hanging="426"/>
        <w:rPr>
          <w:rFonts w:cstheme="minorHAnsi"/>
        </w:rPr>
      </w:pPr>
      <w:r>
        <w:rPr>
          <w:rFonts w:cstheme="minorHAnsi"/>
        </w:rPr>
        <w:t>staffing gaps or creating career progression paths for current employees to develop into senior roles,</w:t>
      </w:r>
    </w:p>
    <w:p w14:paraId="139617BC" w14:textId="2837F7B8" w:rsidR="00E97E80" w:rsidRDefault="00717130" w:rsidP="004A16A6">
      <w:pPr>
        <w:spacing w:after="0" w:line="360" w:lineRule="auto"/>
        <w:ind w:left="426" w:hanging="426"/>
        <w:rPr>
          <w:rFonts w:cstheme="minorHAnsi"/>
        </w:rPr>
      </w:pPr>
      <w:r>
        <w:rPr>
          <w:rFonts w:cstheme="minorHAnsi"/>
        </w:rPr>
        <w:t xml:space="preserve">thus, retaining skilled workers (Quilliam, 2024). </w:t>
      </w:r>
    </w:p>
    <w:p w14:paraId="06270F69" w14:textId="2386EBA7" w:rsidR="00B30096" w:rsidRDefault="00B30096" w:rsidP="004A16A6">
      <w:pPr>
        <w:spacing w:after="0" w:line="360" w:lineRule="auto"/>
        <w:ind w:left="426" w:hanging="426"/>
        <w:rPr>
          <w:rFonts w:cstheme="minorHAnsi"/>
        </w:rPr>
      </w:pPr>
    </w:p>
    <w:p w14:paraId="2FE3B187" w14:textId="29E22C95" w:rsidR="00B30096" w:rsidRDefault="00B30096" w:rsidP="004A16A6">
      <w:pPr>
        <w:spacing w:after="0" w:line="360" w:lineRule="auto"/>
        <w:ind w:left="426" w:hanging="426"/>
        <w:rPr>
          <w:rFonts w:cstheme="minorHAnsi"/>
        </w:rPr>
      </w:pPr>
      <w:r>
        <w:rPr>
          <w:rFonts w:cstheme="minorHAnsi"/>
        </w:rPr>
        <w:t xml:space="preserve">Additionally, Chaffinch Group’s People </w:t>
      </w:r>
      <w:r w:rsidR="004C1754">
        <w:rPr>
          <w:rFonts w:cstheme="minorHAnsi"/>
        </w:rPr>
        <w:t>te</w:t>
      </w:r>
      <w:r>
        <w:rPr>
          <w:rFonts w:cstheme="minorHAnsi"/>
        </w:rPr>
        <w:t>am could identify what is attractive about their employer</w:t>
      </w:r>
    </w:p>
    <w:p w14:paraId="4B7ECF61" w14:textId="5AE6AB5B" w:rsidR="00966A7C" w:rsidRDefault="00B30096" w:rsidP="004A16A6">
      <w:pPr>
        <w:spacing w:after="0" w:line="360" w:lineRule="auto"/>
        <w:ind w:left="426" w:hanging="426"/>
        <w:rPr>
          <w:rFonts w:cstheme="minorHAnsi"/>
        </w:rPr>
      </w:pPr>
      <w:r>
        <w:rPr>
          <w:rFonts w:cstheme="minorHAnsi"/>
        </w:rPr>
        <w:t>brand and what they could improve to recruit and retain staff</w:t>
      </w:r>
      <w:r w:rsidR="00966A7C">
        <w:rPr>
          <w:rFonts w:cstheme="minorHAnsi"/>
        </w:rPr>
        <w:t xml:space="preserve"> in a competitive sector labour market.</w:t>
      </w:r>
    </w:p>
    <w:p w14:paraId="4215CEF3" w14:textId="77777777" w:rsidR="00966A7C" w:rsidRDefault="004C1754" w:rsidP="004A16A6">
      <w:pPr>
        <w:spacing w:after="0" w:line="360" w:lineRule="auto"/>
        <w:ind w:left="426" w:hanging="426"/>
        <w:rPr>
          <w:rFonts w:cstheme="minorHAnsi"/>
        </w:rPr>
      </w:pPr>
      <w:r>
        <w:rPr>
          <w:rFonts w:cstheme="minorHAnsi"/>
        </w:rPr>
        <w:t>Offering a strong employee value</w:t>
      </w:r>
      <w:r w:rsidR="00966A7C">
        <w:rPr>
          <w:rFonts w:cstheme="minorHAnsi"/>
        </w:rPr>
        <w:t xml:space="preserve"> </w:t>
      </w:r>
      <w:r>
        <w:rPr>
          <w:rFonts w:cstheme="minorHAnsi"/>
        </w:rPr>
        <w:t>proposition has become critical to attracting the current</w:t>
      </w:r>
    </w:p>
    <w:p w14:paraId="6A8572A7" w14:textId="77777777" w:rsidR="00966A7C" w:rsidRDefault="004C1754" w:rsidP="004A16A6">
      <w:pPr>
        <w:spacing w:after="0" w:line="360" w:lineRule="auto"/>
        <w:ind w:left="426" w:hanging="426"/>
        <w:rPr>
          <w:rFonts w:cstheme="minorHAnsi"/>
        </w:rPr>
      </w:pPr>
      <w:r>
        <w:rPr>
          <w:rFonts w:cstheme="minorHAnsi"/>
        </w:rPr>
        <w:t>workforce, especially the new generations,</w:t>
      </w:r>
      <w:r w:rsidR="00966A7C">
        <w:rPr>
          <w:rFonts w:cstheme="minorHAnsi"/>
        </w:rPr>
        <w:t xml:space="preserve"> </w:t>
      </w:r>
      <w:r>
        <w:rPr>
          <w:rFonts w:cstheme="minorHAnsi"/>
        </w:rPr>
        <w:t xml:space="preserve">and the People </w:t>
      </w:r>
      <w:r w:rsidR="00F524DF">
        <w:rPr>
          <w:rFonts w:cstheme="minorHAnsi"/>
        </w:rPr>
        <w:t>team could analyse several aspects of</w:t>
      </w:r>
    </w:p>
    <w:p w14:paraId="244B69D7" w14:textId="77777777" w:rsidR="00966A7C" w:rsidRDefault="00F524DF" w:rsidP="004A16A6">
      <w:pPr>
        <w:spacing w:after="0" w:line="360" w:lineRule="auto"/>
        <w:ind w:left="426" w:hanging="426"/>
        <w:rPr>
          <w:rFonts w:cstheme="minorHAnsi"/>
        </w:rPr>
      </w:pPr>
      <w:r>
        <w:rPr>
          <w:rFonts w:cstheme="minorHAnsi"/>
        </w:rPr>
        <w:lastRenderedPageBreak/>
        <w:t xml:space="preserve">their employer brand including reward and benefits, flexible and hybrid working and culture and </w:t>
      </w:r>
    </w:p>
    <w:p w14:paraId="41D2457A" w14:textId="77777777" w:rsidR="00966A7C" w:rsidRDefault="00F524DF" w:rsidP="004A16A6">
      <w:pPr>
        <w:spacing w:after="0" w:line="360" w:lineRule="auto"/>
        <w:ind w:left="426" w:hanging="426"/>
        <w:rPr>
          <w:rFonts w:cstheme="minorHAnsi"/>
        </w:rPr>
      </w:pPr>
      <w:r>
        <w:rPr>
          <w:rFonts w:cstheme="minorHAnsi"/>
        </w:rPr>
        <w:t xml:space="preserve">values (McCartney and Noble, 2025). </w:t>
      </w:r>
      <w:r w:rsidR="00966A7C">
        <w:rPr>
          <w:rFonts w:cstheme="minorHAnsi"/>
        </w:rPr>
        <w:t xml:space="preserve">Through enhancing the employer brand, staff at Calmere </w:t>
      </w:r>
    </w:p>
    <w:p w14:paraId="7CF2EFBE" w14:textId="77777777" w:rsidR="008D35E6" w:rsidRDefault="00966A7C" w:rsidP="004A16A6">
      <w:pPr>
        <w:spacing w:after="0" w:line="360" w:lineRule="auto"/>
        <w:ind w:left="426" w:hanging="426"/>
        <w:rPr>
          <w:rFonts w:cstheme="minorHAnsi"/>
        </w:rPr>
      </w:pPr>
      <w:r>
        <w:rPr>
          <w:rFonts w:cstheme="minorHAnsi"/>
        </w:rPr>
        <w:t>House will be engaged and experiencing good work in a positive environment, thus, performing</w:t>
      </w:r>
    </w:p>
    <w:p w14:paraId="32CC3914" w14:textId="77777777" w:rsidR="008D35E6" w:rsidRDefault="00966A7C" w:rsidP="004A16A6">
      <w:pPr>
        <w:spacing w:after="0" w:line="360" w:lineRule="auto"/>
        <w:ind w:left="426" w:hanging="426"/>
        <w:rPr>
          <w:rFonts w:cstheme="minorHAnsi"/>
        </w:rPr>
      </w:pPr>
      <w:r>
        <w:rPr>
          <w:rFonts w:cstheme="minorHAnsi"/>
        </w:rPr>
        <w:t>better</w:t>
      </w:r>
      <w:r w:rsidR="008D35E6">
        <w:rPr>
          <w:rFonts w:cstheme="minorHAnsi"/>
        </w:rPr>
        <w:t xml:space="preserve">, </w:t>
      </w:r>
      <w:r>
        <w:rPr>
          <w:rFonts w:cstheme="minorHAnsi"/>
        </w:rPr>
        <w:t>providing bett</w:t>
      </w:r>
      <w:r w:rsidR="008D35E6">
        <w:rPr>
          <w:rFonts w:cstheme="minorHAnsi"/>
        </w:rPr>
        <w:t>er service to residents and raising the profile and reputation of Calmere House</w:t>
      </w:r>
    </w:p>
    <w:p w14:paraId="0A0B1FDA" w14:textId="7C6E1AA6" w:rsidR="00B30096" w:rsidRDefault="008D35E6" w:rsidP="004A16A6">
      <w:pPr>
        <w:spacing w:after="0" w:line="360" w:lineRule="auto"/>
        <w:ind w:left="426" w:hanging="426"/>
        <w:rPr>
          <w:rFonts w:cstheme="minorHAnsi"/>
        </w:rPr>
      </w:pPr>
      <w:r>
        <w:rPr>
          <w:rFonts w:cstheme="minorHAnsi"/>
        </w:rPr>
        <w:t>to attract further residents</w:t>
      </w:r>
      <w:r w:rsidR="00C0213D">
        <w:rPr>
          <w:rFonts w:cstheme="minorHAnsi"/>
        </w:rPr>
        <w:t xml:space="preserve"> (Hosseini et al, 2022).</w:t>
      </w:r>
    </w:p>
    <w:p w14:paraId="270144B9" w14:textId="76B62EC4" w:rsidR="0036408C" w:rsidRDefault="0036408C" w:rsidP="004A16A6">
      <w:pPr>
        <w:spacing w:after="0" w:line="360" w:lineRule="auto"/>
        <w:ind w:left="426" w:hanging="426"/>
        <w:rPr>
          <w:rFonts w:cstheme="minorHAnsi"/>
        </w:rPr>
      </w:pPr>
    </w:p>
    <w:p w14:paraId="462D12EF" w14:textId="4874B26F" w:rsidR="0036408C" w:rsidRPr="00324949" w:rsidRDefault="0036408C" w:rsidP="004A16A6">
      <w:pPr>
        <w:spacing w:after="0" w:line="360" w:lineRule="auto"/>
        <w:ind w:left="426" w:hanging="426"/>
        <w:rPr>
          <w:rFonts w:cstheme="minorHAnsi"/>
        </w:rPr>
      </w:pPr>
      <w:r w:rsidRPr="00324949">
        <w:rPr>
          <w:rFonts w:cstheme="minorHAnsi"/>
        </w:rPr>
        <w:t>AC 3.3</w:t>
      </w:r>
    </w:p>
    <w:p w14:paraId="46ED9744" w14:textId="23D0D50F" w:rsidR="00ED32AE" w:rsidRDefault="00ED32AE" w:rsidP="004A16A6">
      <w:pPr>
        <w:spacing w:after="0" w:line="360" w:lineRule="auto"/>
        <w:rPr>
          <w:rFonts w:cstheme="minorHAnsi"/>
        </w:rPr>
      </w:pPr>
    </w:p>
    <w:p w14:paraId="56AC69A8" w14:textId="77777777" w:rsidR="00ED32AE" w:rsidRDefault="00ED32AE" w:rsidP="004A16A6">
      <w:pPr>
        <w:spacing w:after="0" w:line="360" w:lineRule="auto"/>
        <w:ind w:left="426" w:hanging="426"/>
        <w:rPr>
          <w:rFonts w:cstheme="minorHAnsi"/>
        </w:rPr>
      </w:pPr>
      <w:r>
        <w:rPr>
          <w:rFonts w:cstheme="minorHAnsi"/>
        </w:rPr>
        <w:t>Seeking employee voice at Calmere House on the increasing turnover rate is vital for Kath to create</w:t>
      </w:r>
    </w:p>
    <w:p w14:paraId="3C8C7A79" w14:textId="079AE27B" w:rsidR="00ED32AE" w:rsidRDefault="00ED32AE" w:rsidP="004A16A6">
      <w:pPr>
        <w:spacing w:after="0" w:line="360" w:lineRule="auto"/>
        <w:ind w:left="426" w:hanging="426"/>
        <w:rPr>
          <w:rFonts w:cstheme="minorHAnsi"/>
        </w:rPr>
      </w:pPr>
      <w:r>
        <w:rPr>
          <w:rFonts w:cstheme="minorHAnsi"/>
        </w:rPr>
        <w:t>an effective two-way communication channel between herself and the employees and hear</w:t>
      </w:r>
    </w:p>
    <w:p w14:paraId="52F76D6A" w14:textId="77777777" w:rsidR="00ED32AE" w:rsidRDefault="00ED32AE" w:rsidP="004A16A6">
      <w:pPr>
        <w:spacing w:after="0" w:line="360" w:lineRule="auto"/>
        <w:ind w:left="426" w:hanging="426"/>
        <w:rPr>
          <w:rFonts w:cstheme="minorHAnsi"/>
        </w:rPr>
      </w:pPr>
      <w:r>
        <w:rPr>
          <w:rFonts w:cstheme="minorHAnsi"/>
        </w:rPr>
        <w:t>their views and concerns (CIPD, 2025h). This is not only crucial in order to understand why</w:t>
      </w:r>
    </w:p>
    <w:p w14:paraId="1BA498A9" w14:textId="6C5C5F4C" w:rsidR="00ED32AE" w:rsidRDefault="00ED32AE" w:rsidP="004A16A6">
      <w:pPr>
        <w:spacing w:after="0" w:line="360" w:lineRule="auto"/>
        <w:ind w:left="426" w:hanging="426"/>
        <w:rPr>
          <w:rFonts w:cstheme="minorHAnsi"/>
        </w:rPr>
      </w:pPr>
      <w:r>
        <w:rPr>
          <w:rFonts w:cstheme="minorHAnsi"/>
        </w:rPr>
        <w:t>employees are leaving the organisation but will positively impact employee wellbeing, motivation</w:t>
      </w:r>
    </w:p>
    <w:p w14:paraId="1D8A739F" w14:textId="1FC250E3" w:rsidR="00ED32AE" w:rsidRDefault="002B1D26" w:rsidP="004A16A6">
      <w:pPr>
        <w:spacing w:after="0" w:line="360" w:lineRule="auto"/>
        <w:ind w:left="426" w:hanging="426"/>
        <w:rPr>
          <w:rFonts w:cstheme="minorHAnsi"/>
        </w:rPr>
      </w:pPr>
      <w:r>
        <w:rPr>
          <w:rFonts w:cstheme="minorHAnsi"/>
        </w:rPr>
        <w:t>engagement and productivity</w:t>
      </w:r>
      <w:r w:rsidR="00ED32AE">
        <w:rPr>
          <w:rFonts w:cstheme="minorHAnsi"/>
        </w:rPr>
        <w:t xml:space="preserve"> (CIPD, 2025h).</w:t>
      </w:r>
    </w:p>
    <w:p w14:paraId="7CA5DE57" w14:textId="024FB38F" w:rsidR="00D365F1" w:rsidRDefault="00D365F1" w:rsidP="004A16A6">
      <w:pPr>
        <w:spacing w:after="0" w:line="360" w:lineRule="auto"/>
        <w:ind w:left="426" w:hanging="426"/>
        <w:rPr>
          <w:rFonts w:cstheme="minorHAnsi"/>
        </w:rPr>
      </w:pPr>
    </w:p>
    <w:p w14:paraId="2A20427B" w14:textId="77777777" w:rsidR="003A301A" w:rsidRDefault="00D365F1" w:rsidP="004A16A6">
      <w:pPr>
        <w:spacing w:after="0" w:line="360" w:lineRule="auto"/>
        <w:ind w:left="426" w:hanging="426"/>
        <w:rPr>
          <w:rFonts w:cstheme="minorHAnsi"/>
        </w:rPr>
      </w:pPr>
      <w:r>
        <w:rPr>
          <w:rFonts w:cstheme="minorHAnsi"/>
        </w:rPr>
        <w:t xml:space="preserve">To begin with, Kath could conduct a stakeholder analysis in order to identify what </w:t>
      </w:r>
      <w:r w:rsidR="00756548">
        <w:rPr>
          <w:rFonts w:cstheme="minorHAnsi"/>
        </w:rPr>
        <w:t>is important to the</w:t>
      </w:r>
    </w:p>
    <w:p w14:paraId="545EF2CA" w14:textId="77777777" w:rsidR="00D12846" w:rsidRDefault="00756548" w:rsidP="004A16A6">
      <w:pPr>
        <w:spacing w:after="0" w:line="360" w:lineRule="auto"/>
        <w:ind w:left="426" w:hanging="426"/>
        <w:rPr>
          <w:rFonts w:cstheme="minorHAnsi"/>
        </w:rPr>
      </w:pPr>
      <w:r>
        <w:rPr>
          <w:rFonts w:cstheme="minorHAnsi"/>
        </w:rPr>
        <w:t xml:space="preserve">employees and what concerns they may have (Armstrong and Taylor, 2023). </w:t>
      </w:r>
      <w:r w:rsidR="003A301A">
        <w:rPr>
          <w:rFonts w:cstheme="minorHAnsi"/>
        </w:rPr>
        <w:t xml:space="preserve">This </w:t>
      </w:r>
      <w:r w:rsidR="00D12846">
        <w:rPr>
          <w:rFonts w:cstheme="minorHAnsi"/>
        </w:rPr>
        <w:t>activity will provide</w:t>
      </w:r>
    </w:p>
    <w:p w14:paraId="60250A15" w14:textId="77777777" w:rsidR="00D12846" w:rsidRDefault="00D12846" w:rsidP="004A16A6">
      <w:pPr>
        <w:spacing w:after="0" w:line="360" w:lineRule="auto"/>
        <w:ind w:left="426" w:hanging="426"/>
        <w:rPr>
          <w:rFonts w:cstheme="minorHAnsi"/>
        </w:rPr>
      </w:pPr>
      <w:r>
        <w:rPr>
          <w:rFonts w:cstheme="minorHAnsi"/>
        </w:rPr>
        <w:t xml:space="preserve">her with not only measurable data but </w:t>
      </w:r>
      <w:r w:rsidR="003A301A">
        <w:rPr>
          <w:rFonts w:cstheme="minorHAnsi"/>
        </w:rPr>
        <w:t>with meaningful insights before entering into any direct</w:t>
      </w:r>
    </w:p>
    <w:p w14:paraId="05DED2F1" w14:textId="77777777" w:rsidR="00CE44A9" w:rsidRDefault="003A301A" w:rsidP="004A16A6">
      <w:pPr>
        <w:spacing w:after="0" w:line="360" w:lineRule="auto"/>
        <w:ind w:left="426" w:hanging="426"/>
        <w:rPr>
          <w:rFonts w:cstheme="minorHAnsi"/>
        </w:rPr>
      </w:pPr>
      <w:r>
        <w:rPr>
          <w:rFonts w:cstheme="minorHAnsi"/>
        </w:rPr>
        <w:t>communication with employees</w:t>
      </w:r>
      <w:r w:rsidR="00D12846">
        <w:rPr>
          <w:rFonts w:cstheme="minorHAnsi"/>
        </w:rPr>
        <w:t xml:space="preserve"> (Simmons and Lovegrove, 2005). </w:t>
      </w:r>
      <w:r w:rsidR="003C7BBC">
        <w:rPr>
          <w:rFonts w:cstheme="minorHAnsi"/>
        </w:rPr>
        <w:t xml:space="preserve">There are a variety of </w:t>
      </w:r>
      <w:r w:rsidR="00CE44A9">
        <w:rPr>
          <w:rFonts w:cstheme="minorHAnsi"/>
        </w:rPr>
        <w:t>qualitative</w:t>
      </w:r>
    </w:p>
    <w:p w14:paraId="08E92076" w14:textId="77777777" w:rsidR="00CE44A9" w:rsidRDefault="00CE44A9" w:rsidP="004A16A6">
      <w:pPr>
        <w:spacing w:after="0" w:line="360" w:lineRule="auto"/>
        <w:ind w:left="426" w:hanging="426"/>
        <w:rPr>
          <w:rFonts w:cstheme="minorHAnsi"/>
        </w:rPr>
      </w:pPr>
      <w:r>
        <w:rPr>
          <w:rFonts w:cstheme="minorHAnsi"/>
        </w:rPr>
        <w:t>and quantitative methods</w:t>
      </w:r>
      <w:r w:rsidR="003C7BBC">
        <w:rPr>
          <w:rFonts w:cstheme="minorHAnsi"/>
        </w:rPr>
        <w:t xml:space="preserve"> Kath</w:t>
      </w:r>
      <w:r>
        <w:rPr>
          <w:rFonts w:cstheme="minorHAnsi"/>
        </w:rPr>
        <w:t xml:space="preserve"> </w:t>
      </w:r>
      <w:r w:rsidR="003C7BBC">
        <w:rPr>
          <w:rFonts w:cstheme="minorHAnsi"/>
        </w:rPr>
        <w:t>could choose for consulting and engaging with employees including</w:t>
      </w:r>
    </w:p>
    <w:p w14:paraId="7C99A2F3" w14:textId="77777777" w:rsidR="009E6DE0" w:rsidRDefault="003C7BBC" w:rsidP="004A16A6">
      <w:pPr>
        <w:spacing w:after="0" w:line="360" w:lineRule="auto"/>
        <w:ind w:left="426" w:hanging="426"/>
        <w:rPr>
          <w:rFonts w:cstheme="minorHAnsi"/>
        </w:rPr>
      </w:pPr>
      <w:r>
        <w:rPr>
          <w:rFonts w:cstheme="minorHAnsi"/>
        </w:rPr>
        <w:t xml:space="preserve">focus groups, surveys and one-to-ones. </w:t>
      </w:r>
      <w:r w:rsidR="009E6DE0">
        <w:rPr>
          <w:rFonts w:cstheme="minorHAnsi"/>
        </w:rPr>
        <w:t>An employee survey could provide concrete, specific insights</w:t>
      </w:r>
    </w:p>
    <w:p w14:paraId="213E85B6" w14:textId="77777777" w:rsidR="009E6DE0" w:rsidRDefault="009E6DE0" w:rsidP="004A16A6">
      <w:pPr>
        <w:spacing w:after="0" w:line="360" w:lineRule="auto"/>
        <w:ind w:left="426" w:hanging="426"/>
        <w:rPr>
          <w:rFonts w:cstheme="minorHAnsi"/>
        </w:rPr>
      </w:pPr>
      <w:r>
        <w:rPr>
          <w:rFonts w:cstheme="minorHAnsi"/>
        </w:rPr>
        <w:t>on why turnover has increased that could be actionable for Kath to get some small, ‘quick wins’ form</w:t>
      </w:r>
    </w:p>
    <w:p w14:paraId="02AD5963" w14:textId="77777777" w:rsidR="00A84C53" w:rsidRDefault="009E6DE0" w:rsidP="004A16A6">
      <w:pPr>
        <w:spacing w:after="0" w:line="360" w:lineRule="auto"/>
        <w:ind w:left="426" w:hanging="426"/>
        <w:rPr>
          <w:rFonts w:cstheme="minorHAnsi"/>
        </w:rPr>
      </w:pPr>
      <w:r>
        <w:rPr>
          <w:rFonts w:cstheme="minorHAnsi"/>
        </w:rPr>
        <w:t>(Cholteeva, 2022). Furthermore, if she conducts pulse surveys regularly, she would be able to</w:t>
      </w:r>
    </w:p>
    <w:p w14:paraId="3F3753D1" w14:textId="77777777" w:rsidR="00AB7EB7" w:rsidRDefault="00A84C53" w:rsidP="004A16A6">
      <w:pPr>
        <w:spacing w:after="0" w:line="360" w:lineRule="auto"/>
        <w:ind w:left="426" w:hanging="426"/>
        <w:rPr>
          <w:rFonts w:cstheme="minorHAnsi"/>
        </w:rPr>
      </w:pPr>
      <w:r>
        <w:rPr>
          <w:rFonts w:cstheme="minorHAnsi"/>
        </w:rPr>
        <w:t xml:space="preserve">identify new changes or concerns from employees before they escalate (Cholteeva, 2022). </w:t>
      </w:r>
    </w:p>
    <w:p w14:paraId="6FEA5F66" w14:textId="77777777" w:rsidR="00AB7EB7" w:rsidRDefault="00AB7EB7" w:rsidP="004A16A6">
      <w:pPr>
        <w:spacing w:after="0" w:line="360" w:lineRule="auto"/>
        <w:ind w:left="426" w:hanging="426"/>
        <w:rPr>
          <w:rFonts w:cstheme="minorHAnsi"/>
        </w:rPr>
      </w:pPr>
    </w:p>
    <w:p w14:paraId="2E0532AA" w14:textId="77777777" w:rsidR="00AB7EB7" w:rsidRDefault="005D1A90" w:rsidP="004A16A6">
      <w:pPr>
        <w:spacing w:after="0" w:line="360" w:lineRule="auto"/>
        <w:ind w:left="426" w:hanging="426"/>
        <w:rPr>
          <w:rFonts w:cstheme="minorHAnsi"/>
        </w:rPr>
      </w:pPr>
      <w:r>
        <w:rPr>
          <w:rFonts w:cstheme="minorHAnsi"/>
        </w:rPr>
        <w:t>Following</w:t>
      </w:r>
      <w:r w:rsidR="00AB7EB7">
        <w:rPr>
          <w:rFonts w:cstheme="minorHAnsi"/>
        </w:rPr>
        <w:t xml:space="preserve"> </w:t>
      </w:r>
      <w:r>
        <w:rPr>
          <w:rFonts w:cstheme="minorHAnsi"/>
        </w:rPr>
        <w:t xml:space="preserve">the survey, Kath could facilitate team meetings or focus groups to drill deeper into the </w:t>
      </w:r>
    </w:p>
    <w:p w14:paraId="5E3CA910" w14:textId="77777777" w:rsidR="00AB7EB7" w:rsidRDefault="005D1A90" w:rsidP="004A16A6">
      <w:pPr>
        <w:spacing w:after="0" w:line="360" w:lineRule="auto"/>
        <w:ind w:left="426" w:hanging="426"/>
        <w:rPr>
          <w:rFonts w:cstheme="minorHAnsi"/>
        </w:rPr>
      </w:pPr>
      <w:r>
        <w:rPr>
          <w:rFonts w:cstheme="minorHAnsi"/>
        </w:rPr>
        <w:t>initial insights</w:t>
      </w:r>
      <w:r w:rsidR="00AB7EB7">
        <w:rPr>
          <w:rFonts w:cstheme="minorHAnsi"/>
        </w:rPr>
        <w:t xml:space="preserve"> </w:t>
      </w:r>
      <w:r>
        <w:rPr>
          <w:rFonts w:cstheme="minorHAnsi"/>
        </w:rPr>
        <w:t xml:space="preserve">she gathered and encourage employees to share their views in more detail with her </w:t>
      </w:r>
    </w:p>
    <w:p w14:paraId="585A3710" w14:textId="1C6A00F1" w:rsidR="00AB7EB7" w:rsidRDefault="005D1A90" w:rsidP="004A16A6">
      <w:pPr>
        <w:spacing w:after="0" w:line="360" w:lineRule="auto"/>
        <w:ind w:left="426" w:hanging="426"/>
        <w:rPr>
          <w:rFonts w:cstheme="minorHAnsi"/>
        </w:rPr>
      </w:pPr>
      <w:r>
        <w:rPr>
          <w:rFonts w:cstheme="minorHAnsi"/>
        </w:rPr>
        <w:t>on turnover at</w:t>
      </w:r>
      <w:r w:rsidR="00AB7EB7">
        <w:rPr>
          <w:rFonts w:cstheme="minorHAnsi"/>
        </w:rPr>
        <w:t xml:space="preserve"> </w:t>
      </w:r>
      <w:r w:rsidR="00A22CE6">
        <w:rPr>
          <w:rFonts w:cstheme="minorHAnsi"/>
        </w:rPr>
        <w:t>the care home</w:t>
      </w:r>
      <w:r>
        <w:rPr>
          <w:rFonts w:cstheme="minorHAnsi"/>
        </w:rPr>
        <w:t xml:space="preserve"> </w:t>
      </w:r>
      <w:r w:rsidR="00323B39">
        <w:rPr>
          <w:rFonts w:cstheme="minorHAnsi"/>
        </w:rPr>
        <w:t>(CIPD, 2025</w:t>
      </w:r>
      <w:r w:rsidR="00E06CBD">
        <w:rPr>
          <w:rFonts w:cstheme="minorHAnsi"/>
        </w:rPr>
        <w:t>d</w:t>
      </w:r>
      <w:r w:rsidR="00323B39">
        <w:rPr>
          <w:rFonts w:cstheme="minorHAnsi"/>
        </w:rPr>
        <w:t xml:space="preserve">). Calmere House employees may not feel comfortable </w:t>
      </w:r>
    </w:p>
    <w:p w14:paraId="786C7957" w14:textId="77777777" w:rsidR="00AB7EB7" w:rsidRDefault="00323B39" w:rsidP="004A16A6">
      <w:pPr>
        <w:spacing w:after="0" w:line="360" w:lineRule="auto"/>
        <w:ind w:left="426" w:hanging="426"/>
        <w:rPr>
          <w:rFonts w:cstheme="minorHAnsi"/>
        </w:rPr>
      </w:pPr>
      <w:r>
        <w:rPr>
          <w:rFonts w:cstheme="minorHAnsi"/>
        </w:rPr>
        <w:t>sharing their</w:t>
      </w:r>
      <w:r w:rsidR="00AB7EB7">
        <w:rPr>
          <w:rFonts w:cstheme="minorHAnsi"/>
        </w:rPr>
        <w:t xml:space="preserve"> </w:t>
      </w:r>
      <w:r>
        <w:rPr>
          <w:rFonts w:cstheme="minorHAnsi"/>
        </w:rPr>
        <w:t xml:space="preserve">views in a group setting due to their previous experiences with Kath and the lack of </w:t>
      </w:r>
    </w:p>
    <w:p w14:paraId="533B9D6A" w14:textId="6CD3BD19" w:rsidR="00AB7EB7" w:rsidRDefault="00323B39" w:rsidP="004A16A6">
      <w:pPr>
        <w:spacing w:after="0" w:line="360" w:lineRule="auto"/>
        <w:ind w:left="426" w:hanging="426"/>
        <w:rPr>
          <w:rFonts w:cstheme="minorHAnsi"/>
        </w:rPr>
      </w:pPr>
      <w:r>
        <w:rPr>
          <w:rFonts w:cstheme="minorHAnsi"/>
        </w:rPr>
        <w:t>opportunities for</w:t>
      </w:r>
      <w:r w:rsidR="00AB7EB7">
        <w:rPr>
          <w:rFonts w:cstheme="minorHAnsi"/>
        </w:rPr>
        <w:t xml:space="preserve"> </w:t>
      </w:r>
      <w:r>
        <w:rPr>
          <w:rFonts w:cstheme="minorHAnsi"/>
        </w:rPr>
        <w:t>employee voice thus far, therefore, it may be wise for Kath to also offer one-to-</w:t>
      </w:r>
    </w:p>
    <w:p w14:paraId="65E1C870" w14:textId="0021B017" w:rsidR="00AB7EB7" w:rsidRDefault="00323B39" w:rsidP="004A16A6">
      <w:pPr>
        <w:spacing w:after="0" w:line="360" w:lineRule="auto"/>
        <w:ind w:left="426" w:hanging="426"/>
        <w:rPr>
          <w:rFonts w:cstheme="minorHAnsi"/>
        </w:rPr>
      </w:pPr>
      <w:r>
        <w:rPr>
          <w:rFonts w:cstheme="minorHAnsi"/>
        </w:rPr>
        <w:t>ones for those staff</w:t>
      </w:r>
      <w:r w:rsidR="00AB7EB7">
        <w:rPr>
          <w:rFonts w:cstheme="minorHAnsi"/>
        </w:rPr>
        <w:t xml:space="preserve"> </w:t>
      </w:r>
      <w:r>
        <w:rPr>
          <w:rFonts w:cstheme="minorHAnsi"/>
        </w:rPr>
        <w:t xml:space="preserve">to </w:t>
      </w:r>
      <w:r w:rsidR="00031777">
        <w:rPr>
          <w:rFonts w:cstheme="minorHAnsi"/>
        </w:rPr>
        <w:t>provide</w:t>
      </w:r>
      <w:r>
        <w:rPr>
          <w:rFonts w:cstheme="minorHAnsi"/>
        </w:rPr>
        <w:t xml:space="preserve"> a private, confidential </w:t>
      </w:r>
      <w:r w:rsidR="00D0231E">
        <w:rPr>
          <w:rFonts w:cstheme="minorHAnsi"/>
        </w:rPr>
        <w:t>discussion</w:t>
      </w:r>
      <w:r>
        <w:rPr>
          <w:rFonts w:cstheme="minorHAnsi"/>
        </w:rPr>
        <w:t xml:space="preserve"> where they can comfortably express </w:t>
      </w:r>
    </w:p>
    <w:p w14:paraId="6E43E102" w14:textId="77777777" w:rsidR="00AB7EB7" w:rsidRDefault="00323B39" w:rsidP="004A16A6">
      <w:pPr>
        <w:spacing w:after="0" w:line="360" w:lineRule="auto"/>
        <w:ind w:left="426" w:hanging="426"/>
        <w:rPr>
          <w:rFonts w:cstheme="minorHAnsi"/>
        </w:rPr>
      </w:pPr>
      <w:r>
        <w:rPr>
          <w:rFonts w:cstheme="minorHAnsi"/>
        </w:rPr>
        <w:t>their opinions to her</w:t>
      </w:r>
      <w:r w:rsidR="00AB7EB7">
        <w:rPr>
          <w:rFonts w:cstheme="minorHAnsi"/>
        </w:rPr>
        <w:t xml:space="preserve"> </w:t>
      </w:r>
      <w:r>
        <w:rPr>
          <w:rFonts w:cstheme="minorHAnsi"/>
        </w:rPr>
        <w:t>(Muller-Heyndyk, 2019).</w:t>
      </w:r>
      <w:r w:rsidR="00A317F4">
        <w:rPr>
          <w:rFonts w:cstheme="minorHAnsi"/>
        </w:rPr>
        <w:t xml:space="preserve"> </w:t>
      </w:r>
      <w:r w:rsidR="00273D72">
        <w:rPr>
          <w:rFonts w:cstheme="minorHAnsi"/>
        </w:rPr>
        <w:t>Lastly, f</w:t>
      </w:r>
      <w:r w:rsidR="00A317F4">
        <w:rPr>
          <w:rFonts w:cstheme="minorHAnsi"/>
        </w:rPr>
        <w:t xml:space="preserve">or those employees who have already handed </w:t>
      </w:r>
    </w:p>
    <w:p w14:paraId="3E307FFD" w14:textId="2ABB8655" w:rsidR="00AB7EB7" w:rsidRDefault="00A317F4" w:rsidP="004A16A6">
      <w:pPr>
        <w:spacing w:after="0" w:line="360" w:lineRule="auto"/>
        <w:ind w:left="426" w:hanging="426"/>
        <w:rPr>
          <w:rFonts w:cstheme="minorHAnsi"/>
        </w:rPr>
      </w:pPr>
      <w:r>
        <w:rPr>
          <w:rFonts w:cstheme="minorHAnsi"/>
        </w:rPr>
        <w:t>their notice</w:t>
      </w:r>
      <w:r w:rsidR="005B10D3">
        <w:rPr>
          <w:rFonts w:cstheme="minorHAnsi"/>
        </w:rPr>
        <w:t>s</w:t>
      </w:r>
      <w:r>
        <w:rPr>
          <w:rFonts w:cstheme="minorHAnsi"/>
        </w:rPr>
        <w:t xml:space="preserve"> in, exit</w:t>
      </w:r>
      <w:r w:rsidR="00AB7EB7">
        <w:rPr>
          <w:rFonts w:cstheme="minorHAnsi"/>
        </w:rPr>
        <w:t xml:space="preserve"> </w:t>
      </w:r>
      <w:r>
        <w:rPr>
          <w:rFonts w:cstheme="minorHAnsi"/>
        </w:rPr>
        <w:t xml:space="preserve">interviews would be a useful tool for Kath to ascertain the main reasons behind </w:t>
      </w:r>
    </w:p>
    <w:p w14:paraId="136F8D98" w14:textId="77777777" w:rsidR="00AB7EB7" w:rsidRDefault="00A317F4" w:rsidP="004A16A6">
      <w:pPr>
        <w:spacing w:after="0" w:line="360" w:lineRule="auto"/>
        <w:ind w:left="426" w:hanging="426"/>
        <w:rPr>
          <w:rFonts w:cstheme="minorHAnsi"/>
        </w:rPr>
      </w:pPr>
      <w:r>
        <w:rPr>
          <w:rFonts w:cstheme="minorHAnsi"/>
        </w:rPr>
        <w:t>resignations and</w:t>
      </w:r>
      <w:r w:rsidR="00AB7EB7">
        <w:rPr>
          <w:rFonts w:cstheme="minorHAnsi"/>
        </w:rPr>
        <w:t xml:space="preserve"> </w:t>
      </w:r>
      <w:r>
        <w:rPr>
          <w:rFonts w:cstheme="minorHAnsi"/>
        </w:rPr>
        <w:t xml:space="preserve">examine how these link to the issues raised in the surveys and focus groups </w:t>
      </w:r>
    </w:p>
    <w:p w14:paraId="50E17189" w14:textId="277A7F9B" w:rsidR="004B6145" w:rsidRDefault="00A317F4" w:rsidP="004B6145">
      <w:pPr>
        <w:spacing w:after="0" w:line="360" w:lineRule="auto"/>
        <w:ind w:left="426" w:hanging="426"/>
        <w:rPr>
          <w:rFonts w:cstheme="minorHAnsi"/>
        </w:rPr>
      </w:pPr>
      <w:r>
        <w:rPr>
          <w:rFonts w:cstheme="minorHAnsi"/>
        </w:rPr>
        <w:t>(Macafee, 2007).</w:t>
      </w:r>
    </w:p>
    <w:p w14:paraId="1C9C70C8" w14:textId="0DB76D1C" w:rsidR="001F73DE" w:rsidRDefault="006152A8" w:rsidP="004B6145">
      <w:pPr>
        <w:spacing w:after="0" w:line="360" w:lineRule="auto"/>
        <w:ind w:left="426" w:hanging="426"/>
        <w:rPr>
          <w:rFonts w:cstheme="minorHAnsi"/>
        </w:rPr>
      </w:pPr>
      <w:r>
        <w:rPr>
          <w:rFonts w:cstheme="minorHAnsi"/>
        </w:rPr>
        <w:lastRenderedPageBreak/>
        <w:t>References</w:t>
      </w:r>
    </w:p>
    <w:p w14:paraId="1DFFB0B0" w14:textId="657B2222" w:rsidR="00E24820" w:rsidRDefault="00E24820" w:rsidP="004A16A6">
      <w:pPr>
        <w:pStyle w:val="NoSpacing"/>
        <w:spacing w:line="360" w:lineRule="auto"/>
      </w:pPr>
    </w:p>
    <w:p w14:paraId="127FD51C" w14:textId="7BC63B96" w:rsidR="009005E6" w:rsidRPr="009005E6" w:rsidRDefault="009005E6" w:rsidP="004A16A6">
      <w:pPr>
        <w:shd w:val="clear" w:color="auto" w:fill="FFFFFF"/>
        <w:spacing w:line="360" w:lineRule="auto"/>
      </w:pPr>
      <w:r>
        <w:t>Acas. (2025)</w:t>
      </w:r>
      <w:r>
        <w:rPr>
          <w:i/>
          <w:iCs/>
        </w:rPr>
        <w:t xml:space="preserve"> Managing work-related stress: Causes and signs of stress. </w:t>
      </w:r>
      <w:r>
        <w:t xml:space="preserve">Available at: </w:t>
      </w:r>
      <w:hyperlink r:id="rId4" w:history="1">
        <w:r w:rsidRPr="00396A99">
          <w:rPr>
            <w:rStyle w:val="Hyperlink"/>
          </w:rPr>
          <w:t>https://www.acas.org.uk/managing-work-related-stress</w:t>
        </w:r>
      </w:hyperlink>
      <w:r>
        <w:rPr>
          <w:rStyle w:val="Hyperlink"/>
        </w:rPr>
        <w:t xml:space="preserve"> </w:t>
      </w:r>
      <w:r w:rsidRPr="009005E6">
        <w:rPr>
          <w:rStyle w:val="Hyperlink"/>
          <w:color w:val="auto"/>
          <w:u w:val="none"/>
        </w:rPr>
        <w:t>(Accessed: 15 November 2025).</w:t>
      </w:r>
    </w:p>
    <w:p w14:paraId="61B27179" w14:textId="2BC5C8A8" w:rsidR="008E550E" w:rsidRDefault="00E24820" w:rsidP="004A16A6">
      <w:pPr>
        <w:pStyle w:val="NoSpacing"/>
        <w:spacing w:line="360" w:lineRule="auto"/>
        <w:rPr>
          <w:rFonts w:cstheme="minorHAnsi"/>
        </w:rPr>
      </w:pPr>
      <w:r>
        <w:t xml:space="preserve">Alfes, K., Shantz, A. and Alahakone, R. (2016) ‘Testing additive versus interactive effects of person-organization fit and organizational trust on engagement and performance’, </w:t>
      </w:r>
      <w:r>
        <w:rPr>
          <w:i/>
          <w:iCs/>
        </w:rPr>
        <w:t xml:space="preserve">Personnel Review, </w:t>
      </w:r>
      <w:r>
        <w:t xml:space="preserve">45(6), pp. 1323-1339. Available at: </w:t>
      </w:r>
      <w:hyperlink r:id="rId5" w:history="1">
        <w:r w:rsidR="008E550E" w:rsidRPr="00024908">
          <w:rPr>
            <w:rStyle w:val="Hyperlink"/>
          </w:rPr>
          <w:t>https://doi.org/10.1108/PR-02-2015-0029</w:t>
        </w:r>
      </w:hyperlink>
    </w:p>
    <w:p w14:paraId="34C7C1EC" w14:textId="3ABA75D0" w:rsidR="001F73DE" w:rsidRPr="008E550E" w:rsidRDefault="001F73DE" w:rsidP="004A16A6">
      <w:pPr>
        <w:pStyle w:val="NoSpacing"/>
        <w:spacing w:line="360" w:lineRule="auto"/>
        <w:rPr>
          <w:rFonts w:cstheme="minorHAnsi"/>
        </w:rPr>
      </w:pPr>
      <w:r>
        <w:t>Armstrong, M. (2012) Armstrong’s handbook of strategic human resource management. 5</w:t>
      </w:r>
      <w:r w:rsidRPr="001F73DE">
        <w:rPr>
          <w:vertAlign w:val="superscript"/>
        </w:rPr>
        <w:t>th</w:t>
      </w:r>
      <w:r>
        <w:t xml:space="preserve"> edn.</w:t>
      </w:r>
    </w:p>
    <w:p w14:paraId="26C4895F" w14:textId="58C866E5" w:rsidR="001F73DE" w:rsidRDefault="001F73DE" w:rsidP="004A16A6">
      <w:pPr>
        <w:pStyle w:val="NoSpacing"/>
        <w:spacing w:line="360" w:lineRule="auto"/>
      </w:pPr>
      <w:r>
        <w:t>Kogan Page.</w:t>
      </w:r>
    </w:p>
    <w:p w14:paraId="1B204E3D" w14:textId="49CCF469" w:rsidR="00907413" w:rsidRDefault="00907413" w:rsidP="004A16A6">
      <w:pPr>
        <w:shd w:val="clear" w:color="auto" w:fill="FFFFFF"/>
        <w:spacing w:line="360" w:lineRule="auto"/>
      </w:pPr>
      <w:r w:rsidRPr="005343E2">
        <w:t xml:space="preserve">Ali, L. (2024) </w:t>
      </w:r>
      <w:r>
        <w:rPr>
          <w:i/>
          <w:iCs/>
        </w:rPr>
        <w:t xml:space="preserve">Equality, diversity and inclusion (EDI) in the workplace. </w:t>
      </w:r>
      <w:r>
        <w:t xml:space="preserve">Available at: </w:t>
      </w:r>
      <w:hyperlink r:id="rId6" w:history="1">
        <w:r w:rsidRPr="00024908">
          <w:rPr>
            <w:rStyle w:val="Hyperlink"/>
          </w:rPr>
          <w:t>https://www.cipd.org/uk/knowledge/factsheets/diversity-factsheet/</w:t>
        </w:r>
      </w:hyperlink>
      <w:r>
        <w:t xml:space="preserve"> (Accessed: 16 November 2025). </w:t>
      </w:r>
    </w:p>
    <w:p w14:paraId="56C94C7D" w14:textId="0AA5C34C" w:rsidR="003F4A16" w:rsidRPr="00A53E56" w:rsidRDefault="003F4A16" w:rsidP="004A16A6">
      <w:pPr>
        <w:shd w:val="clear" w:color="auto" w:fill="FFFFFF"/>
        <w:spacing w:line="360" w:lineRule="auto"/>
        <w:rPr>
          <w:rFonts w:cstheme="minorHAnsi"/>
        </w:rPr>
      </w:pPr>
      <w:r w:rsidRPr="00A53E56">
        <w:rPr>
          <w:rFonts w:cstheme="minorHAnsi"/>
        </w:rPr>
        <w:t xml:space="preserve">Armstrong, M. and Taylor, S. (2023) </w:t>
      </w:r>
      <w:r w:rsidRPr="00A53E56">
        <w:rPr>
          <w:rFonts w:cstheme="minorHAnsi"/>
          <w:i/>
          <w:iCs/>
        </w:rPr>
        <w:t>Armstrong's Handbook of Human Resource Management Practice: A Guide to the Theory and Practice of People Management.</w:t>
      </w:r>
      <w:r w:rsidRPr="00A53E56">
        <w:rPr>
          <w:rFonts w:cstheme="minorHAnsi"/>
        </w:rPr>
        <w:t> 16</w:t>
      </w:r>
      <w:r w:rsidRPr="00A53E56">
        <w:rPr>
          <w:rFonts w:cstheme="minorHAnsi"/>
          <w:vertAlign w:val="superscript"/>
        </w:rPr>
        <w:t>th</w:t>
      </w:r>
      <w:r w:rsidRPr="00A53E56">
        <w:rPr>
          <w:rFonts w:cstheme="minorHAnsi"/>
        </w:rPr>
        <w:t xml:space="preserve"> edn. Kogan Page.</w:t>
      </w:r>
    </w:p>
    <w:p w14:paraId="37BC1A28" w14:textId="435B757E" w:rsidR="008E550E" w:rsidRDefault="008E550E" w:rsidP="004A16A6">
      <w:pPr>
        <w:shd w:val="clear" w:color="auto" w:fill="FFFFFF"/>
        <w:spacing w:line="360" w:lineRule="auto"/>
      </w:pPr>
      <w:r w:rsidRPr="005343E2">
        <w:t>Ayling, L. and Suff, R. (2025)</w:t>
      </w:r>
      <w:r>
        <w:rPr>
          <w:i/>
          <w:iCs/>
        </w:rPr>
        <w:t xml:space="preserve"> Employee relations: An introduction. </w:t>
      </w:r>
      <w:r>
        <w:t>Available at:</w:t>
      </w:r>
      <w:r w:rsidRPr="005343E2">
        <w:t xml:space="preserve"> </w:t>
      </w:r>
      <w:hyperlink r:id="rId7" w:history="1">
        <w:r w:rsidRPr="005343E2">
          <w:rPr>
            <w:rStyle w:val="Hyperlink"/>
          </w:rPr>
          <w:t>https://www.cipd.org/uk/knowledge/factsheets/relations-employees-factsheet/</w:t>
        </w:r>
      </w:hyperlink>
      <w:r>
        <w:rPr>
          <w:rStyle w:val="Hyperlink"/>
        </w:rPr>
        <w:t xml:space="preserve"> </w:t>
      </w:r>
      <w:r w:rsidRPr="008E550E">
        <w:rPr>
          <w:rStyle w:val="Hyperlink"/>
          <w:color w:val="auto"/>
          <w:u w:val="none"/>
        </w:rPr>
        <w:t>(Accessed: 16 November 2025).</w:t>
      </w:r>
    </w:p>
    <w:p w14:paraId="056AFB5C" w14:textId="7D228B84" w:rsidR="001F73DE" w:rsidRDefault="001F73DE" w:rsidP="004A16A6">
      <w:pPr>
        <w:pStyle w:val="NoSpacing"/>
        <w:spacing w:line="360" w:lineRule="auto"/>
        <w:rPr>
          <w:rStyle w:val="anchor-text"/>
          <w:rFonts w:cstheme="minorHAnsi"/>
        </w:rPr>
      </w:pPr>
      <w:r>
        <w:t>Baker, S., Waycott, J., Robertson, E., Carrasco, R., Neves, B., Hampson, R. and Vetere, F. (2020) ‘</w:t>
      </w:r>
      <w:r w:rsidRPr="001F73DE">
        <w:t>Evaluating the use of interactive virtual reality technology with older adults living in residential aged care</w:t>
      </w:r>
      <w:r>
        <w:t>’,</w:t>
      </w:r>
      <w:r w:rsidRPr="001F73DE">
        <w:t xml:space="preserve"> </w:t>
      </w:r>
      <w:r w:rsidRPr="001F73DE">
        <w:rPr>
          <w:i/>
          <w:iCs/>
        </w:rPr>
        <w:t>Information Processing &amp; Management</w:t>
      </w:r>
      <w:r w:rsidRPr="001F73DE">
        <w:t xml:space="preserve"> 57(3)</w:t>
      </w:r>
      <w:r>
        <w:t xml:space="preserve">, pp. 102-105. Available at: </w:t>
      </w:r>
      <w:hyperlink r:id="rId8" w:history="1">
        <w:r w:rsidRPr="00B13CC9">
          <w:rPr>
            <w:rStyle w:val="Hyperlink"/>
            <w:rFonts w:cstheme="minorHAnsi"/>
          </w:rPr>
          <w:t>https://doi.org/10.1016/j.ipm.2019.102105</w:t>
        </w:r>
      </w:hyperlink>
    </w:p>
    <w:p w14:paraId="770B6D8C" w14:textId="211F9FD2" w:rsidR="00B13CC9" w:rsidRDefault="00B13CC9" w:rsidP="004A16A6">
      <w:pPr>
        <w:spacing w:line="360" w:lineRule="auto"/>
        <w:rPr>
          <w:rStyle w:val="Hyperlink"/>
          <w:color w:val="auto"/>
          <w:u w:val="none"/>
        </w:rPr>
      </w:pPr>
      <w:r w:rsidRPr="00A13D21">
        <w:t xml:space="preserve">Balogun, J. and Hailey, V. (2014) </w:t>
      </w:r>
      <w:r>
        <w:rPr>
          <w:i/>
          <w:iCs/>
        </w:rPr>
        <w:t xml:space="preserve">Landing transformational change. </w:t>
      </w:r>
      <w:r>
        <w:t xml:space="preserve">Available at: </w:t>
      </w:r>
      <w:hyperlink r:id="rId9" w:history="1">
        <w:r w:rsidRPr="00A13D21">
          <w:rPr>
            <w:rStyle w:val="Hyperlink"/>
          </w:rPr>
          <w:t>https://www.cipd.org/globalassets/media/knowledge/knowledge-hub/reports/2014-landing-transformational-change_2014_tcm18-16180.pdf</w:t>
        </w:r>
      </w:hyperlink>
      <w:r>
        <w:rPr>
          <w:rStyle w:val="Hyperlink"/>
        </w:rPr>
        <w:t xml:space="preserve"> </w:t>
      </w:r>
      <w:r w:rsidRPr="00B13CC9">
        <w:rPr>
          <w:rStyle w:val="Hyperlink"/>
          <w:color w:val="auto"/>
          <w:u w:val="none"/>
        </w:rPr>
        <w:t>(Accessed: 15 November 2025).</w:t>
      </w:r>
    </w:p>
    <w:p w14:paraId="044C6E46" w14:textId="415EACEC" w:rsidR="004A5256" w:rsidRDefault="004A5256" w:rsidP="004A16A6">
      <w:pPr>
        <w:spacing w:line="360" w:lineRule="auto"/>
        <w:rPr>
          <w:rStyle w:val="Hyperlink"/>
          <w:color w:val="auto"/>
          <w:u w:val="none"/>
        </w:rPr>
      </w:pPr>
      <w:r>
        <w:rPr>
          <w:rStyle w:val="Hyperlink"/>
          <w:color w:val="auto"/>
          <w:u w:val="none"/>
        </w:rPr>
        <w:t xml:space="preserve">Bessant, H. and Whiting, F. (2025) </w:t>
      </w:r>
      <w:r>
        <w:rPr>
          <w:rStyle w:val="Hyperlink"/>
          <w:i/>
          <w:iCs/>
          <w:color w:val="auto"/>
          <w:u w:val="none"/>
        </w:rPr>
        <w:t xml:space="preserve">Human Resource Practice. </w:t>
      </w:r>
      <w:r>
        <w:rPr>
          <w:rStyle w:val="Hyperlink"/>
          <w:color w:val="auto"/>
          <w:u w:val="none"/>
        </w:rPr>
        <w:t>9</w:t>
      </w:r>
      <w:r w:rsidRPr="004A5256">
        <w:rPr>
          <w:rStyle w:val="Hyperlink"/>
          <w:color w:val="auto"/>
          <w:u w:val="none"/>
          <w:vertAlign w:val="superscript"/>
        </w:rPr>
        <w:t>th</w:t>
      </w:r>
      <w:r>
        <w:rPr>
          <w:rStyle w:val="Hyperlink"/>
          <w:color w:val="auto"/>
          <w:u w:val="none"/>
        </w:rPr>
        <w:t xml:space="preserve"> edn. Kogan Page.</w:t>
      </w:r>
    </w:p>
    <w:p w14:paraId="681CC2EE" w14:textId="6258818B" w:rsidR="00402A81" w:rsidRPr="004A5256" w:rsidRDefault="00402A81" w:rsidP="004A16A6">
      <w:pPr>
        <w:shd w:val="clear" w:color="auto" w:fill="FFFFFF"/>
        <w:spacing w:line="360" w:lineRule="auto"/>
      </w:pPr>
      <w:r w:rsidRPr="005343E2">
        <w:t xml:space="preserve">Bosley, A. and Gifford, J. (2023) </w:t>
      </w:r>
      <w:r w:rsidRPr="00402A81">
        <w:rPr>
          <w:i/>
          <w:iCs/>
        </w:rPr>
        <w:t>Effective people managers: An evidence review. Practice summary and recommendations.</w:t>
      </w:r>
      <w:r w:rsidRPr="005343E2">
        <w:t xml:space="preserve"> Chartered Institute of Personnel and Development.</w:t>
      </w:r>
    </w:p>
    <w:p w14:paraId="3CACE9BE" w14:textId="4ED86157" w:rsidR="001F73DE" w:rsidRDefault="001F73DE" w:rsidP="004A16A6">
      <w:pPr>
        <w:pStyle w:val="NoSpacing"/>
        <w:spacing w:line="360" w:lineRule="auto"/>
      </w:pPr>
      <w:r>
        <w:t>Buchanan, D. and Huczynski, A. (2023) Organizational behaviour. 11</w:t>
      </w:r>
      <w:r w:rsidRPr="001F73DE">
        <w:rPr>
          <w:vertAlign w:val="superscript"/>
        </w:rPr>
        <w:t>th</w:t>
      </w:r>
      <w:r>
        <w:t xml:space="preserve"> edn. Pearson.</w:t>
      </w:r>
    </w:p>
    <w:p w14:paraId="4B3E9AD1" w14:textId="77777777" w:rsidR="001F73DE" w:rsidRDefault="00B73A96" w:rsidP="004A16A6">
      <w:pPr>
        <w:pStyle w:val="NoSpacing"/>
        <w:spacing w:line="360" w:lineRule="auto"/>
        <w:rPr>
          <w:i/>
          <w:iCs/>
          <w:color w:val="000000"/>
          <w:shd w:val="clear" w:color="auto" w:fill="FFFFFF"/>
        </w:rPr>
      </w:pPr>
      <w:r w:rsidRPr="00B73A96">
        <w:rPr>
          <w:color w:val="000000"/>
          <w:shd w:val="clear" w:color="auto" w:fill="FFFFFF"/>
        </w:rPr>
        <w:t xml:space="preserve">Care England (2024) </w:t>
      </w:r>
      <w:r w:rsidRPr="00B73A96">
        <w:rPr>
          <w:i/>
          <w:iCs/>
          <w:color w:val="000000"/>
          <w:shd w:val="clear" w:color="auto" w:fill="FFFFFF"/>
        </w:rPr>
        <w:t>Sector Pulse Check: A snapshot of finances and the workforce in the adult social</w:t>
      </w:r>
    </w:p>
    <w:p w14:paraId="084291DA" w14:textId="2CDBBA54" w:rsidR="001F73DE" w:rsidRPr="001F73DE" w:rsidRDefault="00B73A96" w:rsidP="004A16A6">
      <w:pPr>
        <w:pStyle w:val="NoSpacing"/>
        <w:spacing w:line="360" w:lineRule="auto"/>
        <w:rPr>
          <w:rStyle w:val="Hyperlink"/>
          <w:rFonts w:cstheme="minorHAnsi"/>
          <w:shd w:val="clear" w:color="auto" w:fill="FFFFFF"/>
        </w:rPr>
      </w:pPr>
      <w:r w:rsidRPr="00B73A96">
        <w:rPr>
          <w:i/>
          <w:iCs/>
          <w:color w:val="000000"/>
          <w:shd w:val="clear" w:color="auto" w:fill="FFFFFF"/>
        </w:rPr>
        <w:t>care sector in 2023.</w:t>
      </w:r>
      <w:r w:rsidRPr="00B73A96">
        <w:rPr>
          <w:color w:val="000000"/>
          <w:shd w:val="clear" w:color="auto" w:fill="FFFFFF"/>
        </w:rPr>
        <w:t xml:space="preserve"> </w:t>
      </w:r>
      <w:r>
        <w:rPr>
          <w:color w:val="000000"/>
          <w:shd w:val="clear" w:color="auto" w:fill="FFFFFF"/>
        </w:rPr>
        <w:t xml:space="preserve">Available at: </w:t>
      </w:r>
      <w:r w:rsidR="001F73DE">
        <w:rPr>
          <w:shd w:val="clear" w:color="auto" w:fill="FFFFFF"/>
        </w:rPr>
        <w:fldChar w:fldCharType="begin"/>
      </w:r>
      <w:r w:rsidR="001F73DE">
        <w:rPr>
          <w:shd w:val="clear" w:color="auto" w:fill="FFFFFF"/>
        </w:rPr>
        <w:instrText xml:space="preserve"> HYPERLINK "https://www.careengland.org.uk/wpcontent/uploads/2024/01/Hft" </w:instrText>
      </w:r>
      <w:r w:rsidR="001F73DE">
        <w:rPr>
          <w:shd w:val="clear" w:color="auto" w:fill="FFFFFF"/>
        </w:rPr>
        <w:fldChar w:fldCharType="separate"/>
      </w:r>
      <w:r w:rsidR="001F73DE" w:rsidRPr="001F73DE">
        <w:rPr>
          <w:rStyle w:val="Hyperlink"/>
          <w:rFonts w:cstheme="minorHAnsi"/>
          <w:shd w:val="clear" w:color="auto" w:fill="FFFFFF"/>
        </w:rPr>
        <w:t>https://www.careengland.org.uk/wpcontent/uploads/2024/01/Hft</w:t>
      </w:r>
    </w:p>
    <w:p w14:paraId="7B8C7EB9" w14:textId="77777777" w:rsidR="001F73DE" w:rsidRDefault="00B73A96" w:rsidP="004A16A6">
      <w:pPr>
        <w:pStyle w:val="NoSpacing"/>
        <w:spacing w:line="360" w:lineRule="auto"/>
        <w:rPr>
          <w:rFonts w:eastAsia="Times New Roman"/>
          <w:lang w:eastAsia="en-GB"/>
        </w:rPr>
      </w:pPr>
      <w:r w:rsidRPr="001F73DE">
        <w:rPr>
          <w:rStyle w:val="Hyperlink"/>
          <w:rFonts w:cstheme="minorHAnsi"/>
          <w:shd w:val="clear" w:color="auto" w:fill="FFFFFF"/>
        </w:rPr>
        <w:t>Sector-Pulse-Check-2023-Digital-Singles.pdf</w:t>
      </w:r>
      <w:r w:rsidR="001F73DE">
        <w:rPr>
          <w:shd w:val="clear" w:color="auto" w:fill="FFFFFF"/>
        </w:rPr>
        <w:fldChar w:fldCharType="end"/>
      </w:r>
      <w:r w:rsidRPr="00B73A96">
        <w:rPr>
          <w:color w:val="000000"/>
          <w:shd w:val="clear" w:color="auto" w:fill="FFFFFF"/>
        </w:rPr>
        <w:t xml:space="preserve"> </w:t>
      </w:r>
      <w:r>
        <w:rPr>
          <w:color w:val="000000"/>
          <w:shd w:val="clear" w:color="auto" w:fill="FFFFFF"/>
        </w:rPr>
        <w:t>(</w:t>
      </w:r>
      <w:r w:rsidRPr="00B73A96">
        <w:rPr>
          <w:rFonts w:eastAsia="Times New Roman"/>
          <w:lang w:eastAsia="en-GB"/>
        </w:rPr>
        <w:t>Accessed: 19 October 2025).</w:t>
      </w:r>
    </w:p>
    <w:p w14:paraId="230B40EA" w14:textId="77777777" w:rsidR="001F73DE" w:rsidRDefault="00313096" w:rsidP="004A16A6">
      <w:pPr>
        <w:pStyle w:val="NoSpacing"/>
        <w:spacing w:line="360" w:lineRule="auto"/>
        <w:rPr>
          <w:i/>
          <w:iCs/>
          <w:color w:val="1B1B1B"/>
          <w:shd w:val="clear" w:color="auto" w:fill="FFFFFF"/>
        </w:rPr>
      </w:pPr>
      <w:r w:rsidRPr="00313096">
        <w:rPr>
          <w:color w:val="1B1B1B"/>
          <w:shd w:val="clear" w:color="auto" w:fill="FFFFFF"/>
        </w:rPr>
        <w:t>C</w:t>
      </w:r>
      <w:r>
        <w:rPr>
          <w:color w:val="1B1B1B"/>
          <w:shd w:val="clear" w:color="auto" w:fill="FFFFFF"/>
        </w:rPr>
        <w:t xml:space="preserve">are </w:t>
      </w:r>
      <w:r w:rsidRPr="00313096">
        <w:rPr>
          <w:color w:val="1B1B1B"/>
          <w:shd w:val="clear" w:color="auto" w:fill="FFFFFF"/>
        </w:rPr>
        <w:t>Q</w:t>
      </w:r>
      <w:r>
        <w:rPr>
          <w:color w:val="1B1B1B"/>
          <w:shd w:val="clear" w:color="auto" w:fill="FFFFFF"/>
        </w:rPr>
        <w:t xml:space="preserve">uality </w:t>
      </w:r>
      <w:r w:rsidRPr="00313096">
        <w:rPr>
          <w:color w:val="1B1B1B"/>
          <w:shd w:val="clear" w:color="auto" w:fill="FFFFFF"/>
        </w:rPr>
        <w:t>C</w:t>
      </w:r>
      <w:r>
        <w:rPr>
          <w:color w:val="1B1B1B"/>
          <w:shd w:val="clear" w:color="auto" w:fill="FFFFFF"/>
        </w:rPr>
        <w:t>ommission.</w:t>
      </w:r>
      <w:r w:rsidRPr="00313096">
        <w:rPr>
          <w:color w:val="1B1B1B"/>
          <w:shd w:val="clear" w:color="auto" w:fill="FFFFFF"/>
        </w:rPr>
        <w:t xml:space="preserve"> (2023) </w:t>
      </w:r>
      <w:r>
        <w:rPr>
          <w:i/>
          <w:iCs/>
          <w:color w:val="1B1B1B"/>
          <w:shd w:val="clear" w:color="auto" w:fill="FFFFFF"/>
        </w:rPr>
        <w:t xml:space="preserve">Digital record systems: achieving good outcomes for people using </w:t>
      </w:r>
    </w:p>
    <w:p w14:paraId="15A00A89" w14:textId="6C6D0B59" w:rsidR="001F73DE" w:rsidRDefault="00313096" w:rsidP="004A16A6">
      <w:pPr>
        <w:pStyle w:val="NoSpacing"/>
        <w:spacing w:line="360" w:lineRule="auto"/>
        <w:rPr>
          <w:shd w:val="clear" w:color="auto" w:fill="FFFFFF"/>
        </w:rPr>
      </w:pPr>
      <w:r>
        <w:rPr>
          <w:i/>
          <w:iCs/>
          <w:color w:val="1B1B1B"/>
          <w:shd w:val="clear" w:color="auto" w:fill="FFFFFF"/>
        </w:rPr>
        <w:lastRenderedPageBreak/>
        <w:t xml:space="preserve">adult social care services. </w:t>
      </w:r>
      <w:r>
        <w:rPr>
          <w:color w:val="1B1B1B"/>
          <w:shd w:val="clear" w:color="auto" w:fill="FFFFFF"/>
        </w:rPr>
        <w:t xml:space="preserve">Available at: </w:t>
      </w:r>
      <w:hyperlink r:id="rId10" w:history="1">
        <w:r w:rsidR="001F73DE" w:rsidRPr="00024908">
          <w:rPr>
            <w:rStyle w:val="Hyperlink"/>
            <w:rFonts w:cstheme="minorHAnsi"/>
            <w:shd w:val="clear" w:color="auto" w:fill="FFFFFF"/>
          </w:rPr>
          <w:t>https://www.cqc.org.uk/guidance-providers/adult-social-</w:t>
        </w:r>
      </w:hyperlink>
    </w:p>
    <w:p w14:paraId="285EB328" w14:textId="77777777" w:rsidR="001F73DE" w:rsidRDefault="001F73DE" w:rsidP="004A16A6">
      <w:pPr>
        <w:pStyle w:val="NoSpacing"/>
        <w:spacing w:line="360" w:lineRule="auto"/>
        <w:rPr>
          <w:color w:val="1B1B1B"/>
          <w:shd w:val="clear" w:color="auto" w:fill="FFFFFF"/>
        </w:rPr>
      </w:pPr>
      <w:r w:rsidRPr="001F73DE">
        <w:rPr>
          <w:shd w:val="clear" w:color="auto" w:fill="FFFFFF"/>
        </w:rPr>
        <w:t>care/digital-record-systems-adult-social-care-services/benefits-good-digital-records-system</w:t>
      </w:r>
      <w:r w:rsidR="00313096" w:rsidRPr="00313096">
        <w:rPr>
          <w:color w:val="1B1B1B"/>
          <w:shd w:val="clear" w:color="auto" w:fill="FFFFFF"/>
        </w:rPr>
        <w:t xml:space="preserve"> </w:t>
      </w:r>
    </w:p>
    <w:p w14:paraId="3C9127E2" w14:textId="77777777" w:rsidR="001F73DE" w:rsidRDefault="00313096" w:rsidP="004A16A6">
      <w:pPr>
        <w:pStyle w:val="NoSpacing"/>
        <w:spacing w:line="360" w:lineRule="auto"/>
        <w:rPr>
          <w:color w:val="1B1B1B"/>
          <w:shd w:val="clear" w:color="auto" w:fill="FFFFFF"/>
        </w:rPr>
      </w:pPr>
      <w:r w:rsidRPr="00313096">
        <w:rPr>
          <w:color w:val="1B1B1B"/>
          <w:shd w:val="clear" w:color="auto" w:fill="FFFFFF"/>
        </w:rPr>
        <w:t>(Accessed: 8 November 2025)</w:t>
      </w:r>
      <w:r w:rsidR="00B73A96">
        <w:rPr>
          <w:color w:val="1B1B1B"/>
          <w:shd w:val="clear" w:color="auto" w:fill="FFFFFF"/>
        </w:rPr>
        <w:t>.</w:t>
      </w:r>
    </w:p>
    <w:p w14:paraId="422D1781" w14:textId="77777777" w:rsidR="001F73DE" w:rsidRDefault="001F73DE" w:rsidP="004A16A6">
      <w:pPr>
        <w:pStyle w:val="NoSpacing"/>
        <w:spacing w:line="360" w:lineRule="auto"/>
        <w:rPr>
          <w:i/>
          <w:iCs/>
        </w:rPr>
      </w:pPr>
      <w:r w:rsidRPr="00B73A96">
        <w:t>Care Quality Commission (2024)</w:t>
      </w:r>
      <w:r>
        <w:t>.</w:t>
      </w:r>
      <w:r w:rsidRPr="00B73A96">
        <w:t xml:space="preserve"> </w:t>
      </w:r>
      <w:r w:rsidRPr="00B73A96">
        <w:rPr>
          <w:i/>
          <w:iCs/>
        </w:rPr>
        <w:t xml:space="preserve">The state of health care and adult social care in England 2023/24. </w:t>
      </w:r>
    </w:p>
    <w:p w14:paraId="2689FEFE" w14:textId="77777777" w:rsidR="001F73DE" w:rsidRDefault="001F73DE" w:rsidP="004A16A6">
      <w:pPr>
        <w:pStyle w:val="NoSpacing"/>
        <w:spacing w:line="360" w:lineRule="auto"/>
      </w:pPr>
      <w:r>
        <w:t xml:space="preserve">Available at: </w:t>
      </w:r>
      <w:hyperlink r:id="rId11" w:history="1">
        <w:r w:rsidRPr="00B73A96">
          <w:rPr>
            <w:rStyle w:val="Hyperlink"/>
            <w:rFonts w:cstheme="minorHAnsi"/>
          </w:rPr>
          <w:t>https://www.cqc.org.uk/publications/major-report/state-care/2023-2024/access/asc</w:t>
        </w:r>
      </w:hyperlink>
      <w:r>
        <w:t xml:space="preserve"> </w:t>
      </w:r>
    </w:p>
    <w:p w14:paraId="55BE8E38" w14:textId="067A2C53" w:rsidR="001F73DE" w:rsidRDefault="001F73DE" w:rsidP="004A16A6">
      <w:pPr>
        <w:pStyle w:val="NoSpacing"/>
        <w:spacing w:line="360" w:lineRule="auto"/>
      </w:pPr>
      <w:r w:rsidRPr="00B73A96">
        <w:t>(Accessed: 8 November 2025</w:t>
      </w:r>
      <w:r>
        <w:t>).</w:t>
      </w:r>
    </w:p>
    <w:p w14:paraId="24F5A5AA" w14:textId="52946214" w:rsidR="009176CA" w:rsidRDefault="009176CA" w:rsidP="004A16A6">
      <w:pPr>
        <w:pStyle w:val="NoSpacing"/>
        <w:spacing w:line="360" w:lineRule="auto"/>
        <w:rPr>
          <w:rFonts w:cstheme="minorHAnsi"/>
          <w:shd w:val="clear" w:color="auto" w:fill="FFFFFF"/>
        </w:rPr>
      </w:pPr>
      <w:r w:rsidRPr="009176CA">
        <w:rPr>
          <w:rFonts w:cstheme="minorHAnsi"/>
          <w:color w:val="222222"/>
          <w:shd w:val="clear" w:color="auto" w:fill="FFFFFF"/>
        </w:rPr>
        <w:t xml:space="preserve">Carey-Smith, B., Evans, N. and Orpwood, R. </w:t>
      </w:r>
      <w:r>
        <w:rPr>
          <w:rFonts w:cstheme="minorHAnsi"/>
          <w:color w:val="222222"/>
          <w:shd w:val="clear" w:color="auto" w:fill="FFFFFF"/>
        </w:rPr>
        <w:t>(</w:t>
      </w:r>
      <w:r w:rsidRPr="009176CA">
        <w:rPr>
          <w:rFonts w:cstheme="minorHAnsi"/>
          <w:color w:val="222222"/>
          <w:shd w:val="clear" w:color="auto" w:fill="FFFFFF"/>
        </w:rPr>
        <w:t>2013</w:t>
      </w:r>
      <w:r>
        <w:rPr>
          <w:rFonts w:cstheme="minorHAnsi"/>
          <w:color w:val="222222"/>
          <w:shd w:val="clear" w:color="auto" w:fill="FFFFFF"/>
        </w:rPr>
        <w:t>) ‘</w:t>
      </w:r>
      <w:r w:rsidRPr="009176CA">
        <w:rPr>
          <w:rFonts w:cstheme="minorHAnsi"/>
          <w:color w:val="222222"/>
          <w:shd w:val="clear" w:color="auto" w:fill="FFFFFF"/>
        </w:rPr>
        <w:t>A user-centred design process to develop technology to improve sleep quality in residential care homes</w:t>
      </w:r>
      <w:r>
        <w:rPr>
          <w:rFonts w:cstheme="minorHAnsi"/>
          <w:color w:val="222222"/>
          <w:shd w:val="clear" w:color="auto" w:fill="FFFFFF"/>
        </w:rPr>
        <w:t>’,</w:t>
      </w:r>
      <w:r w:rsidRPr="009176CA">
        <w:rPr>
          <w:rFonts w:cstheme="minorHAnsi"/>
          <w:color w:val="222222"/>
          <w:shd w:val="clear" w:color="auto" w:fill="FFFFFF"/>
        </w:rPr>
        <w:t> </w:t>
      </w:r>
      <w:r w:rsidRPr="009176CA">
        <w:rPr>
          <w:rFonts w:cstheme="minorHAnsi"/>
          <w:i/>
          <w:iCs/>
          <w:color w:val="222222"/>
          <w:shd w:val="clear" w:color="auto" w:fill="FFFFFF"/>
        </w:rPr>
        <w:t>Technology and Disability</w:t>
      </w:r>
      <w:r w:rsidRPr="009176CA">
        <w:rPr>
          <w:rFonts w:cstheme="minorHAnsi"/>
          <w:color w:val="222222"/>
          <w:shd w:val="clear" w:color="auto" w:fill="FFFFFF"/>
        </w:rPr>
        <w:t>, 25(1), pp.</w:t>
      </w:r>
      <w:r>
        <w:rPr>
          <w:rFonts w:cstheme="minorHAnsi"/>
          <w:color w:val="222222"/>
          <w:shd w:val="clear" w:color="auto" w:fill="FFFFFF"/>
        </w:rPr>
        <w:t xml:space="preserve"> </w:t>
      </w:r>
      <w:r w:rsidRPr="009176CA">
        <w:rPr>
          <w:rFonts w:cstheme="minorHAnsi"/>
          <w:color w:val="222222"/>
          <w:shd w:val="clear" w:color="auto" w:fill="FFFFFF"/>
        </w:rPr>
        <w:t xml:space="preserve">49-58. </w:t>
      </w:r>
      <w:r>
        <w:rPr>
          <w:rFonts w:cstheme="minorHAnsi"/>
          <w:color w:val="222222"/>
          <w:shd w:val="clear" w:color="auto" w:fill="FFFFFF"/>
        </w:rPr>
        <w:t xml:space="preserve">Available at: </w:t>
      </w:r>
      <w:hyperlink r:id="rId12" w:history="1">
        <w:r w:rsidRPr="00024908">
          <w:rPr>
            <w:rStyle w:val="Hyperlink"/>
            <w:rFonts w:cstheme="minorHAnsi"/>
            <w:shd w:val="clear" w:color="auto" w:fill="FFFFFF"/>
          </w:rPr>
          <w:t>https://doi.org/10.3233/TAD-130368</w:t>
        </w:r>
      </w:hyperlink>
    </w:p>
    <w:p w14:paraId="21837787" w14:textId="4B8D3CDA" w:rsidR="006C7B5E" w:rsidRDefault="006C7B5E" w:rsidP="004A16A6">
      <w:pPr>
        <w:pStyle w:val="NoSpacing"/>
        <w:spacing w:line="360" w:lineRule="auto"/>
        <w:rPr>
          <w:rFonts w:cstheme="minorHAnsi"/>
          <w:shd w:val="clear" w:color="auto" w:fill="FFFFFF"/>
        </w:rPr>
      </w:pPr>
    </w:p>
    <w:p w14:paraId="046443A0" w14:textId="0F45EC13" w:rsidR="006C7B5E" w:rsidRPr="006C7B5E" w:rsidRDefault="006C7B5E" w:rsidP="004A16A6">
      <w:pPr>
        <w:shd w:val="clear" w:color="auto" w:fill="FFFFFF"/>
        <w:spacing w:line="360" w:lineRule="auto"/>
        <w:rPr>
          <w:rFonts w:eastAsia="Times New Roman" w:cstheme="minorHAnsi"/>
          <w:color w:val="3A3A3A"/>
          <w:lang w:eastAsia="en-GB"/>
        </w:rPr>
      </w:pPr>
      <w:r w:rsidRPr="006C7B5E">
        <w:rPr>
          <w:rFonts w:eastAsia="Times New Roman" w:cstheme="minorHAnsi"/>
          <w:color w:val="3A3A3A"/>
          <w:lang w:eastAsia="en-GB"/>
        </w:rPr>
        <w:t>Cattermole, G. (2019) ‘Developing the employee lifecycle to keep top talent’, </w:t>
      </w:r>
      <w:r w:rsidRPr="006C7B5E">
        <w:rPr>
          <w:rFonts w:eastAsia="Times New Roman" w:cstheme="minorHAnsi"/>
          <w:i/>
          <w:iCs/>
          <w:color w:val="3A3A3A"/>
          <w:lang w:eastAsia="en-GB"/>
        </w:rPr>
        <w:t xml:space="preserve">Strategic HR </w:t>
      </w:r>
      <w:r>
        <w:rPr>
          <w:rFonts w:eastAsia="Times New Roman" w:cstheme="minorHAnsi"/>
          <w:i/>
          <w:iCs/>
          <w:color w:val="3A3A3A"/>
          <w:lang w:eastAsia="en-GB"/>
        </w:rPr>
        <w:t>R</w:t>
      </w:r>
      <w:r w:rsidRPr="006C7B5E">
        <w:rPr>
          <w:rFonts w:eastAsia="Times New Roman" w:cstheme="minorHAnsi"/>
          <w:i/>
          <w:iCs/>
          <w:color w:val="3A3A3A"/>
          <w:lang w:eastAsia="en-GB"/>
        </w:rPr>
        <w:t>eview</w:t>
      </w:r>
      <w:r w:rsidRPr="006C7B5E">
        <w:rPr>
          <w:rFonts w:eastAsia="Times New Roman" w:cstheme="minorHAnsi"/>
          <w:color w:val="3A3A3A"/>
          <w:lang w:eastAsia="en-GB"/>
        </w:rPr>
        <w:t xml:space="preserve">, 18(6), pp. 258–262. Available at: </w:t>
      </w:r>
      <w:hyperlink r:id="rId13" w:history="1">
        <w:r w:rsidRPr="006C7B5E">
          <w:rPr>
            <w:rStyle w:val="Hyperlink"/>
            <w:rFonts w:eastAsia="Times New Roman" w:cstheme="minorHAnsi"/>
            <w:lang w:eastAsia="en-GB"/>
          </w:rPr>
          <w:t>https://doi.org/10.1108/SHR-05-2019-0042</w:t>
        </w:r>
      </w:hyperlink>
    </w:p>
    <w:p w14:paraId="5F9320F7" w14:textId="5FAA8928" w:rsidR="001F73DE" w:rsidRDefault="001F73DE" w:rsidP="004A16A6">
      <w:pPr>
        <w:pStyle w:val="NoSpacing"/>
        <w:spacing w:line="360" w:lineRule="auto"/>
        <w:rPr>
          <w:color w:val="000000"/>
        </w:rPr>
      </w:pPr>
      <w:r w:rsidRPr="00E07E1F">
        <w:rPr>
          <w:rFonts w:eastAsia="Times New Roman"/>
          <w:color w:val="3A3A3A"/>
          <w:lang w:eastAsia="en-GB"/>
        </w:rPr>
        <w:t xml:space="preserve">Childs, M. (2019) </w:t>
      </w:r>
      <w:r w:rsidRPr="00B316C8">
        <w:rPr>
          <w:i/>
          <w:iCs/>
          <w:color w:val="000000"/>
        </w:rPr>
        <w:t>The flat hierarchy’s fall from grace.</w:t>
      </w:r>
      <w:r w:rsidRPr="00E07E1F">
        <w:rPr>
          <w:color w:val="000000"/>
        </w:rPr>
        <w:t xml:space="preserve"> Available at:</w:t>
      </w:r>
      <w:r>
        <w:rPr>
          <w:color w:val="000000"/>
        </w:rPr>
        <w:t xml:space="preserve"> </w:t>
      </w:r>
      <w:hyperlink r:id="rId14" w:history="1">
        <w:r w:rsidRPr="00024908">
          <w:rPr>
            <w:rStyle w:val="Hyperlink"/>
            <w:rFonts w:cstheme="minorHAnsi"/>
          </w:rPr>
          <w:t>https://www.peoplemanagement.co.uk/article/1745882/the-flat-hierarchy-fall-from-grace</w:t>
        </w:r>
      </w:hyperlink>
      <w:r w:rsidRPr="00E07E1F">
        <w:rPr>
          <w:color w:val="000000"/>
        </w:rPr>
        <w:t xml:space="preserve"> (Accessed: 11 October 2025)</w:t>
      </w:r>
      <w:r>
        <w:rPr>
          <w:color w:val="000000"/>
        </w:rPr>
        <w:t>.</w:t>
      </w:r>
    </w:p>
    <w:p w14:paraId="2C5CBEB7" w14:textId="5F81444C" w:rsidR="00732394" w:rsidRPr="001F73DE" w:rsidRDefault="00732394" w:rsidP="004A16A6">
      <w:pPr>
        <w:shd w:val="clear" w:color="auto" w:fill="FFFFFF"/>
        <w:spacing w:line="360" w:lineRule="auto"/>
      </w:pPr>
      <w:r>
        <w:t xml:space="preserve">Cholteeva, Y. (2022) </w:t>
      </w:r>
      <w:r>
        <w:rPr>
          <w:i/>
          <w:iCs/>
        </w:rPr>
        <w:t xml:space="preserve">Just two fifths of employers conduct annual engagement surveys, report shows. </w:t>
      </w:r>
      <w:r>
        <w:t xml:space="preserve">Available at: </w:t>
      </w:r>
      <w:hyperlink r:id="rId15" w:history="1">
        <w:r w:rsidRPr="00024908">
          <w:rPr>
            <w:rStyle w:val="Hyperlink"/>
          </w:rPr>
          <w:t>https://www.peoplemanagement.co.uk/article/1807911/just-two-fifths-employers-conduct-annual-engagement-surveys-report-shows</w:t>
        </w:r>
      </w:hyperlink>
      <w:r>
        <w:t xml:space="preserve"> (Accessed: 22 November 2025).</w:t>
      </w:r>
    </w:p>
    <w:p w14:paraId="5172E653" w14:textId="5D2F2950" w:rsidR="005F6F50" w:rsidRDefault="001F73DE" w:rsidP="004A16A6">
      <w:pPr>
        <w:pStyle w:val="NoSpacing"/>
        <w:spacing w:line="360" w:lineRule="auto"/>
        <w:rPr>
          <w:rFonts w:eastAsia="Times New Roman"/>
          <w:lang w:eastAsia="en-GB"/>
        </w:rPr>
      </w:pPr>
      <w:r w:rsidRPr="00E707F6">
        <w:rPr>
          <w:rFonts w:eastAsia="Times New Roman"/>
          <w:lang w:eastAsia="en-GB"/>
        </w:rPr>
        <w:t xml:space="preserve">CIPD. (2019) </w:t>
      </w:r>
      <w:r w:rsidRPr="00E707F6">
        <w:rPr>
          <w:rFonts w:eastAsia="Times New Roman"/>
          <w:i/>
          <w:iCs/>
          <w:lang w:eastAsia="en-GB"/>
        </w:rPr>
        <w:t xml:space="preserve">Looking upwards and outwards: Why people professionals have a responsibility to understand the external world. </w:t>
      </w:r>
      <w:r w:rsidRPr="00E707F6">
        <w:rPr>
          <w:rFonts w:eastAsia="Times New Roman"/>
          <w:lang w:eastAsia="en-GB"/>
        </w:rPr>
        <w:t>Available at</w:t>
      </w:r>
      <w:r>
        <w:rPr>
          <w:rFonts w:eastAsia="Times New Roman"/>
          <w:color w:val="3A3A3A"/>
          <w:lang w:eastAsia="en-GB"/>
        </w:rPr>
        <w:t xml:space="preserve">: </w:t>
      </w:r>
      <w:hyperlink r:id="rId16" w:history="1">
        <w:r w:rsidRPr="00024908">
          <w:rPr>
            <w:rStyle w:val="Hyperlink"/>
            <w:rFonts w:eastAsia="Times New Roman" w:cstheme="minorHAnsi"/>
            <w:lang w:eastAsia="en-GB"/>
          </w:rPr>
          <w:t>https://www.cipd.org/uk/views-and-insights/thought-leadership/the-world-of-work/people-professionals-external-world/</w:t>
        </w:r>
      </w:hyperlink>
      <w:r w:rsidRPr="00E707F6">
        <w:rPr>
          <w:rFonts w:eastAsia="Times New Roman"/>
          <w:color w:val="3A3A3A"/>
          <w:lang w:eastAsia="en-GB"/>
        </w:rPr>
        <w:t xml:space="preserve"> </w:t>
      </w:r>
      <w:r w:rsidRPr="00E707F6">
        <w:rPr>
          <w:rFonts w:eastAsia="Times New Roman"/>
          <w:lang w:eastAsia="en-GB"/>
        </w:rPr>
        <w:t>(Accessed: 5 November 2025).</w:t>
      </w:r>
    </w:p>
    <w:p w14:paraId="7550BDC6" w14:textId="66B00AA3" w:rsidR="00A14DA2" w:rsidRPr="00A14DA2" w:rsidRDefault="00A14DA2" w:rsidP="004A16A6">
      <w:pPr>
        <w:shd w:val="clear" w:color="auto" w:fill="FFFFFF"/>
        <w:spacing w:line="360" w:lineRule="auto"/>
      </w:pPr>
      <w:r>
        <w:t xml:space="preserve">CIPD. (2021) </w:t>
      </w:r>
      <w:r>
        <w:rPr>
          <w:i/>
          <w:iCs/>
        </w:rPr>
        <w:t xml:space="preserve">Understanding what really drives your workforce. </w:t>
      </w:r>
      <w:r>
        <w:t xml:space="preserve">Available at: </w:t>
      </w:r>
      <w:hyperlink r:id="rId17" w:history="1">
        <w:r w:rsidRPr="00A14DA2">
          <w:rPr>
            <w:rStyle w:val="Hyperlink"/>
          </w:rPr>
          <w:t>https://www.cipd.org/uk/about/news/understanding-what-really-drives-your-workforce/</w:t>
        </w:r>
      </w:hyperlink>
      <w:r>
        <w:t xml:space="preserve"> (Accessed: 16 November 2025).</w:t>
      </w:r>
    </w:p>
    <w:p w14:paraId="16D24AB7" w14:textId="2216A532" w:rsidR="005F6F50" w:rsidRDefault="005F6F50" w:rsidP="004A16A6">
      <w:pPr>
        <w:spacing w:line="360" w:lineRule="auto"/>
      </w:pPr>
      <w:r>
        <w:t xml:space="preserve">CIPD. (2022) </w:t>
      </w:r>
      <w:r w:rsidRPr="005F6F50">
        <w:rPr>
          <w:i/>
          <w:iCs/>
        </w:rPr>
        <w:t>Collective employee voice: recommendations for working with employee representatives for mutual gain</w:t>
      </w:r>
      <w:r>
        <w:t>. Chartered Institute of Personnel and Development.</w:t>
      </w:r>
    </w:p>
    <w:p w14:paraId="575CB2F7" w14:textId="2812DE2A" w:rsidR="00001DD2" w:rsidRPr="005F6F50" w:rsidRDefault="00001DD2" w:rsidP="004A16A6">
      <w:pPr>
        <w:shd w:val="clear" w:color="auto" w:fill="FFFFFF"/>
        <w:spacing w:line="360" w:lineRule="auto"/>
      </w:pPr>
      <w:r>
        <w:t xml:space="preserve">CIPD. (2023) </w:t>
      </w:r>
      <w:r w:rsidRPr="00001DD2">
        <w:rPr>
          <w:i/>
          <w:iCs/>
        </w:rPr>
        <w:t>Health and wellbeing at work</w:t>
      </w:r>
      <w:r>
        <w:t>. Chartered Institute of Personnel and Development.</w:t>
      </w:r>
    </w:p>
    <w:p w14:paraId="3762199D" w14:textId="77777777" w:rsidR="001F73DE" w:rsidRDefault="001F73DE" w:rsidP="004A16A6">
      <w:pPr>
        <w:pStyle w:val="NoSpacing"/>
        <w:spacing w:line="360" w:lineRule="auto"/>
      </w:pPr>
      <w:r w:rsidRPr="0049780D">
        <w:t xml:space="preserve">CIPD. (2025a) SWOT analysis. Available at: </w:t>
      </w:r>
      <w:hyperlink r:id="rId18" w:history="1">
        <w:r w:rsidRPr="00024908">
          <w:rPr>
            <w:rStyle w:val="Hyperlink"/>
            <w:rFonts w:cstheme="minorHAnsi"/>
          </w:rPr>
          <w:t>https://www.cipd.org/uk/knowledge/factsheets/swot-analysis-factsheet/</w:t>
        </w:r>
      </w:hyperlink>
      <w:r>
        <w:t xml:space="preserve"> </w:t>
      </w:r>
      <w:r w:rsidRPr="0049780D">
        <w:t>(Accessed: 25 October 2025).</w:t>
      </w:r>
    </w:p>
    <w:p w14:paraId="6A31A5CC" w14:textId="2C8AC48A" w:rsidR="001F73DE" w:rsidRDefault="001F73DE" w:rsidP="004A16A6">
      <w:pPr>
        <w:pStyle w:val="NoSpacing"/>
        <w:spacing w:line="360" w:lineRule="auto"/>
        <w:rPr>
          <w:rFonts w:eastAsia="Times New Roman"/>
          <w:color w:val="3A3A3A"/>
          <w:lang w:eastAsia="en-GB"/>
        </w:rPr>
      </w:pPr>
      <w:r w:rsidRPr="001732FE">
        <w:rPr>
          <w:rFonts w:eastAsia="Times New Roman"/>
          <w:lang w:eastAsia="en-GB"/>
        </w:rPr>
        <w:t xml:space="preserve">CIPD. (2025b) </w:t>
      </w:r>
      <w:r w:rsidRPr="001732FE">
        <w:rPr>
          <w:rFonts w:eastAsia="Times New Roman"/>
          <w:i/>
          <w:iCs/>
          <w:lang w:eastAsia="en-GB"/>
        </w:rPr>
        <w:t xml:space="preserve">Evidence-based practice for effective decision-making. </w:t>
      </w:r>
      <w:r w:rsidRPr="001732FE">
        <w:rPr>
          <w:rFonts w:eastAsia="Times New Roman"/>
          <w:lang w:eastAsia="en-GB"/>
        </w:rPr>
        <w:t xml:space="preserve">Available at: </w:t>
      </w:r>
      <w:hyperlink r:id="rId19" w:history="1">
        <w:r w:rsidRPr="001732FE">
          <w:rPr>
            <w:rStyle w:val="Hyperlink"/>
            <w:rFonts w:eastAsia="Times New Roman" w:cstheme="minorHAnsi"/>
            <w:lang w:eastAsia="en-GB"/>
          </w:rPr>
          <w:t>https://www.cipd.org/uk/knowledge/factsheets/evidence-based-practice-factsheet/</w:t>
        </w:r>
      </w:hyperlink>
      <w:r>
        <w:rPr>
          <w:rFonts w:eastAsia="Times New Roman"/>
          <w:color w:val="3A3A3A"/>
          <w:lang w:eastAsia="en-GB"/>
        </w:rPr>
        <w:t xml:space="preserve"> (Accessed: 25 October 2025).</w:t>
      </w:r>
    </w:p>
    <w:p w14:paraId="3BAC10DB" w14:textId="58AEFB5B" w:rsidR="005A6F42" w:rsidRDefault="005A6F42" w:rsidP="004A16A6">
      <w:pPr>
        <w:spacing w:line="360" w:lineRule="auto"/>
      </w:pPr>
      <w:r>
        <w:lastRenderedPageBreak/>
        <w:t xml:space="preserve">CIPD. (2025c) </w:t>
      </w:r>
      <w:r>
        <w:rPr>
          <w:i/>
          <w:iCs/>
        </w:rPr>
        <w:t xml:space="preserve">Employee turnover and retention. </w:t>
      </w:r>
      <w:r>
        <w:t xml:space="preserve">Available at: </w:t>
      </w:r>
      <w:hyperlink r:id="rId20" w:history="1">
        <w:r w:rsidRPr="005A6F42">
          <w:rPr>
            <w:rStyle w:val="Hyperlink"/>
          </w:rPr>
          <w:t>https://www.cipd.org/uk/knowledge/factsheets/turnover-retention-factsheet/</w:t>
        </w:r>
      </w:hyperlink>
      <w:r>
        <w:t xml:space="preserve"> (Accessed: 15 November 2025).</w:t>
      </w:r>
    </w:p>
    <w:p w14:paraId="08A54486" w14:textId="4146398F" w:rsidR="000A0938" w:rsidRDefault="000A0938" w:rsidP="004A16A6">
      <w:pPr>
        <w:spacing w:line="360" w:lineRule="auto"/>
      </w:pPr>
      <w:r>
        <w:t xml:space="preserve">CIPD. (2025d) </w:t>
      </w:r>
      <w:r>
        <w:rPr>
          <w:i/>
          <w:iCs/>
        </w:rPr>
        <w:t xml:space="preserve">Employee voice channels: Guide for people professionals. </w:t>
      </w:r>
      <w:r>
        <w:t xml:space="preserve">Available at: </w:t>
      </w:r>
      <w:hyperlink r:id="rId21" w:history="1">
        <w:r w:rsidRPr="00024908">
          <w:rPr>
            <w:rStyle w:val="Hyperlink"/>
          </w:rPr>
          <w:t>https://www.cipd.org/uk/knowledge/guides/employee-voice-channels-guide-for-people-professionals/</w:t>
        </w:r>
      </w:hyperlink>
      <w:r>
        <w:t xml:space="preserve"> (Accessed: 9 November 2025).</w:t>
      </w:r>
    </w:p>
    <w:p w14:paraId="5B67A030" w14:textId="1456128A" w:rsidR="002367C7" w:rsidRDefault="002367C7" w:rsidP="004A16A6">
      <w:pPr>
        <w:shd w:val="clear" w:color="auto" w:fill="FFFFFF"/>
        <w:spacing w:line="360" w:lineRule="auto"/>
        <w:rPr>
          <w:rStyle w:val="Hyperlink"/>
          <w:color w:val="auto"/>
          <w:u w:val="none"/>
        </w:rPr>
      </w:pPr>
      <w:r>
        <w:t xml:space="preserve">CIPD. (2025e) </w:t>
      </w:r>
      <w:r>
        <w:rPr>
          <w:i/>
          <w:iCs/>
        </w:rPr>
        <w:t xml:space="preserve">Retention: guidance for people professionals. </w:t>
      </w:r>
      <w:r>
        <w:t xml:space="preserve">Available at: </w:t>
      </w:r>
      <w:hyperlink r:id="rId22" w:history="1">
        <w:r w:rsidRPr="00396A99">
          <w:rPr>
            <w:rStyle w:val="Hyperlink"/>
          </w:rPr>
          <w:t>https://www.cipd.org/en/knowledge/guides/employee-retention/</w:t>
        </w:r>
      </w:hyperlink>
      <w:r>
        <w:rPr>
          <w:rStyle w:val="Hyperlink"/>
        </w:rPr>
        <w:t xml:space="preserve"> </w:t>
      </w:r>
      <w:r w:rsidRPr="002367C7">
        <w:rPr>
          <w:rStyle w:val="Hyperlink"/>
          <w:color w:val="auto"/>
          <w:u w:val="none"/>
        </w:rPr>
        <w:t>(Accessed: 16 November 2025).</w:t>
      </w:r>
    </w:p>
    <w:p w14:paraId="4511FD5E" w14:textId="2D872FD1" w:rsidR="00B36F71" w:rsidRDefault="00B36F71" w:rsidP="004A16A6">
      <w:pPr>
        <w:shd w:val="clear" w:color="auto" w:fill="FFFFFF"/>
        <w:spacing w:line="360" w:lineRule="auto"/>
      </w:pPr>
      <w:r w:rsidRPr="005343E2">
        <w:t xml:space="preserve">CIPD. (2025f) </w:t>
      </w:r>
      <w:r>
        <w:rPr>
          <w:i/>
          <w:iCs/>
        </w:rPr>
        <w:t xml:space="preserve">Strategic human resource management. </w:t>
      </w:r>
      <w:r>
        <w:t xml:space="preserve">Available at: </w:t>
      </w:r>
      <w:hyperlink r:id="rId23" w:history="1">
        <w:r w:rsidR="0021289E" w:rsidRPr="00024908">
          <w:rPr>
            <w:rStyle w:val="Hyperlink"/>
          </w:rPr>
          <w:t>https://www.cipd.org/uk/knowledge/factsheets/strategic-hrm-factsheet/</w:t>
        </w:r>
      </w:hyperlink>
      <w:r w:rsidRPr="005343E2">
        <w:t xml:space="preserve"> (Accessed: 22 November 2025</w:t>
      </w:r>
      <w:r>
        <w:t>).</w:t>
      </w:r>
    </w:p>
    <w:p w14:paraId="36423553" w14:textId="1EC68A9F" w:rsidR="006E5B2A" w:rsidRDefault="006E5B2A" w:rsidP="004A16A6">
      <w:pPr>
        <w:shd w:val="clear" w:color="auto" w:fill="FFFFFF"/>
        <w:spacing w:line="360" w:lineRule="auto"/>
      </w:pPr>
      <w:r w:rsidRPr="005343E2">
        <w:t xml:space="preserve">CIPD. (2025g) </w:t>
      </w:r>
      <w:r>
        <w:rPr>
          <w:i/>
          <w:iCs/>
        </w:rPr>
        <w:t xml:space="preserve">Workforce planning. </w:t>
      </w:r>
      <w:hyperlink r:id="rId24" w:history="1">
        <w:r w:rsidRPr="00024908">
          <w:rPr>
            <w:rStyle w:val="Hyperlink"/>
          </w:rPr>
          <w:t>https://www.cipd.org/uk/knowledge/factsheets/workforce-planning-factsheet/</w:t>
        </w:r>
      </w:hyperlink>
      <w:r>
        <w:t xml:space="preserve"> (Accessed: 22 November 2025).</w:t>
      </w:r>
    </w:p>
    <w:p w14:paraId="41C0B035" w14:textId="68D76942" w:rsidR="00A96CB5" w:rsidRDefault="00A96CB5" w:rsidP="004A16A6">
      <w:pPr>
        <w:shd w:val="clear" w:color="auto" w:fill="FFFFFF"/>
        <w:spacing w:line="360" w:lineRule="auto"/>
        <w:rPr>
          <w:rFonts w:cstheme="minorHAnsi"/>
          <w:color w:val="202020"/>
          <w:shd w:val="clear" w:color="auto" w:fill="FFFFFF"/>
        </w:rPr>
      </w:pPr>
      <w:r w:rsidRPr="005343E2">
        <w:rPr>
          <w:rFonts w:cstheme="minorHAnsi"/>
          <w:color w:val="202020"/>
          <w:shd w:val="clear" w:color="auto" w:fill="FFFFFF"/>
        </w:rPr>
        <w:t xml:space="preserve">CIPD. (2025h) </w:t>
      </w:r>
      <w:r>
        <w:rPr>
          <w:rFonts w:cstheme="minorHAnsi"/>
          <w:i/>
          <w:iCs/>
          <w:color w:val="202020"/>
          <w:shd w:val="clear" w:color="auto" w:fill="FFFFFF"/>
        </w:rPr>
        <w:t xml:space="preserve">Employee voice. </w:t>
      </w:r>
      <w:r>
        <w:rPr>
          <w:rFonts w:cstheme="minorHAnsi"/>
          <w:color w:val="202020"/>
          <w:shd w:val="clear" w:color="auto" w:fill="FFFFFF"/>
        </w:rPr>
        <w:t xml:space="preserve">Available at: </w:t>
      </w:r>
      <w:hyperlink r:id="rId25" w:history="1">
        <w:r w:rsidRPr="00A96CB5">
          <w:rPr>
            <w:rStyle w:val="Hyperlink"/>
            <w:rFonts w:cstheme="minorHAnsi"/>
            <w:shd w:val="clear" w:color="auto" w:fill="FFFFFF"/>
          </w:rPr>
          <w:t>https://www.cipd.org/uk/knowledge/factsheets/voice-factsheet/</w:t>
        </w:r>
      </w:hyperlink>
      <w:r>
        <w:rPr>
          <w:rFonts w:cstheme="minorHAnsi"/>
          <w:color w:val="202020"/>
          <w:shd w:val="clear" w:color="auto" w:fill="FFFFFF"/>
        </w:rPr>
        <w:t xml:space="preserve"> (Accessed: 22 November 2025). </w:t>
      </w:r>
    </w:p>
    <w:p w14:paraId="1489C40E" w14:textId="77777777" w:rsidR="001F73DE" w:rsidRDefault="001F73DE" w:rsidP="004A16A6">
      <w:pPr>
        <w:pStyle w:val="NoSpacing"/>
        <w:spacing w:line="360" w:lineRule="auto"/>
        <w:rPr>
          <w:rFonts w:eastAsia="Times New Roman"/>
          <w:lang w:eastAsia="en-GB"/>
        </w:rPr>
      </w:pPr>
      <w:r w:rsidRPr="00B316C8">
        <w:rPr>
          <w:rFonts w:eastAsia="Times New Roman"/>
          <w:lang w:eastAsia="en-GB"/>
        </w:rPr>
        <w:t>Cole, K. (2018). </w:t>
      </w:r>
      <w:r w:rsidRPr="00B316C8">
        <w:rPr>
          <w:rFonts w:eastAsia="Times New Roman"/>
          <w:i/>
          <w:iCs/>
          <w:lang w:eastAsia="en-GB"/>
        </w:rPr>
        <w:t>Leadership and Management: Theory and Practice</w:t>
      </w:r>
      <w:r w:rsidRPr="00B316C8">
        <w:rPr>
          <w:rFonts w:eastAsia="Times New Roman"/>
          <w:lang w:eastAsia="en-GB"/>
        </w:rPr>
        <w:t>. Cengage Learning Australia.</w:t>
      </w:r>
    </w:p>
    <w:p w14:paraId="37105ECD" w14:textId="6DC1C89D" w:rsidR="001F73DE" w:rsidRDefault="001F73DE" w:rsidP="004A16A6">
      <w:pPr>
        <w:pStyle w:val="NoSpacing"/>
        <w:spacing w:line="360" w:lineRule="auto"/>
      </w:pPr>
      <w:r w:rsidRPr="00B316C8">
        <w:t xml:space="preserve">Cresswell, N. (2018) </w:t>
      </w:r>
      <w:r w:rsidRPr="00B316C8">
        <w:rPr>
          <w:i/>
          <w:iCs/>
        </w:rPr>
        <w:t xml:space="preserve">Organisations need to focus on influence rather than hierarchies. </w:t>
      </w:r>
      <w:r w:rsidRPr="00B316C8">
        <w:t xml:space="preserve">Available at: </w:t>
      </w:r>
      <w:hyperlink r:id="rId26" w:history="1">
        <w:r w:rsidR="00C76A73" w:rsidRPr="00C76A73">
          <w:rPr>
            <w:rStyle w:val="Hyperlink"/>
          </w:rPr>
          <w:t>https://www.cipd.org/uk/about/news-archive/influence-focused-organisations/</w:t>
        </w:r>
      </w:hyperlink>
      <w:r w:rsidRPr="00B316C8">
        <w:t xml:space="preserve"> (Accessed: 25 October 2025).</w:t>
      </w:r>
    </w:p>
    <w:p w14:paraId="531543AA" w14:textId="039EF4B5" w:rsidR="0024698E" w:rsidRPr="0024698E" w:rsidRDefault="0024698E" w:rsidP="004A16A6">
      <w:pPr>
        <w:shd w:val="clear" w:color="auto" w:fill="FFFFFF"/>
        <w:spacing w:after="240" w:line="360" w:lineRule="auto"/>
        <w:rPr>
          <w:rFonts w:eastAsia="Times New Roman" w:cstheme="minorHAnsi"/>
          <w:color w:val="3A3A3A"/>
          <w:lang w:eastAsia="en-GB"/>
        </w:rPr>
      </w:pPr>
      <w:r>
        <w:rPr>
          <w:rFonts w:eastAsia="Times New Roman" w:cstheme="minorHAnsi"/>
          <w:color w:val="3A3A3A"/>
          <w:lang w:eastAsia="en-GB"/>
        </w:rPr>
        <w:t xml:space="preserve">Department of Health and Social Care. (2024) </w:t>
      </w:r>
      <w:r>
        <w:rPr>
          <w:rFonts w:eastAsia="Times New Roman" w:cstheme="minorHAnsi"/>
          <w:i/>
          <w:iCs/>
          <w:color w:val="3A3A3A"/>
          <w:lang w:eastAsia="en-GB"/>
        </w:rPr>
        <w:t xml:space="preserve">Adult social care in England, monthly statistics: October 2024. </w:t>
      </w:r>
      <w:r>
        <w:rPr>
          <w:rFonts w:eastAsia="Times New Roman" w:cstheme="minorHAnsi"/>
          <w:color w:val="3A3A3A"/>
          <w:lang w:eastAsia="en-GB"/>
        </w:rPr>
        <w:t xml:space="preserve">Available at: </w:t>
      </w:r>
      <w:hyperlink r:id="rId27" w:history="1">
        <w:r w:rsidR="00C76A73" w:rsidRPr="00C76A73">
          <w:rPr>
            <w:rStyle w:val="Hyperlink"/>
            <w:rFonts w:eastAsia="Times New Roman" w:cstheme="minorHAnsi"/>
            <w:lang w:eastAsia="en-GB"/>
          </w:rPr>
          <w:t>https://www.gov.uk/government/statistics/adult-social-care-in-england-monthly-statistics-october-2024/adult-social-care-in-england-monthly-statistics-october-2024</w:t>
        </w:r>
      </w:hyperlink>
      <w:r>
        <w:rPr>
          <w:rFonts w:eastAsia="Times New Roman" w:cstheme="minorHAnsi"/>
          <w:color w:val="3A3A3A"/>
          <w:lang w:eastAsia="en-GB"/>
        </w:rPr>
        <w:t xml:space="preserve"> (Accessed: 8 November 2025).</w:t>
      </w:r>
    </w:p>
    <w:p w14:paraId="619FABD9" w14:textId="4FC211A0" w:rsidR="001F73DE" w:rsidRDefault="001F73DE" w:rsidP="004A16A6">
      <w:pPr>
        <w:pStyle w:val="NoSpacing"/>
        <w:spacing w:line="360" w:lineRule="auto"/>
        <w:rPr>
          <w:rFonts w:eastAsia="Times New Roman"/>
          <w:color w:val="3A3A3A"/>
          <w:lang w:eastAsia="en-GB"/>
        </w:rPr>
      </w:pPr>
      <w:r w:rsidRPr="009B3790">
        <w:rPr>
          <w:rFonts w:eastAsia="Times New Roman"/>
          <w:color w:val="3A3A3A"/>
          <w:lang w:eastAsia="en-GB"/>
        </w:rPr>
        <w:t>Foster, D. and Harker, R. (2025)</w:t>
      </w:r>
      <w:r>
        <w:rPr>
          <w:rFonts w:eastAsia="Times New Roman"/>
          <w:color w:val="3A3A3A"/>
          <w:lang w:eastAsia="en-GB"/>
        </w:rPr>
        <w:t xml:space="preserve"> </w:t>
      </w:r>
      <w:r>
        <w:rPr>
          <w:rFonts w:eastAsia="Times New Roman"/>
          <w:i/>
          <w:iCs/>
          <w:color w:val="3A3A3A"/>
          <w:lang w:eastAsia="en-GB"/>
        </w:rPr>
        <w:t xml:space="preserve">Adult social care funding in England. </w:t>
      </w:r>
      <w:r>
        <w:rPr>
          <w:rFonts w:eastAsia="Times New Roman"/>
          <w:color w:val="3A3A3A"/>
          <w:lang w:eastAsia="en-GB"/>
        </w:rPr>
        <w:t>(House of Commons briefing paper CBP-7093). Available at:</w:t>
      </w:r>
      <w:r w:rsidRPr="009B3790">
        <w:rPr>
          <w:rFonts w:eastAsia="Times New Roman"/>
          <w:color w:val="3A3A3A"/>
          <w:lang w:eastAsia="en-GB"/>
        </w:rPr>
        <w:t xml:space="preserve"> </w:t>
      </w:r>
      <w:hyperlink r:id="rId28" w:history="1">
        <w:r w:rsidR="00C76A73" w:rsidRPr="00C76A73">
          <w:rPr>
            <w:rStyle w:val="Hyperlink"/>
            <w:rFonts w:eastAsia="Times New Roman"/>
            <w:lang w:eastAsia="en-GB"/>
          </w:rPr>
          <w:t>https://commonslibrary.parliament.uk/research-briefings/cbp-7903/</w:t>
        </w:r>
      </w:hyperlink>
      <w:r>
        <w:rPr>
          <w:rFonts w:eastAsia="Times New Roman"/>
          <w:color w:val="3A3A3A"/>
          <w:lang w:eastAsia="en-GB"/>
        </w:rPr>
        <w:t xml:space="preserve"> (Accessed: 8 November 2025).</w:t>
      </w:r>
    </w:p>
    <w:p w14:paraId="334EDAD8" w14:textId="2F180B19" w:rsidR="001A7365" w:rsidRPr="009B3790" w:rsidRDefault="001A7365" w:rsidP="004A16A6">
      <w:pPr>
        <w:spacing w:line="360" w:lineRule="auto"/>
        <w:rPr>
          <w:rFonts w:eastAsiaTheme="majorEastAsia"/>
          <w:sz w:val="16"/>
          <w:szCs w:val="16"/>
        </w:rPr>
      </w:pPr>
      <w:r w:rsidRPr="0083312C">
        <w:t>Gilani, H</w:t>
      </w:r>
      <w:r>
        <w:t>.</w:t>
      </w:r>
      <w:r w:rsidRPr="0083312C">
        <w:t xml:space="preserve"> </w:t>
      </w:r>
      <w:r>
        <w:t>and</w:t>
      </w:r>
      <w:r w:rsidRPr="0083312C">
        <w:t xml:space="preserve"> Jamshed, S. (2016) </w:t>
      </w:r>
      <w:r>
        <w:t>‘</w:t>
      </w:r>
      <w:r w:rsidRPr="0083312C">
        <w:t>An exploratory study on the impact of recruitment process outsourcing on employer branding of an organisation</w:t>
      </w:r>
      <w:r>
        <w:t>’,</w:t>
      </w:r>
      <w:r w:rsidRPr="0083312C">
        <w:t xml:space="preserve"> </w:t>
      </w:r>
      <w:r w:rsidRPr="001A7365">
        <w:rPr>
          <w:i/>
          <w:iCs/>
        </w:rPr>
        <w:t>Strategic Outsourcing: An International Journal</w:t>
      </w:r>
      <w:r>
        <w:t>,</w:t>
      </w:r>
      <w:r w:rsidRPr="0083312C">
        <w:t xml:space="preserve"> 9</w:t>
      </w:r>
      <w:r>
        <w:t xml:space="preserve">, pp. </w:t>
      </w:r>
      <w:r w:rsidRPr="0083312C">
        <w:t xml:space="preserve">303-323. </w:t>
      </w:r>
      <w:r>
        <w:t xml:space="preserve">Available at: </w:t>
      </w:r>
      <w:hyperlink r:id="rId29" w:history="1">
        <w:r w:rsidRPr="001A7365">
          <w:rPr>
            <w:rStyle w:val="Hyperlink"/>
          </w:rPr>
          <w:t>https://doi.org/10.1108/SO-08-2015-0020</w:t>
        </w:r>
      </w:hyperlink>
    </w:p>
    <w:p w14:paraId="57E66AF8" w14:textId="03172A44" w:rsidR="001F73DE" w:rsidRDefault="001F73DE" w:rsidP="004A16A6">
      <w:pPr>
        <w:pStyle w:val="NoSpacing"/>
        <w:spacing w:line="360" w:lineRule="auto"/>
        <w:rPr>
          <w:shd w:val="clear" w:color="auto" w:fill="FFFFFF"/>
        </w:rPr>
      </w:pPr>
      <w:r w:rsidRPr="00393295">
        <w:rPr>
          <w:color w:val="222222"/>
          <w:shd w:val="clear" w:color="auto" w:fill="FFFFFF"/>
        </w:rPr>
        <w:lastRenderedPageBreak/>
        <w:t xml:space="preserve">Greener, J. </w:t>
      </w:r>
      <w:r>
        <w:rPr>
          <w:color w:val="222222"/>
          <w:shd w:val="clear" w:color="auto" w:fill="FFFFFF"/>
        </w:rPr>
        <w:t>(2020) ‘</w:t>
      </w:r>
      <w:r w:rsidRPr="00393295">
        <w:rPr>
          <w:color w:val="222222"/>
          <w:shd w:val="clear" w:color="auto" w:fill="FFFFFF"/>
        </w:rPr>
        <w:t>Performative Compliance and the State–Corporate Structuring of Neglect in a Residential Care Home for Older People</w:t>
      </w:r>
      <w:r>
        <w:rPr>
          <w:color w:val="222222"/>
          <w:shd w:val="clear" w:color="auto" w:fill="FFFFFF"/>
        </w:rPr>
        <w:t xml:space="preserve">’, </w:t>
      </w:r>
      <w:r w:rsidRPr="00393295">
        <w:rPr>
          <w:i/>
          <w:iCs/>
          <w:color w:val="222222"/>
          <w:shd w:val="clear" w:color="auto" w:fill="FFFFFF"/>
        </w:rPr>
        <w:t>Crit</w:t>
      </w:r>
      <w:r>
        <w:rPr>
          <w:i/>
          <w:iCs/>
          <w:color w:val="222222"/>
          <w:shd w:val="clear" w:color="auto" w:fill="FFFFFF"/>
        </w:rPr>
        <w:t>ical</w:t>
      </w:r>
      <w:r w:rsidRPr="00393295">
        <w:rPr>
          <w:i/>
          <w:iCs/>
          <w:color w:val="222222"/>
          <w:shd w:val="clear" w:color="auto" w:fill="FFFFFF"/>
        </w:rPr>
        <w:t xml:space="preserve"> Crim</w:t>
      </w:r>
      <w:r>
        <w:rPr>
          <w:i/>
          <w:iCs/>
          <w:color w:val="222222"/>
          <w:shd w:val="clear" w:color="auto" w:fill="FFFFFF"/>
        </w:rPr>
        <w:t>inlology,</w:t>
      </w:r>
      <w:r w:rsidRPr="00393295">
        <w:rPr>
          <w:color w:val="222222"/>
          <w:shd w:val="clear" w:color="auto" w:fill="FFFFFF"/>
        </w:rPr>
        <w:t xml:space="preserve"> 28, </w:t>
      </w:r>
      <w:r>
        <w:rPr>
          <w:color w:val="222222"/>
          <w:shd w:val="clear" w:color="auto" w:fill="FFFFFF"/>
        </w:rPr>
        <w:t xml:space="preserve">pp. </w:t>
      </w:r>
      <w:r w:rsidRPr="00393295">
        <w:rPr>
          <w:color w:val="222222"/>
          <w:shd w:val="clear" w:color="auto" w:fill="FFFFFF"/>
        </w:rPr>
        <w:t>651–668</w:t>
      </w:r>
      <w:r>
        <w:rPr>
          <w:color w:val="222222"/>
          <w:shd w:val="clear" w:color="auto" w:fill="FFFFFF"/>
        </w:rPr>
        <w:t xml:space="preserve">. Available at: </w:t>
      </w:r>
      <w:hyperlink r:id="rId30" w:history="1">
        <w:r w:rsidRPr="00024908">
          <w:rPr>
            <w:rStyle w:val="Hyperlink"/>
            <w:rFonts w:cstheme="minorHAnsi"/>
            <w:shd w:val="clear" w:color="auto" w:fill="FFFFFF"/>
          </w:rPr>
          <w:t>https://doi.org/10.1007/s10612-019-09467-3</w:t>
        </w:r>
      </w:hyperlink>
    </w:p>
    <w:p w14:paraId="75B95FA2" w14:textId="1CEFED30" w:rsidR="007E71E8" w:rsidRPr="007E71E8" w:rsidRDefault="007E71E8" w:rsidP="004A16A6">
      <w:pPr>
        <w:spacing w:line="360" w:lineRule="auto"/>
      </w:pPr>
      <w:r>
        <w:t xml:space="preserve">Handy, C. (1993) </w:t>
      </w:r>
      <w:r w:rsidRPr="007E71E8">
        <w:rPr>
          <w:i/>
          <w:iCs/>
        </w:rPr>
        <w:t>Understanding Organizations</w:t>
      </w:r>
      <w:r>
        <w:t>. 4</w:t>
      </w:r>
      <w:r w:rsidRPr="007E71E8">
        <w:rPr>
          <w:vertAlign w:val="superscript"/>
        </w:rPr>
        <w:t>th</w:t>
      </w:r>
      <w:r>
        <w:t xml:space="preserve"> edn. Penguin Books Ltd.</w:t>
      </w:r>
    </w:p>
    <w:p w14:paraId="1ED954EC" w14:textId="337220E7" w:rsidR="001F73DE" w:rsidRDefault="001F73DE" w:rsidP="004A16A6">
      <w:pPr>
        <w:pStyle w:val="NoSpacing"/>
        <w:spacing w:line="360" w:lineRule="auto"/>
        <w:rPr>
          <w:rFonts w:eastAsia="Times New Roman"/>
          <w:color w:val="3A3A3A"/>
          <w:lang w:eastAsia="en-GB"/>
        </w:rPr>
      </w:pPr>
      <w:r w:rsidRPr="00EE00A0">
        <w:rPr>
          <w:rFonts w:eastAsia="Times New Roman"/>
          <w:lang w:eastAsia="en-GB"/>
        </w:rPr>
        <w:t>Hayden, D. (2025</w:t>
      </w:r>
      <w:r w:rsidRPr="00EE00A0">
        <w:rPr>
          <w:rFonts w:eastAsia="Times New Roman"/>
          <w:color w:val="3A3A3A"/>
          <w:lang w:eastAsia="en-GB"/>
        </w:rPr>
        <w:t>)</w:t>
      </w:r>
      <w:r>
        <w:rPr>
          <w:rFonts w:eastAsia="Times New Roman"/>
          <w:color w:val="3A3A3A"/>
          <w:lang w:eastAsia="en-GB"/>
        </w:rPr>
        <w:t xml:space="preserve"> </w:t>
      </w:r>
      <w:r w:rsidRPr="00EE00A0">
        <w:rPr>
          <w:rFonts w:eastAsia="Times New Roman"/>
          <w:i/>
          <w:iCs/>
          <w:lang w:eastAsia="en-GB"/>
        </w:rPr>
        <w:t>PESTLE analysis</w:t>
      </w:r>
      <w:r w:rsidRPr="00EE00A0">
        <w:rPr>
          <w:rFonts w:eastAsia="Times New Roman"/>
          <w:lang w:eastAsia="en-GB"/>
        </w:rPr>
        <w:t xml:space="preserve">. Available at: </w:t>
      </w:r>
      <w:hyperlink r:id="rId31" w:history="1">
        <w:r w:rsidRPr="00024908">
          <w:rPr>
            <w:rStyle w:val="Hyperlink"/>
            <w:rFonts w:eastAsia="Times New Roman" w:cstheme="minorHAnsi"/>
            <w:lang w:eastAsia="en-GB"/>
          </w:rPr>
          <w:t>https://www.cipd.org/uk/knowledge/factsheets/pestle-analysis-factsheet/</w:t>
        </w:r>
      </w:hyperlink>
      <w:r>
        <w:rPr>
          <w:rFonts w:eastAsia="Times New Roman"/>
          <w:color w:val="3A3A3A"/>
          <w:lang w:eastAsia="en-GB"/>
        </w:rPr>
        <w:t xml:space="preserve"> (Accessed: 11 October 2025).</w:t>
      </w:r>
    </w:p>
    <w:p w14:paraId="67CA3D00" w14:textId="1448D2C0" w:rsidR="00B66ECF" w:rsidRDefault="002C6A5C" w:rsidP="004A16A6">
      <w:pPr>
        <w:spacing w:line="360" w:lineRule="auto"/>
        <w:rPr>
          <w:rFonts w:cstheme="minorHAnsi"/>
          <w:shd w:val="clear" w:color="auto" w:fill="FFFFFF"/>
        </w:rPr>
      </w:pPr>
      <w:r w:rsidRPr="002C6A5C">
        <w:rPr>
          <w:rFonts w:cstheme="minorHAnsi"/>
          <w:shd w:val="clear" w:color="auto" w:fill="FFFFFF"/>
        </w:rPr>
        <w:t>Hiatt, J. (2006) </w:t>
      </w:r>
      <w:r w:rsidRPr="002C6A5C">
        <w:rPr>
          <w:rFonts w:cstheme="minorHAnsi"/>
          <w:i/>
          <w:iCs/>
          <w:shd w:val="clear" w:color="auto" w:fill="FFFFFF"/>
        </w:rPr>
        <w:t>ADKAR: a model for change in business, government, and our community</w:t>
      </w:r>
      <w:r w:rsidRPr="002C6A5C">
        <w:rPr>
          <w:rFonts w:cstheme="minorHAnsi"/>
          <w:shd w:val="clear" w:color="auto" w:fill="FFFFFF"/>
        </w:rPr>
        <w:t>. Prosci.</w:t>
      </w:r>
    </w:p>
    <w:p w14:paraId="5964A758" w14:textId="23647B59" w:rsidR="00D567C6" w:rsidRDefault="00B66ECF" w:rsidP="004A16A6">
      <w:pPr>
        <w:shd w:val="clear" w:color="auto" w:fill="FFFFFF"/>
        <w:spacing w:line="360" w:lineRule="auto"/>
        <w:rPr>
          <w:rStyle w:val="Hyperlink"/>
          <w:color w:val="auto"/>
          <w:u w:val="none"/>
        </w:rPr>
      </w:pPr>
      <w:r>
        <w:t xml:space="preserve">Hlupic, V. (2020) </w:t>
      </w:r>
      <w:r>
        <w:rPr>
          <w:i/>
          <w:iCs/>
        </w:rPr>
        <w:t>Why bad management is detrimental to employee wellbeing.</w:t>
      </w:r>
      <w:r>
        <w:t xml:space="preserve"> Available at: </w:t>
      </w:r>
      <w:hyperlink r:id="rId32" w:history="1">
        <w:r w:rsidRPr="00396A99">
          <w:rPr>
            <w:rStyle w:val="Hyperlink"/>
          </w:rPr>
          <w:t>https://www.peoplemanagement.co.uk/article/1746032/why-bad-management-is-detrimental-to-wellbeing</w:t>
        </w:r>
      </w:hyperlink>
      <w:r>
        <w:rPr>
          <w:rStyle w:val="Hyperlink"/>
        </w:rPr>
        <w:t xml:space="preserve"> </w:t>
      </w:r>
      <w:r w:rsidRPr="00B66ECF">
        <w:rPr>
          <w:rStyle w:val="Hyperlink"/>
          <w:color w:val="auto"/>
          <w:u w:val="none"/>
        </w:rPr>
        <w:t>(Accessed: 15 November 2025).</w:t>
      </w:r>
    </w:p>
    <w:p w14:paraId="60DCD92D" w14:textId="11C26505" w:rsidR="007A76FA" w:rsidRDefault="007A76FA" w:rsidP="004A16A6">
      <w:pPr>
        <w:shd w:val="clear" w:color="auto" w:fill="FFFFFF"/>
        <w:spacing w:line="360" w:lineRule="auto"/>
      </w:pPr>
      <w:r>
        <w:t xml:space="preserve">Hogarth, A. and McCartney, C. (2024) </w:t>
      </w:r>
      <w:r w:rsidRPr="007A76FA">
        <w:rPr>
          <w:i/>
          <w:iCs/>
        </w:rPr>
        <w:t xml:space="preserve">Resourcing and talent planning report 2024. </w:t>
      </w:r>
      <w:r>
        <w:t>Chartered Institute of Personnel and Development.</w:t>
      </w:r>
    </w:p>
    <w:p w14:paraId="69AA2AE2" w14:textId="6558EB57" w:rsidR="00DD5F8A" w:rsidRPr="00DD5F8A" w:rsidRDefault="00DD5F8A" w:rsidP="004A16A6">
      <w:pPr>
        <w:shd w:val="clear" w:color="auto" w:fill="FFFFFF"/>
        <w:spacing w:line="360" w:lineRule="auto"/>
        <w:rPr>
          <w:rFonts w:cstheme="minorHAnsi"/>
          <w:color w:val="202020"/>
          <w:shd w:val="clear" w:color="auto" w:fill="FFFFFF"/>
        </w:rPr>
      </w:pPr>
      <w:r w:rsidRPr="005343E2">
        <w:rPr>
          <w:rFonts w:cstheme="minorHAnsi"/>
          <w:color w:val="202020"/>
          <w:shd w:val="clear" w:color="auto" w:fill="FFFFFF"/>
        </w:rPr>
        <w:t xml:space="preserve">Hosseini, S., Moghaddam, A., Damganian, H. </w:t>
      </w:r>
      <w:r>
        <w:rPr>
          <w:rFonts w:cstheme="minorHAnsi"/>
          <w:color w:val="202020"/>
          <w:shd w:val="clear" w:color="auto" w:fill="FFFFFF"/>
        </w:rPr>
        <w:t>and Nikabadi, M.</w:t>
      </w:r>
      <w:r w:rsidRPr="005343E2">
        <w:rPr>
          <w:rFonts w:cstheme="minorHAnsi"/>
          <w:color w:val="202020"/>
          <w:shd w:val="clear" w:color="auto" w:fill="FFFFFF"/>
        </w:rPr>
        <w:t xml:space="preserve"> (2022</w:t>
      </w:r>
      <w:r w:rsidRPr="00DD5F8A">
        <w:rPr>
          <w:rFonts w:cstheme="minorHAnsi"/>
          <w:color w:val="202020"/>
          <w:shd w:val="clear" w:color="auto" w:fill="FFFFFF"/>
        </w:rPr>
        <w:t>)</w:t>
      </w:r>
      <w:r>
        <w:rPr>
          <w:rFonts w:cstheme="minorHAnsi"/>
          <w:color w:val="202020"/>
          <w:shd w:val="clear" w:color="auto" w:fill="FFFFFF"/>
        </w:rPr>
        <w:t xml:space="preserve"> ‘</w:t>
      </w:r>
      <w:hyperlink r:id="rId33" w:tgtFrame="_blank" w:tooltip="The Effect of Perceived Corporate Social Responsibility and Sustainable Human Resources on Employee Engagement with the Moderating Role of the Employer Brand" w:history="1">
        <w:r w:rsidRPr="00DD5F8A">
          <w:rPr>
            <w:rStyle w:val="Hyperlink"/>
            <w:rFonts w:cstheme="minorHAnsi"/>
            <w:color w:val="3D1152"/>
            <w:u w:val="none"/>
            <w:shd w:val="clear" w:color="auto" w:fill="FFFFFF"/>
          </w:rPr>
          <w:t>The Effect of Perceived Corporate Social Responsibility and Sustainable Human Resources on Employee Engagement with the Moderating Role of the Employer Brand</w:t>
        </w:r>
      </w:hyperlink>
      <w:r>
        <w:rPr>
          <w:rFonts w:cstheme="minorHAnsi"/>
          <w:color w:val="202020"/>
          <w:shd w:val="clear" w:color="auto" w:fill="FFFFFF"/>
        </w:rPr>
        <w:t xml:space="preserve">’, </w:t>
      </w:r>
      <w:r w:rsidRPr="00DD5F8A">
        <w:rPr>
          <w:rStyle w:val="Emphasis"/>
          <w:rFonts w:cstheme="minorHAnsi"/>
          <w:color w:val="202020"/>
          <w:shd w:val="clear" w:color="auto" w:fill="FFFFFF"/>
        </w:rPr>
        <w:t>Employee</w:t>
      </w:r>
      <w:r w:rsidRPr="005343E2">
        <w:rPr>
          <w:rStyle w:val="Emphasis"/>
          <w:rFonts w:cstheme="minorHAnsi"/>
          <w:color w:val="202020"/>
          <w:shd w:val="clear" w:color="auto" w:fill="FFFFFF"/>
        </w:rPr>
        <w:t xml:space="preserve"> Responsibilities and Rights Journal</w:t>
      </w:r>
      <w:r>
        <w:rPr>
          <w:rFonts w:cstheme="minorHAnsi"/>
          <w:color w:val="202020"/>
          <w:shd w:val="clear" w:color="auto" w:fill="FFFFFF"/>
        </w:rPr>
        <w:t>,</w:t>
      </w:r>
      <w:r w:rsidRPr="005343E2">
        <w:rPr>
          <w:rFonts w:cstheme="minorHAnsi"/>
          <w:color w:val="202020"/>
          <w:shd w:val="clear" w:color="auto" w:fill="FFFFFF"/>
        </w:rPr>
        <w:t xml:space="preserve"> 34</w:t>
      </w:r>
      <w:r>
        <w:rPr>
          <w:rFonts w:cstheme="minorHAnsi"/>
          <w:color w:val="202020"/>
          <w:shd w:val="clear" w:color="auto" w:fill="FFFFFF"/>
        </w:rPr>
        <w:t xml:space="preserve">(16), </w:t>
      </w:r>
      <w:r w:rsidRPr="005343E2">
        <w:rPr>
          <w:rFonts w:cstheme="minorHAnsi"/>
          <w:color w:val="202020"/>
          <w:shd w:val="clear" w:color="auto" w:fill="FFFFFF"/>
        </w:rPr>
        <w:t>pp</w:t>
      </w:r>
      <w:r>
        <w:rPr>
          <w:rFonts w:cstheme="minorHAnsi"/>
          <w:color w:val="202020"/>
          <w:shd w:val="clear" w:color="auto" w:fill="FFFFFF"/>
        </w:rPr>
        <w:t xml:space="preserve">. </w:t>
      </w:r>
      <w:r w:rsidRPr="005343E2">
        <w:rPr>
          <w:rFonts w:cstheme="minorHAnsi"/>
          <w:color w:val="202020"/>
          <w:shd w:val="clear" w:color="auto" w:fill="FFFFFF"/>
        </w:rPr>
        <w:t>101–12</w:t>
      </w:r>
      <w:r w:rsidR="003B36AE">
        <w:rPr>
          <w:rFonts w:cstheme="minorHAnsi"/>
          <w:color w:val="202020"/>
          <w:shd w:val="clear" w:color="auto" w:fill="FFFFFF"/>
        </w:rPr>
        <w:t>1</w:t>
      </w:r>
      <w:r w:rsidRPr="005343E2">
        <w:rPr>
          <w:rFonts w:cstheme="minorHAnsi"/>
          <w:color w:val="202020"/>
          <w:shd w:val="clear" w:color="auto" w:fill="FFFFFF"/>
        </w:rPr>
        <w:t>.</w:t>
      </w:r>
      <w:r>
        <w:rPr>
          <w:rFonts w:cstheme="minorHAnsi"/>
          <w:color w:val="202020"/>
          <w:shd w:val="clear" w:color="auto" w:fill="FFFFFF"/>
        </w:rPr>
        <w:t xml:space="preserve"> Available at: </w:t>
      </w:r>
      <w:hyperlink r:id="rId34" w:tgtFrame="_blank" w:history="1">
        <w:r w:rsidRPr="00DD5F8A">
          <w:rPr>
            <w:rStyle w:val="Hyperlink"/>
            <w:rFonts w:cstheme="minorHAnsi"/>
            <w:bdr w:val="none" w:sz="0" w:space="0" w:color="auto" w:frame="1"/>
            <w:shd w:val="clear" w:color="auto" w:fill="FFFFFF"/>
          </w:rPr>
          <w:t>10.1007/s10672-021-09376-0</w:t>
        </w:r>
      </w:hyperlink>
    </w:p>
    <w:p w14:paraId="6C2919C3" w14:textId="7326FAE5" w:rsidR="00D567C6" w:rsidRDefault="00D567C6" w:rsidP="004A16A6">
      <w:pPr>
        <w:spacing w:line="360" w:lineRule="auto"/>
        <w:rPr>
          <w:rStyle w:val="Hyperlink"/>
          <w:color w:val="auto"/>
          <w:u w:val="none"/>
        </w:rPr>
      </w:pPr>
      <w:r>
        <w:t xml:space="preserve">ICS Learn. (2021) </w:t>
      </w:r>
      <w:r>
        <w:rPr>
          <w:i/>
          <w:iCs/>
        </w:rPr>
        <w:t xml:space="preserve">6 Ways HR Can Influence Organisational Culture. </w:t>
      </w:r>
      <w:r>
        <w:t xml:space="preserve">Available at:  </w:t>
      </w:r>
      <w:hyperlink r:id="rId35" w:history="1">
        <w:r w:rsidRPr="00D567C6">
          <w:rPr>
            <w:rStyle w:val="Hyperlink"/>
          </w:rPr>
          <w:t>https://www.cipd.org/uk/about/news/six-ways-hr-influences-organisational-culture/ (</w:t>
        </w:r>
      </w:hyperlink>
      <w:r w:rsidRPr="00D567C6">
        <w:rPr>
          <w:rStyle w:val="Hyperlink"/>
          <w:color w:val="auto"/>
          <w:u w:val="none"/>
        </w:rPr>
        <w:t>Accessed: 15 November 2025).</w:t>
      </w:r>
    </w:p>
    <w:p w14:paraId="6350FF42" w14:textId="399A9610" w:rsidR="009903FF" w:rsidRDefault="00911E91" w:rsidP="004A16A6">
      <w:pPr>
        <w:shd w:val="clear" w:color="auto" w:fill="FFFFFF"/>
        <w:spacing w:line="360" w:lineRule="auto"/>
        <w:rPr>
          <w:rStyle w:val="Hyperlink"/>
          <w:color w:val="auto"/>
          <w:u w:val="none"/>
        </w:rPr>
      </w:pPr>
      <w:r>
        <w:t xml:space="preserve">Izidor, N. and Iheriohanma, E. (2015) ‘Nexus between leadership styles, employee retention and performance in organizations in Nigeria’, </w:t>
      </w:r>
      <w:r w:rsidRPr="00911E91">
        <w:rPr>
          <w:i/>
          <w:iCs/>
        </w:rPr>
        <w:t>European Scientific Journal</w:t>
      </w:r>
      <w:r>
        <w:t xml:space="preserve">, 11(13), pp. 185-209. Available at: </w:t>
      </w:r>
      <w:hyperlink r:id="rId36" w:history="1">
        <w:r w:rsidRPr="00024908">
          <w:rPr>
            <w:rStyle w:val="Hyperlink"/>
          </w:rPr>
          <w:t>https://eujournal.org/index.php/esj/article/view/5645</w:t>
        </w:r>
      </w:hyperlink>
      <w:r>
        <w:t xml:space="preserve"> (Accessed: 16 November 2025).</w:t>
      </w:r>
    </w:p>
    <w:p w14:paraId="32BFE09D" w14:textId="0F0395FA" w:rsidR="009903FF" w:rsidRPr="009903FF" w:rsidRDefault="009903FF" w:rsidP="004A16A6">
      <w:pPr>
        <w:shd w:val="clear" w:color="auto" w:fill="FFFFFF"/>
        <w:spacing w:line="360" w:lineRule="auto"/>
        <w:rPr>
          <w:rFonts w:cstheme="minorHAnsi"/>
          <w:color w:val="333333"/>
        </w:rPr>
      </w:pPr>
      <w:r w:rsidRPr="009903FF">
        <w:rPr>
          <w:rFonts w:cstheme="minorHAnsi"/>
          <w:color w:val="333333"/>
        </w:rPr>
        <w:t>Jackson, I. (2024)</w:t>
      </w:r>
      <w:r>
        <w:rPr>
          <w:rFonts w:cstheme="minorHAnsi"/>
          <w:i/>
          <w:iCs/>
          <w:color w:val="333333"/>
        </w:rPr>
        <w:t xml:space="preserve"> Workplace sickness costs businesses over £100bn a year, report finds.</w:t>
      </w:r>
      <w:r>
        <w:rPr>
          <w:rFonts w:cstheme="minorHAnsi"/>
          <w:color w:val="333333"/>
        </w:rPr>
        <w:t xml:space="preserve"> Available at:</w:t>
      </w:r>
      <w:r w:rsidRPr="009903FF">
        <w:rPr>
          <w:rFonts w:cstheme="minorHAnsi"/>
          <w:color w:val="333333"/>
        </w:rPr>
        <w:t xml:space="preserve"> </w:t>
      </w:r>
      <w:hyperlink r:id="rId37" w:history="1">
        <w:r w:rsidRPr="009903FF">
          <w:rPr>
            <w:rStyle w:val="Hyperlink"/>
            <w:rFonts w:cstheme="minorHAnsi"/>
          </w:rPr>
          <w:t>https://www.peoplemanagement.co.uk/article/1882937/workplace-sickness-costs-businesses-100bn-year-report-finds</w:t>
        </w:r>
      </w:hyperlink>
      <w:r w:rsidRPr="009903FF">
        <w:rPr>
          <w:rFonts w:cstheme="minorHAnsi"/>
          <w:color w:val="333333"/>
        </w:rPr>
        <w:t xml:space="preserve"> (Accessed: 15 November 2025).</w:t>
      </w:r>
    </w:p>
    <w:p w14:paraId="5C98DCE2" w14:textId="48C9CE64" w:rsidR="00812CC0" w:rsidRPr="00911E91" w:rsidRDefault="00BA3717" w:rsidP="004A16A6">
      <w:pPr>
        <w:shd w:val="clear" w:color="auto" w:fill="FFFFFF"/>
        <w:spacing w:after="240" w:line="360" w:lineRule="auto"/>
        <w:rPr>
          <w:rFonts w:cstheme="minorHAnsi"/>
          <w:i/>
          <w:iCs/>
          <w:color w:val="1B1B1B"/>
          <w:shd w:val="clear" w:color="auto" w:fill="FFFFFF"/>
        </w:rPr>
      </w:pPr>
      <w:r>
        <w:rPr>
          <w:rStyle w:val="HTMLCite"/>
          <w:rFonts w:cstheme="minorHAnsi"/>
          <w:i w:val="0"/>
          <w:iCs w:val="0"/>
          <w:color w:val="1B1B1B"/>
          <w:shd w:val="clear" w:color="auto" w:fill="FFFFFF"/>
        </w:rPr>
        <w:t xml:space="preserve">Keshta, I. and Odeh, A. (2021) </w:t>
      </w:r>
      <w:r w:rsidRPr="00BA3717">
        <w:rPr>
          <w:rStyle w:val="HTMLCite"/>
          <w:rFonts w:cstheme="minorHAnsi"/>
          <w:i w:val="0"/>
          <w:iCs w:val="0"/>
          <w:color w:val="1B1B1B"/>
          <w:shd w:val="clear" w:color="auto" w:fill="FFFFFF"/>
        </w:rPr>
        <w:t>‘Security and privacy of electronic health records: concerns and challenges’</w:t>
      </w:r>
      <w:r>
        <w:t xml:space="preserve">, </w:t>
      </w:r>
      <w:r>
        <w:rPr>
          <w:i/>
          <w:iCs/>
        </w:rPr>
        <w:t>Egypt</w:t>
      </w:r>
      <w:r w:rsidR="008E312B">
        <w:rPr>
          <w:i/>
          <w:iCs/>
        </w:rPr>
        <w:t>ian</w:t>
      </w:r>
      <w:r>
        <w:rPr>
          <w:i/>
          <w:iCs/>
        </w:rPr>
        <w:t xml:space="preserve"> Informatics Journal, </w:t>
      </w:r>
      <w:r>
        <w:t>22</w:t>
      </w:r>
      <w:r w:rsidR="008E312B">
        <w:t>(2)</w:t>
      </w:r>
      <w:r>
        <w:t>, pp. 177-183. Available at:</w:t>
      </w:r>
      <w:r w:rsidRPr="00BA3717">
        <w:t xml:space="preserve"> </w:t>
      </w:r>
      <w:hyperlink r:id="rId38" w:tgtFrame="_blank" w:history="1">
        <w:r w:rsidRPr="00BA3717">
          <w:rPr>
            <w:rStyle w:val="Hyperlink"/>
            <w:rFonts w:cstheme="minorHAnsi"/>
            <w:color w:val="005EA2"/>
          </w:rPr>
          <w:t>https://doi.org/10.1016/j.eij.2020.07.003</w:t>
        </w:r>
      </w:hyperlink>
      <w:r w:rsidRPr="00BA3717">
        <w:rPr>
          <w:rStyle w:val="HTMLCite"/>
          <w:rFonts w:cstheme="minorHAnsi"/>
          <w:color w:val="1B1B1B"/>
          <w:shd w:val="clear" w:color="auto" w:fill="FFFFFF"/>
        </w:rPr>
        <w:t> </w:t>
      </w:r>
    </w:p>
    <w:p w14:paraId="51513AD7" w14:textId="00FFA67A" w:rsidR="00812CC0" w:rsidRDefault="000A6E44" w:rsidP="004A16A6">
      <w:pPr>
        <w:spacing w:line="360" w:lineRule="auto"/>
      </w:pPr>
      <w:r w:rsidRPr="00A13D21">
        <w:t xml:space="preserve">Kotter, J. P. (1996). </w:t>
      </w:r>
      <w:r w:rsidRPr="00A13D21">
        <w:rPr>
          <w:rStyle w:val="Emphasis"/>
        </w:rPr>
        <w:t>Leading Change</w:t>
      </w:r>
      <w:r w:rsidRPr="00A13D21">
        <w:t>. Harvard Business School Press.</w:t>
      </w:r>
    </w:p>
    <w:p w14:paraId="7B85E8E1" w14:textId="4A640869" w:rsidR="00812CC0" w:rsidRPr="00A13D21" w:rsidRDefault="00812CC0" w:rsidP="004A16A6">
      <w:pPr>
        <w:spacing w:line="360" w:lineRule="auto"/>
      </w:pPr>
      <w:r w:rsidRPr="00A13D21">
        <w:lastRenderedPageBreak/>
        <w:t>Kü</w:t>
      </w:r>
      <w:r>
        <w:t>b</w:t>
      </w:r>
      <w:r w:rsidRPr="00A13D21">
        <w:t xml:space="preserve">ler-Ross, E. </w:t>
      </w:r>
      <w:r>
        <w:t>and</w:t>
      </w:r>
      <w:r w:rsidRPr="00A13D21">
        <w:t xml:space="preserve"> Myss, C. (2008) </w:t>
      </w:r>
      <w:r w:rsidRPr="00812CC0">
        <w:rPr>
          <w:i/>
          <w:iCs/>
        </w:rPr>
        <w:t xml:space="preserve">On life after death. </w:t>
      </w:r>
      <w:r w:rsidRPr="00A13D21">
        <w:t>Celestial Arts</w:t>
      </w:r>
      <w:r>
        <w:t>.</w:t>
      </w:r>
    </w:p>
    <w:p w14:paraId="129B9BBB" w14:textId="1AD2FF1F" w:rsidR="001F73DE" w:rsidRDefault="001F73DE" w:rsidP="004A16A6">
      <w:pPr>
        <w:pStyle w:val="NoSpacing"/>
        <w:spacing w:line="360" w:lineRule="auto"/>
        <w:rPr>
          <w:bdr w:val="none" w:sz="0" w:space="0" w:color="auto" w:frame="1"/>
        </w:rPr>
      </w:pPr>
      <w:r w:rsidRPr="00494439">
        <w:rPr>
          <w:rFonts w:eastAsia="Times New Roman"/>
          <w:lang w:eastAsia="en-GB"/>
        </w:rPr>
        <w:t xml:space="preserve">Kvachantiradze, N. (2023) </w:t>
      </w:r>
      <w:r w:rsidRPr="00494439">
        <w:rPr>
          <w:i/>
          <w:iCs/>
          <w:bdr w:val="none" w:sz="0" w:space="0" w:color="auto" w:frame="1"/>
        </w:rPr>
        <w:t>Exploring Organizational Structures: A Comparison of Flat and Matrix Structures.</w:t>
      </w:r>
      <w:r w:rsidRPr="00494439">
        <w:rPr>
          <w:bdr w:val="none" w:sz="0" w:space="0" w:color="auto" w:frame="1"/>
        </w:rPr>
        <w:t xml:space="preserve"> Available at: </w:t>
      </w:r>
      <w:hyperlink r:id="rId39" w:history="1">
        <w:r w:rsidRPr="00E07E1F">
          <w:rPr>
            <w:rStyle w:val="Hyperlink"/>
            <w:rFonts w:cstheme="minorHAnsi"/>
            <w:bdr w:val="none" w:sz="0" w:space="0" w:color="auto" w:frame="1"/>
          </w:rPr>
          <w:t>https://www.linkedin.com/pulse/exploring-organizational-structures-comparison-flat-nato/</w:t>
        </w:r>
      </w:hyperlink>
      <w:r w:rsidRPr="00E07E1F">
        <w:rPr>
          <w:bdr w:val="none" w:sz="0" w:space="0" w:color="auto" w:frame="1"/>
        </w:rPr>
        <w:t xml:space="preserve"> </w:t>
      </w:r>
      <w:r w:rsidRPr="00494439">
        <w:rPr>
          <w:bdr w:val="none" w:sz="0" w:space="0" w:color="auto" w:frame="1"/>
        </w:rPr>
        <w:t>(Accessed: 11 October 2025)</w:t>
      </w:r>
      <w:r>
        <w:rPr>
          <w:bdr w:val="none" w:sz="0" w:space="0" w:color="auto" w:frame="1"/>
        </w:rPr>
        <w:t>.</w:t>
      </w:r>
    </w:p>
    <w:p w14:paraId="3D66068A" w14:textId="1BA93CF5" w:rsidR="00D83F9B" w:rsidRPr="00D83F9B" w:rsidRDefault="00D83F9B" w:rsidP="004A16A6">
      <w:pPr>
        <w:shd w:val="clear" w:color="auto" w:fill="FFFFFF"/>
        <w:spacing w:line="360" w:lineRule="auto"/>
        <w:rPr>
          <w:rFonts w:cstheme="minorHAnsi"/>
          <w:color w:val="222222"/>
          <w:shd w:val="clear" w:color="auto" w:fill="FFFFFF"/>
        </w:rPr>
      </w:pPr>
      <w:r w:rsidRPr="00D83F9B">
        <w:rPr>
          <w:rFonts w:cstheme="minorHAnsi"/>
          <w:color w:val="222222"/>
          <w:shd w:val="clear" w:color="auto" w:fill="FFFFFF"/>
        </w:rPr>
        <w:t>Lewis, R., Donaldson-Feilder, E. and Tharani, T.</w:t>
      </w:r>
      <w:r>
        <w:rPr>
          <w:rFonts w:cstheme="minorHAnsi"/>
          <w:color w:val="222222"/>
          <w:shd w:val="clear" w:color="auto" w:fill="FFFFFF"/>
        </w:rPr>
        <w:t xml:space="preserve"> (</w:t>
      </w:r>
      <w:r w:rsidRPr="00D83F9B">
        <w:rPr>
          <w:rFonts w:cstheme="minorHAnsi"/>
          <w:color w:val="222222"/>
          <w:shd w:val="clear" w:color="auto" w:fill="FFFFFF"/>
        </w:rPr>
        <w:t>2012</w:t>
      </w:r>
      <w:r>
        <w:rPr>
          <w:rFonts w:cstheme="minorHAnsi"/>
          <w:color w:val="222222"/>
          <w:shd w:val="clear" w:color="auto" w:fill="FFFFFF"/>
        </w:rPr>
        <w:t>)</w:t>
      </w:r>
      <w:r w:rsidRPr="00D83F9B">
        <w:rPr>
          <w:rFonts w:cstheme="minorHAnsi"/>
          <w:color w:val="222222"/>
          <w:shd w:val="clear" w:color="auto" w:fill="FFFFFF"/>
        </w:rPr>
        <w:t xml:space="preserve"> </w:t>
      </w:r>
      <w:r w:rsidRPr="00D83F9B">
        <w:rPr>
          <w:rFonts w:cstheme="minorHAnsi"/>
          <w:i/>
          <w:iCs/>
          <w:color w:val="222222"/>
          <w:shd w:val="clear" w:color="auto" w:fill="FFFFFF"/>
        </w:rPr>
        <w:t>Managing for sustainable employee engagement: Developing a behavioural framework</w:t>
      </w:r>
      <w:r w:rsidRPr="00D83F9B">
        <w:rPr>
          <w:rFonts w:cstheme="minorHAnsi"/>
          <w:color w:val="222222"/>
          <w:shd w:val="clear" w:color="auto" w:fill="FFFFFF"/>
        </w:rPr>
        <w:t xml:space="preserve">. </w:t>
      </w:r>
      <w:r>
        <w:rPr>
          <w:rFonts w:cstheme="minorHAnsi"/>
          <w:color w:val="222222"/>
          <w:shd w:val="clear" w:color="auto" w:fill="FFFFFF"/>
        </w:rPr>
        <w:t>Chartered Institute of Personnel Development.</w:t>
      </w:r>
    </w:p>
    <w:p w14:paraId="25989350" w14:textId="6CD7A5B1" w:rsidR="00317757" w:rsidRPr="00317757" w:rsidRDefault="00317757" w:rsidP="004A16A6">
      <w:pPr>
        <w:spacing w:line="360" w:lineRule="auto"/>
        <w:rPr>
          <w:rFonts w:cstheme="minorHAnsi"/>
        </w:rPr>
      </w:pPr>
      <w:r w:rsidRPr="00A13D21">
        <w:t>Lines, R. (2005)</w:t>
      </w:r>
      <w:r>
        <w:t xml:space="preserve"> ‘</w:t>
      </w:r>
      <w:r w:rsidRPr="00A13D21">
        <w:t>The structure and function of attitudes toward organizational change</w:t>
      </w:r>
      <w:r>
        <w:t>’,</w:t>
      </w:r>
      <w:r w:rsidRPr="00A13D21">
        <w:t xml:space="preserve"> </w:t>
      </w:r>
      <w:r w:rsidRPr="00A13D21">
        <w:rPr>
          <w:rStyle w:val="Emphasis"/>
        </w:rPr>
        <w:t>Human Resource Development Review</w:t>
      </w:r>
      <w:r w:rsidRPr="00A13D21">
        <w:t xml:space="preserve">, 4(1), </w:t>
      </w:r>
      <w:r>
        <w:t xml:space="preserve">pp. </w:t>
      </w:r>
      <w:r w:rsidRPr="00A13D21">
        <w:t>8–32.</w:t>
      </w:r>
      <w:r>
        <w:t xml:space="preserve"> Available at: </w:t>
      </w:r>
      <w:hyperlink r:id="rId40" w:history="1">
        <w:r w:rsidRPr="00317757">
          <w:rPr>
            <w:rStyle w:val="Hyperlink"/>
            <w:rFonts w:cstheme="minorHAnsi"/>
            <w:color w:val="1554B2"/>
            <w:sz w:val="21"/>
            <w:szCs w:val="21"/>
            <w:shd w:val="clear" w:color="auto" w:fill="FFFFFF"/>
          </w:rPr>
          <w:t>https://doi.org/10.1177/1534484304273818</w:t>
        </w:r>
      </w:hyperlink>
    </w:p>
    <w:p w14:paraId="2B5C9D9F" w14:textId="073F8892" w:rsidR="001F73DE" w:rsidRDefault="001F73DE" w:rsidP="004A16A6">
      <w:pPr>
        <w:pStyle w:val="NoSpacing"/>
        <w:spacing w:line="360" w:lineRule="auto"/>
        <w:rPr>
          <w:rFonts w:eastAsia="Times New Roman"/>
          <w:color w:val="3A3A3A"/>
          <w:lang w:eastAsia="en-GB"/>
        </w:rPr>
      </w:pPr>
      <w:r w:rsidRPr="00741BC2">
        <w:rPr>
          <w:rFonts w:eastAsia="Times New Roman"/>
          <w:lang w:eastAsia="en-GB"/>
        </w:rPr>
        <w:t xml:space="preserve">Lucarz, P. (2022) </w:t>
      </w:r>
      <w:r>
        <w:rPr>
          <w:rFonts w:eastAsia="Times New Roman"/>
          <w:i/>
          <w:iCs/>
          <w:lang w:eastAsia="en-GB"/>
        </w:rPr>
        <w:t xml:space="preserve">Five simple steps to workforce planning success. </w:t>
      </w:r>
      <w:r>
        <w:rPr>
          <w:rFonts w:eastAsia="Times New Roman"/>
          <w:lang w:eastAsia="en-GB"/>
        </w:rPr>
        <w:t xml:space="preserve">Available at: </w:t>
      </w:r>
      <w:hyperlink r:id="rId41" w:history="1">
        <w:r w:rsidRPr="00741BC2">
          <w:rPr>
            <w:rStyle w:val="Hyperlink"/>
            <w:rFonts w:eastAsia="Times New Roman" w:cstheme="minorHAnsi"/>
            <w:lang w:eastAsia="en-GB"/>
          </w:rPr>
          <w:t>https://www.peoplemanagement.co.uk/article/1751678/five-simple-steps-workforce-planning-success</w:t>
        </w:r>
      </w:hyperlink>
      <w:r>
        <w:rPr>
          <w:rFonts w:eastAsia="Times New Roman"/>
          <w:color w:val="3A3A3A"/>
          <w:lang w:eastAsia="en-GB"/>
        </w:rPr>
        <w:t xml:space="preserve"> (Accessed: 11 October 2025).</w:t>
      </w:r>
    </w:p>
    <w:p w14:paraId="2B670D3A" w14:textId="34E13B4D" w:rsidR="00BD4A99" w:rsidRPr="00BD4A99" w:rsidRDefault="00BD4A99" w:rsidP="004A16A6">
      <w:pPr>
        <w:shd w:val="clear" w:color="auto" w:fill="FFFFFF"/>
        <w:spacing w:line="360" w:lineRule="auto"/>
      </w:pPr>
      <w:r>
        <w:t xml:space="preserve">Macafee, M. (2007) </w:t>
      </w:r>
      <w:r>
        <w:rPr>
          <w:i/>
          <w:iCs/>
        </w:rPr>
        <w:t xml:space="preserve">How to… conduct exit interviews. </w:t>
      </w:r>
      <w:r>
        <w:t xml:space="preserve">Available at: </w:t>
      </w:r>
      <w:hyperlink r:id="rId42" w:history="1">
        <w:r w:rsidRPr="00024908">
          <w:rPr>
            <w:rStyle w:val="Hyperlink"/>
          </w:rPr>
          <w:t>https://www.peoplemanagement.co.uk/article/1743217/conducting-exit-interviews</w:t>
        </w:r>
      </w:hyperlink>
      <w:r>
        <w:t xml:space="preserve"> (Accessed: 22 November 2025).</w:t>
      </w:r>
    </w:p>
    <w:p w14:paraId="24A991CD" w14:textId="1C86AB33" w:rsidR="00A93E7B" w:rsidRPr="00A93E7B" w:rsidRDefault="00A93E7B" w:rsidP="004A16A6">
      <w:pPr>
        <w:pStyle w:val="NoSpacing"/>
        <w:spacing w:line="360" w:lineRule="auto"/>
        <w:rPr>
          <w:rFonts w:eastAsia="Times New Roman"/>
          <w:color w:val="3A3A3A"/>
          <w:lang w:eastAsia="en-GB"/>
        </w:rPr>
      </w:pPr>
      <w:r w:rsidRPr="00A93E7B">
        <w:rPr>
          <w:rFonts w:eastAsia="Times New Roman"/>
          <w:lang w:eastAsia="en-GB"/>
        </w:rPr>
        <w:t xml:space="preserve">Macdonald, C. and Walton, R. (2007) ‘E-Learning Education Solutions for Caregivers in Long-Term Care (LTC) Facilities: New Possibilities’, </w:t>
      </w:r>
      <w:r w:rsidRPr="00A93E7B">
        <w:rPr>
          <w:rFonts w:eastAsia="Times New Roman"/>
          <w:i/>
          <w:iCs/>
          <w:lang w:eastAsia="en-GB"/>
        </w:rPr>
        <w:t xml:space="preserve">Education for Health, </w:t>
      </w:r>
      <w:r w:rsidRPr="00A93E7B">
        <w:rPr>
          <w:rFonts w:eastAsia="Times New Roman"/>
          <w:lang w:eastAsia="en-GB"/>
        </w:rPr>
        <w:t xml:space="preserve">20(3), pp. 85. Available at: </w:t>
      </w:r>
      <w:hyperlink r:id="rId43" w:tgtFrame="_blank" w:history="1">
        <w:r w:rsidRPr="00A93E7B">
          <w:rPr>
            <w:rStyle w:val="Hyperlink"/>
            <w:rFonts w:cstheme="minorHAnsi"/>
            <w:sz w:val="21"/>
            <w:szCs w:val="21"/>
            <w:bdr w:val="none" w:sz="0" w:space="0" w:color="auto" w:frame="1"/>
            <w:shd w:val="clear" w:color="auto" w:fill="FFFFFF"/>
          </w:rPr>
          <w:t>10.4103/1357-6283.101603</w:t>
        </w:r>
      </w:hyperlink>
    </w:p>
    <w:p w14:paraId="623A974B" w14:textId="1B17A3B9" w:rsidR="001F73DE" w:rsidRPr="001F73DE" w:rsidRDefault="001F73DE" w:rsidP="004A16A6">
      <w:pPr>
        <w:pStyle w:val="NoSpacing"/>
        <w:spacing w:line="360" w:lineRule="auto"/>
        <w:rPr>
          <w:rFonts w:eastAsia="Times New Roman"/>
          <w:color w:val="3A3A3A"/>
          <w:lang w:eastAsia="en-GB"/>
        </w:rPr>
      </w:pPr>
      <w:r w:rsidRPr="004B5EC9">
        <w:rPr>
          <w:rFonts w:eastAsia="Times New Roman"/>
          <w:lang w:eastAsia="en-GB"/>
        </w:rPr>
        <w:t>Marchington, M.</w:t>
      </w:r>
      <w:r>
        <w:rPr>
          <w:rFonts w:eastAsia="Times New Roman"/>
          <w:lang w:eastAsia="en-GB"/>
        </w:rPr>
        <w:t>, Wilkinson, A., Donnelly, R. and Kynighou, A.</w:t>
      </w:r>
      <w:r w:rsidRPr="004B5EC9">
        <w:rPr>
          <w:rFonts w:eastAsia="Times New Roman"/>
          <w:lang w:eastAsia="en-GB"/>
        </w:rPr>
        <w:t xml:space="preserve"> (2021) </w:t>
      </w:r>
      <w:r w:rsidRPr="004B5EC9">
        <w:rPr>
          <w:rFonts w:eastAsia="Times New Roman"/>
          <w:i/>
          <w:iCs/>
          <w:lang w:eastAsia="en-GB"/>
        </w:rPr>
        <w:t>Human resource management at work: the definitive guide</w:t>
      </w:r>
      <w:r w:rsidRPr="004B5EC9">
        <w:rPr>
          <w:rFonts w:eastAsia="Times New Roman"/>
          <w:lang w:eastAsia="en-GB"/>
        </w:rPr>
        <w:t xml:space="preserve">. </w:t>
      </w:r>
      <w:r>
        <w:rPr>
          <w:rFonts w:eastAsia="Times New Roman"/>
          <w:lang w:eastAsia="en-GB"/>
        </w:rPr>
        <w:t>7</w:t>
      </w:r>
      <w:r w:rsidRPr="004B5EC9">
        <w:rPr>
          <w:rFonts w:eastAsia="Times New Roman"/>
          <w:vertAlign w:val="superscript"/>
          <w:lang w:eastAsia="en-GB"/>
        </w:rPr>
        <w:t>th</w:t>
      </w:r>
      <w:r>
        <w:rPr>
          <w:rFonts w:eastAsia="Times New Roman"/>
          <w:lang w:eastAsia="en-GB"/>
        </w:rPr>
        <w:t xml:space="preserve"> edn</w:t>
      </w:r>
      <w:r w:rsidRPr="004B5EC9">
        <w:rPr>
          <w:rFonts w:eastAsia="Times New Roman"/>
          <w:lang w:eastAsia="en-GB"/>
        </w:rPr>
        <w:t>. Kogan</w:t>
      </w:r>
      <w:r>
        <w:rPr>
          <w:rFonts w:eastAsia="Times New Roman"/>
          <w:lang w:eastAsia="en-GB"/>
        </w:rPr>
        <w:t xml:space="preserve"> </w:t>
      </w:r>
      <w:r w:rsidRPr="004B5EC9">
        <w:rPr>
          <w:rFonts w:eastAsia="Times New Roman"/>
          <w:lang w:eastAsia="en-GB"/>
        </w:rPr>
        <w:t>Page.</w:t>
      </w:r>
    </w:p>
    <w:p w14:paraId="146D7CDC" w14:textId="21E21A1A" w:rsidR="001F73DE" w:rsidRDefault="001F73DE" w:rsidP="004A16A6">
      <w:pPr>
        <w:pStyle w:val="NoSpacing"/>
        <w:spacing w:line="360" w:lineRule="auto"/>
        <w:rPr>
          <w:color w:val="222222"/>
          <w:shd w:val="clear" w:color="auto" w:fill="FFFFFF"/>
        </w:rPr>
      </w:pPr>
      <w:r w:rsidRPr="00A2167F">
        <w:rPr>
          <w:color w:val="222222"/>
          <w:shd w:val="clear" w:color="auto" w:fill="FFFFFF"/>
        </w:rPr>
        <w:t xml:space="preserve">Matriano, M. </w:t>
      </w:r>
      <w:r>
        <w:rPr>
          <w:color w:val="222222"/>
          <w:shd w:val="clear" w:color="auto" w:fill="FFFFFF"/>
        </w:rPr>
        <w:t>(</w:t>
      </w:r>
      <w:r w:rsidRPr="00A2167F">
        <w:rPr>
          <w:color w:val="222222"/>
          <w:shd w:val="clear" w:color="auto" w:fill="FFFFFF"/>
        </w:rPr>
        <w:t>2024</w:t>
      </w:r>
      <w:r>
        <w:rPr>
          <w:color w:val="222222"/>
          <w:shd w:val="clear" w:color="auto" w:fill="FFFFFF"/>
        </w:rPr>
        <w:t>)</w:t>
      </w:r>
      <w:r w:rsidRPr="00A2167F">
        <w:rPr>
          <w:color w:val="222222"/>
          <w:shd w:val="clear" w:color="auto" w:fill="FFFFFF"/>
        </w:rPr>
        <w:t xml:space="preserve"> </w:t>
      </w:r>
      <w:r>
        <w:rPr>
          <w:color w:val="222222"/>
          <w:shd w:val="clear" w:color="auto" w:fill="FFFFFF"/>
        </w:rPr>
        <w:t>‘</w:t>
      </w:r>
      <w:r w:rsidRPr="00A2167F">
        <w:rPr>
          <w:color w:val="222222"/>
          <w:shd w:val="clear" w:color="auto" w:fill="FFFFFF"/>
        </w:rPr>
        <w:t>Organizational Structure, Its Drawbacks and Shortcomings and Overall Impact to Organizational Behavior</w:t>
      </w:r>
      <w:r>
        <w:rPr>
          <w:color w:val="222222"/>
          <w:shd w:val="clear" w:color="auto" w:fill="FFFFFF"/>
        </w:rPr>
        <w:t xml:space="preserve">’, </w:t>
      </w:r>
      <w:r w:rsidRPr="00A2167F">
        <w:rPr>
          <w:i/>
          <w:iCs/>
          <w:color w:val="222222"/>
          <w:shd w:val="clear" w:color="auto" w:fill="FFFFFF"/>
        </w:rPr>
        <w:t>G</w:t>
      </w:r>
      <w:r>
        <w:rPr>
          <w:i/>
          <w:iCs/>
          <w:color w:val="222222"/>
          <w:shd w:val="clear" w:color="auto" w:fill="FFFFFF"/>
        </w:rPr>
        <w:t xml:space="preserve">lobal </w:t>
      </w:r>
      <w:r w:rsidRPr="00A2167F">
        <w:rPr>
          <w:i/>
          <w:iCs/>
          <w:color w:val="222222"/>
          <w:shd w:val="clear" w:color="auto" w:fill="FFFFFF"/>
        </w:rPr>
        <w:t>S</w:t>
      </w:r>
      <w:r>
        <w:rPr>
          <w:i/>
          <w:iCs/>
          <w:color w:val="222222"/>
          <w:shd w:val="clear" w:color="auto" w:fill="FFFFFF"/>
        </w:rPr>
        <w:t xml:space="preserve">cientific </w:t>
      </w:r>
      <w:r w:rsidRPr="00A2167F">
        <w:rPr>
          <w:i/>
          <w:iCs/>
          <w:color w:val="222222"/>
          <w:shd w:val="clear" w:color="auto" w:fill="FFFFFF"/>
        </w:rPr>
        <w:t>J</w:t>
      </w:r>
      <w:r>
        <w:rPr>
          <w:i/>
          <w:iCs/>
          <w:color w:val="222222"/>
          <w:shd w:val="clear" w:color="auto" w:fill="FFFFFF"/>
        </w:rPr>
        <w:t>ournals</w:t>
      </w:r>
      <w:r w:rsidRPr="00A2167F">
        <w:rPr>
          <w:color w:val="222222"/>
          <w:shd w:val="clear" w:color="auto" w:fill="FFFFFF"/>
        </w:rPr>
        <w:t>, 12(11)</w:t>
      </w:r>
      <w:r>
        <w:rPr>
          <w:color w:val="222222"/>
          <w:shd w:val="clear" w:color="auto" w:fill="FFFFFF"/>
        </w:rPr>
        <w:t xml:space="preserve">, pp. 1873-1882. Available at: </w:t>
      </w:r>
      <w:hyperlink r:id="rId44" w:history="1">
        <w:r w:rsidRPr="00024908">
          <w:rPr>
            <w:rStyle w:val="Hyperlink"/>
            <w:rFonts w:cstheme="minorHAnsi"/>
            <w:shd w:val="clear" w:color="auto" w:fill="FFFFFF"/>
          </w:rPr>
          <w:t>https://www.globalscientificjournal.com/researchpaper/Organizational_Structure_Its_Drawbacks_and_Shortcomings_and_Overall_Impact_to_Organizational_Behavior.pdf</w:t>
        </w:r>
      </w:hyperlink>
      <w:r>
        <w:rPr>
          <w:color w:val="222222"/>
          <w:shd w:val="clear" w:color="auto" w:fill="FFFFFF"/>
        </w:rPr>
        <w:t xml:space="preserve"> (Accessed: 25 October 2025).</w:t>
      </w:r>
    </w:p>
    <w:p w14:paraId="4BF83FB5" w14:textId="4730E61D" w:rsidR="00E4619A" w:rsidRDefault="00E4619A" w:rsidP="004A16A6">
      <w:pPr>
        <w:shd w:val="clear" w:color="auto" w:fill="FFFFFF"/>
        <w:spacing w:line="360" w:lineRule="auto"/>
      </w:pPr>
      <w:r>
        <w:t xml:space="preserve">Mayne, M. (2023) </w:t>
      </w:r>
      <w:r>
        <w:rPr>
          <w:i/>
          <w:iCs/>
        </w:rPr>
        <w:t>Identifying the causes of workload stress and tackling different management styles – what we learned from the CIPD Health and wellbeing at work report.</w:t>
      </w:r>
      <w:r w:rsidR="00702C06">
        <w:rPr>
          <w:i/>
          <w:iCs/>
        </w:rPr>
        <w:t xml:space="preserve"> </w:t>
      </w:r>
      <w:r w:rsidR="00702C06">
        <w:t xml:space="preserve">Available at: </w:t>
      </w:r>
      <w:hyperlink r:id="rId45" w:history="1">
        <w:r w:rsidR="00702C06" w:rsidRPr="00024908">
          <w:rPr>
            <w:rStyle w:val="Hyperlink"/>
          </w:rPr>
          <w:t>https://www.peoplemanagement.co.uk/article/1839181/identifying-causes-workload-stress-tackling-different-management-styles-%E2%80%93-learned-cipd-health-wellbeing-work-report</w:t>
        </w:r>
      </w:hyperlink>
      <w:r w:rsidR="00702C06">
        <w:t xml:space="preserve"> (Accessed: 15 November 2025).</w:t>
      </w:r>
    </w:p>
    <w:p w14:paraId="39F8AFBE" w14:textId="5B65FBED" w:rsidR="00C667F4" w:rsidRDefault="00C667F4" w:rsidP="004A16A6">
      <w:pPr>
        <w:shd w:val="clear" w:color="auto" w:fill="FFFFFF"/>
        <w:spacing w:line="360" w:lineRule="auto"/>
        <w:rPr>
          <w:rFonts w:cstheme="minorHAnsi"/>
          <w:color w:val="202020"/>
          <w:shd w:val="clear" w:color="auto" w:fill="FFFFFF"/>
        </w:rPr>
      </w:pPr>
      <w:r w:rsidRPr="005343E2">
        <w:rPr>
          <w:rFonts w:cstheme="minorHAnsi"/>
          <w:color w:val="202020"/>
          <w:shd w:val="clear" w:color="auto" w:fill="FFFFFF"/>
        </w:rPr>
        <w:t xml:space="preserve">McCartney, C. and Noble, K. (2025) </w:t>
      </w:r>
      <w:r>
        <w:rPr>
          <w:rFonts w:cstheme="minorHAnsi"/>
          <w:i/>
          <w:iCs/>
          <w:color w:val="202020"/>
          <w:shd w:val="clear" w:color="auto" w:fill="FFFFFF"/>
        </w:rPr>
        <w:t xml:space="preserve">Analysis | Activating your employer brand to recruit and retain in a challenging climate. </w:t>
      </w:r>
      <w:r>
        <w:rPr>
          <w:rFonts w:cstheme="minorHAnsi"/>
          <w:color w:val="202020"/>
          <w:shd w:val="clear" w:color="auto" w:fill="FFFFFF"/>
        </w:rPr>
        <w:t xml:space="preserve">Available at: </w:t>
      </w:r>
      <w:hyperlink r:id="rId46" w:history="1">
        <w:r w:rsidRPr="00024908">
          <w:rPr>
            <w:rStyle w:val="Hyperlink"/>
            <w:rFonts w:cstheme="minorHAnsi"/>
            <w:shd w:val="clear" w:color="auto" w:fill="FFFFFF"/>
          </w:rPr>
          <w:t>https://www.cipd.org/uk/views-and-insights/thought-leadership/insight/activating-employer-brand/</w:t>
        </w:r>
      </w:hyperlink>
      <w:r>
        <w:rPr>
          <w:rFonts w:cstheme="minorHAnsi"/>
          <w:color w:val="202020"/>
          <w:shd w:val="clear" w:color="auto" w:fill="FFFFFF"/>
        </w:rPr>
        <w:t xml:space="preserve"> (Accessed: 22 November 2025).</w:t>
      </w:r>
    </w:p>
    <w:p w14:paraId="727E9793" w14:textId="7E324047" w:rsidR="00D23F4C" w:rsidRPr="00D23F4C" w:rsidRDefault="00D23F4C" w:rsidP="004A16A6">
      <w:pPr>
        <w:shd w:val="clear" w:color="auto" w:fill="FFFFFF"/>
        <w:spacing w:line="360" w:lineRule="auto"/>
      </w:pPr>
      <w:r>
        <w:lastRenderedPageBreak/>
        <w:t xml:space="preserve">Muller-Heyndyk, R. (2019) </w:t>
      </w:r>
      <w:r>
        <w:rPr>
          <w:i/>
          <w:iCs/>
        </w:rPr>
        <w:t xml:space="preserve">Managers failing on the basics of successful one to ones. </w:t>
      </w:r>
      <w:r>
        <w:t xml:space="preserve">Available at: </w:t>
      </w:r>
      <w:hyperlink r:id="rId47" w:history="1">
        <w:r w:rsidRPr="00024908">
          <w:rPr>
            <w:rStyle w:val="Hyperlink"/>
          </w:rPr>
          <w:t>https://www.hrmagazine.co.uk/content/news/managers-failing-on-the-basics-of-successful-one-to-ones</w:t>
        </w:r>
      </w:hyperlink>
      <w:r w:rsidR="00924398">
        <w:t xml:space="preserve"> </w:t>
      </w:r>
      <w:r w:rsidR="00924398">
        <w:rPr>
          <w:rFonts w:cstheme="minorHAnsi"/>
          <w:color w:val="202020"/>
          <w:shd w:val="clear" w:color="auto" w:fill="FFFFFF"/>
        </w:rPr>
        <w:t>(Accessed: 22 November 2025).</w:t>
      </w:r>
    </w:p>
    <w:p w14:paraId="2715B905" w14:textId="3BACC1FA" w:rsidR="001F73DE" w:rsidRDefault="001F73DE" w:rsidP="004A16A6">
      <w:pPr>
        <w:pStyle w:val="NoSpacing"/>
        <w:spacing w:line="360" w:lineRule="auto"/>
        <w:rPr>
          <w:rFonts w:eastAsia="Times New Roman"/>
          <w:lang w:eastAsia="en-GB"/>
        </w:rPr>
      </w:pPr>
      <w:r w:rsidRPr="00EE0909">
        <w:rPr>
          <w:rFonts w:eastAsia="Times New Roman"/>
          <w:lang w:eastAsia="en-GB"/>
        </w:rPr>
        <w:t>Mullins, L. and McLean, J. (2019) </w:t>
      </w:r>
      <w:r w:rsidRPr="00EE0909">
        <w:rPr>
          <w:rFonts w:eastAsia="Times New Roman"/>
          <w:i/>
          <w:iCs/>
          <w:lang w:eastAsia="en-GB"/>
        </w:rPr>
        <w:t>Organisational behaviour in the workplace</w:t>
      </w:r>
      <w:r w:rsidRPr="00EE0909">
        <w:rPr>
          <w:rFonts w:eastAsia="Times New Roman"/>
          <w:lang w:eastAsia="en-GB"/>
        </w:rPr>
        <w:t xml:space="preserve">. </w:t>
      </w:r>
      <w:r>
        <w:rPr>
          <w:rFonts w:eastAsia="Times New Roman"/>
          <w:lang w:eastAsia="en-GB"/>
        </w:rPr>
        <w:t>12</w:t>
      </w:r>
      <w:r w:rsidRPr="00EE0909">
        <w:rPr>
          <w:rFonts w:eastAsia="Times New Roman"/>
          <w:vertAlign w:val="superscript"/>
          <w:lang w:eastAsia="en-GB"/>
        </w:rPr>
        <w:t>th</w:t>
      </w:r>
      <w:r>
        <w:rPr>
          <w:rFonts w:eastAsia="Times New Roman"/>
          <w:lang w:eastAsia="en-GB"/>
        </w:rPr>
        <w:t xml:space="preserve"> edn</w:t>
      </w:r>
      <w:r w:rsidRPr="00EE0909">
        <w:rPr>
          <w:rFonts w:eastAsia="Times New Roman"/>
          <w:lang w:eastAsia="en-GB"/>
        </w:rPr>
        <w:t>. Pearson Education Limited.</w:t>
      </w:r>
    </w:p>
    <w:p w14:paraId="349981C7" w14:textId="5CC7553D" w:rsidR="0062022D" w:rsidRPr="0062022D" w:rsidRDefault="0062022D" w:rsidP="004A16A6">
      <w:pPr>
        <w:pStyle w:val="NoSpacing"/>
        <w:spacing w:line="360" w:lineRule="auto"/>
        <w:rPr>
          <w:rFonts w:eastAsia="Times New Roman"/>
          <w:lang w:eastAsia="en-GB"/>
        </w:rPr>
      </w:pPr>
      <w:r>
        <w:rPr>
          <w:rFonts w:eastAsia="Times New Roman"/>
          <w:lang w:eastAsia="en-GB"/>
        </w:rPr>
        <w:t xml:space="preserve">Myers, P., Hulks, S. and Wiggins, L. (2012) </w:t>
      </w:r>
      <w:r w:rsidR="00132E56" w:rsidRPr="00132E56">
        <w:rPr>
          <w:rFonts w:eastAsia="Times New Roman"/>
          <w:i/>
          <w:iCs/>
          <w:lang w:eastAsia="en-GB"/>
        </w:rPr>
        <w:t xml:space="preserve">Organizational Change: </w:t>
      </w:r>
      <w:r w:rsidRPr="00132E56">
        <w:rPr>
          <w:rFonts w:eastAsia="Times New Roman"/>
          <w:i/>
          <w:iCs/>
          <w:lang w:eastAsia="en-GB"/>
        </w:rPr>
        <w:t>Perspective</w:t>
      </w:r>
      <w:r w:rsidR="00132E56">
        <w:rPr>
          <w:rFonts w:eastAsia="Times New Roman"/>
          <w:i/>
          <w:iCs/>
          <w:lang w:eastAsia="en-GB"/>
        </w:rPr>
        <w:t>s</w:t>
      </w:r>
      <w:r>
        <w:rPr>
          <w:rFonts w:eastAsia="Times New Roman"/>
          <w:i/>
          <w:iCs/>
          <w:lang w:eastAsia="en-GB"/>
        </w:rPr>
        <w:t xml:space="preserve"> on Theory and Practice. </w:t>
      </w:r>
      <w:r>
        <w:rPr>
          <w:rFonts w:eastAsia="Times New Roman"/>
          <w:lang w:eastAsia="en-GB"/>
        </w:rPr>
        <w:t>OUP Oxford.</w:t>
      </w:r>
    </w:p>
    <w:p w14:paraId="2F7F0D9C" w14:textId="4EF55C1C" w:rsidR="001F73DE" w:rsidRDefault="001F73DE" w:rsidP="004A16A6">
      <w:pPr>
        <w:pStyle w:val="NoSpacing"/>
        <w:spacing w:line="360" w:lineRule="auto"/>
      </w:pPr>
      <w:r w:rsidRPr="00EE00A0">
        <w:rPr>
          <w:lang w:eastAsia="en-GB"/>
        </w:rPr>
        <w:t xml:space="preserve">Myers, W. and Parson, J. (2020) ‘Strategic Planning and Organizational Performance’, </w:t>
      </w:r>
      <w:r w:rsidRPr="00EE00A0">
        <w:rPr>
          <w:i/>
          <w:iCs/>
          <w:lang w:eastAsia="en-GB"/>
        </w:rPr>
        <w:t xml:space="preserve">International Journal of Management, </w:t>
      </w:r>
      <w:r w:rsidRPr="00EE00A0">
        <w:rPr>
          <w:lang w:eastAsia="en-GB"/>
        </w:rPr>
        <w:t>1(1), pp. 1-3.</w:t>
      </w:r>
      <w:r>
        <w:rPr>
          <w:lang w:eastAsia="en-GB"/>
        </w:rPr>
        <w:t xml:space="preserve"> Available at: </w:t>
      </w:r>
      <w:hyperlink r:id="rId48" w:tgtFrame="_blank" w:history="1">
        <w:r w:rsidRPr="00EE00A0">
          <w:rPr>
            <w:rStyle w:val="Hyperlink"/>
            <w:rFonts w:cstheme="minorHAnsi"/>
            <w:bdr w:val="single" w:sz="2" w:space="0" w:color="E5E7EB" w:frame="1"/>
            <w:shd w:val="clear" w:color="auto" w:fill="FFFFFF"/>
          </w:rPr>
          <w:t>https://doi.org/10.61336/jad/25-04-01</w:t>
        </w:r>
      </w:hyperlink>
    </w:p>
    <w:p w14:paraId="7CA633B4" w14:textId="06BFB548" w:rsidR="00A51407" w:rsidRDefault="00A51407" w:rsidP="004A16A6">
      <w:pPr>
        <w:pStyle w:val="NoSpacing"/>
        <w:spacing w:line="360" w:lineRule="auto"/>
      </w:pPr>
      <w:r>
        <w:t xml:space="preserve">NHS England. (2025) </w:t>
      </w:r>
      <w:r>
        <w:rPr>
          <w:i/>
          <w:iCs/>
        </w:rPr>
        <w:t xml:space="preserve">Nationwide roll out of artificial intelligence tool that predicts falls and viruses. </w:t>
      </w:r>
      <w:r>
        <w:t xml:space="preserve">Available at: </w:t>
      </w:r>
      <w:hyperlink r:id="rId49" w:history="1">
        <w:r w:rsidRPr="00024908">
          <w:rPr>
            <w:rStyle w:val="Hyperlink"/>
          </w:rPr>
          <w:t>https://www.england.nhs.uk/2025/03/nationwide-roll-out-of-artificial-intelligence-tool-that-predicts-falls-and-viruses/</w:t>
        </w:r>
      </w:hyperlink>
      <w:r>
        <w:t xml:space="preserve"> (Accessed: 11 November 2025).</w:t>
      </w:r>
    </w:p>
    <w:p w14:paraId="70F23821" w14:textId="57DB7533" w:rsidR="00803430" w:rsidRDefault="00803430" w:rsidP="004A16A6">
      <w:pPr>
        <w:pStyle w:val="NoSpacing"/>
        <w:spacing w:line="360" w:lineRule="auto"/>
        <w:rPr>
          <w:rFonts w:cstheme="minorHAnsi"/>
          <w:bdr w:val="none" w:sz="0" w:space="0" w:color="auto" w:frame="1"/>
        </w:rPr>
      </w:pPr>
      <w:r>
        <w:t xml:space="preserve">Ogu, S. (2024) ‘Employee participation in decision-making and organizational commitment: A study of modern organizations’, </w:t>
      </w:r>
      <w:r>
        <w:rPr>
          <w:i/>
          <w:iCs/>
        </w:rPr>
        <w:t xml:space="preserve">Journal of Commerce, Management and Tourism Studies, </w:t>
      </w:r>
      <w:r>
        <w:t xml:space="preserve">3(1), pp. 55-64. Available at: </w:t>
      </w:r>
      <w:hyperlink r:id="rId50" w:history="1">
        <w:r w:rsidRPr="00803430">
          <w:rPr>
            <w:rStyle w:val="Hyperlink"/>
            <w:rFonts w:cstheme="minorHAnsi"/>
            <w:bdr w:val="none" w:sz="0" w:space="0" w:color="auto" w:frame="1"/>
          </w:rPr>
          <w:t>10.58881/jcmts.v3i1.208</w:t>
        </w:r>
      </w:hyperlink>
    </w:p>
    <w:p w14:paraId="192C0690" w14:textId="15F05D62" w:rsidR="0021289E" w:rsidRDefault="0021289E" w:rsidP="004A16A6">
      <w:pPr>
        <w:pStyle w:val="NoSpacing"/>
        <w:spacing w:line="360" w:lineRule="auto"/>
        <w:rPr>
          <w:rFonts w:cstheme="minorHAnsi"/>
          <w:bdr w:val="none" w:sz="0" w:space="0" w:color="auto" w:frame="1"/>
        </w:rPr>
      </w:pPr>
      <w:r>
        <w:t xml:space="preserve">Purcell, J., Kinnie, K., Hutchinson, R., Rayton, B. and Swart, J. (2003) </w:t>
      </w:r>
      <w:r w:rsidRPr="0021289E">
        <w:rPr>
          <w:i/>
          <w:iCs/>
        </w:rPr>
        <w:t>Understanding the People and Performance Link: Unlocking the black box</w:t>
      </w:r>
      <w:r>
        <w:t>. Chartered Institute of Personnel Development.</w:t>
      </w:r>
    </w:p>
    <w:p w14:paraId="5539A8DF" w14:textId="38EA151A" w:rsidR="00DA632B" w:rsidRPr="005343E2" w:rsidRDefault="00DA632B" w:rsidP="004A16A6">
      <w:pPr>
        <w:shd w:val="clear" w:color="auto" w:fill="FFFFFF"/>
        <w:spacing w:line="360" w:lineRule="auto"/>
      </w:pPr>
      <w:r w:rsidRPr="005343E2">
        <w:t xml:space="preserve">Quilliam, G. (2024) </w:t>
      </w:r>
      <w:r>
        <w:rPr>
          <w:i/>
          <w:iCs/>
        </w:rPr>
        <w:t xml:space="preserve">Talent management. </w:t>
      </w:r>
      <w:r>
        <w:t xml:space="preserve">Available at: </w:t>
      </w:r>
      <w:hyperlink r:id="rId51" w:history="1">
        <w:r w:rsidRPr="00024908">
          <w:rPr>
            <w:rStyle w:val="Hyperlink"/>
          </w:rPr>
          <w:t>https://www.cipd.org/uk/knowledge/factsheets/talent-factsheet/</w:t>
        </w:r>
      </w:hyperlink>
      <w:r>
        <w:rPr>
          <w:rStyle w:val="Hyperlink"/>
        </w:rPr>
        <w:t xml:space="preserve"> </w:t>
      </w:r>
      <w:r w:rsidRPr="00DA632B">
        <w:rPr>
          <w:rStyle w:val="Hyperlink"/>
          <w:color w:val="auto"/>
          <w:u w:val="none"/>
        </w:rPr>
        <w:t>(Accessed: 16 November 2025).</w:t>
      </w:r>
    </w:p>
    <w:p w14:paraId="35F38A4C" w14:textId="401B2942" w:rsidR="00A539C4" w:rsidRDefault="00A539C4" w:rsidP="004A16A6">
      <w:pPr>
        <w:shd w:val="clear" w:color="auto" w:fill="FFFFFF"/>
        <w:spacing w:line="360" w:lineRule="auto"/>
        <w:rPr>
          <w:rFonts w:eastAsia="Times New Roman" w:cstheme="minorHAnsi"/>
          <w:lang w:eastAsia="en-GB"/>
        </w:rPr>
      </w:pPr>
      <w:r w:rsidRPr="00A539C4">
        <w:rPr>
          <w:rFonts w:eastAsia="Times New Roman" w:cstheme="minorHAnsi"/>
          <w:lang w:eastAsia="en-GB"/>
        </w:rPr>
        <w:t>Robbins, S. and Judge, T. (2017) </w:t>
      </w:r>
      <w:r w:rsidRPr="00A539C4">
        <w:rPr>
          <w:rFonts w:eastAsia="Times New Roman" w:cstheme="minorHAnsi"/>
          <w:i/>
          <w:iCs/>
          <w:lang w:eastAsia="en-GB"/>
        </w:rPr>
        <w:t>Organizational behavior</w:t>
      </w:r>
      <w:r>
        <w:rPr>
          <w:rFonts w:eastAsia="Times New Roman" w:cstheme="minorHAnsi"/>
          <w:i/>
          <w:iCs/>
          <w:lang w:eastAsia="en-GB"/>
        </w:rPr>
        <w:t xml:space="preserve">. </w:t>
      </w:r>
      <w:r>
        <w:rPr>
          <w:rFonts w:eastAsia="Times New Roman" w:cstheme="minorHAnsi"/>
          <w:lang w:eastAsia="en-GB"/>
        </w:rPr>
        <w:t>17</w:t>
      </w:r>
      <w:r w:rsidRPr="00A539C4">
        <w:rPr>
          <w:rFonts w:eastAsia="Times New Roman" w:cstheme="minorHAnsi"/>
          <w:vertAlign w:val="superscript"/>
          <w:lang w:eastAsia="en-GB"/>
        </w:rPr>
        <w:t>th</w:t>
      </w:r>
      <w:r>
        <w:rPr>
          <w:rFonts w:eastAsia="Times New Roman" w:cstheme="minorHAnsi"/>
          <w:lang w:eastAsia="en-GB"/>
        </w:rPr>
        <w:t xml:space="preserve"> edn. </w:t>
      </w:r>
      <w:r w:rsidRPr="00A539C4">
        <w:rPr>
          <w:rFonts w:eastAsia="Times New Roman" w:cstheme="minorHAnsi"/>
          <w:lang w:eastAsia="en-GB"/>
        </w:rPr>
        <w:t>Pearson.</w:t>
      </w:r>
    </w:p>
    <w:p w14:paraId="5458C878" w14:textId="6F49E7DE" w:rsidR="00894CDE" w:rsidRDefault="00894CDE" w:rsidP="004A16A6">
      <w:pPr>
        <w:spacing w:line="360" w:lineRule="auto"/>
        <w:rPr>
          <w:rStyle w:val="Hyperlink"/>
          <w:color w:val="auto"/>
          <w:u w:val="none"/>
        </w:rPr>
      </w:pPr>
      <w:r w:rsidRPr="00A13D21">
        <w:t>Roberts</w:t>
      </w:r>
      <w:r>
        <w:t xml:space="preserve">, A. </w:t>
      </w:r>
      <w:r w:rsidRPr="00A13D21">
        <w:t>and Tracey</w:t>
      </w:r>
      <w:r>
        <w:t xml:space="preserve">, H. </w:t>
      </w:r>
      <w:r w:rsidRPr="00A13D21">
        <w:t>(2024)</w:t>
      </w:r>
      <w:r>
        <w:t xml:space="preserve"> </w:t>
      </w:r>
      <w:r>
        <w:rPr>
          <w:i/>
          <w:iCs/>
        </w:rPr>
        <w:t xml:space="preserve">Change management: A guide for people professionals. </w:t>
      </w:r>
      <w:r>
        <w:t>Available at:</w:t>
      </w:r>
      <w:r w:rsidRPr="00A13D21">
        <w:t xml:space="preserve"> </w:t>
      </w:r>
      <w:hyperlink r:id="rId52" w:history="1">
        <w:r w:rsidRPr="00894CDE">
          <w:rPr>
            <w:rStyle w:val="Hyperlink"/>
          </w:rPr>
          <w:t>https://www.cipd.org/uk/knowledge/guides/change-management/#what-is-change-management</w:t>
        </w:r>
      </w:hyperlink>
      <w:r w:rsidRPr="00894CDE">
        <w:rPr>
          <w:rStyle w:val="Hyperlink"/>
          <w:color w:val="auto"/>
          <w:u w:val="none"/>
        </w:rPr>
        <w:t xml:space="preserve"> (Accessed: 11 November 2025).</w:t>
      </w:r>
    </w:p>
    <w:p w14:paraId="3C99E934" w14:textId="30B1C174" w:rsidR="00272749" w:rsidRPr="00894CDE" w:rsidRDefault="00272749" w:rsidP="004A16A6">
      <w:pPr>
        <w:spacing w:line="360" w:lineRule="auto"/>
      </w:pPr>
      <w:r w:rsidRPr="00A13D21">
        <w:t>Rousseau,</w:t>
      </w:r>
      <w:r>
        <w:t xml:space="preserve"> D. and </w:t>
      </w:r>
      <w:r w:rsidRPr="00A13D21">
        <w:t xml:space="preserve">ten Have, </w:t>
      </w:r>
      <w:r>
        <w:t>S. (2022) ‘</w:t>
      </w:r>
      <w:r w:rsidRPr="00A13D21">
        <w:t>Evidence-based change management</w:t>
      </w:r>
      <w:r>
        <w:t>’</w:t>
      </w:r>
      <w:r w:rsidRPr="00A13D21">
        <w:t xml:space="preserve">, </w:t>
      </w:r>
      <w:r w:rsidRPr="00272749">
        <w:rPr>
          <w:i/>
          <w:iCs/>
        </w:rPr>
        <w:t>Organizational Dynamics</w:t>
      </w:r>
      <w:r w:rsidRPr="00A13D21">
        <w:t xml:space="preserve">, </w:t>
      </w:r>
      <w:r>
        <w:t>5</w:t>
      </w:r>
      <w:r w:rsidRPr="00A13D21">
        <w:t>1</w:t>
      </w:r>
      <w:r>
        <w:t>(</w:t>
      </w:r>
      <w:r w:rsidRPr="00A13D21">
        <w:t>3</w:t>
      </w:r>
      <w:r>
        <w:t xml:space="preserve">). Available at: </w:t>
      </w:r>
      <w:hyperlink r:id="rId53" w:history="1">
        <w:r w:rsidRPr="00024908">
          <w:rPr>
            <w:rStyle w:val="Hyperlink"/>
          </w:rPr>
          <w:t>https://doi.org/10.1016/j.orgdyn.2022.100899</w:t>
        </w:r>
      </w:hyperlink>
      <w:r>
        <w:rPr>
          <w:rStyle w:val="Hyperlink"/>
        </w:rPr>
        <w:t xml:space="preserve"> </w:t>
      </w:r>
    </w:p>
    <w:p w14:paraId="305D3A21" w14:textId="71BEF07F" w:rsidR="00107EB3" w:rsidRPr="00107EB3" w:rsidRDefault="00107EB3" w:rsidP="004A16A6">
      <w:pPr>
        <w:spacing w:line="360" w:lineRule="auto"/>
      </w:pPr>
      <w:r>
        <w:t xml:space="preserve">Ruck, K. (2017) ‘Smiling, but not with his eyes: authentic employee voice for inclusive organisations’, </w:t>
      </w:r>
      <w:r>
        <w:rPr>
          <w:i/>
          <w:iCs/>
        </w:rPr>
        <w:t>CIPD Applied Research Conference 2017.</w:t>
      </w:r>
      <w:r>
        <w:t xml:space="preserve"> Strathclyde Business School (Glasgow), 30-1 December. CIPD, pp. 1-8. Available at: </w:t>
      </w:r>
      <w:hyperlink r:id="rId54" w:history="1">
        <w:r w:rsidR="0085126E" w:rsidRPr="00024908">
          <w:rPr>
            <w:rStyle w:val="Hyperlink"/>
          </w:rPr>
          <w:t>https://www.cipd.org/globalassets/media/comms/get-involved/events/smiling-but-not-with-his-eyes_2017-authentic-employee-voice-for-inclusive-organisations_tcm18-39492.pdf</w:t>
        </w:r>
      </w:hyperlink>
      <w:r w:rsidR="0085126E">
        <w:t xml:space="preserve"> (Accessed: 11 November 2025).</w:t>
      </w:r>
    </w:p>
    <w:p w14:paraId="76E34073" w14:textId="6C1CFA72" w:rsidR="00F919AD" w:rsidRPr="00F919AD" w:rsidRDefault="00F919AD" w:rsidP="004A16A6">
      <w:pPr>
        <w:shd w:val="clear" w:color="auto" w:fill="FFFFFF"/>
        <w:spacing w:line="360" w:lineRule="auto"/>
        <w:rPr>
          <w:rFonts w:eastAsia="Times New Roman" w:cstheme="minorHAnsi"/>
          <w:lang w:eastAsia="en-GB"/>
        </w:rPr>
      </w:pPr>
      <w:r>
        <w:rPr>
          <w:rFonts w:eastAsia="Times New Roman" w:cstheme="minorHAnsi"/>
          <w:lang w:eastAsia="en-GB"/>
        </w:rPr>
        <w:t xml:space="preserve">Schein, E. (1992) </w:t>
      </w:r>
      <w:r>
        <w:rPr>
          <w:rFonts w:eastAsia="Times New Roman" w:cstheme="minorHAnsi"/>
          <w:i/>
          <w:iCs/>
          <w:lang w:eastAsia="en-GB"/>
        </w:rPr>
        <w:t xml:space="preserve">Organizational Culture and Leadership. </w:t>
      </w:r>
      <w:r>
        <w:rPr>
          <w:rFonts w:eastAsia="Times New Roman" w:cstheme="minorHAnsi"/>
          <w:lang w:eastAsia="en-GB"/>
        </w:rPr>
        <w:t>Jossey-Bass Publishers.</w:t>
      </w:r>
    </w:p>
    <w:p w14:paraId="29FA0767" w14:textId="349108EC" w:rsidR="00FC4F13" w:rsidRDefault="00FC4F13" w:rsidP="004A16A6">
      <w:pPr>
        <w:shd w:val="clear" w:color="auto" w:fill="FFFFFF"/>
        <w:spacing w:line="360" w:lineRule="auto"/>
        <w:rPr>
          <w:rFonts w:eastAsia="Times New Roman" w:cstheme="minorHAnsi"/>
          <w:lang w:eastAsia="en-GB"/>
        </w:rPr>
      </w:pPr>
      <w:r w:rsidRPr="00FC4F13">
        <w:rPr>
          <w:rFonts w:eastAsia="Times New Roman" w:cstheme="minorHAnsi"/>
          <w:lang w:eastAsia="en-GB"/>
        </w:rPr>
        <w:lastRenderedPageBreak/>
        <w:t>Schneider, B. and Barbera, K. (eds) (2014) </w:t>
      </w:r>
      <w:r w:rsidRPr="00FC4F13">
        <w:rPr>
          <w:rFonts w:eastAsia="Times New Roman" w:cstheme="minorHAnsi"/>
          <w:i/>
          <w:iCs/>
          <w:lang w:eastAsia="en-GB"/>
        </w:rPr>
        <w:t>The Oxford handbook of organizational climate and culture</w:t>
      </w:r>
      <w:r w:rsidRPr="00FC4F13">
        <w:rPr>
          <w:rFonts w:eastAsia="Times New Roman" w:cstheme="minorHAnsi"/>
          <w:lang w:eastAsia="en-GB"/>
        </w:rPr>
        <w:t>. 1st ed. Oxford University Press.</w:t>
      </w:r>
    </w:p>
    <w:p w14:paraId="7AA72C3E" w14:textId="151558EA" w:rsidR="007C473A" w:rsidRDefault="007C473A" w:rsidP="004A16A6">
      <w:pPr>
        <w:shd w:val="clear" w:color="auto" w:fill="FFFFFF"/>
        <w:spacing w:line="360" w:lineRule="auto"/>
        <w:rPr>
          <w:rFonts w:eastAsia="Times New Roman" w:cstheme="minorHAnsi"/>
          <w:lang w:eastAsia="en-GB"/>
        </w:rPr>
      </w:pPr>
      <w:r w:rsidRPr="007C473A">
        <w:rPr>
          <w:rFonts w:eastAsia="Times New Roman" w:cstheme="minorHAnsi"/>
          <w:lang w:eastAsia="en-GB"/>
        </w:rPr>
        <w:t>Schein, E. and Schein, P. (2017) </w:t>
      </w:r>
      <w:r w:rsidRPr="007C473A">
        <w:rPr>
          <w:rFonts w:eastAsia="Times New Roman" w:cstheme="minorHAnsi"/>
          <w:i/>
          <w:iCs/>
          <w:lang w:eastAsia="en-GB"/>
        </w:rPr>
        <w:t>Organizational culture and leadership</w:t>
      </w:r>
      <w:r w:rsidRPr="007C473A">
        <w:rPr>
          <w:rFonts w:eastAsia="Times New Roman" w:cstheme="minorHAnsi"/>
          <w:lang w:eastAsia="en-GB"/>
        </w:rPr>
        <w:t>. 5</w:t>
      </w:r>
      <w:r w:rsidRPr="007C473A">
        <w:rPr>
          <w:rFonts w:eastAsia="Times New Roman" w:cstheme="minorHAnsi"/>
          <w:vertAlign w:val="superscript"/>
          <w:lang w:eastAsia="en-GB"/>
        </w:rPr>
        <w:t>th</w:t>
      </w:r>
      <w:r w:rsidRPr="007C473A">
        <w:rPr>
          <w:rFonts w:eastAsia="Times New Roman" w:cstheme="minorHAnsi"/>
          <w:lang w:eastAsia="en-GB"/>
        </w:rPr>
        <w:t xml:space="preserve"> edn. Wiley.</w:t>
      </w:r>
    </w:p>
    <w:p w14:paraId="216CF30F" w14:textId="2377DDA0" w:rsidR="000E04E6" w:rsidRDefault="000E04E6" w:rsidP="004A16A6">
      <w:pPr>
        <w:shd w:val="clear" w:color="auto" w:fill="FFFFFF"/>
        <w:spacing w:line="360" w:lineRule="auto"/>
      </w:pPr>
      <w:r>
        <w:t xml:space="preserve">Simmons, J. and Lovegrove, I. (2005) ‘Bridging the conceptual divide: lessons from stakeholder analysis’, </w:t>
      </w:r>
      <w:r w:rsidRPr="000E04E6">
        <w:rPr>
          <w:i/>
          <w:iCs/>
        </w:rPr>
        <w:t>Journal of Organizational Change Management</w:t>
      </w:r>
      <w:r>
        <w:t xml:space="preserve">, 18(5), pp.495-513. Available at: </w:t>
      </w:r>
      <w:hyperlink r:id="rId55" w:history="1">
        <w:r w:rsidRPr="00024908">
          <w:rPr>
            <w:rStyle w:val="Hyperlink"/>
          </w:rPr>
          <w:t>https://doi.org/10.1108/09534810510614977</w:t>
        </w:r>
      </w:hyperlink>
    </w:p>
    <w:p w14:paraId="2A0A9447" w14:textId="579A1071" w:rsidR="00B66ECF" w:rsidRDefault="00B66ECF" w:rsidP="004A16A6">
      <w:pPr>
        <w:shd w:val="clear" w:color="auto" w:fill="FFFFFF"/>
        <w:spacing w:line="360" w:lineRule="auto"/>
      </w:pPr>
      <w:r>
        <w:t xml:space="preserve">Sinclair, A. and Suff, R. (2025) </w:t>
      </w:r>
      <w:r w:rsidRPr="00B66ECF">
        <w:rPr>
          <w:i/>
          <w:iCs/>
        </w:rPr>
        <w:t>Health and wellbeing at work</w:t>
      </w:r>
      <w:r>
        <w:t>. Chartered Institute of Personnel and Development.</w:t>
      </w:r>
    </w:p>
    <w:p w14:paraId="65D0B64A" w14:textId="6CF9BF5C" w:rsidR="00CD74AD" w:rsidRDefault="00CD74AD" w:rsidP="004A16A6">
      <w:pPr>
        <w:shd w:val="clear" w:color="auto" w:fill="FFFFFF"/>
        <w:spacing w:line="360" w:lineRule="auto"/>
      </w:pPr>
      <w:r>
        <w:t xml:space="preserve">Singh, D. (2019) ‘A Literature Review on Employee Retention with Focus on Recent Trends’, </w:t>
      </w:r>
      <w:r w:rsidRPr="00CD74AD">
        <w:rPr>
          <w:i/>
          <w:iCs/>
        </w:rPr>
        <w:t>International Journal of Scientific Research in Science and Technology</w:t>
      </w:r>
      <w:r>
        <w:t xml:space="preserve">, 6 (1), pp. 425-431. Available at: </w:t>
      </w:r>
      <w:hyperlink r:id="rId56" w:history="1">
        <w:r w:rsidRPr="00CD74AD">
          <w:rPr>
            <w:rStyle w:val="Hyperlink"/>
          </w:rPr>
          <w:t>https://doi.org/10.32628/IJSRST195463</w:t>
        </w:r>
      </w:hyperlink>
      <w:r>
        <w:t xml:space="preserve"> </w:t>
      </w:r>
    </w:p>
    <w:p w14:paraId="5F805D74" w14:textId="547BE58E" w:rsidR="00511F4A" w:rsidRPr="00511F4A" w:rsidRDefault="00511F4A" w:rsidP="004A16A6">
      <w:pPr>
        <w:shd w:val="clear" w:color="auto" w:fill="FFFFFF"/>
        <w:spacing w:line="360" w:lineRule="auto"/>
      </w:pPr>
      <w:r>
        <w:t xml:space="preserve">Soliman, I. (2025) </w:t>
      </w:r>
      <w:r>
        <w:rPr>
          <w:i/>
          <w:iCs/>
        </w:rPr>
        <w:t xml:space="preserve">Half of employers say increased sickness levels causing lower productivity, study finds. </w:t>
      </w:r>
      <w:r>
        <w:t xml:space="preserve">Available at: </w:t>
      </w:r>
      <w:hyperlink r:id="rId57" w:history="1">
        <w:r w:rsidR="00E4619A" w:rsidRPr="00024908">
          <w:rPr>
            <w:rStyle w:val="Hyperlink"/>
          </w:rPr>
          <w:t>https://www.peoplemanagement.co.uk/article/1913615/half-employers-say-increased-sickness-levels-causing-lower-productivity-study-finds</w:t>
        </w:r>
      </w:hyperlink>
      <w:r>
        <w:t xml:space="preserve"> (Accessed: 15 November 2025).</w:t>
      </w:r>
    </w:p>
    <w:p w14:paraId="64E45562" w14:textId="10F9FA08" w:rsidR="0056500F" w:rsidRPr="0056500F" w:rsidRDefault="0056500F" w:rsidP="004A16A6">
      <w:pPr>
        <w:shd w:val="clear" w:color="auto" w:fill="FFFFFF"/>
        <w:spacing w:line="360" w:lineRule="auto"/>
        <w:rPr>
          <w:rFonts w:cstheme="minorHAnsi"/>
          <w:color w:val="333333"/>
        </w:rPr>
      </w:pPr>
      <w:r w:rsidRPr="0056500F">
        <w:rPr>
          <w:rFonts w:cstheme="minorHAnsi"/>
          <w:color w:val="333333"/>
        </w:rPr>
        <w:t xml:space="preserve">Suff, R. (2025) </w:t>
      </w:r>
      <w:r>
        <w:rPr>
          <w:rFonts w:cstheme="minorHAnsi"/>
          <w:i/>
          <w:iCs/>
          <w:color w:val="333333"/>
        </w:rPr>
        <w:t xml:space="preserve">Wellbeing at work. </w:t>
      </w:r>
      <w:r>
        <w:rPr>
          <w:rFonts w:cstheme="minorHAnsi"/>
          <w:color w:val="333333"/>
        </w:rPr>
        <w:t xml:space="preserve">Available at: </w:t>
      </w:r>
      <w:hyperlink r:id="rId58" w:history="1">
        <w:r w:rsidRPr="00024908">
          <w:rPr>
            <w:rStyle w:val="Hyperlink"/>
            <w:rFonts w:cstheme="minorHAnsi"/>
          </w:rPr>
          <w:t>https://www.cipd.org/uk/knowledge/factsheets/well-being-factsheet/</w:t>
        </w:r>
      </w:hyperlink>
      <w:r>
        <w:rPr>
          <w:rFonts w:cstheme="minorHAnsi"/>
        </w:rPr>
        <w:t xml:space="preserve"> (Accessed: 15 November 2025).</w:t>
      </w:r>
    </w:p>
    <w:p w14:paraId="302C9895" w14:textId="3BB1666D" w:rsidR="00CF580D" w:rsidRPr="00F21DBC" w:rsidRDefault="00CF580D" w:rsidP="004A16A6">
      <w:pPr>
        <w:spacing w:line="360" w:lineRule="auto"/>
        <w:rPr>
          <w:rFonts w:cstheme="minorHAnsi"/>
          <w:color w:val="222222"/>
          <w:shd w:val="clear" w:color="auto" w:fill="FFFFFF"/>
        </w:rPr>
      </w:pPr>
      <w:r w:rsidRPr="00CF580D">
        <w:rPr>
          <w:rFonts w:cstheme="minorHAnsi"/>
          <w:color w:val="222222"/>
          <w:shd w:val="clear" w:color="auto" w:fill="FFFFFF"/>
        </w:rPr>
        <w:t xml:space="preserve">Tarnoff, </w:t>
      </w:r>
      <w:r w:rsidR="00F21DBC">
        <w:rPr>
          <w:rFonts w:cstheme="minorHAnsi"/>
          <w:color w:val="222222"/>
          <w:shd w:val="clear" w:color="auto" w:fill="FFFFFF"/>
        </w:rPr>
        <w:t>K</w:t>
      </w:r>
      <w:r w:rsidRPr="00CF580D">
        <w:rPr>
          <w:rFonts w:cstheme="minorHAnsi"/>
          <w:color w:val="222222"/>
          <w:shd w:val="clear" w:color="auto" w:fill="FFFFFF"/>
        </w:rPr>
        <w:t>., Bostwick, E. and Barnes, K.</w:t>
      </w:r>
      <w:r w:rsidR="00F21DBC">
        <w:rPr>
          <w:rFonts w:cstheme="minorHAnsi"/>
          <w:color w:val="222222"/>
          <w:shd w:val="clear" w:color="auto" w:fill="FFFFFF"/>
        </w:rPr>
        <w:t xml:space="preserve"> (</w:t>
      </w:r>
      <w:r w:rsidRPr="00CF580D">
        <w:rPr>
          <w:rFonts w:cstheme="minorHAnsi"/>
          <w:color w:val="222222"/>
          <w:shd w:val="clear" w:color="auto" w:fill="FFFFFF"/>
        </w:rPr>
        <w:t>2021</w:t>
      </w:r>
      <w:r w:rsidR="00F21DBC">
        <w:rPr>
          <w:rFonts w:cstheme="minorHAnsi"/>
          <w:color w:val="222222"/>
          <w:shd w:val="clear" w:color="auto" w:fill="FFFFFF"/>
        </w:rPr>
        <w:t>)</w:t>
      </w:r>
      <w:r w:rsidRPr="00CF580D">
        <w:rPr>
          <w:rFonts w:cstheme="minorHAnsi"/>
          <w:color w:val="222222"/>
          <w:shd w:val="clear" w:color="auto" w:fill="FFFFFF"/>
        </w:rPr>
        <w:t xml:space="preserve"> </w:t>
      </w:r>
      <w:r w:rsidR="00F21DBC">
        <w:rPr>
          <w:rFonts w:cstheme="minorHAnsi"/>
          <w:color w:val="222222"/>
          <w:shd w:val="clear" w:color="auto" w:fill="FFFFFF"/>
        </w:rPr>
        <w:t>‘</w:t>
      </w:r>
      <w:r w:rsidRPr="00CF580D">
        <w:rPr>
          <w:rFonts w:cstheme="minorHAnsi"/>
          <w:color w:val="222222"/>
          <w:shd w:val="clear" w:color="auto" w:fill="FFFFFF"/>
        </w:rPr>
        <w:t>Assessment resistance: using Kubler-Ross to understand and respond</w:t>
      </w:r>
      <w:r w:rsidR="00F21DBC">
        <w:rPr>
          <w:rFonts w:cstheme="minorHAnsi"/>
          <w:color w:val="222222"/>
          <w:shd w:val="clear" w:color="auto" w:fill="FFFFFF"/>
        </w:rPr>
        <w:t>’,</w:t>
      </w:r>
      <w:r w:rsidRPr="00CF580D">
        <w:rPr>
          <w:rFonts w:cstheme="minorHAnsi"/>
          <w:color w:val="222222"/>
          <w:shd w:val="clear" w:color="auto" w:fill="FFFFFF"/>
        </w:rPr>
        <w:t> </w:t>
      </w:r>
      <w:r w:rsidRPr="00CF580D">
        <w:rPr>
          <w:rFonts w:cstheme="minorHAnsi"/>
          <w:i/>
          <w:iCs/>
          <w:color w:val="222222"/>
          <w:shd w:val="clear" w:color="auto" w:fill="FFFFFF"/>
        </w:rPr>
        <w:t xml:space="preserve">Organization </w:t>
      </w:r>
      <w:r w:rsidR="00F21DBC">
        <w:rPr>
          <w:rFonts w:cstheme="minorHAnsi"/>
          <w:i/>
          <w:iCs/>
          <w:color w:val="222222"/>
          <w:shd w:val="clear" w:color="auto" w:fill="FFFFFF"/>
        </w:rPr>
        <w:t>M</w:t>
      </w:r>
      <w:r w:rsidRPr="00CF580D">
        <w:rPr>
          <w:rFonts w:cstheme="minorHAnsi"/>
          <w:i/>
          <w:iCs/>
          <w:color w:val="222222"/>
          <w:shd w:val="clear" w:color="auto" w:fill="FFFFFF"/>
        </w:rPr>
        <w:t xml:space="preserve">anagement </w:t>
      </w:r>
      <w:r w:rsidR="00F21DBC">
        <w:rPr>
          <w:rFonts w:cstheme="minorHAnsi"/>
          <w:i/>
          <w:iCs/>
          <w:color w:val="222222"/>
          <w:shd w:val="clear" w:color="auto" w:fill="FFFFFF"/>
        </w:rPr>
        <w:t>J</w:t>
      </w:r>
      <w:r w:rsidRPr="00CF580D">
        <w:rPr>
          <w:rFonts w:cstheme="minorHAnsi"/>
          <w:i/>
          <w:iCs/>
          <w:color w:val="222222"/>
          <w:shd w:val="clear" w:color="auto" w:fill="FFFFFF"/>
        </w:rPr>
        <w:t>ournal</w:t>
      </w:r>
      <w:r w:rsidRPr="00CF580D">
        <w:rPr>
          <w:rFonts w:cstheme="minorHAnsi"/>
          <w:color w:val="222222"/>
          <w:shd w:val="clear" w:color="auto" w:fill="FFFFFF"/>
        </w:rPr>
        <w:t>, </w:t>
      </w:r>
      <w:r w:rsidRPr="00F21DBC">
        <w:rPr>
          <w:rFonts w:cstheme="minorHAnsi"/>
          <w:color w:val="222222"/>
          <w:shd w:val="clear" w:color="auto" w:fill="FFFFFF"/>
        </w:rPr>
        <w:t>18</w:t>
      </w:r>
      <w:r w:rsidRPr="00CF580D">
        <w:rPr>
          <w:rFonts w:cstheme="minorHAnsi"/>
          <w:color w:val="222222"/>
          <w:shd w:val="clear" w:color="auto" w:fill="FFFFFF"/>
        </w:rPr>
        <w:t>(5), pp.176-186.</w:t>
      </w:r>
      <w:r w:rsidR="00F21DBC">
        <w:rPr>
          <w:rFonts w:cstheme="minorHAnsi"/>
          <w:color w:val="222222"/>
          <w:shd w:val="clear" w:color="auto" w:fill="FFFFFF"/>
        </w:rPr>
        <w:t xml:space="preserve"> Available at: </w:t>
      </w:r>
      <w:hyperlink r:id="rId59" w:history="1">
        <w:r w:rsidR="00F21DBC" w:rsidRPr="00F21DBC">
          <w:rPr>
            <w:rStyle w:val="Hyperlink"/>
            <w:rFonts w:cstheme="minorHAnsi"/>
          </w:rPr>
          <w:t>https://doi.org/10.1108/OMJ-03-2021-1177</w:t>
        </w:r>
      </w:hyperlink>
    </w:p>
    <w:p w14:paraId="3B50865C" w14:textId="7301204B" w:rsidR="00272749" w:rsidRPr="00272749" w:rsidRDefault="00272749" w:rsidP="004A16A6">
      <w:pPr>
        <w:spacing w:line="360" w:lineRule="auto"/>
        <w:rPr>
          <w:rFonts w:cstheme="minorHAnsi"/>
          <w:color w:val="333333"/>
          <w:shd w:val="clear" w:color="auto" w:fill="FBFBFB"/>
        </w:rPr>
      </w:pPr>
      <w:r w:rsidRPr="00272749">
        <w:rPr>
          <w:rFonts w:cstheme="minorHAnsi"/>
          <w:color w:val="333333"/>
          <w:shd w:val="clear" w:color="auto" w:fill="FBFBFB"/>
        </w:rPr>
        <w:t>Taylor, S. (2022) 'Contemporary people management issues', in S. Taylor and T. Woodhams (eds), </w:t>
      </w:r>
      <w:r w:rsidRPr="00272749">
        <w:rPr>
          <w:rFonts w:cstheme="minorHAnsi"/>
          <w:i/>
          <w:iCs/>
          <w:color w:val="3A3A3A"/>
          <w:shd w:val="clear" w:color="auto" w:fill="FFFFFF"/>
        </w:rPr>
        <w:t>Studying human resource management : a guide to the study, context and practice of HR</w:t>
      </w:r>
      <w:r w:rsidRPr="00272749">
        <w:rPr>
          <w:rFonts w:cstheme="minorHAnsi"/>
          <w:i/>
          <w:iCs/>
          <w:color w:val="333333"/>
          <w:shd w:val="clear" w:color="auto" w:fill="FBFBFB"/>
        </w:rPr>
        <w:t>.</w:t>
      </w:r>
      <w:r w:rsidRPr="00272749">
        <w:rPr>
          <w:rFonts w:cstheme="minorHAnsi"/>
          <w:color w:val="333333"/>
          <w:shd w:val="clear" w:color="auto" w:fill="FBFBFB"/>
        </w:rPr>
        <w:t> Kogan</w:t>
      </w:r>
      <w:r>
        <w:rPr>
          <w:rFonts w:cstheme="minorHAnsi"/>
          <w:color w:val="333333"/>
          <w:shd w:val="clear" w:color="auto" w:fill="FBFBFB"/>
        </w:rPr>
        <w:t xml:space="preserve"> </w:t>
      </w:r>
      <w:r w:rsidRPr="00272749">
        <w:rPr>
          <w:rFonts w:cstheme="minorHAnsi"/>
          <w:color w:val="333333"/>
          <w:shd w:val="clear" w:color="auto" w:fill="FBFBFB"/>
        </w:rPr>
        <w:t>Page, pp. 65-88. </w:t>
      </w:r>
    </w:p>
    <w:p w14:paraId="1DF5ABAB" w14:textId="1C0B0321" w:rsidR="001F73DE" w:rsidRDefault="001F73DE" w:rsidP="004A16A6">
      <w:pPr>
        <w:pStyle w:val="NoSpacing"/>
        <w:spacing w:line="360" w:lineRule="auto"/>
        <w:rPr>
          <w:rFonts w:eastAsia="Times New Roman"/>
          <w:lang w:eastAsia="en-GB"/>
        </w:rPr>
      </w:pPr>
      <w:r w:rsidRPr="00A2167F">
        <w:rPr>
          <w:rFonts w:eastAsia="Times New Roman"/>
          <w:lang w:eastAsia="en-GB"/>
        </w:rPr>
        <w:t>Taylor, S. and Woodhams, C. (eds) (2022) </w:t>
      </w:r>
      <w:r w:rsidRPr="00A2167F">
        <w:rPr>
          <w:rFonts w:eastAsia="Times New Roman"/>
          <w:i/>
          <w:iCs/>
          <w:lang w:eastAsia="en-GB"/>
        </w:rPr>
        <w:t>Studying human resource management: a guide to the study, context and practice of HR</w:t>
      </w:r>
      <w:r w:rsidRPr="00A2167F">
        <w:rPr>
          <w:rFonts w:eastAsia="Times New Roman"/>
          <w:lang w:eastAsia="en-GB"/>
        </w:rPr>
        <w:t>. 3</w:t>
      </w:r>
      <w:r w:rsidRPr="00A2167F">
        <w:rPr>
          <w:rFonts w:eastAsia="Times New Roman"/>
          <w:vertAlign w:val="superscript"/>
          <w:lang w:eastAsia="en-GB"/>
        </w:rPr>
        <w:t>rd</w:t>
      </w:r>
      <w:r w:rsidRPr="00A2167F">
        <w:rPr>
          <w:rFonts w:eastAsia="Times New Roman"/>
          <w:lang w:eastAsia="en-GB"/>
        </w:rPr>
        <w:t xml:space="preserve"> edn. Kogan</w:t>
      </w:r>
      <w:r>
        <w:rPr>
          <w:rFonts w:eastAsia="Times New Roman"/>
          <w:lang w:eastAsia="en-GB"/>
        </w:rPr>
        <w:t xml:space="preserve"> </w:t>
      </w:r>
      <w:r w:rsidRPr="00A2167F">
        <w:rPr>
          <w:rFonts w:eastAsia="Times New Roman"/>
          <w:lang w:eastAsia="en-GB"/>
        </w:rPr>
        <w:t>Page.</w:t>
      </w:r>
    </w:p>
    <w:p w14:paraId="448841E1" w14:textId="7C1B93C4" w:rsidR="00B3219A" w:rsidRPr="00B3219A" w:rsidRDefault="00B3219A" w:rsidP="004A16A6">
      <w:pPr>
        <w:pStyle w:val="NoSpacing"/>
        <w:spacing w:line="360" w:lineRule="auto"/>
        <w:rPr>
          <w:rFonts w:eastAsia="Times New Roman"/>
          <w:lang w:eastAsia="en-GB"/>
        </w:rPr>
      </w:pPr>
      <w:r>
        <w:rPr>
          <w:rFonts w:eastAsia="Times New Roman"/>
          <w:lang w:eastAsia="en-GB"/>
        </w:rPr>
        <w:t xml:space="preserve">Torrington, D., Hall, L., Atkinson, C. and Taylor, S. (2020) </w:t>
      </w:r>
      <w:r>
        <w:rPr>
          <w:rFonts w:eastAsia="Times New Roman"/>
          <w:i/>
          <w:iCs/>
          <w:lang w:eastAsia="en-GB"/>
        </w:rPr>
        <w:t xml:space="preserve">Human Resource Management. </w:t>
      </w:r>
      <w:r>
        <w:rPr>
          <w:rFonts w:eastAsia="Times New Roman"/>
          <w:lang w:eastAsia="en-GB"/>
        </w:rPr>
        <w:t>11</w:t>
      </w:r>
      <w:r w:rsidRPr="00B3219A">
        <w:rPr>
          <w:rFonts w:eastAsia="Times New Roman"/>
          <w:vertAlign w:val="superscript"/>
          <w:lang w:eastAsia="en-GB"/>
        </w:rPr>
        <w:t>th</w:t>
      </w:r>
      <w:r>
        <w:rPr>
          <w:rFonts w:eastAsia="Times New Roman"/>
          <w:lang w:eastAsia="en-GB"/>
        </w:rPr>
        <w:t xml:space="preserve"> edn. Pearson.</w:t>
      </w:r>
    </w:p>
    <w:p w14:paraId="22A6A7B4" w14:textId="77777777" w:rsidR="001F73DE" w:rsidRPr="00AE7BF3" w:rsidRDefault="001F73DE" w:rsidP="004A16A6">
      <w:pPr>
        <w:pStyle w:val="NoSpacing"/>
        <w:spacing w:line="360" w:lineRule="auto"/>
        <w:rPr>
          <w:rFonts w:eastAsia="Times New Roman"/>
          <w:lang w:eastAsia="en-GB"/>
        </w:rPr>
      </w:pPr>
      <w:r w:rsidRPr="00AE7BF3">
        <w:rPr>
          <w:color w:val="1B1B1B"/>
          <w:shd w:val="clear" w:color="auto" w:fill="FFFFFF"/>
        </w:rPr>
        <w:t xml:space="preserve">Uberoi, E. (2025) </w:t>
      </w:r>
      <w:r>
        <w:rPr>
          <w:i/>
          <w:iCs/>
          <w:color w:val="1B1B1B"/>
          <w:shd w:val="clear" w:color="auto" w:fill="FFFFFF"/>
        </w:rPr>
        <w:t xml:space="preserve">The implications of population ageing for social policy. </w:t>
      </w:r>
      <w:r>
        <w:rPr>
          <w:color w:val="1B1B1B"/>
          <w:shd w:val="clear" w:color="auto" w:fill="FFFFFF"/>
        </w:rPr>
        <w:t xml:space="preserve">(House of Commons briefing paper CBP-10338). Available at: </w:t>
      </w:r>
      <w:hyperlink r:id="rId60" w:history="1">
        <w:r w:rsidRPr="00024908">
          <w:rPr>
            <w:rStyle w:val="Hyperlink"/>
            <w:rFonts w:cstheme="minorHAnsi"/>
            <w:shd w:val="clear" w:color="auto" w:fill="FFFFFF"/>
          </w:rPr>
          <w:t>https://commonslibrary.parliament.uk/research-briefings/cbp-10338/</w:t>
        </w:r>
      </w:hyperlink>
      <w:r w:rsidRPr="00AE7BF3">
        <w:rPr>
          <w:color w:val="1B1B1B"/>
          <w:shd w:val="clear" w:color="auto" w:fill="FFFFFF"/>
        </w:rPr>
        <w:t xml:space="preserve"> (Accessed: 8 November 2025)</w:t>
      </w:r>
    </w:p>
    <w:p w14:paraId="374E82C4" w14:textId="08367436" w:rsidR="001F73DE" w:rsidRDefault="001F73DE" w:rsidP="004A16A6">
      <w:pPr>
        <w:pStyle w:val="NoSpacing"/>
        <w:spacing w:line="360" w:lineRule="auto"/>
        <w:rPr>
          <w:color w:val="1B1B1B"/>
          <w:shd w:val="clear" w:color="auto" w:fill="FFFFFF"/>
        </w:rPr>
      </w:pPr>
      <w:r w:rsidRPr="004D3A0C">
        <w:rPr>
          <w:color w:val="1B1B1B"/>
          <w:shd w:val="clear" w:color="auto" w:fill="FFFFFF"/>
        </w:rPr>
        <w:lastRenderedPageBreak/>
        <w:t>UK Parliament. (2025)</w:t>
      </w:r>
      <w:r>
        <w:rPr>
          <w:color w:val="1B1B1B"/>
          <w:shd w:val="clear" w:color="auto" w:fill="FFFFFF"/>
        </w:rPr>
        <w:t xml:space="preserve"> </w:t>
      </w:r>
      <w:r>
        <w:rPr>
          <w:i/>
          <w:iCs/>
          <w:color w:val="1B1B1B"/>
          <w:shd w:val="clear" w:color="auto" w:fill="FFFFFF"/>
        </w:rPr>
        <w:t>Preparing for an ageing society inquiry launched.</w:t>
      </w:r>
      <w:r w:rsidRPr="004D3A0C">
        <w:rPr>
          <w:color w:val="1B1B1B"/>
          <w:shd w:val="clear" w:color="auto" w:fill="FFFFFF"/>
        </w:rPr>
        <w:t xml:space="preserve"> </w:t>
      </w:r>
      <w:hyperlink r:id="rId61" w:history="1">
        <w:r w:rsidRPr="004D3A0C">
          <w:rPr>
            <w:rStyle w:val="Hyperlink"/>
            <w:rFonts w:cstheme="minorHAnsi"/>
            <w:shd w:val="clear" w:color="auto" w:fill="FFFFFF"/>
          </w:rPr>
          <w:t>https://committees.parliament.uk/committee/175/economic-affairs-committee/news/206022/preparing-for-an-ageing-society-inquiry-launched/</w:t>
        </w:r>
      </w:hyperlink>
      <w:r w:rsidRPr="004D3A0C">
        <w:rPr>
          <w:color w:val="1B1B1B"/>
          <w:shd w:val="clear" w:color="auto" w:fill="FFFFFF"/>
        </w:rPr>
        <w:t xml:space="preserve"> (Accessed: 8 November 2025).</w:t>
      </w:r>
    </w:p>
    <w:p w14:paraId="72F0DBCF" w14:textId="3749B480" w:rsidR="00153600" w:rsidRPr="00153600" w:rsidRDefault="00153600" w:rsidP="004A16A6">
      <w:pPr>
        <w:shd w:val="clear" w:color="auto" w:fill="FFFFFF"/>
        <w:spacing w:line="360" w:lineRule="auto"/>
      </w:pPr>
      <w:r>
        <w:t xml:space="preserve">Weston, M. (2019) </w:t>
      </w:r>
      <w:r>
        <w:rPr>
          <w:i/>
          <w:iCs/>
        </w:rPr>
        <w:t xml:space="preserve">Why managing stress effectively can boost employee wellbeing. </w:t>
      </w:r>
      <w:r>
        <w:t xml:space="preserve">Available at: </w:t>
      </w:r>
      <w:hyperlink r:id="rId62" w:history="1">
        <w:r w:rsidRPr="00024908">
          <w:rPr>
            <w:rStyle w:val="Hyperlink"/>
          </w:rPr>
          <w:t>https://www.peoplemanagement.co.uk/article/1741880/why-managing-stress-effectively-boost-employee-wellbeing</w:t>
        </w:r>
      </w:hyperlink>
      <w:r>
        <w:rPr>
          <w:rStyle w:val="Hyperlink"/>
        </w:rPr>
        <w:t xml:space="preserve"> </w:t>
      </w:r>
      <w:r w:rsidRPr="00153600">
        <w:rPr>
          <w:rStyle w:val="Hyperlink"/>
          <w:color w:val="auto"/>
          <w:u w:val="none"/>
        </w:rPr>
        <w:t>(Accessed: 15 November 2025).</w:t>
      </w:r>
    </w:p>
    <w:p w14:paraId="3A63F0F7" w14:textId="45DBF368" w:rsidR="00855D9F" w:rsidRPr="00855D9F" w:rsidRDefault="00855D9F" w:rsidP="004A16A6">
      <w:pPr>
        <w:pStyle w:val="NoSpacing"/>
        <w:spacing w:line="360" w:lineRule="auto"/>
        <w:rPr>
          <w:rStyle w:val="Hyperlink"/>
          <w:rFonts w:eastAsia="Times New Roman"/>
          <w:lang w:eastAsia="en-GB"/>
        </w:rPr>
      </w:pPr>
      <w:r>
        <w:rPr>
          <w:color w:val="1B1B1B"/>
          <w:shd w:val="clear" w:color="auto" w:fill="FFFFFF"/>
        </w:rPr>
        <w:t xml:space="preserve">Wilson, R., Cochrane, D., Mihailidis, A. and Small, J. (2020) ‘Mobile Apps to Support Caregiver-Resident Communication in Long-Term Care: Systematic Search and Content Analysis’, </w:t>
      </w:r>
      <w:r w:rsidRPr="00855D9F">
        <w:rPr>
          <w:i/>
          <w:iCs/>
          <w:color w:val="1B1B1B"/>
          <w:shd w:val="clear" w:color="auto" w:fill="FFFFFF"/>
        </w:rPr>
        <w:t>JMIR Aging</w:t>
      </w:r>
      <w:r>
        <w:rPr>
          <w:i/>
          <w:iCs/>
          <w:color w:val="1B1B1B"/>
          <w:shd w:val="clear" w:color="auto" w:fill="FFFFFF"/>
        </w:rPr>
        <w:t xml:space="preserve">, </w:t>
      </w:r>
      <w:r>
        <w:rPr>
          <w:color w:val="1B1B1B"/>
          <w:shd w:val="clear" w:color="auto" w:fill="FFFFFF"/>
        </w:rPr>
        <w:t xml:space="preserve">3(1), pp. 1-23. Available at: </w:t>
      </w:r>
      <w:r>
        <w:rPr>
          <w:rFonts w:cstheme="minorHAnsi"/>
          <w:sz w:val="21"/>
          <w:szCs w:val="21"/>
          <w:shd w:val="clear" w:color="auto" w:fill="FFFFFF"/>
        </w:rPr>
        <w:fldChar w:fldCharType="begin"/>
      </w:r>
      <w:r>
        <w:rPr>
          <w:rFonts w:cstheme="minorHAnsi"/>
          <w:sz w:val="21"/>
          <w:szCs w:val="21"/>
          <w:shd w:val="clear" w:color="auto" w:fill="FFFFFF"/>
        </w:rPr>
        <w:instrText>HYPERLINK "https://doi.org/10.2196/17136" \t "_blank"</w:instrText>
      </w:r>
      <w:r>
        <w:rPr>
          <w:rFonts w:cstheme="minorHAnsi"/>
          <w:sz w:val="21"/>
          <w:szCs w:val="21"/>
          <w:shd w:val="clear" w:color="auto" w:fill="FFFFFF"/>
        </w:rPr>
        <w:fldChar w:fldCharType="separate"/>
      </w:r>
      <w:r w:rsidRPr="00855D9F">
        <w:rPr>
          <w:rStyle w:val="Hyperlink"/>
          <w:rFonts w:cstheme="minorHAnsi"/>
          <w:sz w:val="21"/>
          <w:szCs w:val="21"/>
          <w:shd w:val="clear" w:color="auto" w:fill="FFFFFF"/>
        </w:rPr>
        <w:t>https://doi.org/10.2196/17136</w:t>
      </w:r>
    </w:p>
    <w:p w14:paraId="1A90EBAD" w14:textId="61352F19" w:rsidR="001F73DE" w:rsidRPr="00055C9C" w:rsidRDefault="00855D9F" w:rsidP="004A16A6">
      <w:pPr>
        <w:pStyle w:val="NoSpacing"/>
        <w:spacing w:line="360" w:lineRule="auto"/>
      </w:pPr>
      <w:r>
        <w:rPr>
          <w:rFonts w:cstheme="minorHAnsi"/>
          <w:sz w:val="21"/>
          <w:szCs w:val="21"/>
          <w:shd w:val="clear" w:color="auto" w:fill="FFFFFF"/>
        </w:rPr>
        <w:fldChar w:fldCharType="end"/>
      </w:r>
      <w:r w:rsidR="001F73DE" w:rsidRPr="006206B3">
        <w:rPr>
          <w:shd w:val="clear" w:color="auto" w:fill="FFFFFF"/>
        </w:rPr>
        <w:t>Winters, S., Kool, R., Klazinga, N. and Huijsman, R. (2014) ‘The influence of corporate structure and</w:t>
      </w:r>
    </w:p>
    <w:p w14:paraId="44AE0D8F" w14:textId="77777777" w:rsidR="001F73DE" w:rsidRDefault="001F73DE" w:rsidP="004A16A6">
      <w:pPr>
        <w:pStyle w:val="NoSpacing"/>
        <w:spacing w:line="360" w:lineRule="auto"/>
        <w:rPr>
          <w:rStyle w:val="Emphasis"/>
          <w:rFonts w:cstheme="minorHAnsi"/>
          <w:bdr w:val="none" w:sz="0" w:space="0" w:color="auto" w:frame="1"/>
          <w:shd w:val="clear" w:color="auto" w:fill="FFFFFF"/>
        </w:rPr>
      </w:pPr>
      <w:r w:rsidRPr="006206B3">
        <w:rPr>
          <w:shd w:val="clear" w:color="auto" w:fill="FFFFFF"/>
        </w:rPr>
        <w:t>quality improvement activities on outcome improvement in residential care</w:t>
      </w:r>
      <w:r>
        <w:rPr>
          <w:shd w:val="clear" w:color="auto" w:fill="FFFFFF"/>
        </w:rPr>
        <w:t xml:space="preserve"> </w:t>
      </w:r>
      <w:r w:rsidRPr="006206B3">
        <w:rPr>
          <w:shd w:val="clear" w:color="auto" w:fill="FFFFFF"/>
        </w:rPr>
        <w:t>homes’, </w:t>
      </w:r>
      <w:r w:rsidRPr="006206B3">
        <w:rPr>
          <w:rStyle w:val="Emphasis"/>
          <w:rFonts w:cstheme="minorHAnsi"/>
          <w:bdr w:val="none" w:sz="0" w:space="0" w:color="auto" w:frame="1"/>
          <w:shd w:val="clear" w:color="auto" w:fill="FFFFFF"/>
        </w:rPr>
        <w:t>International</w:t>
      </w:r>
    </w:p>
    <w:p w14:paraId="644B0C40" w14:textId="77777777" w:rsidR="001F73DE" w:rsidRDefault="001F73DE" w:rsidP="004A16A6">
      <w:pPr>
        <w:pStyle w:val="NoSpacing"/>
        <w:spacing w:line="360" w:lineRule="auto"/>
        <w:rPr>
          <w:shd w:val="clear" w:color="auto" w:fill="FFFFFF"/>
        </w:rPr>
      </w:pPr>
      <w:r w:rsidRPr="006206B3">
        <w:rPr>
          <w:rStyle w:val="Emphasis"/>
          <w:rFonts w:cstheme="minorHAnsi"/>
          <w:bdr w:val="none" w:sz="0" w:space="0" w:color="auto" w:frame="1"/>
          <w:shd w:val="clear" w:color="auto" w:fill="FFFFFF"/>
        </w:rPr>
        <w:t>Journal for Quality in Health Care</w:t>
      </w:r>
      <w:r w:rsidRPr="006206B3">
        <w:rPr>
          <w:shd w:val="clear" w:color="auto" w:fill="FFFFFF"/>
        </w:rPr>
        <w:t>, 26(4), pp. 378-87. Available at</w:t>
      </w:r>
      <w:r>
        <w:rPr>
          <w:shd w:val="clear" w:color="auto" w:fill="FFFFFF"/>
        </w:rPr>
        <w:t xml:space="preserve">: </w:t>
      </w:r>
    </w:p>
    <w:p w14:paraId="2E21E345" w14:textId="247E1147" w:rsidR="001F73DE" w:rsidRDefault="002C1233" w:rsidP="004A16A6">
      <w:pPr>
        <w:pStyle w:val="NoSpacing"/>
        <w:spacing w:line="360" w:lineRule="auto"/>
        <w:rPr>
          <w:color w:val="2A2A2A"/>
          <w:bdr w:val="none" w:sz="0" w:space="0" w:color="auto" w:frame="1"/>
        </w:rPr>
      </w:pPr>
      <w:hyperlink r:id="rId63" w:history="1">
        <w:r w:rsidR="001F73DE" w:rsidRPr="00024908">
          <w:rPr>
            <w:rStyle w:val="Hyperlink"/>
            <w:rFonts w:cstheme="minorHAnsi"/>
            <w:bdr w:val="none" w:sz="0" w:space="0" w:color="auto" w:frame="1"/>
          </w:rPr>
          <w:t>https://doi.org/10.1093/intqhc/mzu057</w:t>
        </w:r>
      </w:hyperlink>
    </w:p>
    <w:p w14:paraId="6D09BF99" w14:textId="6EA8603B" w:rsidR="00565066" w:rsidRPr="00565066" w:rsidRDefault="00565066" w:rsidP="004A16A6">
      <w:pPr>
        <w:spacing w:line="360" w:lineRule="auto"/>
      </w:pPr>
      <w:r>
        <w:t xml:space="preserve">Young, J. and Tong, D. (2025) </w:t>
      </w:r>
      <w:r w:rsidRPr="00565066">
        <w:rPr>
          <w:i/>
          <w:iCs/>
        </w:rPr>
        <w:t>CIPD Good Work Index 2025</w:t>
      </w:r>
      <w:r>
        <w:t>. Chartered Institute of Personnel and Development</w:t>
      </w:r>
    </w:p>
    <w:p w14:paraId="7B5BFE91" w14:textId="5770C85C" w:rsidR="001F73DE" w:rsidRPr="00A412C9" w:rsidRDefault="001F73DE" w:rsidP="004A16A6">
      <w:pPr>
        <w:pStyle w:val="NoSpacing"/>
        <w:spacing w:line="360" w:lineRule="auto"/>
        <w:rPr>
          <w:color w:val="000000"/>
        </w:rPr>
      </w:pPr>
      <w:r w:rsidRPr="00A412C9">
        <w:t xml:space="preserve">Zheltoukhova, K. (2014) </w:t>
      </w:r>
      <w:r w:rsidRPr="00A412C9">
        <w:rPr>
          <w:i/>
          <w:iCs/>
        </w:rPr>
        <w:t>Leadership: Easier said than done.</w:t>
      </w:r>
      <w:r>
        <w:t xml:space="preserve"> </w:t>
      </w:r>
      <w:r w:rsidRPr="00A412C9">
        <w:t xml:space="preserve">Available at: </w:t>
      </w:r>
      <w:hyperlink r:id="rId64" w:history="1">
        <w:r w:rsidRPr="00A412C9">
          <w:rPr>
            <w:rStyle w:val="Hyperlink"/>
            <w:rFonts w:cstheme="minorHAnsi"/>
          </w:rPr>
          <w:t>https://www.cipd.org/globalassets/media/knowledge/knowledge-hub/reports/leadership_2014-easier-said-than-done_tcm18-8893.pdf</w:t>
        </w:r>
      </w:hyperlink>
      <w:r>
        <w:t xml:space="preserve"> </w:t>
      </w:r>
      <w:r w:rsidRPr="00A412C9">
        <w:t>(Accessed: 25 October 2025).</w:t>
      </w:r>
    </w:p>
    <w:p w14:paraId="1341F112" w14:textId="77777777" w:rsidR="001F73DE" w:rsidRPr="006206B3" w:rsidRDefault="001F73DE" w:rsidP="004A16A6">
      <w:pPr>
        <w:pStyle w:val="NoSpacing"/>
        <w:spacing w:line="360" w:lineRule="auto"/>
      </w:pPr>
    </w:p>
    <w:p w14:paraId="35A47908" w14:textId="77777777" w:rsidR="001F73DE" w:rsidRPr="001F73DE" w:rsidRDefault="001F73DE" w:rsidP="004A16A6">
      <w:pPr>
        <w:pStyle w:val="NoSpacing"/>
        <w:spacing w:line="360" w:lineRule="auto"/>
        <w:rPr>
          <w:color w:val="1B1B1B"/>
          <w:shd w:val="clear" w:color="auto" w:fill="FFFFFF"/>
        </w:rPr>
      </w:pPr>
    </w:p>
    <w:p w14:paraId="77FA2A26" w14:textId="77777777" w:rsidR="001F73DE" w:rsidRDefault="001F73DE" w:rsidP="004A16A6">
      <w:pPr>
        <w:pStyle w:val="NoSpacing"/>
        <w:spacing w:line="360" w:lineRule="auto"/>
      </w:pPr>
    </w:p>
    <w:p w14:paraId="184AE020" w14:textId="77777777" w:rsidR="00A412C9" w:rsidRPr="006206B3" w:rsidRDefault="00A412C9" w:rsidP="004A16A6">
      <w:pPr>
        <w:pStyle w:val="NoSpacing"/>
        <w:spacing w:line="360" w:lineRule="auto"/>
      </w:pPr>
    </w:p>
    <w:sectPr w:rsidR="00A412C9" w:rsidRPr="00620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1DD2"/>
    <w:rsid w:val="00002230"/>
    <w:rsid w:val="00006AF4"/>
    <w:rsid w:val="00016A37"/>
    <w:rsid w:val="00026B9F"/>
    <w:rsid w:val="00031777"/>
    <w:rsid w:val="0005043C"/>
    <w:rsid w:val="00054958"/>
    <w:rsid w:val="00055C9C"/>
    <w:rsid w:val="00057122"/>
    <w:rsid w:val="000660BA"/>
    <w:rsid w:val="000678B3"/>
    <w:rsid w:val="00070460"/>
    <w:rsid w:val="00084766"/>
    <w:rsid w:val="000877A1"/>
    <w:rsid w:val="000A0938"/>
    <w:rsid w:val="000A6E44"/>
    <w:rsid w:val="000B5BBD"/>
    <w:rsid w:val="000B6715"/>
    <w:rsid w:val="000C18D8"/>
    <w:rsid w:val="000D4709"/>
    <w:rsid w:val="000E04E6"/>
    <w:rsid w:val="000E5075"/>
    <w:rsid w:val="000F5362"/>
    <w:rsid w:val="00107943"/>
    <w:rsid w:val="00107EB3"/>
    <w:rsid w:val="001105E8"/>
    <w:rsid w:val="00132E56"/>
    <w:rsid w:val="00153600"/>
    <w:rsid w:val="001732FE"/>
    <w:rsid w:val="001A46D6"/>
    <w:rsid w:val="001A7365"/>
    <w:rsid w:val="001B48C3"/>
    <w:rsid w:val="001D191C"/>
    <w:rsid w:val="001D3AA0"/>
    <w:rsid w:val="001E0925"/>
    <w:rsid w:val="001F73DE"/>
    <w:rsid w:val="001F7C5B"/>
    <w:rsid w:val="00206166"/>
    <w:rsid w:val="0021289E"/>
    <w:rsid w:val="002167EE"/>
    <w:rsid w:val="00236780"/>
    <w:rsid w:val="002367C7"/>
    <w:rsid w:val="00246049"/>
    <w:rsid w:val="0024698E"/>
    <w:rsid w:val="0025654C"/>
    <w:rsid w:val="0025791D"/>
    <w:rsid w:val="00272749"/>
    <w:rsid w:val="00273D72"/>
    <w:rsid w:val="002915E2"/>
    <w:rsid w:val="002A2E76"/>
    <w:rsid w:val="002A643E"/>
    <w:rsid w:val="002B1D26"/>
    <w:rsid w:val="002C1233"/>
    <w:rsid w:val="002C6A5C"/>
    <w:rsid w:val="002F75C7"/>
    <w:rsid w:val="00305396"/>
    <w:rsid w:val="00313096"/>
    <w:rsid w:val="00317757"/>
    <w:rsid w:val="00323B39"/>
    <w:rsid w:val="00324949"/>
    <w:rsid w:val="0033053F"/>
    <w:rsid w:val="00334DFE"/>
    <w:rsid w:val="0034602B"/>
    <w:rsid w:val="003510C6"/>
    <w:rsid w:val="0036408C"/>
    <w:rsid w:val="003675E7"/>
    <w:rsid w:val="00380E07"/>
    <w:rsid w:val="00393295"/>
    <w:rsid w:val="003A301A"/>
    <w:rsid w:val="003A7482"/>
    <w:rsid w:val="003B36AE"/>
    <w:rsid w:val="003B7E6A"/>
    <w:rsid w:val="003C7BBC"/>
    <w:rsid w:val="003E2F34"/>
    <w:rsid w:val="003F33D2"/>
    <w:rsid w:val="003F4A16"/>
    <w:rsid w:val="00402A81"/>
    <w:rsid w:val="004201C1"/>
    <w:rsid w:val="00421859"/>
    <w:rsid w:val="004408F4"/>
    <w:rsid w:val="004450BA"/>
    <w:rsid w:val="004562AF"/>
    <w:rsid w:val="004563FB"/>
    <w:rsid w:val="00460FD1"/>
    <w:rsid w:val="004610B5"/>
    <w:rsid w:val="00462DD9"/>
    <w:rsid w:val="00494439"/>
    <w:rsid w:val="0049780D"/>
    <w:rsid w:val="004A16A6"/>
    <w:rsid w:val="004A5252"/>
    <w:rsid w:val="004A5256"/>
    <w:rsid w:val="004B5EC9"/>
    <w:rsid w:val="004B6145"/>
    <w:rsid w:val="004C1754"/>
    <w:rsid w:val="004C26C6"/>
    <w:rsid w:val="004C383A"/>
    <w:rsid w:val="004C62EC"/>
    <w:rsid w:val="004D0554"/>
    <w:rsid w:val="004D3A0C"/>
    <w:rsid w:val="004E0ACB"/>
    <w:rsid w:val="00500E80"/>
    <w:rsid w:val="00502585"/>
    <w:rsid w:val="00511F4A"/>
    <w:rsid w:val="00530588"/>
    <w:rsid w:val="00542BB6"/>
    <w:rsid w:val="00545FC5"/>
    <w:rsid w:val="0056500F"/>
    <w:rsid w:val="00565066"/>
    <w:rsid w:val="005A6F42"/>
    <w:rsid w:val="005B10D3"/>
    <w:rsid w:val="005B2885"/>
    <w:rsid w:val="005B7AA4"/>
    <w:rsid w:val="005C19BD"/>
    <w:rsid w:val="005C40E9"/>
    <w:rsid w:val="005D1A90"/>
    <w:rsid w:val="005D3792"/>
    <w:rsid w:val="005E0317"/>
    <w:rsid w:val="005E647D"/>
    <w:rsid w:val="005E7387"/>
    <w:rsid w:val="005F2720"/>
    <w:rsid w:val="005F6F50"/>
    <w:rsid w:val="00610B1C"/>
    <w:rsid w:val="006152A8"/>
    <w:rsid w:val="0062022D"/>
    <w:rsid w:val="006206B3"/>
    <w:rsid w:val="006308AA"/>
    <w:rsid w:val="0064374D"/>
    <w:rsid w:val="00644732"/>
    <w:rsid w:val="00675F37"/>
    <w:rsid w:val="0067786C"/>
    <w:rsid w:val="006821FA"/>
    <w:rsid w:val="0068249F"/>
    <w:rsid w:val="0068435F"/>
    <w:rsid w:val="006960AC"/>
    <w:rsid w:val="006C57D1"/>
    <w:rsid w:val="006C7B5E"/>
    <w:rsid w:val="006E2415"/>
    <w:rsid w:val="006E2B59"/>
    <w:rsid w:val="006E5B2A"/>
    <w:rsid w:val="006F6EE4"/>
    <w:rsid w:val="006F76B4"/>
    <w:rsid w:val="00702C06"/>
    <w:rsid w:val="00703214"/>
    <w:rsid w:val="007068BB"/>
    <w:rsid w:val="007107FA"/>
    <w:rsid w:val="0071517A"/>
    <w:rsid w:val="00716882"/>
    <w:rsid w:val="00717130"/>
    <w:rsid w:val="00720EDD"/>
    <w:rsid w:val="0072296E"/>
    <w:rsid w:val="00726BF6"/>
    <w:rsid w:val="007321EC"/>
    <w:rsid w:val="00732394"/>
    <w:rsid w:val="0074114B"/>
    <w:rsid w:val="00741BC2"/>
    <w:rsid w:val="00754EF3"/>
    <w:rsid w:val="00756548"/>
    <w:rsid w:val="00761886"/>
    <w:rsid w:val="00763270"/>
    <w:rsid w:val="00771A0D"/>
    <w:rsid w:val="0077239C"/>
    <w:rsid w:val="0077700B"/>
    <w:rsid w:val="00783EFE"/>
    <w:rsid w:val="00791743"/>
    <w:rsid w:val="007928FB"/>
    <w:rsid w:val="00796596"/>
    <w:rsid w:val="00796C35"/>
    <w:rsid w:val="007A76FA"/>
    <w:rsid w:val="007B2E21"/>
    <w:rsid w:val="007C473A"/>
    <w:rsid w:val="007D65F3"/>
    <w:rsid w:val="007E71E8"/>
    <w:rsid w:val="007F70B7"/>
    <w:rsid w:val="00803430"/>
    <w:rsid w:val="008100FE"/>
    <w:rsid w:val="00812CC0"/>
    <w:rsid w:val="00826F89"/>
    <w:rsid w:val="0083206B"/>
    <w:rsid w:val="008347D0"/>
    <w:rsid w:val="0085126E"/>
    <w:rsid w:val="00851DBB"/>
    <w:rsid w:val="00855D9F"/>
    <w:rsid w:val="008608C7"/>
    <w:rsid w:val="00861A9B"/>
    <w:rsid w:val="00873B28"/>
    <w:rsid w:val="0089100A"/>
    <w:rsid w:val="00894CDE"/>
    <w:rsid w:val="008B0BFD"/>
    <w:rsid w:val="008B38D0"/>
    <w:rsid w:val="008D35E6"/>
    <w:rsid w:val="008E312B"/>
    <w:rsid w:val="008E37E4"/>
    <w:rsid w:val="008E46FB"/>
    <w:rsid w:val="008E4786"/>
    <w:rsid w:val="008E550E"/>
    <w:rsid w:val="00900029"/>
    <w:rsid w:val="009005E6"/>
    <w:rsid w:val="00907413"/>
    <w:rsid w:val="00911E91"/>
    <w:rsid w:val="00914400"/>
    <w:rsid w:val="00914A9B"/>
    <w:rsid w:val="009161B8"/>
    <w:rsid w:val="009176CA"/>
    <w:rsid w:val="00921072"/>
    <w:rsid w:val="00924398"/>
    <w:rsid w:val="00926CC7"/>
    <w:rsid w:val="00937995"/>
    <w:rsid w:val="00937C77"/>
    <w:rsid w:val="0094323E"/>
    <w:rsid w:val="00944657"/>
    <w:rsid w:val="009567D2"/>
    <w:rsid w:val="00966A7C"/>
    <w:rsid w:val="009903FF"/>
    <w:rsid w:val="0099501B"/>
    <w:rsid w:val="009A68E0"/>
    <w:rsid w:val="009B3790"/>
    <w:rsid w:val="009C44AB"/>
    <w:rsid w:val="009E6DE0"/>
    <w:rsid w:val="00A00E46"/>
    <w:rsid w:val="00A01FA4"/>
    <w:rsid w:val="00A04B85"/>
    <w:rsid w:val="00A0530E"/>
    <w:rsid w:val="00A14DA2"/>
    <w:rsid w:val="00A20DBB"/>
    <w:rsid w:val="00A2167F"/>
    <w:rsid w:val="00A22CE6"/>
    <w:rsid w:val="00A26E94"/>
    <w:rsid w:val="00A317F4"/>
    <w:rsid w:val="00A412C9"/>
    <w:rsid w:val="00A51407"/>
    <w:rsid w:val="00A532B8"/>
    <w:rsid w:val="00A539C4"/>
    <w:rsid w:val="00A53E56"/>
    <w:rsid w:val="00A57660"/>
    <w:rsid w:val="00A74AB1"/>
    <w:rsid w:val="00A80D5B"/>
    <w:rsid w:val="00A84C53"/>
    <w:rsid w:val="00A93E7B"/>
    <w:rsid w:val="00A95434"/>
    <w:rsid w:val="00A96CB5"/>
    <w:rsid w:val="00AA2D76"/>
    <w:rsid w:val="00AB7EB7"/>
    <w:rsid w:val="00AC0176"/>
    <w:rsid w:val="00AC746B"/>
    <w:rsid w:val="00AD56C8"/>
    <w:rsid w:val="00AE0154"/>
    <w:rsid w:val="00AE26D9"/>
    <w:rsid w:val="00AE5DD4"/>
    <w:rsid w:val="00AE7BF3"/>
    <w:rsid w:val="00B13CC9"/>
    <w:rsid w:val="00B17F8C"/>
    <w:rsid w:val="00B21814"/>
    <w:rsid w:val="00B23504"/>
    <w:rsid w:val="00B247F0"/>
    <w:rsid w:val="00B30096"/>
    <w:rsid w:val="00B316C8"/>
    <w:rsid w:val="00B318F1"/>
    <w:rsid w:val="00B3219A"/>
    <w:rsid w:val="00B3445D"/>
    <w:rsid w:val="00B3632D"/>
    <w:rsid w:val="00B36F71"/>
    <w:rsid w:val="00B41D43"/>
    <w:rsid w:val="00B52D76"/>
    <w:rsid w:val="00B55019"/>
    <w:rsid w:val="00B66ECF"/>
    <w:rsid w:val="00B67AC6"/>
    <w:rsid w:val="00B73A96"/>
    <w:rsid w:val="00B762CD"/>
    <w:rsid w:val="00B77A83"/>
    <w:rsid w:val="00B86FC6"/>
    <w:rsid w:val="00B877B7"/>
    <w:rsid w:val="00BA3717"/>
    <w:rsid w:val="00BB7133"/>
    <w:rsid w:val="00BD4A99"/>
    <w:rsid w:val="00BE20AB"/>
    <w:rsid w:val="00BE3AA6"/>
    <w:rsid w:val="00BE5BE3"/>
    <w:rsid w:val="00BF7BFC"/>
    <w:rsid w:val="00C0213D"/>
    <w:rsid w:val="00C027ED"/>
    <w:rsid w:val="00C07CBA"/>
    <w:rsid w:val="00C15FFD"/>
    <w:rsid w:val="00C1742B"/>
    <w:rsid w:val="00C3722D"/>
    <w:rsid w:val="00C667F4"/>
    <w:rsid w:val="00C76A73"/>
    <w:rsid w:val="00C81986"/>
    <w:rsid w:val="00CA15A8"/>
    <w:rsid w:val="00CA4C41"/>
    <w:rsid w:val="00CB1EC2"/>
    <w:rsid w:val="00CD74AD"/>
    <w:rsid w:val="00CE44A9"/>
    <w:rsid w:val="00CF580D"/>
    <w:rsid w:val="00D0231E"/>
    <w:rsid w:val="00D0243D"/>
    <w:rsid w:val="00D12846"/>
    <w:rsid w:val="00D16407"/>
    <w:rsid w:val="00D23F4C"/>
    <w:rsid w:val="00D365F1"/>
    <w:rsid w:val="00D42975"/>
    <w:rsid w:val="00D567C6"/>
    <w:rsid w:val="00D83F9B"/>
    <w:rsid w:val="00D84492"/>
    <w:rsid w:val="00D8631B"/>
    <w:rsid w:val="00DA632B"/>
    <w:rsid w:val="00DB37A3"/>
    <w:rsid w:val="00DB5045"/>
    <w:rsid w:val="00DC2014"/>
    <w:rsid w:val="00DC59AF"/>
    <w:rsid w:val="00DD5F8A"/>
    <w:rsid w:val="00DE78CE"/>
    <w:rsid w:val="00DF64D8"/>
    <w:rsid w:val="00DF69B9"/>
    <w:rsid w:val="00E06CBD"/>
    <w:rsid w:val="00E1082E"/>
    <w:rsid w:val="00E149D6"/>
    <w:rsid w:val="00E24820"/>
    <w:rsid w:val="00E3705C"/>
    <w:rsid w:val="00E403EF"/>
    <w:rsid w:val="00E4619A"/>
    <w:rsid w:val="00E52FA0"/>
    <w:rsid w:val="00E56733"/>
    <w:rsid w:val="00E707F6"/>
    <w:rsid w:val="00E9261B"/>
    <w:rsid w:val="00E97E80"/>
    <w:rsid w:val="00EA3A73"/>
    <w:rsid w:val="00EA7027"/>
    <w:rsid w:val="00EC12C5"/>
    <w:rsid w:val="00ED32AE"/>
    <w:rsid w:val="00ED4583"/>
    <w:rsid w:val="00EE00A0"/>
    <w:rsid w:val="00EE0909"/>
    <w:rsid w:val="00EF1B6F"/>
    <w:rsid w:val="00EF4F8F"/>
    <w:rsid w:val="00F13587"/>
    <w:rsid w:val="00F21DBC"/>
    <w:rsid w:val="00F524DF"/>
    <w:rsid w:val="00F52A09"/>
    <w:rsid w:val="00F56ADD"/>
    <w:rsid w:val="00F6256E"/>
    <w:rsid w:val="00F72686"/>
    <w:rsid w:val="00F86183"/>
    <w:rsid w:val="00F870CF"/>
    <w:rsid w:val="00F919AD"/>
    <w:rsid w:val="00F959B8"/>
    <w:rsid w:val="00FA4992"/>
    <w:rsid w:val="00FB0EB6"/>
    <w:rsid w:val="00FB6EB6"/>
    <w:rsid w:val="00FB7366"/>
    <w:rsid w:val="00FC4F13"/>
    <w:rsid w:val="00FD09A7"/>
    <w:rsid w:val="00FD107D"/>
    <w:rsid w:val="00FD3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9CC8E"/>
  <w15:chartTrackingRefBased/>
  <w15:docId w15:val="{B62CC7B7-E469-4C6D-9F49-33247CFCA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52FA0"/>
    <w:rPr>
      <w:i/>
      <w:iCs/>
    </w:rPr>
  </w:style>
  <w:style w:type="character" w:styleId="Hyperlink">
    <w:name w:val="Hyperlink"/>
    <w:basedOn w:val="DefaultParagraphFont"/>
    <w:uiPriority w:val="99"/>
    <w:unhideWhenUsed/>
    <w:rsid w:val="00B762CD"/>
    <w:rPr>
      <w:color w:val="0563C1" w:themeColor="hyperlink"/>
      <w:u w:val="single"/>
    </w:rPr>
  </w:style>
  <w:style w:type="character" w:styleId="UnresolvedMention">
    <w:name w:val="Unresolved Mention"/>
    <w:basedOn w:val="DefaultParagraphFont"/>
    <w:uiPriority w:val="99"/>
    <w:semiHidden/>
    <w:unhideWhenUsed/>
    <w:rsid w:val="00B762CD"/>
    <w:rPr>
      <w:color w:val="605E5C"/>
      <w:shd w:val="clear" w:color="auto" w:fill="E1DFDD"/>
    </w:rPr>
  </w:style>
  <w:style w:type="character" w:customStyle="1" w:styleId="Heading1Char">
    <w:name w:val="Heading 1 Char"/>
    <w:basedOn w:val="DefaultParagraphFont"/>
    <w:link w:val="Heading1"/>
    <w:uiPriority w:val="9"/>
    <w:rsid w:val="0049443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206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ber-view">
    <w:name w:val="ember-view"/>
    <w:basedOn w:val="Normal"/>
    <w:rsid w:val="003932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41BC2"/>
    <w:pPr>
      <w:ind w:left="720"/>
      <w:contextualSpacing/>
    </w:pPr>
  </w:style>
  <w:style w:type="character" w:styleId="FollowedHyperlink">
    <w:name w:val="FollowedHyperlink"/>
    <w:basedOn w:val="DefaultParagraphFont"/>
    <w:uiPriority w:val="99"/>
    <w:semiHidden/>
    <w:unhideWhenUsed/>
    <w:rsid w:val="00EE00A0"/>
    <w:rPr>
      <w:color w:val="954F72" w:themeColor="followedHyperlink"/>
      <w:u w:val="single"/>
    </w:rPr>
  </w:style>
  <w:style w:type="paragraph" w:styleId="NoSpacing">
    <w:name w:val="No Spacing"/>
    <w:uiPriority w:val="1"/>
    <w:qFormat/>
    <w:rsid w:val="001F73DE"/>
    <w:pPr>
      <w:spacing w:after="0" w:line="240" w:lineRule="auto"/>
    </w:pPr>
  </w:style>
  <w:style w:type="character" w:customStyle="1" w:styleId="anchor-text">
    <w:name w:val="anchor-text"/>
    <w:basedOn w:val="DefaultParagraphFont"/>
    <w:rsid w:val="001F73DE"/>
  </w:style>
  <w:style w:type="character" w:styleId="HTMLCite">
    <w:name w:val="HTML Cite"/>
    <w:basedOn w:val="DefaultParagraphFont"/>
    <w:uiPriority w:val="99"/>
    <w:semiHidden/>
    <w:unhideWhenUsed/>
    <w:rsid w:val="00BA3717"/>
    <w:rPr>
      <w:i/>
      <w:iCs/>
    </w:rPr>
  </w:style>
  <w:style w:type="character" w:customStyle="1" w:styleId="al-author-delim">
    <w:name w:val="al-author-delim"/>
    <w:basedOn w:val="DefaultParagraphFont"/>
    <w:rsid w:val="00E24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12859">
      <w:bodyDiv w:val="1"/>
      <w:marLeft w:val="0"/>
      <w:marRight w:val="0"/>
      <w:marTop w:val="0"/>
      <w:marBottom w:val="0"/>
      <w:divBdr>
        <w:top w:val="none" w:sz="0" w:space="0" w:color="auto"/>
        <w:left w:val="none" w:sz="0" w:space="0" w:color="auto"/>
        <w:bottom w:val="none" w:sz="0" w:space="0" w:color="auto"/>
        <w:right w:val="none" w:sz="0" w:space="0" w:color="auto"/>
      </w:divBdr>
    </w:div>
    <w:div w:id="572357780">
      <w:bodyDiv w:val="1"/>
      <w:marLeft w:val="0"/>
      <w:marRight w:val="0"/>
      <w:marTop w:val="0"/>
      <w:marBottom w:val="0"/>
      <w:divBdr>
        <w:top w:val="none" w:sz="0" w:space="0" w:color="auto"/>
        <w:left w:val="none" w:sz="0" w:space="0" w:color="auto"/>
        <w:bottom w:val="none" w:sz="0" w:space="0" w:color="auto"/>
        <w:right w:val="none" w:sz="0" w:space="0" w:color="auto"/>
      </w:divBdr>
    </w:div>
    <w:div w:id="1647664028">
      <w:bodyDiv w:val="1"/>
      <w:marLeft w:val="0"/>
      <w:marRight w:val="0"/>
      <w:marTop w:val="0"/>
      <w:marBottom w:val="0"/>
      <w:divBdr>
        <w:top w:val="none" w:sz="0" w:space="0" w:color="auto"/>
        <w:left w:val="none" w:sz="0" w:space="0" w:color="auto"/>
        <w:bottom w:val="none" w:sz="0" w:space="0" w:color="auto"/>
        <w:right w:val="none" w:sz="0" w:space="0" w:color="auto"/>
      </w:divBdr>
    </w:div>
    <w:div w:id="1730152630">
      <w:bodyDiv w:val="1"/>
      <w:marLeft w:val="0"/>
      <w:marRight w:val="0"/>
      <w:marTop w:val="0"/>
      <w:marBottom w:val="0"/>
      <w:divBdr>
        <w:top w:val="none" w:sz="0" w:space="0" w:color="auto"/>
        <w:left w:val="none" w:sz="0" w:space="0" w:color="auto"/>
        <w:bottom w:val="none" w:sz="0" w:space="0" w:color="auto"/>
        <w:right w:val="none" w:sz="0" w:space="0" w:color="auto"/>
      </w:divBdr>
      <w:divsChild>
        <w:div w:id="776288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about/news-archive/influence-focused-organisations/%20" TargetMode="External"/><Relationship Id="rId21" Type="http://schemas.openxmlformats.org/officeDocument/2006/relationships/hyperlink" Target="https://www.cipd.org/uk/knowledge/guides/employee-voice-channels-guide-for-people-professionals/" TargetMode="External"/><Relationship Id="rId34" Type="http://schemas.openxmlformats.org/officeDocument/2006/relationships/hyperlink" Target="https://doi.org/10.1007/s10672-021-09376-0" TargetMode="External"/><Relationship Id="rId42" Type="http://schemas.openxmlformats.org/officeDocument/2006/relationships/hyperlink" Target="https://www.peoplemanagement.co.uk/article/1743217/conducting-exit-interviews" TargetMode="External"/><Relationship Id="rId47" Type="http://schemas.openxmlformats.org/officeDocument/2006/relationships/hyperlink" Target="https://www.hrmagazine.co.uk/content/news/managers-failing-on-the-basics-of-successful-one-to-ones" TargetMode="External"/><Relationship Id="rId50" Type="http://schemas.openxmlformats.org/officeDocument/2006/relationships/hyperlink" Target="https://ympn.co.id/index.php/JCMTS/article/view/208" TargetMode="External"/><Relationship Id="rId55" Type="http://schemas.openxmlformats.org/officeDocument/2006/relationships/hyperlink" Target="https://doi.org/10.1108/09534810510614977" TargetMode="External"/><Relationship Id="rId63" Type="http://schemas.openxmlformats.org/officeDocument/2006/relationships/hyperlink" Target="https://doi.org/10.1093/intqhc/mzu057" TargetMode="External"/><Relationship Id="rId7" Type="http://schemas.openxmlformats.org/officeDocument/2006/relationships/hyperlink" Target="https://www.cipd.org/uk/knowledge/factsheets/relations-employees-factsheet/" TargetMode="External"/><Relationship Id="rId2" Type="http://schemas.openxmlformats.org/officeDocument/2006/relationships/settings" Target="settings.xml"/><Relationship Id="rId16" Type="http://schemas.openxmlformats.org/officeDocument/2006/relationships/hyperlink" Target="https://www.cipd.org/uk/views-and-insights/thought-leadership/the-world-of-work/people-professionals-external-world/" TargetMode="External"/><Relationship Id="rId29" Type="http://schemas.openxmlformats.org/officeDocument/2006/relationships/hyperlink" Target="https://doi.org/10.1108/SO-08-2015-0020" TargetMode="External"/><Relationship Id="rId11" Type="http://schemas.openxmlformats.org/officeDocument/2006/relationships/hyperlink" Target="https://www.cqc.org.uk/publications/major-report/state-care/2023-2024/access/asc" TargetMode="External"/><Relationship Id="rId24" Type="http://schemas.openxmlformats.org/officeDocument/2006/relationships/hyperlink" Target="https://www.cipd.org/uk/knowledge/factsheets/workforce-planning-factsheet/" TargetMode="External"/><Relationship Id="rId32" Type="http://schemas.openxmlformats.org/officeDocument/2006/relationships/hyperlink" Target="https://www.peoplemanagement.co.uk/article/1746032/why-bad-management-is-detrimental-to-wellbeing" TargetMode="External"/><Relationship Id="rId37" Type="http://schemas.openxmlformats.org/officeDocument/2006/relationships/hyperlink" Target="https://www.peoplemanagement.co.uk/article/1882937/workplace-sickness-costs-businesses-100bn-year-report-finds" TargetMode="External"/><Relationship Id="rId40" Type="http://schemas.openxmlformats.org/officeDocument/2006/relationships/hyperlink" Target="https://doi.org/10.1177/1534484304273818" TargetMode="External"/><Relationship Id="rId45" Type="http://schemas.openxmlformats.org/officeDocument/2006/relationships/hyperlink" Target="https://www.peoplemanagement.co.uk/article/1839181/identifying-causes-workload-stress-tackling-different-management-styles-%E2%80%93-learned-cipd-health-wellbeing-work-report" TargetMode="External"/><Relationship Id="rId53" Type="http://schemas.openxmlformats.org/officeDocument/2006/relationships/hyperlink" Target="https://doi.org/10.1016/j.orgdyn.2022.100899" TargetMode="External"/><Relationship Id="rId58" Type="http://schemas.openxmlformats.org/officeDocument/2006/relationships/hyperlink" Target="https://www.cipd.org/uk/knowledge/factsheets/well-being-factsheet/" TargetMode="External"/><Relationship Id="rId66" Type="http://schemas.openxmlformats.org/officeDocument/2006/relationships/theme" Target="theme/theme1.xml"/><Relationship Id="rId5" Type="http://schemas.openxmlformats.org/officeDocument/2006/relationships/hyperlink" Target="https://doi.org/10.1108/PR-02-2015-0029" TargetMode="External"/><Relationship Id="rId61" Type="http://schemas.openxmlformats.org/officeDocument/2006/relationships/hyperlink" Target="https://committees.parliament.uk/committee/175/economic-affairs-committee/news/206022/preparing-for-an-ageing-society-inquiry-launched/" TargetMode="External"/><Relationship Id="rId19" Type="http://schemas.openxmlformats.org/officeDocument/2006/relationships/hyperlink" Target="https://www.cipd.org/uk/knowledge/factsheets/evidence-based-practice-factsheet/" TargetMode="External"/><Relationship Id="rId14" Type="http://schemas.openxmlformats.org/officeDocument/2006/relationships/hyperlink" Target="https://www.peoplemanagement.co.uk/article/1745882/the-flat-hierarchy-fall-from-grace" TargetMode="External"/><Relationship Id="rId22" Type="http://schemas.openxmlformats.org/officeDocument/2006/relationships/hyperlink" Target="https://www.cipd.org/en/knowledge/guides/employee-retention/" TargetMode="External"/><Relationship Id="rId27" Type="http://schemas.openxmlformats.org/officeDocument/2006/relationships/hyperlink" Target="https://www.gov.uk/government/statistics/adult-social-care-in-england-monthly-statistics-october-2024/adult-social-care-in-england-monthly-statistics-october-2024%20" TargetMode="External"/><Relationship Id="rId30" Type="http://schemas.openxmlformats.org/officeDocument/2006/relationships/hyperlink" Target="https://doi.org/10.1007/s10612-019-09467-3" TargetMode="External"/><Relationship Id="rId35" Type="http://schemas.openxmlformats.org/officeDocument/2006/relationships/hyperlink" Target="https://www.cipd.org/uk/about/news/six-ways-hr-influences-organisational-culture/%20(" TargetMode="External"/><Relationship Id="rId43" Type="http://schemas.openxmlformats.org/officeDocument/2006/relationships/hyperlink" Target="https://doi.org/10.4103/1357-6283.101603" TargetMode="External"/><Relationship Id="rId48" Type="http://schemas.openxmlformats.org/officeDocument/2006/relationships/hyperlink" Target="https://doi.org/10.61336/jad/25-04-01" TargetMode="External"/><Relationship Id="rId56" Type="http://schemas.openxmlformats.org/officeDocument/2006/relationships/hyperlink" Target="https://doi.org/10.32628/IJSRST195463%20" TargetMode="External"/><Relationship Id="rId64" Type="http://schemas.openxmlformats.org/officeDocument/2006/relationships/hyperlink" Target="https://www.cipd.org/globalassets/media/knowledge/knowledge-hub/reports/leadership_2014-easier-said-than-done_tcm18-8893.pdf" TargetMode="External"/><Relationship Id="rId8" Type="http://schemas.openxmlformats.org/officeDocument/2006/relationships/hyperlink" Target="https://doi.org/10.1016/j.ipm.2019.102105" TargetMode="External"/><Relationship Id="rId51" Type="http://schemas.openxmlformats.org/officeDocument/2006/relationships/hyperlink" Target="https://www.cipd.org/uk/knowledge/factsheets/talent-factsheet/" TargetMode="External"/><Relationship Id="rId3" Type="http://schemas.openxmlformats.org/officeDocument/2006/relationships/webSettings" Target="webSettings.xml"/><Relationship Id="rId12" Type="http://schemas.openxmlformats.org/officeDocument/2006/relationships/hyperlink" Target="https://doi.org/10.3233/TAD-130368" TargetMode="External"/><Relationship Id="rId17" Type="http://schemas.openxmlformats.org/officeDocument/2006/relationships/hyperlink" Target="https://www.cipd.org/uk/about/news/understanding-what-really-drives-your-workforce/" TargetMode="External"/><Relationship Id="rId25" Type="http://schemas.openxmlformats.org/officeDocument/2006/relationships/hyperlink" Target="https://www.cipd.org/uk/knowledge/factsheets/voice-factsheet/" TargetMode="External"/><Relationship Id="rId33" Type="http://schemas.openxmlformats.org/officeDocument/2006/relationships/hyperlink" Target="https://doi.org/10.1007/s10672-021-09376-0" TargetMode="External"/><Relationship Id="rId38" Type="http://schemas.openxmlformats.org/officeDocument/2006/relationships/hyperlink" Target="https://doi.org/10.1016/j.eij.2020.07.003" TargetMode="External"/><Relationship Id="rId46" Type="http://schemas.openxmlformats.org/officeDocument/2006/relationships/hyperlink" Target="https://www.cipd.org/uk/views-and-insights/thought-leadership/insight/activating-employer-brand/" TargetMode="External"/><Relationship Id="rId59" Type="http://schemas.openxmlformats.org/officeDocument/2006/relationships/hyperlink" Target="https://doi.org/10.1108/OMJ-03-2021-1177" TargetMode="External"/><Relationship Id="rId20" Type="http://schemas.openxmlformats.org/officeDocument/2006/relationships/hyperlink" Target="https://www.cipd.org/uk/knowledge/factsheets/turnover-retention-factsheet/" TargetMode="External"/><Relationship Id="rId41" Type="http://schemas.openxmlformats.org/officeDocument/2006/relationships/hyperlink" Target="https://www.peoplemanagement.co.uk/article/1751678/five-simple-steps-workforce-planning-success" TargetMode="External"/><Relationship Id="rId54" Type="http://schemas.openxmlformats.org/officeDocument/2006/relationships/hyperlink" Target="https://www.cipd.org/globalassets/media/comms/get-involved/events/smiling-but-not-with-his-eyes_2017-authentic-employee-voice-for-inclusive-organisations_tcm18-39492.pdf" TargetMode="External"/><Relationship Id="rId62" Type="http://schemas.openxmlformats.org/officeDocument/2006/relationships/hyperlink" Target="https://www.peoplemanagement.co.uk/article/1741880/why-managing-stress-effectively-boost-employee-wellbeing" TargetMode="External"/><Relationship Id="rId1" Type="http://schemas.openxmlformats.org/officeDocument/2006/relationships/styles" Target="styles.xml"/><Relationship Id="rId6" Type="http://schemas.openxmlformats.org/officeDocument/2006/relationships/hyperlink" Target="https://www.cipd.org/uk/knowledge/factsheets/diversity-factsheet/" TargetMode="External"/><Relationship Id="rId15" Type="http://schemas.openxmlformats.org/officeDocument/2006/relationships/hyperlink" Target="https://www.peoplemanagement.co.uk/article/1807911/just-two-fifths-employers-conduct-annual-engagement-surveys-report-shows" TargetMode="External"/><Relationship Id="rId23" Type="http://schemas.openxmlformats.org/officeDocument/2006/relationships/hyperlink" Target="https://www.cipd.org/uk/knowledge/factsheets/strategic-hrm-factsheet/" TargetMode="External"/><Relationship Id="rId28" Type="http://schemas.openxmlformats.org/officeDocument/2006/relationships/hyperlink" Target="https://commonslibrary.parliament.uk/research-briefings/cbp-7903/%20" TargetMode="External"/><Relationship Id="rId36" Type="http://schemas.openxmlformats.org/officeDocument/2006/relationships/hyperlink" Target="https://eujournal.org/index.php/esj/article/view/5645" TargetMode="External"/><Relationship Id="rId49" Type="http://schemas.openxmlformats.org/officeDocument/2006/relationships/hyperlink" Target="https://www.england.nhs.uk/2025/03/nationwide-roll-out-of-artificial-intelligence-tool-that-predicts-falls-and-viruses/" TargetMode="External"/><Relationship Id="rId57" Type="http://schemas.openxmlformats.org/officeDocument/2006/relationships/hyperlink" Target="https://www.peoplemanagement.co.uk/article/1913615/half-employers-say-increased-sickness-levels-causing-lower-productivity-study-finds" TargetMode="External"/><Relationship Id="rId10" Type="http://schemas.openxmlformats.org/officeDocument/2006/relationships/hyperlink" Target="https://www.cqc.org.uk/guidance-providers/adult-social-" TargetMode="External"/><Relationship Id="rId31" Type="http://schemas.openxmlformats.org/officeDocument/2006/relationships/hyperlink" Target="https://www.cipd.org/uk/knowledge/factsheets/pestle-analysis-factsheet/" TargetMode="External"/><Relationship Id="rId44" Type="http://schemas.openxmlformats.org/officeDocument/2006/relationships/hyperlink" Target="https://www.globalscientificjournal.com/researchpaper/Organizational_Structure_Its_Drawbacks_and_Shortcomings_and_Overall_Impact_to_Organizational_Behavior.pdf" TargetMode="External"/><Relationship Id="rId52" Type="http://schemas.openxmlformats.org/officeDocument/2006/relationships/hyperlink" Target="https://www.cipd.org/uk/knowledge/guides/change-management/%23what-is-change-management%20" TargetMode="External"/><Relationship Id="rId60" Type="http://schemas.openxmlformats.org/officeDocument/2006/relationships/hyperlink" Target="https://commonslibrary.parliament.uk/research-briefings/cbp-10338/" TargetMode="External"/><Relationship Id="rId65" Type="http://schemas.openxmlformats.org/officeDocument/2006/relationships/fontTable" Target="fontTable.xml"/><Relationship Id="rId4" Type="http://schemas.openxmlformats.org/officeDocument/2006/relationships/hyperlink" Target="https://www.acas.org.uk/managing-work-related-stress" TargetMode="External"/><Relationship Id="rId9" Type="http://schemas.openxmlformats.org/officeDocument/2006/relationships/hyperlink" Target="https://www.cipd.org/globalassets/media/knowledge/knowledge-hub/reports/2014-landing-transformational-change_2014_tcm18-16180.pdf" TargetMode="External"/><Relationship Id="rId13" Type="http://schemas.openxmlformats.org/officeDocument/2006/relationships/hyperlink" Target="https://doi.org/10.1108/SHR-05-2019-0042" TargetMode="External"/><Relationship Id="rId18" Type="http://schemas.openxmlformats.org/officeDocument/2006/relationships/hyperlink" Target="https://www.cipd.org/uk/knowledge/factsheets/swot-analysis-factsheet/" TargetMode="External"/><Relationship Id="rId39" Type="http://schemas.openxmlformats.org/officeDocument/2006/relationships/hyperlink" Target="https://www.linkedin.com/pulse/exploring-organizational-structures-comparison-flat-na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9788</TotalTime>
  <Pages>19</Pages>
  <Words>8143</Words>
  <Characters>46421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abbieh</dc:creator>
  <cp:keywords/>
  <dc:description/>
  <cp:lastModifiedBy>abbieh</cp:lastModifiedBy>
  <cp:revision>275</cp:revision>
  <dcterms:created xsi:type="dcterms:W3CDTF">2025-10-25T10:30:00Z</dcterms:created>
  <dcterms:modified xsi:type="dcterms:W3CDTF">2025-11-26T14:27:00Z</dcterms:modified>
</cp:coreProperties>
</file>