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EB1F16" w14:textId="516B4992" w:rsidR="007B6715" w:rsidRDefault="007B6715" w:rsidP="007B6715">
      <w:pPr>
        <w:spacing w:line="360" w:lineRule="auto"/>
        <w:rPr>
          <w:rFonts w:ascii="Arial" w:hAnsi="Arial" w:cs="Arial"/>
        </w:rPr>
      </w:pPr>
      <w:r w:rsidRPr="004808D0">
        <w:rPr>
          <w:rFonts w:ascii="Arial" w:hAnsi="Arial" w:cs="Arial"/>
          <w:noProof/>
        </w:rPr>
        <w:drawing>
          <wp:inline distT="0" distB="0" distL="0" distR="0" wp14:anchorId="29550DE4" wp14:editId="2A49ADC7">
            <wp:extent cx="5731510" cy="3223895"/>
            <wp:effectExtent l="0" t="0" r="0" b="1905"/>
            <wp:docPr id="18028935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2893507" name=""/>
                    <pic:cNvPicPr/>
                  </pic:nvPicPr>
                  <pic:blipFill>
                    <a:blip r:embed="rId5"/>
                    <a:stretch>
                      <a:fillRect/>
                    </a:stretch>
                  </pic:blipFill>
                  <pic:spPr>
                    <a:xfrm>
                      <a:off x="0" y="0"/>
                      <a:ext cx="5731510" cy="3223895"/>
                    </a:xfrm>
                    <a:prstGeom prst="rect">
                      <a:avLst/>
                    </a:prstGeom>
                  </pic:spPr>
                </pic:pic>
              </a:graphicData>
            </a:graphic>
          </wp:inline>
        </w:drawing>
      </w:r>
    </w:p>
    <w:p w14:paraId="1469163A" w14:textId="012F83D0" w:rsidR="004726CE" w:rsidRDefault="004726CE" w:rsidP="007B6715">
      <w:pPr>
        <w:spacing w:line="360" w:lineRule="auto"/>
        <w:rPr>
          <w:rFonts w:ascii="Arial" w:hAnsi="Arial" w:cs="Arial"/>
        </w:rPr>
      </w:pPr>
      <w:r>
        <w:rPr>
          <w:rFonts w:ascii="Arial" w:hAnsi="Arial" w:cs="Arial"/>
        </w:rPr>
        <w:t xml:space="preserve">                                                                       Student Name: Anaida Adamache </w:t>
      </w:r>
    </w:p>
    <w:p w14:paraId="79759B25" w14:textId="2C4EB066" w:rsidR="004726CE" w:rsidRDefault="004726CE" w:rsidP="007B6715">
      <w:pPr>
        <w:spacing w:line="360" w:lineRule="auto"/>
        <w:rPr>
          <w:rFonts w:ascii="Arial" w:hAnsi="Arial" w:cs="Arial"/>
        </w:rPr>
      </w:pPr>
      <w:r>
        <w:rPr>
          <w:rFonts w:ascii="Arial" w:hAnsi="Arial" w:cs="Arial"/>
        </w:rPr>
        <w:t xml:space="preserve">                                                                       Student Number:2026381</w:t>
      </w:r>
    </w:p>
    <w:p w14:paraId="51C73CE6" w14:textId="7BD96A8D" w:rsidR="004726CE" w:rsidRPr="004808D0" w:rsidRDefault="004726CE" w:rsidP="007B6715">
      <w:pPr>
        <w:spacing w:line="360" w:lineRule="auto"/>
        <w:rPr>
          <w:rFonts w:ascii="Arial" w:hAnsi="Arial" w:cs="Arial"/>
        </w:rPr>
      </w:pPr>
      <w:r>
        <w:rPr>
          <w:rFonts w:ascii="Arial" w:hAnsi="Arial" w:cs="Arial"/>
        </w:rPr>
        <w:t xml:space="preserve">                                                                       Lecturer Name: Chris Wilkin</w:t>
      </w:r>
    </w:p>
    <w:p w14:paraId="1BF25503" w14:textId="77777777" w:rsidR="007B6715" w:rsidRPr="004808D0" w:rsidRDefault="007B6715" w:rsidP="007B6715">
      <w:pPr>
        <w:spacing w:line="360" w:lineRule="auto"/>
        <w:rPr>
          <w:rFonts w:ascii="Arial" w:hAnsi="Arial" w:cs="Arial"/>
        </w:rPr>
      </w:pPr>
      <w:r w:rsidRPr="004808D0">
        <w:rPr>
          <w:rFonts w:ascii="Arial" w:hAnsi="Arial" w:cs="Arial"/>
        </w:rPr>
        <w:br w:type="page"/>
      </w:r>
    </w:p>
    <w:p w14:paraId="75156908" w14:textId="3BCC21D2" w:rsidR="007B6715" w:rsidRPr="004808D0" w:rsidRDefault="007B6715" w:rsidP="007B6715">
      <w:pPr>
        <w:spacing w:line="360" w:lineRule="auto"/>
        <w:rPr>
          <w:rFonts w:ascii="Arial" w:hAnsi="Arial" w:cs="Arial"/>
        </w:rPr>
      </w:pPr>
      <w:r w:rsidRPr="004808D0">
        <w:rPr>
          <w:rFonts w:ascii="Arial" w:hAnsi="Arial" w:cs="Arial"/>
          <w:noProof/>
        </w:rPr>
        <w:lastRenderedPageBreak/>
        <w:drawing>
          <wp:inline distT="0" distB="0" distL="0" distR="0" wp14:anchorId="213A3B93" wp14:editId="4B9F3BF9">
            <wp:extent cx="5731510" cy="3223895"/>
            <wp:effectExtent l="0" t="0" r="0" b="1905"/>
            <wp:docPr id="12650228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5022873" name=""/>
                    <pic:cNvPicPr/>
                  </pic:nvPicPr>
                  <pic:blipFill>
                    <a:blip r:embed="rId6"/>
                    <a:stretch>
                      <a:fillRect/>
                    </a:stretch>
                  </pic:blipFill>
                  <pic:spPr>
                    <a:xfrm>
                      <a:off x="0" y="0"/>
                      <a:ext cx="5731510" cy="3223895"/>
                    </a:xfrm>
                    <a:prstGeom prst="rect">
                      <a:avLst/>
                    </a:prstGeom>
                  </pic:spPr>
                </pic:pic>
              </a:graphicData>
            </a:graphic>
          </wp:inline>
        </w:drawing>
      </w:r>
    </w:p>
    <w:p w14:paraId="21914608" w14:textId="77777777" w:rsidR="007B6715" w:rsidRPr="004808D0" w:rsidRDefault="007B6715" w:rsidP="007B6715">
      <w:pPr>
        <w:spacing w:line="360" w:lineRule="auto"/>
        <w:rPr>
          <w:rFonts w:ascii="Arial" w:hAnsi="Arial" w:cs="Arial"/>
        </w:rPr>
      </w:pPr>
      <w:r w:rsidRPr="004808D0">
        <w:rPr>
          <w:rFonts w:ascii="Arial" w:hAnsi="Arial" w:cs="Arial"/>
          <w:lang w:val="en-IN"/>
        </w:rPr>
        <w:t>The proposed event is a one-day business conference that has a theme. This title which is "Promoting Cultural Diversity in the Hospitality Industry: Accommodation and Experiences for Football Event Fans." The purpose of this event is to be under the MICE ((Meetings, Incentives, Conferences, and Exhibitions) industry (Ramirez, 2021, p.90). This helps to address the theme of Equity, Diversity and Inclusion (EDI) by giving the hospitality employees. The tools they need to serve multinational customers at major international sporting events. Through individualised services, the conference aims to promote cultural inclusiveness. It also educates the participants on cultural and religious needs. This also assists the hotels in creating service packages that cater to worldwide customers.</w:t>
      </w:r>
    </w:p>
    <w:p w14:paraId="5D3857D4" w14:textId="77777777" w:rsidR="007B6715" w:rsidRPr="004808D0" w:rsidRDefault="007B6715" w:rsidP="007B6715">
      <w:pPr>
        <w:spacing w:line="360" w:lineRule="auto"/>
        <w:rPr>
          <w:rFonts w:ascii="Arial" w:hAnsi="Arial" w:cs="Arial"/>
        </w:rPr>
      </w:pPr>
      <w:r w:rsidRPr="004808D0">
        <w:rPr>
          <w:rFonts w:ascii="Arial" w:hAnsi="Arial" w:cs="Arial"/>
          <w:lang w:val="en-IN"/>
        </w:rPr>
        <w:t>The event's importance grows from the growing focus on diversity in the hospitality and events sector. As the industry changes to serve more multinational customers, incorporating EDI concepts has become crucial for both customer happiness and competitive advantage. This event aligns with the core principles of the MICE industry (</w:t>
      </w:r>
      <w:proofErr w:type="spellStart"/>
      <w:r w:rsidRPr="004808D0">
        <w:rPr>
          <w:rFonts w:ascii="Arial" w:hAnsi="Arial" w:cs="Arial"/>
          <w:lang w:val="en-IN"/>
        </w:rPr>
        <w:t>Kozhakhmetova</w:t>
      </w:r>
      <w:proofErr w:type="spellEnd"/>
      <w:r w:rsidRPr="004808D0">
        <w:rPr>
          <w:rFonts w:ascii="Arial" w:hAnsi="Arial" w:cs="Arial"/>
          <w:lang w:val="en-IN"/>
        </w:rPr>
        <w:t xml:space="preserve">, 2023, p.13). This includes networking, knowledge exchange, and professional development. This event serves as a valuable platform for promoting collaboration which is </w:t>
      </w:r>
      <w:proofErr w:type="gramStart"/>
      <w:r w:rsidRPr="004808D0">
        <w:rPr>
          <w:rFonts w:ascii="Arial" w:hAnsi="Arial" w:cs="Arial"/>
          <w:lang w:val="en-IN"/>
        </w:rPr>
        <w:t>industry-wide</w:t>
      </w:r>
      <w:proofErr w:type="gramEnd"/>
      <w:r w:rsidRPr="004808D0">
        <w:rPr>
          <w:rFonts w:ascii="Arial" w:hAnsi="Arial" w:cs="Arial"/>
          <w:lang w:val="en-IN"/>
        </w:rPr>
        <w:t xml:space="preserve">. The Hilton London Paddington was selected as the goal. This is because of its excellent position, perfect access to the Paddington Station, and MICE amenities that are cutting-edge. In addition to offering the perfect environment for panel discussions, workshops, and case study </w:t>
      </w:r>
      <w:r w:rsidRPr="004808D0">
        <w:rPr>
          <w:rFonts w:ascii="Arial" w:hAnsi="Arial" w:cs="Arial"/>
          <w:lang w:val="en-IN"/>
        </w:rPr>
        <w:lastRenderedPageBreak/>
        <w:t xml:space="preserve">presentations. These features help to guarantee accessibility for participants from across the world. </w:t>
      </w:r>
    </w:p>
    <w:p w14:paraId="6A8442CA" w14:textId="66AFDAD7" w:rsidR="007B6715" w:rsidRPr="004808D0" w:rsidRDefault="007B6715" w:rsidP="007B6715">
      <w:pPr>
        <w:spacing w:line="360" w:lineRule="auto"/>
        <w:rPr>
          <w:rFonts w:ascii="Arial" w:hAnsi="Arial" w:cs="Arial"/>
        </w:rPr>
      </w:pPr>
      <w:r w:rsidRPr="004808D0">
        <w:rPr>
          <w:rFonts w:ascii="Arial" w:hAnsi="Arial" w:cs="Arial"/>
        </w:rPr>
        <w:br w:type="page"/>
      </w:r>
    </w:p>
    <w:p w14:paraId="036B53AF" w14:textId="7F2B3129" w:rsidR="007B6715" w:rsidRPr="004808D0" w:rsidRDefault="007B6715" w:rsidP="007B6715">
      <w:pPr>
        <w:spacing w:line="360" w:lineRule="auto"/>
        <w:rPr>
          <w:rFonts w:ascii="Arial" w:hAnsi="Arial" w:cs="Arial"/>
        </w:rPr>
      </w:pPr>
      <w:r w:rsidRPr="004808D0">
        <w:rPr>
          <w:rFonts w:ascii="Arial" w:hAnsi="Arial" w:cs="Arial"/>
          <w:noProof/>
        </w:rPr>
        <w:lastRenderedPageBreak/>
        <w:drawing>
          <wp:inline distT="0" distB="0" distL="0" distR="0" wp14:anchorId="3709EDAD" wp14:editId="55C806AB">
            <wp:extent cx="5731510" cy="3223895"/>
            <wp:effectExtent l="0" t="0" r="0" b="1905"/>
            <wp:docPr id="21297576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9757687" name=""/>
                    <pic:cNvPicPr/>
                  </pic:nvPicPr>
                  <pic:blipFill>
                    <a:blip r:embed="rId7"/>
                    <a:stretch>
                      <a:fillRect/>
                    </a:stretch>
                  </pic:blipFill>
                  <pic:spPr>
                    <a:xfrm>
                      <a:off x="0" y="0"/>
                      <a:ext cx="5731510" cy="3223895"/>
                    </a:xfrm>
                    <a:prstGeom prst="rect">
                      <a:avLst/>
                    </a:prstGeom>
                  </pic:spPr>
                </pic:pic>
              </a:graphicData>
            </a:graphic>
          </wp:inline>
        </w:drawing>
      </w:r>
    </w:p>
    <w:p w14:paraId="07C03BE8" w14:textId="77777777" w:rsidR="007B6715" w:rsidRPr="004808D0" w:rsidRDefault="007B6715" w:rsidP="007B6715">
      <w:pPr>
        <w:spacing w:line="360" w:lineRule="auto"/>
        <w:rPr>
          <w:rFonts w:ascii="Arial" w:hAnsi="Arial" w:cs="Arial"/>
        </w:rPr>
      </w:pPr>
      <w:r w:rsidRPr="004808D0">
        <w:rPr>
          <w:rFonts w:ascii="Arial" w:hAnsi="Arial" w:cs="Arial"/>
          <w:lang w:val="en-US"/>
        </w:rPr>
        <w:t xml:space="preserve">The proposed event is “Promoting Cultural Diversity in the Hospitality Industry: Accommodation and Experiences for Football Event Fans”. This is a one-day business-themed conference which is </w:t>
      </w:r>
      <w:proofErr w:type="gramStart"/>
      <w:r w:rsidRPr="004808D0">
        <w:rPr>
          <w:rFonts w:ascii="Arial" w:hAnsi="Arial" w:cs="Arial"/>
          <w:lang w:val="en-US"/>
        </w:rPr>
        <w:t>in</w:t>
      </w:r>
      <w:proofErr w:type="gramEnd"/>
      <w:r w:rsidRPr="004808D0">
        <w:rPr>
          <w:rFonts w:ascii="Arial" w:hAnsi="Arial" w:cs="Arial"/>
          <w:lang w:val="en-US"/>
        </w:rPr>
        <w:t xml:space="preserve"> the day, and that is focused on Equality, Diversity, and Inclusion (EDI) within the MICE industry. It aims to get together professionals from the hotel, tourism, and event management industries as well as cultural consultants, sports event organizers, and important stakeholders in international sporting events. It is a meeting and conference event.  Event planners, marketing specialists, hotel managers, and operational teams. These are examining for practical advice on the creation of various cultural groups among the target audience members. The conference will feature interactive seminars on adjusting hotel services to adapt to cultural and religious demands. For this, the case study presentations show effective examples of inclusion in hospitality operations. In this, </w:t>
      </w:r>
      <w:proofErr w:type="gramStart"/>
      <w:r w:rsidRPr="004808D0">
        <w:rPr>
          <w:rFonts w:ascii="Arial" w:hAnsi="Arial" w:cs="Arial"/>
          <w:lang w:val="en-US"/>
        </w:rPr>
        <w:t>a number of</w:t>
      </w:r>
      <w:proofErr w:type="gramEnd"/>
      <w:r w:rsidRPr="004808D0">
        <w:rPr>
          <w:rFonts w:ascii="Arial" w:hAnsi="Arial" w:cs="Arial"/>
          <w:lang w:val="en-US"/>
        </w:rPr>
        <w:t xml:space="preserve"> panel discussions were given by prominent figures in the business and organizers of sporting events. In football fans and teams follow important international tournaments. For this, the </w:t>
      </w:r>
      <w:proofErr w:type="gramStart"/>
      <w:r w:rsidRPr="004808D0">
        <w:rPr>
          <w:rFonts w:ascii="Arial" w:hAnsi="Arial" w:cs="Arial"/>
          <w:lang w:val="en-US"/>
        </w:rPr>
        <w:t>main focus</w:t>
      </w:r>
      <w:proofErr w:type="gramEnd"/>
      <w:r w:rsidRPr="004808D0">
        <w:rPr>
          <w:rFonts w:ascii="Arial" w:hAnsi="Arial" w:cs="Arial"/>
          <w:lang w:val="en-US"/>
        </w:rPr>
        <w:t xml:space="preserve"> is on developing a greater awareness of cultural diversity and creating inclusive experiences.</w:t>
      </w:r>
    </w:p>
    <w:p w14:paraId="63CE389E" w14:textId="0B0E6EFE" w:rsidR="007B6715" w:rsidRPr="004808D0" w:rsidRDefault="007B6715" w:rsidP="007B6715">
      <w:pPr>
        <w:spacing w:line="360" w:lineRule="auto"/>
        <w:rPr>
          <w:rFonts w:ascii="Arial" w:hAnsi="Arial" w:cs="Arial"/>
        </w:rPr>
      </w:pPr>
      <w:r w:rsidRPr="004808D0">
        <w:rPr>
          <w:rFonts w:ascii="Arial" w:hAnsi="Arial" w:cs="Arial"/>
        </w:rPr>
        <w:br w:type="page"/>
      </w:r>
    </w:p>
    <w:p w14:paraId="43C4B7A7" w14:textId="69C120A1" w:rsidR="007B6715" w:rsidRPr="004808D0" w:rsidRDefault="007B6715" w:rsidP="007B6715">
      <w:pPr>
        <w:spacing w:line="360" w:lineRule="auto"/>
        <w:rPr>
          <w:rFonts w:ascii="Arial" w:hAnsi="Arial" w:cs="Arial"/>
        </w:rPr>
      </w:pPr>
      <w:r w:rsidRPr="004808D0">
        <w:rPr>
          <w:rFonts w:ascii="Arial" w:hAnsi="Arial" w:cs="Arial"/>
          <w:noProof/>
        </w:rPr>
        <w:lastRenderedPageBreak/>
        <w:drawing>
          <wp:inline distT="0" distB="0" distL="0" distR="0" wp14:anchorId="310DBA79" wp14:editId="50C28381">
            <wp:extent cx="5731510" cy="3223895"/>
            <wp:effectExtent l="0" t="0" r="0" b="1905"/>
            <wp:docPr id="4063614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6361439" name=""/>
                    <pic:cNvPicPr/>
                  </pic:nvPicPr>
                  <pic:blipFill>
                    <a:blip r:embed="rId8"/>
                    <a:stretch>
                      <a:fillRect/>
                    </a:stretch>
                  </pic:blipFill>
                  <pic:spPr>
                    <a:xfrm>
                      <a:off x="0" y="0"/>
                      <a:ext cx="5731510" cy="3223895"/>
                    </a:xfrm>
                    <a:prstGeom prst="rect">
                      <a:avLst/>
                    </a:prstGeom>
                  </pic:spPr>
                </pic:pic>
              </a:graphicData>
            </a:graphic>
          </wp:inline>
        </w:drawing>
      </w:r>
    </w:p>
    <w:p w14:paraId="151054BB" w14:textId="57F887C6" w:rsidR="007B6715" w:rsidRPr="004808D0" w:rsidRDefault="007B6715" w:rsidP="007B6715">
      <w:pPr>
        <w:spacing w:line="360" w:lineRule="auto"/>
        <w:rPr>
          <w:rFonts w:ascii="Arial" w:hAnsi="Arial" w:cs="Arial"/>
        </w:rPr>
      </w:pPr>
      <w:r w:rsidRPr="004808D0">
        <w:rPr>
          <w:rFonts w:ascii="Arial" w:hAnsi="Arial" w:cs="Arial"/>
          <w:lang w:val="en-US"/>
        </w:rPr>
        <w:t xml:space="preserve">Socially and culturally this event highlights the value of hospitality services. This honor adjusts various religious and cultural customs, such as offering halal or kosher food options.  These places for prayer and interactions with </w:t>
      </w:r>
      <w:r w:rsidR="004726CE" w:rsidRPr="004808D0">
        <w:rPr>
          <w:rFonts w:ascii="Arial" w:hAnsi="Arial" w:cs="Arial"/>
          <w:lang w:val="en-US"/>
        </w:rPr>
        <w:t>customers</w:t>
      </w:r>
      <w:r w:rsidRPr="004808D0">
        <w:rPr>
          <w:rFonts w:ascii="Arial" w:hAnsi="Arial" w:cs="Arial"/>
          <w:lang w:val="en-US"/>
        </w:rPr>
        <w:t xml:space="preserve"> are appropriate for the local culture. Promoting inclusion improves the entire visitor experience and supports society's principles of equality and respect for one another. This is because international events such as football tournaments bring individuals from different backgrounds together. According to the industry, combining EDI concepts into hospitality operations is now important. This is to stay competitive and demand a custom that is becoming more and more international. By meeting these demands, the event expects to make Hilton London Paddington and comparable lodging establishments. In this, the go-to partners for international sporting events which </w:t>
      </w:r>
      <w:proofErr w:type="gramStart"/>
      <w:r w:rsidRPr="004808D0">
        <w:rPr>
          <w:rFonts w:ascii="Arial" w:hAnsi="Arial" w:cs="Arial"/>
          <w:lang w:val="en-US"/>
        </w:rPr>
        <w:t>is</w:t>
      </w:r>
      <w:proofErr w:type="gramEnd"/>
      <w:r w:rsidRPr="004808D0">
        <w:rPr>
          <w:rFonts w:ascii="Arial" w:hAnsi="Arial" w:cs="Arial"/>
          <w:lang w:val="en-US"/>
        </w:rPr>
        <w:t xml:space="preserve"> establishing a standard for inclusivity and diversity in the hospitality sector.</w:t>
      </w:r>
    </w:p>
    <w:p w14:paraId="3EB91B06" w14:textId="4B5E5259" w:rsidR="007B6715" w:rsidRPr="004808D0" w:rsidRDefault="007B6715" w:rsidP="007B6715">
      <w:pPr>
        <w:spacing w:line="360" w:lineRule="auto"/>
        <w:rPr>
          <w:rFonts w:ascii="Arial" w:hAnsi="Arial" w:cs="Arial"/>
        </w:rPr>
      </w:pPr>
      <w:r w:rsidRPr="004808D0">
        <w:rPr>
          <w:rFonts w:ascii="Arial" w:hAnsi="Arial" w:cs="Arial"/>
        </w:rPr>
        <w:br w:type="page"/>
      </w:r>
    </w:p>
    <w:p w14:paraId="7C89EE7B" w14:textId="77777777" w:rsidR="007B6715" w:rsidRPr="004808D0" w:rsidRDefault="007B6715" w:rsidP="007B6715">
      <w:pPr>
        <w:spacing w:line="360" w:lineRule="auto"/>
        <w:rPr>
          <w:rFonts w:ascii="Arial" w:hAnsi="Arial" w:cs="Arial"/>
        </w:rPr>
      </w:pPr>
      <w:r w:rsidRPr="004808D0">
        <w:rPr>
          <w:rFonts w:ascii="Arial" w:hAnsi="Arial" w:cs="Arial"/>
          <w:noProof/>
        </w:rPr>
        <w:lastRenderedPageBreak/>
        <w:drawing>
          <wp:inline distT="0" distB="0" distL="0" distR="0" wp14:anchorId="3CFB01FF" wp14:editId="3BC6DCFA">
            <wp:extent cx="5731510" cy="3223895"/>
            <wp:effectExtent l="0" t="0" r="0" b="1905"/>
            <wp:docPr id="8324232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2423217" name=""/>
                    <pic:cNvPicPr/>
                  </pic:nvPicPr>
                  <pic:blipFill>
                    <a:blip r:embed="rId9"/>
                    <a:stretch>
                      <a:fillRect/>
                    </a:stretch>
                  </pic:blipFill>
                  <pic:spPr>
                    <a:xfrm>
                      <a:off x="0" y="0"/>
                      <a:ext cx="5731510" cy="3223895"/>
                    </a:xfrm>
                    <a:prstGeom prst="rect">
                      <a:avLst/>
                    </a:prstGeom>
                  </pic:spPr>
                </pic:pic>
              </a:graphicData>
            </a:graphic>
          </wp:inline>
        </w:drawing>
      </w:r>
    </w:p>
    <w:p w14:paraId="32137456" w14:textId="7904C020" w:rsidR="007B6715" w:rsidRPr="004808D0" w:rsidRDefault="007B6715" w:rsidP="007B6715">
      <w:pPr>
        <w:spacing w:line="360" w:lineRule="auto"/>
        <w:rPr>
          <w:rFonts w:ascii="Arial" w:hAnsi="Arial" w:cs="Arial"/>
        </w:rPr>
      </w:pPr>
      <w:r w:rsidRPr="004808D0">
        <w:rPr>
          <w:rFonts w:ascii="Arial" w:hAnsi="Arial" w:cs="Arial"/>
          <w:lang w:val="en-IN"/>
        </w:rPr>
        <w:t>The main customers for the proposed event include the professionals which is within the hospitality, tourism and event management sectors. This also has in the sports event organisers and stakeholders that are involved in hosting international sporting events. This includes marketing specialists, operational teams, hotel managers, and cultural consultants who want to get better at serving a variety of cultural groups. Policymakers and scholars who are interested in promoting diversity and inclusion in the hospitality sector are also included in the target market. For their direct engagement in developing and putting into practice hospitality initiatives for international sporting events, these groups make participants that are excellent.</w:t>
      </w:r>
      <w:r w:rsidRPr="004808D0">
        <w:rPr>
          <w:rFonts w:ascii="Arial" w:hAnsi="Arial" w:cs="Arial"/>
        </w:rPr>
        <w:t xml:space="preserve"> </w:t>
      </w:r>
      <w:r w:rsidRPr="004808D0">
        <w:rPr>
          <w:rFonts w:ascii="Arial" w:hAnsi="Arial" w:cs="Arial"/>
          <w:lang w:val="en-IN"/>
        </w:rPr>
        <w:t xml:space="preserve">The demand for this event is supported by the trend of inclusivity and diversity in global industries that are growing. Every year, football competitions attract millions of viewers from around the world. For this, the hotels and event coordinators </w:t>
      </w:r>
      <w:proofErr w:type="gramStart"/>
      <w:r w:rsidRPr="004808D0">
        <w:rPr>
          <w:rFonts w:ascii="Arial" w:hAnsi="Arial" w:cs="Arial"/>
          <w:lang w:val="en-IN"/>
        </w:rPr>
        <w:t>have to</w:t>
      </w:r>
      <w:proofErr w:type="gramEnd"/>
      <w:r w:rsidRPr="004808D0">
        <w:rPr>
          <w:rFonts w:ascii="Arial" w:hAnsi="Arial" w:cs="Arial"/>
          <w:lang w:val="en-IN"/>
        </w:rPr>
        <w:t xml:space="preserve"> take into account a variety of preferences that are cultural and religious. Personalized visitor experiences and cultural inclusion are important factors. As per a Deloitte analysis from 2022, These factors influence consumer happiness in the hotel industry. As businesses aim to stay competitive in a worldwide market, there is a growing need for events. These events concentrate on training and information sharing in these areas. </w:t>
      </w:r>
    </w:p>
    <w:p w14:paraId="4D82714C" w14:textId="01F4DC60" w:rsidR="007B6715" w:rsidRPr="004808D0" w:rsidRDefault="007B6715" w:rsidP="007B6715">
      <w:pPr>
        <w:spacing w:line="360" w:lineRule="auto"/>
        <w:rPr>
          <w:rFonts w:ascii="Arial" w:hAnsi="Arial" w:cs="Arial"/>
        </w:rPr>
      </w:pPr>
      <w:r w:rsidRPr="004808D0">
        <w:rPr>
          <w:rFonts w:ascii="Arial" w:hAnsi="Arial" w:cs="Arial"/>
        </w:rPr>
        <w:br w:type="page"/>
      </w:r>
    </w:p>
    <w:p w14:paraId="29B70F17" w14:textId="1CE95FB9" w:rsidR="007B6715" w:rsidRPr="004808D0" w:rsidRDefault="007B6715" w:rsidP="007B6715">
      <w:pPr>
        <w:spacing w:line="360" w:lineRule="auto"/>
        <w:rPr>
          <w:rFonts w:ascii="Arial" w:hAnsi="Arial" w:cs="Arial"/>
        </w:rPr>
      </w:pPr>
      <w:r w:rsidRPr="004808D0">
        <w:rPr>
          <w:rFonts w:ascii="Arial" w:hAnsi="Arial" w:cs="Arial"/>
          <w:noProof/>
        </w:rPr>
        <w:lastRenderedPageBreak/>
        <w:drawing>
          <wp:inline distT="0" distB="0" distL="0" distR="0" wp14:anchorId="400A0D0E" wp14:editId="271BD158">
            <wp:extent cx="5731510" cy="3223895"/>
            <wp:effectExtent l="0" t="0" r="0" b="1905"/>
            <wp:docPr id="19445118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4511809" name=""/>
                    <pic:cNvPicPr/>
                  </pic:nvPicPr>
                  <pic:blipFill>
                    <a:blip r:embed="rId10"/>
                    <a:stretch>
                      <a:fillRect/>
                    </a:stretch>
                  </pic:blipFill>
                  <pic:spPr>
                    <a:xfrm>
                      <a:off x="0" y="0"/>
                      <a:ext cx="5731510" cy="3223895"/>
                    </a:xfrm>
                    <a:prstGeom prst="rect">
                      <a:avLst/>
                    </a:prstGeom>
                  </pic:spPr>
                </pic:pic>
              </a:graphicData>
            </a:graphic>
          </wp:inline>
        </w:drawing>
      </w:r>
    </w:p>
    <w:p w14:paraId="04964148" w14:textId="77777777" w:rsidR="007B6715" w:rsidRPr="004808D0" w:rsidRDefault="007B6715" w:rsidP="007B6715">
      <w:pPr>
        <w:spacing w:line="360" w:lineRule="auto"/>
        <w:rPr>
          <w:rFonts w:ascii="Arial" w:hAnsi="Arial" w:cs="Arial"/>
        </w:rPr>
      </w:pPr>
      <w:r w:rsidRPr="004808D0">
        <w:rPr>
          <w:rFonts w:ascii="Arial" w:hAnsi="Arial" w:cs="Arial"/>
        </w:rPr>
        <w:t>The Hospitality Leadership Forum and the Diversity in Hospitality Conferences. These are two examples of current MICE events that focus on hospitality or cultural diversity issues. However, these groups sometimes focus on management strategies in general. This is without adjusting the conversation to cultural diversity in sports (</w:t>
      </w:r>
      <w:proofErr w:type="spellStart"/>
      <w:r w:rsidRPr="004808D0">
        <w:rPr>
          <w:rFonts w:ascii="Arial" w:hAnsi="Arial" w:cs="Arial"/>
        </w:rPr>
        <w:t>Darmayanti</w:t>
      </w:r>
      <w:proofErr w:type="spellEnd"/>
      <w:r w:rsidRPr="004808D0">
        <w:rPr>
          <w:rFonts w:ascii="Arial" w:hAnsi="Arial" w:cs="Arial"/>
        </w:rPr>
        <w:t xml:space="preserve"> </w:t>
      </w:r>
      <w:r w:rsidRPr="004808D0">
        <w:rPr>
          <w:rFonts w:ascii="Arial" w:hAnsi="Arial" w:cs="Arial"/>
          <w:i/>
          <w:iCs/>
        </w:rPr>
        <w:t>et al.,</w:t>
      </w:r>
      <w:r w:rsidRPr="004808D0">
        <w:rPr>
          <w:rFonts w:ascii="Arial" w:hAnsi="Arial" w:cs="Arial"/>
        </w:rPr>
        <w:t xml:space="preserve"> 2022). The planned event offers a specific place and competitive advantage by focusing on the nexus of hospitality and sporting activities.</w:t>
      </w:r>
    </w:p>
    <w:p w14:paraId="1353220E" w14:textId="77777777" w:rsidR="007B6715" w:rsidRPr="004808D0" w:rsidRDefault="007B6715" w:rsidP="007B6715">
      <w:pPr>
        <w:spacing w:line="360" w:lineRule="auto"/>
        <w:rPr>
          <w:rFonts w:ascii="Arial" w:hAnsi="Arial" w:cs="Arial"/>
        </w:rPr>
      </w:pPr>
      <w:r w:rsidRPr="004808D0">
        <w:rPr>
          <w:rFonts w:ascii="Arial" w:hAnsi="Arial" w:cs="Arial"/>
        </w:rPr>
        <w:t xml:space="preserve">A complete advertising strategy will make use of digital platforms. This includes collaborations with trade associations, social media promotion, and targeted email campaigns. This helps </w:t>
      </w:r>
      <w:proofErr w:type="gramStart"/>
      <w:r w:rsidRPr="004808D0">
        <w:rPr>
          <w:rFonts w:ascii="Arial" w:hAnsi="Arial" w:cs="Arial"/>
        </w:rPr>
        <w:t>in order to</w:t>
      </w:r>
      <w:proofErr w:type="gramEnd"/>
      <w:r w:rsidRPr="004808D0">
        <w:rPr>
          <w:rFonts w:ascii="Arial" w:hAnsi="Arial" w:cs="Arial"/>
        </w:rPr>
        <w:t xml:space="preserve"> draw in and keep participation (Lam </w:t>
      </w:r>
      <w:r w:rsidRPr="004808D0">
        <w:rPr>
          <w:rFonts w:ascii="Arial" w:hAnsi="Arial" w:cs="Arial"/>
          <w:i/>
          <w:iCs/>
        </w:rPr>
        <w:t>et al.,</w:t>
      </w:r>
      <w:r w:rsidRPr="004808D0">
        <w:rPr>
          <w:rFonts w:ascii="Arial" w:hAnsi="Arial" w:cs="Arial"/>
        </w:rPr>
        <w:t xml:space="preserve"> 2022, p.103084). Discounts for early registration, industry experts’ influencer endorsements, and interactive online workshop previews. This will all increase participant engagement and promote attendance.</w:t>
      </w:r>
    </w:p>
    <w:p w14:paraId="7EC4E0E3" w14:textId="048274B9" w:rsidR="007B6715" w:rsidRPr="004808D0" w:rsidRDefault="007B6715" w:rsidP="007B6715">
      <w:pPr>
        <w:spacing w:line="360" w:lineRule="auto"/>
        <w:rPr>
          <w:rFonts w:ascii="Arial" w:hAnsi="Arial" w:cs="Arial"/>
        </w:rPr>
      </w:pPr>
      <w:r w:rsidRPr="004808D0">
        <w:rPr>
          <w:rFonts w:ascii="Arial" w:hAnsi="Arial" w:cs="Arial"/>
        </w:rPr>
        <w:br w:type="page"/>
      </w:r>
    </w:p>
    <w:p w14:paraId="1BC4915C" w14:textId="755AFD24" w:rsidR="007B6715" w:rsidRPr="004808D0" w:rsidRDefault="007B6715" w:rsidP="007B6715">
      <w:pPr>
        <w:spacing w:line="360" w:lineRule="auto"/>
        <w:rPr>
          <w:rFonts w:ascii="Arial" w:hAnsi="Arial" w:cs="Arial"/>
        </w:rPr>
      </w:pPr>
      <w:r w:rsidRPr="004808D0">
        <w:rPr>
          <w:rFonts w:ascii="Arial" w:hAnsi="Arial" w:cs="Arial"/>
          <w:noProof/>
        </w:rPr>
        <w:lastRenderedPageBreak/>
        <w:drawing>
          <wp:inline distT="0" distB="0" distL="0" distR="0" wp14:anchorId="3EAE515A" wp14:editId="7B8804D2">
            <wp:extent cx="5731510" cy="3223895"/>
            <wp:effectExtent l="0" t="0" r="0" b="1905"/>
            <wp:docPr id="9643880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4388066" name=""/>
                    <pic:cNvPicPr/>
                  </pic:nvPicPr>
                  <pic:blipFill>
                    <a:blip r:embed="rId11"/>
                    <a:stretch>
                      <a:fillRect/>
                    </a:stretch>
                  </pic:blipFill>
                  <pic:spPr>
                    <a:xfrm>
                      <a:off x="0" y="0"/>
                      <a:ext cx="5731510" cy="3223895"/>
                    </a:xfrm>
                    <a:prstGeom prst="rect">
                      <a:avLst/>
                    </a:prstGeom>
                  </pic:spPr>
                </pic:pic>
              </a:graphicData>
            </a:graphic>
          </wp:inline>
        </w:drawing>
      </w:r>
    </w:p>
    <w:p w14:paraId="5051A2F1" w14:textId="415115C3" w:rsidR="007B6715" w:rsidRPr="004808D0" w:rsidRDefault="007B6715" w:rsidP="007B6715">
      <w:pPr>
        <w:spacing w:line="360" w:lineRule="auto"/>
        <w:rPr>
          <w:rFonts w:ascii="Arial" w:hAnsi="Arial" w:cs="Arial"/>
        </w:rPr>
      </w:pPr>
      <w:r w:rsidRPr="004808D0">
        <w:rPr>
          <w:rFonts w:ascii="Arial" w:hAnsi="Arial" w:cs="Arial"/>
          <w:lang w:val="en-IN"/>
        </w:rPr>
        <w:t xml:space="preserve">The proposed venue for this event is the Hilton London Paddington, chosen for its strategic location and excellent facilities. Its direct connection to Paddington </w:t>
      </w:r>
      <w:r w:rsidR="00113655">
        <w:rPr>
          <w:rFonts w:ascii="Arial" w:hAnsi="Arial" w:cs="Arial"/>
          <w:lang w:val="en-IN"/>
        </w:rPr>
        <w:t xml:space="preserve">rail services which </w:t>
      </w:r>
      <w:r w:rsidRPr="004808D0">
        <w:rPr>
          <w:rFonts w:ascii="Arial" w:hAnsi="Arial" w:cs="Arial"/>
          <w:lang w:val="en-IN"/>
        </w:rPr>
        <w:t>ensures seamless accessibility for both national and international participants, reducing logistical challenges. The venue offers all the latest MICE facilities such as meetings, incentives, conferences and exhibitions. It also includes several conference rooms as well as workspaces and high-speed internet.</w:t>
      </w:r>
    </w:p>
    <w:p w14:paraId="66E4E8FD" w14:textId="77777777" w:rsidR="007B6715" w:rsidRPr="004808D0" w:rsidRDefault="007B6715" w:rsidP="007B6715">
      <w:pPr>
        <w:spacing w:line="360" w:lineRule="auto"/>
        <w:rPr>
          <w:rFonts w:ascii="Arial" w:hAnsi="Arial" w:cs="Arial"/>
        </w:rPr>
      </w:pPr>
      <w:r w:rsidRPr="004808D0">
        <w:rPr>
          <w:rFonts w:ascii="Arial" w:hAnsi="Arial" w:cs="Arial"/>
          <w:lang w:val="en-IN"/>
        </w:rPr>
        <w:t>Resource requirements include catering options that suit halal, kosher, vegetarian and other needs that are aligned with the theme of cultural inclusion. Configurable seating for up to 200 participants offers flexibility in discussions as well as workshops and networking sessions. At the same time, this event will manage registration, catering and technical assistance together with interpreters to enhance inclusion. Operational risk planning includes such things as backup AV systems, managing cancellation waitlists, but also health and safety measures and even contingency plans for weather disruptions.</w:t>
      </w:r>
    </w:p>
    <w:p w14:paraId="4068FF9F" w14:textId="708E226C" w:rsidR="007B6715" w:rsidRPr="004808D0" w:rsidRDefault="007B6715" w:rsidP="007B6715">
      <w:pPr>
        <w:spacing w:line="360" w:lineRule="auto"/>
        <w:rPr>
          <w:rFonts w:ascii="Arial" w:hAnsi="Arial" w:cs="Arial"/>
        </w:rPr>
      </w:pPr>
      <w:r w:rsidRPr="004808D0">
        <w:rPr>
          <w:rFonts w:ascii="Arial" w:hAnsi="Arial" w:cs="Arial"/>
        </w:rPr>
        <w:br w:type="page"/>
      </w:r>
    </w:p>
    <w:p w14:paraId="17CB7EA6" w14:textId="19AE4579" w:rsidR="007B6715" w:rsidRPr="004808D0" w:rsidRDefault="007B6715" w:rsidP="007B6715">
      <w:pPr>
        <w:spacing w:line="360" w:lineRule="auto"/>
        <w:rPr>
          <w:rFonts w:ascii="Arial" w:hAnsi="Arial" w:cs="Arial"/>
        </w:rPr>
      </w:pPr>
      <w:r w:rsidRPr="004808D0">
        <w:rPr>
          <w:rFonts w:ascii="Arial" w:hAnsi="Arial" w:cs="Arial"/>
          <w:noProof/>
        </w:rPr>
        <w:lastRenderedPageBreak/>
        <w:drawing>
          <wp:inline distT="0" distB="0" distL="0" distR="0" wp14:anchorId="4DABF784" wp14:editId="4C3F646F">
            <wp:extent cx="5731510" cy="3223895"/>
            <wp:effectExtent l="0" t="0" r="0" b="1905"/>
            <wp:docPr id="3344171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4417180" name=""/>
                    <pic:cNvPicPr/>
                  </pic:nvPicPr>
                  <pic:blipFill>
                    <a:blip r:embed="rId12"/>
                    <a:stretch>
                      <a:fillRect/>
                    </a:stretch>
                  </pic:blipFill>
                  <pic:spPr>
                    <a:xfrm>
                      <a:off x="0" y="0"/>
                      <a:ext cx="5731510" cy="3223895"/>
                    </a:xfrm>
                    <a:prstGeom prst="rect">
                      <a:avLst/>
                    </a:prstGeom>
                  </pic:spPr>
                </pic:pic>
              </a:graphicData>
            </a:graphic>
          </wp:inline>
        </w:drawing>
      </w:r>
    </w:p>
    <w:p w14:paraId="66A1E92C" w14:textId="77777777" w:rsidR="007B6715" w:rsidRPr="004808D0" w:rsidRDefault="007B6715" w:rsidP="007B6715">
      <w:pPr>
        <w:spacing w:line="360" w:lineRule="auto"/>
        <w:rPr>
          <w:rFonts w:ascii="Arial" w:hAnsi="Arial" w:cs="Arial"/>
        </w:rPr>
      </w:pPr>
      <w:r w:rsidRPr="004808D0">
        <w:rPr>
          <w:rFonts w:ascii="Arial" w:hAnsi="Arial" w:cs="Arial"/>
          <w:lang w:val="en-US"/>
        </w:rPr>
        <w:t xml:space="preserve">The financial feasibility of the event at the Hilton London Paddington is very well structured and ensures profitability and revenue generation. Total costs are estimated to be £24,000, covering venue hire of up to £10,000. Catering is also estimated at £5,000, marketing at £3,000 and AV equipment and technical support at £2,500. Included in all these costs are also staff costs of £2,000, workshop materials £500 and miscellaneous costs of £1,000. Income streams include ticket sales of up to £10,000, sponsorships of £10,000 and grants and finance of £5,000 bringing the total estimated income to £25,000. With a surplus estimated at £1,000 the event remains financially sustainable. Sponsorships and grants play a very important role in supporting this event and ensuring both inclusion and accessibility </w:t>
      </w:r>
      <w:proofErr w:type="gramStart"/>
      <w:r w:rsidRPr="004808D0">
        <w:rPr>
          <w:rFonts w:ascii="Arial" w:hAnsi="Arial" w:cs="Arial"/>
          <w:lang w:val="en-US"/>
        </w:rPr>
        <w:t>and also</w:t>
      </w:r>
      <w:proofErr w:type="gramEnd"/>
      <w:r w:rsidRPr="004808D0">
        <w:rPr>
          <w:rFonts w:ascii="Arial" w:hAnsi="Arial" w:cs="Arial"/>
          <w:lang w:val="en-US"/>
        </w:rPr>
        <w:t xml:space="preserve"> covering essential operational costs.</w:t>
      </w:r>
    </w:p>
    <w:p w14:paraId="788370C3" w14:textId="4E06F632" w:rsidR="007B6715" w:rsidRPr="004808D0" w:rsidRDefault="007B6715" w:rsidP="007B6715">
      <w:pPr>
        <w:spacing w:line="360" w:lineRule="auto"/>
        <w:rPr>
          <w:rFonts w:ascii="Arial" w:hAnsi="Arial" w:cs="Arial"/>
        </w:rPr>
      </w:pPr>
      <w:r w:rsidRPr="004808D0">
        <w:rPr>
          <w:rFonts w:ascii="Arial" w:hAnsi="Arial" w:cs="Arial"/>
        </w:rPr>
        <w:br w:type="page"/>
      </w:r>
    </w:p>
    <w:p w14:paraId="7C1FC416" w14:textId="091ED50C" w:rsidR="007B6715" w:rsidRPr="004808D0" w:rsidRDefault="007B6715" w:rsidP="007B6715">
      <w:pPr>
        <w:spacing w:line="360" w:lineRule="auto"/>
        <w:rPr>
          <w:rFonts w:ascii="Arial" w:hAnsi="Arial" w:cs="Arial"/>
        </w:rPr>
      </w:pPr>
      <w:r w:rsidRPr="004808D0">
        <w:rPr>
          <w:rFonts w:ascii="Arial" w:hAnsi="Arial" w:cs="Arial"/>
          <w:noProof/>
        </w:rPr>
        <w:lastRenderedPageBreak/>
        <w:drawing>
          <wp:inline distT="0" distB="0" distL="0" distR="0" wp14:anchorId="7EDFF48A" wp14:editId="35D4998E">
            <wp:extent cx="5731510" cy="3223895"/>
            <wp:effectExtent l="0" t="0" r="0" b="1905"/>
            <wp:docPr id="16153646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5364646" name=""/>
                    <pic:cNvPicPr/>
                  </pic:nvPicPr>
                  <pic:blipFill>
                    <a:blip r:embed="rId13"/>
                    <a:stretch>
                      <a:fillRect/>
                    </a:stretch>
                  </pic:blipFill>
                  <pic:spPr>
                    <a:xfrm>
                      <a:off x="0" y="0"/>
                      <a:ext cx="5731510" cy="3223895"/>
                    </a:xfrm>
                    <a:prstGeom prst="rect">
                      <a:avLst/>
                    </a:prstGeom>
                  </pic:spPr>
                </pic:pic>
              </a:graphicData>
            </a:graphic>
          </wp:inline>
        </w:drawing>
      </w:r>
    </w:p>
    <w:p w14:paraId="3CE3B1B2" w14:textId="77777777" w:rsidR="007B6715" w:rsidRPr="004808D0" w:rsidRDefault="007B6715" w:rsidP="007B6715">
      <w:pPr>
        <w:spacing w:line="360" w:lineRule="auto"/>
        <w:rPr>
          <w:rFonts w:ascii="Arial" w:hAnsi="Arial" w:cs="Arial"/>
        </w:rPr>
      </w:pPr>
      <w:r w:rsidRPr="004808D0">
        <w:rPr>
          <w:rFonts w:ascii="Arial" w:hAnsi="Arial" w:cs="Arial"/>
          <w:lang w:val="en-US"/>
        </w:rPr>
        <w:t xml:space="preserve">PESTLE analysis brings forth the major factors that will drive the event. The political support by the local council sees the major promotion of policies on diversity and inclusion. The economic demand for inclusive hospitality services has developed major growth opportunities. Social awareness of cultural diversity has brought a need for </w:t>
      </w:r>
      <w:proofErr w:type="gramStart"/>
      <w:r w:rsidRPr="004808D0">
        <w:rPr>
          <w:rFonts w:ascii="Arial" w:hAnsi="Arial" w:cs="Arial"/>
          <w:lang w:val="en-US"/>
        </w:rPr>
        <w:t>an inclusive</w:t>
      </w:r>
      <w:proofErr w:type="gramEnd"/>
      <w:r w:rsidRPr="004808D0">
        <w:rPr>
          <w:rFonts w:ascii="Arial" w:hAnsi="Arial" w:cs="Arial"/>
          <w:lang w:val="en-US"/>
        </w:rPr>
        <w:t xml:space="preserve"> experience for guests. Technological advances in the form of hybrid platforms and translation tools greatly improve accessibility. This has brought on such green practices as the reduction of waste. Legal adherence to accessibility and anti-discrimination laws compliments ethical standards. These considerations guarantee that the event is made inclusive for its participants, using state-of-the-art technology in a manner acceptable by the regulation of the industry involved-a relevant impact.</w:t>
      </w:r>
    </w:p>
    <w:p w14:paraId="4E99AB02" w14:textId="4D62B294" w:rsidR="007B6715" w:rsidRPr="004808D0" w:rsidRDefault="007B6715" w:rsidP="007B6715">
      <w:pPr>
        <w:spacing w:line="360" w:lineRule="auto"/>
        <w:rPr>
          <w:rFonts w:ascii="Arial" w:hAnsi="Arial" w:cs="Arial"/>
        </w:rPr>
      </w:pPr>
      <w:r w:rsidRPr="004808D0">
        <w:rPr>
          <w:rFonts w:ascii="Arial" w:hAnsi="Arial" w:cs="Arial"/>
        </w:rPr>
        <w:br w:type="page"/>
      </w:r>
    </w:p>
    <w:p w14:paraId="5E69B86C" w14:textId="2946EE82" w:rsidR="007B6715" w:rsidRPr="004808D0" w:rsidRDefault="007B6715" w:rsidP="007B6715">
      <w:pPr>
        <w:spacing w:line="360" w:lineRule="auto"/>
        <w:rPr>
          <w:rFonts w:ascii="Arial" w:hAnsi="Arial" w:cs="Arial"/>
        </w:rPr>
      </w:pPr>
      <w:r w:rsidRPr="004808D0">
        <w:rPr>
          <w:rFonts w:ascii="Arial" w:hAnsi="Arial" w:cs="Arial"/>
          <w:noProof/>
        </w:rPr>
        <w:lastRenderedPageBreak/>
        <w:drawing>
          <wp:inline distT="0" distB="0" distL="0" distR="0" wp14:anchorId="2138C4A0" wp14:editId="5843F5CA">
            <wp:extent cx="5731510" cy="3223895"/>
            <wp:effectExtent l="0" t="0" r="0" b="1905"/>
            <wp:docPr id="13562005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6200554" name=""/>
                    <pic:cNvPicPr/>
                  </pic:nvPicPr>
                  <pic:blipFill>
                    <a:blip r:embed="rId14"/>
                    <a:stretch>
                      <a:fillRect/>
                    </a:stretch>
                  </pic:blipFill>
                  <pic:spPr>
                    <a:xfrm>
                      <a:off x="0" y="0"/>
                      <a:ext cx="5731510" cy="3223895"/>
                    </a:xfrm>
                    <a:prstGeom prst="rect">
                      <a:avLst/>
                    </a:prstGeom>
                  </pic:spPr>
                </pic:pic>
              </a:graphicData>
            </a:graphic>
          </wp:inline>
        </w:drawing>
      </w:r>
    </w:p>
    <w:p w14:paraId="1A5B397B" w14:textId="77777777" w:rsidR="007B6715" w:rsidRPr="004808D0" w:rsidRDefault="007B6715" w:rsidP="007B6715">
      <w:pPr>
        <w:spacing w:line="360" w:lineRule="auto"/>
        <w:rPr>
          <w:rFonts w:ascii="Arial" w:hAnsi="Arial" w:cs="Arial"/>
        </w:rPr>
      </w:pPr>
      <w:r w:rsidRPr="004808D0">
        <w:rPr>
          <w:rFonts w:ascii="Arial" w:hAnsi="Arial" w:cs="Arial"/>
          <w:lang w:val="en-US"/>
        </w:rPr>
        <w:t>MICE Industry Trends</w:t>
      </w:r>
    </w:p>
    <w:p w14:paraId="38B8EF49" w14:textId="77777777" w:rsidR="007B6715" w:rsidRPr="004808D0" w:rsidRDefault="007B6715" w:rsidP="007B6715">
      <w:pPr>
        <w:spacing w:line="360" w:lineRule="auto"/>
        <w:rPr>
          <w:rFonts w:ascii="Arial" w:hAnsi="Arial" w:cs="Arial"/>
        </w:rPr>
      </w:pPr>
      <w:r w:rsidRPr="004808D0">
        <w:rPr>
          <w:rFonts w:ascii="Arial" w:hAnsi="Arial" w:cs="Arial"/>
          <w:lang w:val="en-US"/>
        </w:rPr>
        <w:t xml:space="preserve">The MICE industry has been significantly shaped by key trends such as hybrid events, technological innovation, and sustainability. Hybrid events, combining in-person and virtual participation, are becoming standard, enhancing accessibility and participation for international audiences. </w:t>
      </w:r>
    </w:p>
    <w:p w14:paraId="29C0A7ED" w14:textId="77777777" w:rsidR="007B6715" w:rsidRPr="004808D0" w:rsidRDefault="007B6715" w:rsidP="007B6715">
      <w:pPr>
        <w:spacing w:line="360" w:lineRule="auto"/>
        <w:rPr>
          <w:rFonts w:ascii="Arial" w:hAnsi="Arial" w:cs="Arial"/>
        </w:rPr>
      </w:pPr>
      <w:r w:rsidRPr="004808D0">
        <w:rPr>
          <w:rFonts w:ascii="Arial" w:hAnsi="Arial" w:cs="Arial"/>
          <w:lang w:val="en-US"/>
        </w:rPr>
        <w:t>Diversity, Inclusion, and Equality Trends</w:t>
      </w:r>
    </w:p>
    <w:p w14:paraId="5EF6F1DB" w14:textId="77777777" w:rsidR="007B6715" w:rsidRPr="004808D0" w:rsidRDefault="007B6715" w:rsidP="007B6715">
      <w:pPr>
        <w:spacing w:line="360" w:lineRule="auto"/>
        <w:rPr>
          <w:rFonts w:ascii="Arial" w:hAnsi="Arial" w:cs="Arial"/>
        </w:rPr>
      </w:pPr>
      <w:r w:rsidRPr="004808D0">
        <w:rPr>
          <w:rFonts w:ascii="Arial" w:hAnsi="Arial" w:cs="Arial"/>
          <w:lang w:val="en-US"/>
        </w:rPr>
        <w:t xml:space="preserve">The hospitality and events sector increasingly recognizes the business case for diversity and inclusion. Research by Deloitte (2022), highlights that </w:t>
      </w:r>
      <w:proofErr w:type="spellStart"/>
      <w:r w:rsidRPr="004808D0">
        <w:rPr>
          <w:rFonts w:ascii="Arial" w:hAnsi="Arial" w:cs="Arial"/>
          <w:lang w:val="en-US"/>
        </w:rPr>
        <w:t>organisations</w:t>
      </w:r>
      <w:proofErr w:type="spellEnd"/>
      <w:r w:rsidRPr="004808D0">
        <w:rPr>
          <w:rFonts w:ascii="Arial" w:hAnsi="Arial" w:cs="Arial"/>
          <w:lang w:val="en-US"/>
        </w:rPr>
        <w:t xml:space="preserve"> with strong EDI practices experience higher customer satisfaction and loyalty. </w:t>
      </w:r>
    </w:p>
    <w:p w14:paraId="7387D147" w14:textId="1AB6FC03" w:rsidR="007B6715" w:rsidRPr="004808D0" w:rsidRDefault="007B6715" w:rsidP="007B6715">
      <w:pPr>
        <w:spacing w:line="360" w:lineRule="auto"/>
        <w:rPr>
          <w:rFonts w:ascii="Arial" w:hAnsi="Arial" w:cs="Arial"/>
        </w:rPr>
      </w:pPr>
      <w:r w:rsidRPr="004808D0">
        <w:rPr>
          <w:rFonts w:ascii="Arial" w:hAnsi="Arial" w:cs="Arial"/>
        </w:rPr>
        <w:br w:type="page"/>
      </w:r>
    </w:p>
    <w:p w14:paraId="78EEB81B" w14:textId="6390693A" w:rsidR="007B6715" w:rsidRPr="004808D0" w:rsidRDefault="007B6715" w:rsidP="007B6715">
      <w:pPr>
        <w:spacing w:line="360" w:lineRule="auto"/>
        <w:rPr>
          <w:rFonts w:ascii="Arial" w:hAnsi="Arial" w:cs="Arial"/>
        </w:rPr>
      </w:pPr>
      <w:r w:rsidRPr="004808D0">
        <w:rPr>
          <w:rFonts w:ascii="Arial" w:hAnsi="Arial" w:cs="Arial"/>
          <w:noProof/>
        </w:rPr>
        <w:lastRenderedPageBreak/>
        <w:drawing>
          <wp:inline distT="0" distB="0" distL="0" distR="0" wp14:anchorId="3621B827" wp14:editId="0D09AB6C">
            <wp:extent cx="5731510" cy="3223895"/>
            <wp:effectExtent l="0" t="0" r="0" b="1905"/>
            <wp:docPr id="15322708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2270869" name=""/>
                    <pic:cNvPicPr/>
                  </pic:nvPicPr>
                  <pic:blipFill>
                    <a:blip r:embed="rId15"/>
                    <a:stretch>
                      <a:fillRect/>
                    </a:stretch>
                  </pic:blipFill>
                  <pic:spPr>
                    <a:xfrm>
                      <a:off x="0" y="0"/>
                      <a:ext cx="5731510" cy="3223895"/>
                    </a:xfrm>
                    <a:prstGeom prst="rect">
                      <a:avLst/>
                    </a:prstGeom>
                  </pic:spPr>
                </pic:pic>
              </a:graphicData>
            </a:graphic>
          </wp:inline>
        </w:drawing>
      </w:r>
    </w:p>
    <w:p w14:paraId="4785B3C1" w14:textId="77777777" w:rsidR="007B6715" w:rsidRPr="004808D0" w:rsidRDefault="007B6715" w:rsidP="007B6715">
      <w:pPr>
        <w:spacing w:line="360" w:lineRule="auto"/>
        <w:rPr>
          <w:rFonts w:ascii="Arial" w:hAnsi="Arial" w:cs="Arial"/>
        </w:rPr>
      </w:pPr>
      <w:r w:rsidRPr="004808D0">
        <w:rPr>
          <w:rFonts w:ascii="Arial" w:hAnsi="Arial" w:cs="Arial"/>
          <w:lang w:val="en-US"/>
        </w:rPr>
        <w:t>The proposed event, “Promoting Cultural Diversity in the Hospitality Industry: Housing and Experiences for Football Event Fans”, is designed to meet all the current needs of the industries, thus ensuring stronger feasibility across multiple dimensions. The location analysis thus identifies Hilton London Paddington as an accessible but also very well-equipped location, thus offering state-of-the-art MICE facilities, including even conference rooms and workspaces as well as high-speed internet. In addition to this, the PESTEL analysis thus confirms the alignment of the event with cultural but also technological and social factors thus strengthening its strategic relevance. Based on all these considerations, the event is highly viable and very well positioned for success in the hospitality sector</w:t>
      </w:r>
    </w:p>
    <w:p w14:paraId="5E971798" w14:textId="190F838B" w:rsidR="007B6715" w:rsidRPr="004808D0" w:rsidRDefault="007B6715" w:rsidP="007B6715">
      <w:pPr>
        <w:spacing w:line="360" w:lineRule="auto"/>
        <w:rPr>
          <w:rFonts w:ascii="Arial" w:hAnsi="Arial" w:cs="Arial"/>
        </w:rPr>
      </w:pPr>
      <w:r w:rsidRPr="004808D0">
        <w:rPr>
          <w:rFonts w:ascii="Arial" w:hAnsi="Arial" w:cs="Arial"/>
        </w:rPr>
        <w:br w:type="page"/>
      </w:r>
    </w:p>
    <w:p w14:paraId="03363BE6" w14:textId="177C1144" w:rsidR="007B6715" w:rsidRPr="004808D0" w:rsidRDefault="007B6715" w:rsidP="007B6715">
      <w:pPr>
        <w:spacing w:line="360" w:lineRule="auto"/>
        <w:rPr>
          <w:rFonts w:ascii="Arial" w:hAnsi="Arial" w:cs="Arial"/>
        </w:rPr>
      </w:pPr>
      <w:r w:rsidRPr="004808D0">
        <w:rPr>
          <w:rFonts w:ascii="Arial" w:hAnsi="Arial" w:cs="Arial"/>
          <w:noProof/>
        </w:rPr>
        <w:lastRenderedPageBreak/>
        <w:drawing>
          <wp:inline distT="0" distB="0" distL="0" distR="0" wp14:anchorId="0DAF2231" wp14:editId="26FDF85B">
            <wp:extent cx="5731510" cy="3223895"/>
            <wp:effectExtent l="0" t="0" r="0" b="1905"/>
            <wp:docPr id="21296690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9669049" name=""/>
                    <pic:cNvPicPr/>
                  </pic:nvPicPr>
                  <pic:blipFill>
                    <a:blip r:embed="rId16"/>
                    <a:stretch>
                      <a:fillRect/>
                    </a:stretch>
                  </pic:blipFill>
                  <pic:spPr>
                    <a:xfrm>
                      <a:off x="0" y="0"/>
                      <a:ext cx="5731510" cy="3223895"/>
                    </a:xfrm>
                    <a:prstGeom prst="rect">
                      <a:avLst/>
                    </a:prstGeom>
                  </pic:spPr>
                </pic:pic>
              </a:graphicData>
            </a:graphic>
          </wp:inline>
        </w:drawing>
      </w:r>
    </w:p>
    <w:p w14:paraId="2C89200A" w14:textId="77777777" w:rsidR="007B6715" w:rsidRPr="004808D0" w:rsidRDefault="007B6715" w:rsidP="007B6715">
      <w:pPr>
        <w:spacing w:line="360" w:lineRule="auto"/>
        <w:rPr>
          <w:rFonts w:ascii="Arial" w:hAnsi="Arial" w:cs="Arial"/>
        </w:rPr>
      </w:pPr>
      <w:r w:rsidRPr="004808D0">
        <w:rPr>
          <w:rFonts w:ascii="Arial" w:hAnsi="Arial" w:cs="Arial"/>
          <w:lang w:val="en-US"/>
        </w:rPr>
        <w:t xml:space="preserve">An, J., Kim, H. and Hur, D., 2021. Keeping the competitive edge of a convention and exhibition </w:t>
      </w:r>
      <w:proofErr w:type="spellStart"/>
      <w:r w:rsidRPr="004808D0">
        <w:rPr>
          <w:rFonts w:ascii="Arial" w:hAnsi="Arial" w:cs="Arial"/>
          <w:lang w:val="en-US"/>
        </w:rPr>
        <w:t>centre</w:t>
      </w:r>
      <w:proofErr w:type="spellEnd"/>
      <w:r w:rsidRPr="004808D0">
        <w:rPr>
          <w:rFonts w:ascii="Arial" w:hAnsi="Arial" w:cs="Arial"/>
          <w:lang w:val="en-US"/>
        </w:rPr>
        <w:t xml:space="preserve"> in MICE Environment: identification of event attributes for long-run success. Sustainability, 13(9), p.5030.</w:t>
      </w:r>
    </w:p>
    <w:p w14:paraId="239EDD27" w14:textId="77777777" w:rsidR="007B6715" w:rsidRPr="004808D0" w:rsidRDefault="007B6715" w:rsidP="007B6715">
      <w:pPr>
        <w:spacing w:line="360" w:lineRule="auto"/>
        <w:rPr>
          <w:rFonts w:ascii="Arial" w:hAnsi="Arial" w:cs="Arial"/>
        </w:rPr>
      </w:pPr>
      <w:proofErr w:type="spellStart"/>
      <w:r w:rsidRPr="004808D0">
        <w:rPr>
          <w:rFonts w:ascii="Arial" w:hAnsi="Arial" w:cs="Arial"/>
          <w:lang w:val="en-US"/>
        </w:rPr>
        <w:t>Calinaud</w:t>
      </w:r>
      <w:proofErr w:type="spellEnd"/>
      <w:r w:rsidRPr="004808D0">
        <w:rPr>
          <w:rFonts w:ascii="Arial" w:hAnsi="Arial" w:cs="Arial"/>
          <w:lang w:val="en-US"/>
        </w:rPr>
        <w:t xml:space="preserve">, V., </w:t>
      </w:r>
      <w:proofErr w:type="spellStart"/>
      <w:r w:rsidRPr="004808D0">
        <w:rPr>
          <w:rFonts w:ascii="Arial" w:hAnsi="Arial" w:cs="Arial"/>
          <w:lang w:val="en-US"/>
        </w:rPr>
        <w:t>Kokkranikal</w:t>
      </w:r>
      <w:proofErr w:type="spellEnd"/>
      <w:r w:rsidRPr="004808D0">
        <w:rPr>
          <w:rFonts w:ascii="Arial" w:hAnsi="Arial" w:cs="Arial"/>
          <w:lang w:val="en-US"/>
        </w:rPr>
        <w:t xml:space="preserve">, J. and </w:t>
      </w:r>
      <w:proofErr w:type="spellStart"/>
      <w:r w:rsidRPr="004808D0">
        <w:rPr>
          <w:rFonts w:ascii="Arial" w:hAnsi="Arial" w:cs="Arial"/>
          <w:lang w:val="en-US"/>
        </w:rPr>
        <w:t>Gebbels</w:t>
      </w:r>
      <w:proofErr w:type="spellEnd"/>
      <w:r w:rsidRPr="004808D0">
        <w:rPr>
          <w:rFonts w:ascii="Arial" w:hAnsi="Arial" w:cs="Arial"/>
          <w:lang w:val="en-US"/>
        </w:rPr>
        <w:t>, M., 2021. Career advancement for women in the British hospitality industry: The enabling factors. Work, Employment and Society, 35(4), pp.677-695.</w:t>
      </w:r>
    </w:p>
    <w:p w14:paraId="2096D984" w14:textId="77777777" w:rsidR="007B6715" w:rsidRPr="004808D0" w:rsidRDefault="007B6715" w:rsidP="007B6715">
      <w:pPr>
        <w:spacing w:line="360" w:lineRule="auto"/>
        <w:rPr>
          <w:rFonts w:ascii="Arial" w:hAnsi="Arial" w:cs="Arial"/>
        </w:rPr>
      </w:pPr>
      <w:proofErr w:type="spellStart"/>
      <w:r w:rsidRPr="004808D0">
        <w:rPr>
          <w:rFonts w:ascii="Arial" w:hAnsi="Arial" w:cs="Arial"/>
          <w:lang w:val="en-US"/>
        </w:rPr>
        <w:t>Darmayanti</w:t>
      </w:r>
      <w:proofErr w:type="spellEnd"/>
      <w:r w:rsidRPr="004808D0">
        <w:rPr>
          <w:rFonts w:ascii="Arial" w:hAnsi="Arial" w:cs="Arial"/>
          <w:lang w:val="en-US"/>
        </w:rPr>
        <w:t xml:space="preserve">, N.L.P.A., </w:t>
      </w:r>
      <w:proofErr w:type="spellStart"/>
      <w:r w:rsidRPr="004808D0">
        <w:rPr>
          <w:rFonts w:ascii="Arial" w:hAnsi="Arial" w:cs="Arial"/>
          <w:lang w:val="en-US"/>
        </w:rPr>
        <w:t>Surata</w:t>
      </w:r>
      <w:proofErr w:type="spellEnd"/>
      <w:r w:rsidRPr="004808D0">
        <w:rPr>
          <w:rFonts w:ascii="Arial" w:hAnsi="Arial" w:cs="Arial"/>
          <w:lang w:val="en-US"/>
        </w:rPr>
        <w:t xml:space="preserve">, I.K. and </w:t>
      </w:r>
      <w:proofErr w:type="spellStart"/>
      <w:r w:rsidRPr="004808D0">
        <w:rPr>
          <w:rFonts w:ascii="Arial" w:hAnsi="Arial" w:cs="Arial"/>
          <w:lang w:val="en-US"/>
        </w:rPr>
        <w:t>Pinaria</w:t>
      </w:r>
      <w:proofErr w:type="spellEnd"/>
      <w:r w:rsidRPr="004808D0">
        <w:rPr>
          <w:rFonts w:ascii="Arial" w:hAnsi="Arial" w:cs="Arial"/>
          <w:lang w:val="en-US"/>
        </w:rPr>
        <w:t>, C., 2022. Marketing mix strategy for MICE in preparation for meeting package sales in Bintang Bali Resort in the new normal era. Journal of Applied Sciences in Travel and Hospitality, 5(2), pp.58-64.</w:t>
      </w:r>
    </w:p>
    <w:p w14:paraId="56236735" w14:textId="77777777" w:rsidR="007B6715" w:rsidRPr="004808D0" w:rsidRDefault="007B6715" w:rsidP="007B6715">
      <w:pPr>
        <w:spacing w:line="360" w:lineRule="auto"/>
        <w:rPr>
          <w:rFonts w:ascii="Arial" w:hAnsi="Arial" w:cs="Arial"/>
        </w:rPr>
      </w:pPr>
      <w:r w:rsidRPr="004808D0">
        <w:rPr>
          <w:rFonts w:ascii="Arial" w:hAnsi="Arial" w:cs="Arial"/>
          <w:lang w:val="en-US"/>
        </w:rPr>
        <w:t>Deloitte. (2022). Global Powers of Retailing 2022. [online] Available at: https://www.deloitte.com/cbc/en/Industries/consumer/analysis/global-powers-of-retailing-2022.html [Accessed 24 Jan. 2025].</w:t>
      </w:r>
    </w:p>
    <w:p w14:paraId="273B3652" w14:textId="77777777" w:rsidR="007B6715" w:rsidRPr="004808D0" w:rsidRDefault="007B6715" w:rsidP="007B6715">
      <w:pPr>
        <w:spacing w:line="360" w:lineRule="auto"/>
        <w:rPr>
          <w:rFonts w:ascii="Arial" w:hAnsi="Arial" w:cs="Arial"/>
        </w:rPr>
      </w:pPr>
      <w:r w:rsidRPr="004808D0">
        <w:rPr>
          <w:rFonts w:ascii="Arial" w:hAnsi="Arial" w:cs="Arial"/>
          <w:lang w:val="en-US"/>
        </w:rPr>
        <w:t>Fam, K.S., Liat Cheng, B., Cham, T.H., Tan Chia Yi, M. and Ting, H., 2023. The role of cultural differences in customer retention: evidence from the high-contact service industry. Journal of Hospitality &amp; Tourism Research, 47(1), pp.257-288.</w:t>
      </w:r>
    </w:p>
    <w:p w14:paraId="259FA801" w14:textId="77777777" w:rsidR="007B6715" w:rsidRPr="004808D0" w:rsidRDefault="007B6715" w:rsidP="007B6715">
      <w:pPr>
        <w:spacing w:line="360" w:lineRule="auto"/>
        <w:rPr>
          <w:rFonts w:ascii="Arial" w:hAnsi="Arial" w:cs="Arial"/>
        </w:rPr>
      </w:pPr>
      <w:proofErr w:type="spellStart"/>
      <w:r w:rsidRPr="004808D0">
        <w:rPr>
          <w:rFonts w:ascii="Arial" w:hAnsi="Arial" w:cs="Arial"/>
          <w:lang w:val="en-US"/>
        </w:rPr>
        <w:t>Kozhakhmetova</w:t>
      </w:r>
      <w:proofErr w:type="spellEnd"/>
      <w:r w:rsidRPr="004808D0">
        <w:rPr>
          <w:rFonts w:ascii="Arial" w:hAnsi="Arial" w:cs="Arial"/>
          <w:lang w:val="en-US"/>
        </w:rPr>
        <w:t>, M., 2023. THE INVESTIGATION OF THE MICE INDUSTRY IN KAZAKHSTAN. BBC, 5, p.13.</w:t>
      </w:r>
    </w:p>
    <w:p w14:paraId="78FCFB63" w14:textId="77777777" w:rsidR="007B6715" w:rsidRPr="004808D0" w:rsidRDefault="007B6715" w:rsidP="007B6715">
      <w:pPr>
        <w:spacing w:line="360" w:lineRule="auto"/>
        <w:rPr>
          <w:rFonts w:ascii="Arial" w:hAnsi="Arial" w:cs="Arial"/>
        </w:rPr>
      </w:pPr>
      <w:r w:rsidRPr="004808D0">
        <w:rPr>
          <w:rFonts w:ascii="Arial" w:hAnsi="Arial" w:cs="Arial"/>
          <w:lang w:val="en-US"/>
        </w:rPr>
        <w:lastRenderedPageBreak/>
        <w:t xml:space="preserve">Lam, R., Cheung, C. and Lugosi, P., 2022. The impacts of cultural intelligence and emotional </w:t>
      </w:r>
      <w:proofErr w:type="spellStart"/>
      <w:r w:rsidRPr="004808D0">
        <w:rPr>
          <w:rFonts w:ascii="Arial" w:hAnsi="Arial" w:cs="Arial"/>
          <w:lang w:val="en-US"/>
        </w:rPr>
        <w:t>labour</w:t>
      </w:r>
      <w:proofErr w:type="spellEnd"/>
      <w:r w:rsidRPr="004808D0">
        <w:rPr>
          <w:rFonts w:ascii="Arial" w:hAnsi="Arial" w:cs="Arial"/>
          <w:lang w:val="en-US"/>
        </w:rPr>
        <w:t xml:space="preserve"> on the job satisfaction of luxury hotel employees. International Journal of Hospitality Management, 100, p.103084.</w:t>
      </w:r>
    </w:p>
    <w:p w14:paraId="1C44FAAE" w14:textId="77777777" w:rsidR="007B6715" w:rsidRPr="004808D0" w:rsidRDefault="007B6715" w:rsidP="007B6715">
      <w:pPr>
        <w:spacing w:line="360" w:lineRule="auto"/>
        <w:rPr>
          <w:rFonts w:ascii="Arial" w:hAnsi="Arial" w:cs="Arial"/>
        </w:rPr>
      </w:pPr>
      <w:proofErr w:type="spellStart"/>
      <w:r w:rsidRPr="004808D0">
        <w:rPr>
          <w:rFonts w:ascii="Arial" w:hAnsi="Arial" w:cs="Arial"/>
          <w:lang w:val="en-US"/>
        </w:rPr>
        <w:t>Lekgau</w:t>
      </w:r>
      <w:proofErr w:type="spellEnd"/>
      <w:r w:rsidRPr="004808D0">
        <w:rPr>
          <w:rFonts w:ascii="Arial" w:hAnsi="Arial" w:cs="Arial"/>
          <w:lang w:val="en-US"/>
        </w:rPr>
        <w:t xml:space="preserve">, R.J. and </w:t>
      </w:r>
      <w:proofErr w:type="spellStart"/>
      <w:r w:rsidRPr="004808D0">
        <w:rPr>
          <w:rFonts w:ascii="Arial" w:hAnsi="Arial" w:cs="Arial"/>
          <w:lang w:val="en-US"/>
        </w:rPr>
        <w:t>Tichaawa</w:t>
      </w:r>
      <w:proofErr w:type="spellEnd"/>
      <w:r w:rsidRPr="004808D0">
        <w:rPr>
          <w:rFonts w:ascii="Arial" w:hAnsi="Arial" w:cs="Arial"/>
          <w:lang w:val="en-US"/>
        </w:rPr>
        <w:t xml:space="preserve">, T.M., 2023. Dynamic Changes and Recovery in Event Venues: Perspectives from MICE Event Planners and Venue Managers. Studia </w:t>
      </w:r>
      <w:proofErr w:type="spellStart"/>
      <w:r w:rsidRPr="004808D0">
        <w:rPr>
          <w:rFonts w:ascii="Arial" w:hAnsi="Arial" w:cs="Arial"/>
          <w:lang w:val="en-US"/>
        </w:rPr>
        <w:t>Periegetica</w:t>
      </w:r>
      <w:proofErr w:type="spellEnd"/>
      <w:r w:rsidRPr="004808D0">
        <w:rPr>
          <w:rFonts w:ascii="Arial" w:hAnsi="Arial" w:cs="Arial"/>
          <w:lang w:val="en-US"/>
        </w:rPr>
        <w:t>, 44(4), pp.139-158.</w:t>
      </w:r>
    </w:p>
    <w:p w14:paraId="1D51A67A" w14:textId="77777777" w:rsidR="007B6715" w:rsidRPr="004808D0" w:rsidRDefault="007B6715" w:rsidP="007B6715">
      <w:pPr>
        <w:spacing w:line="360" w:lineRule="auto"/>
        <w:rPr>
          <w:rFonts w:ascii="Arial" w:hAnsi="Arial" w:cs="Arial"/>
        </w:rPr>
      </w:pPr>
      <w:r w:rsidRPr="004808D0">
        <w:rPr>
          <w:rFonts w:ascii="Arial" w:hAnsi="Arial" w:cs="Arial"/>
          <w:lang w:val="en-US"/>
        </w:rPr>
        <w:t>Lou, K.R. and Huang, Y.F., 2023. Effect of exhibition facilities, professional competence, and green procurement on green meeting, incentive travel, convention, and exhibition industry performance measurement: A case study of the exhibition industry of Taiwan. Sustainability, 15(16), p.12179.</w:t>
      </w:r>
    </w:p>
    <w:p w14:paraId="606C51D0" w14:textId="77777777" w:rsidR="007B6715" w:rsidRPr="004808D0" w:rsidRDefault="007B6715" w:rsidP="007B6715">
      <w:pPr>
        <w:spacing w:line="360" w:lineRule="auto"/>
        <w:rPr>
          <w:rFonts w:ascii="Arial" w:hAnsi="Arial" w:cs="Arial"/>
        </w:rPr>
      </w:pPr>
      <w:r w:rsidRPr="004808D0">
        <w:rPr>
          <w:rFonts w:ascii="Arial" w:hAnsi="Arial" w:cs="Arial"/>
          <w:lang w:val="en-US"/>
        </w:rPr>
        <w:t xml:space="preserve">Paraman, P. and Ali, L., 2021. Mesoscopic laddering in consumer </w:t>
      </w:r>
      <w:proofErr w:type="spellStart"/>
      <w:r w:rsidRPr="004808D0">
        <w:rPr>
          <w:rFonts w:ascii="Arial" w:hAnsi="Arial" w:cs="Arial"/>
          <w:lang w:val="en-US"/>
        </w:rPr>
        <w:t>behaviour</w:t>
      </w:r>
      <w:proofErr w:type="spellEnd"/>
      <w:r w:rsidRPr="004808D0">
        <w:rPr>
          <w:rFonts w:ascii="Arial" w:hAnsi="Arial" w:cs="Arial"/>
          <w:lang w:val="en-US"/>
        </w:rPr>
        <w:t xml:space="preserve">: </w:t>
      </w:r>
      <w:proofErr w:type="spellStart"/>
      <w:r w:rsidRPr="004808D0">
        <w:rPr>
          <w:rFonts w:ascii="Arial" w:hAnsi="Arial" w:cs="Arial"/>
          <w:lang w:val="en-US"/>
        </w:rPr>
        <w:t>Analysing</w:t>
      </w:r>
      <w:proofErr w:type="spellEnd"/>
      <w:r w:rsidRPr="004808D0">
        <w:rPr>
          <w:rFonts w:ascii="Arial" w:hAnsi="Arial" w:cs="Arial"/>
          <w:lang w:val="en-US"/>
        </w:rPr>
        <w:t xml:space="preserve"> the modalities of consumption on a micro-individual scale in the Meeting, Incentive, Conference, Exhibitions (MICE) sector. Spatial Statistics, 44, p.100527.</w:t>
      </w:r>
    </w:p>
    <w:p w14:paraId="368B7AF2" w14:textId="77777777" w:rsidR="007B6715" w:rsidRPr="004808D0" w:rsidRDefault="007B6715" w:rsidP="007B6715">
      <w:pPr>
        <w:spacing w:line="360" w:lineRule="auto"/>
        <w:rPr>
          <w:rFonts w:ascii="Arial" w:hAnsi="Arial" w:cs="Arial"/>
        </w:rPr>
      </w:pPr>
      <w:r w:rsidRPr="004808D0">
        <w:rPr>
          <w:rFonts w:ascii="Arial" w:hAnsi="Arial" w:cs="Arial"/>
          <w:lang w:val="en-US"/>
        </w:rPr>
        <w:t xml:space="preserve">Pham, N.T., Jabbour, C.J.C., Vo-Thanh, T., Huynh, T.L.D. and Santos, C., 2023. Greening hotels: Does motivating hotel employees promote in-role green performance? The role of culture. In Knowledge Management, </w:t>
      </w:r>
      <w:proofErr w:type="spellStart"/>
      <w:r w:rsidRPr="004808D0">
        <w:rPr>
          <w:rFonts w:ascii="Arial" w:hAnsi="Arial" w:cs="Arial"/>
          <w:lang w:val="en-US"/>
        </w:rPr>
        <w:t>Organisational</w:t>
      </w:r>
      <w:proofErr w:type="spellEnd"/>
      <w:r w:rsidRPr="004808D0">
        <w:rPr>
          <w:rFonts w:ascii="Arial" w:hAnsi="Arial" w:cs="Arial"/>
          <w:lang w:val="en-US"/>
        </w:rPr>
        <w:t xml:space="preserve"> Learning and Sustainability in Tourism (pp. 57-76). Routledge.</w:t>
      </w:r>
    </w:p>
    <w:p w14:paraId="1FF85C59" w14:textId="77777777" w:rsidR="007B6715" w:rsidRPr="004808D0" w:rsidRDefault="007B6715" w:rsidP="007B6715">
      <w:pPr>
        <w:spacing w:line="360" w:lineRule="auto"/>
        <w:rPr>
          <w:rFonts w:ascii="Arial" w:hAnsi="Arial" w:cs="Arial"/>
        </w:rPr>
      </w:pPr>
      <w:r w:rsidRPr="004808D0">
        <w:rPr>
          <w:rFonts w:ascii="Arial" w:hAnsi="Arial" w:cs="Arial"/>
          <w:lang w:val="en-US"/>
        </w:rPr>
        <w:t>Ramirez, C.A.A., 2021. San Carlos City, Negros Occidental: Prospects and Perspectives as Meetings, Incentives, Conventions, and Exhibitions Destination. Philippine Social Science Journal, 4(2), pp.90-103.</w:t>
      </w:r>
    </w:p>
    <w:p w14:paraId="15FB9249" w14:textId="77777777" w:rsidR="007B6715" w:rsidRPr="004808D0" w:rsidRDefault="007B6715" w:rsidP="007B6715">
      <w:pPr>
        <w:spacing w:line="360" w:lineRule="auto"/>
        <w:rPr>
          <w:rFonts w:ascii="Arial" w:hAnsi="Arial" w:cs="Arial"/>
        </w:rPr>
      </w:pPr>
      <w:proofErr w:type="spellStart"/>
      <w:r w:rsidRPr="004808D0">
        <w:rPr>
          <w:rFonts w:ascii="Arial" w:hAnsi="Arial" w:cs="Arial"/>
          <w:lang w:val="en-US"/>
        </w:rPr>
        <w:t>Setiyawan</w:t>
      </w:r>
      <w:proofErr w:type="spellEnd"/>
      <w:r w:rsidRPr="004808D0">
        <w:rPr>
          <w:rFonts w:ascii="Arial" w:hAnsi="Arial" w:cs="Arial"/>
          <w:lang w:val="en-US"/>
        </w:rPr>
        <w:t xml:space="preserve">, A.D., </w:t>
      </w:r>
      <w:proofErr w:type="spellStart"/>
      <w:r w:rsidRPr="004808D0">
        <w:rPr>
          <w:rFonts w:ascii="Arial" w:hAnsi="Arial" w:cs="Arial"/>
          <w:lang w:val="en-US"/>
        </w:rPr>
        <w:t>Safitri</w:t>
      </w:r>
      <w:proofErr w:type="spellEnd"/>
      <w:r w:rsidRPr="004808D0">
        <w:rPr>
          <w:rFonts w:ascii="Arial" w:hAnsi="Arial" w:cs="Arial"/>
          <w:lang w:val="en-US"/>
        </w:rPr>
        <w:t>, E.M. and Azis, A., 2021. PERCEPTIONS OF MANAGEMENT IMPLEMENTATION MEETING INCENTIVE CONVENTION EXHIBITION (Case Study at The SUN Hotel and ASTON Hotel-</w:t>
      </w:r>
      <w:proofErr w:type="spellStart"/>
      <w:r w:rsidRPr="004808D0">
        <w:rPr>
          <w:rFonts w:ascii="Arial" w:hAnsi="Arial" w:cs="Arial"/>
          <w:lang w:val="en-US"/>
        </w:rPr>
        <w:t>Madiun</w:t>
      </w:r>
      <w:proofErr w:type="spellEnd"/>
      <w:r w:rsidRPr="004808D0">
        <w:rPr>
          <w:rFonts w:ascii="Arial" w:hAnsi="Arial" w:cs="Arial"/>
          <w:lang w:val="en-US"/>
        </w:rPr>
        <w:t xml:space="preserve">). </w:t>
      </w:r>
      <w:proofErr w:type="spellStart"/>
      <w:r w:rsidRPr="004808D0">
        <w:rPr>
          <w:rFonts w:ascii="Arial" w:hAnsi="Arial" w:cs="Arial"/>
          <w:lang w:val="en-US"/>
        </w:rPr>
        <w:t>Epicheirisi</w:t>
      </w:r>
      <w:proofErr w:type="spellEnd"/>
      <w:r w:rsidRPr="004808D0">
        <w:rPr>
          <w:rFonts w:ascii="Arial" w:hAnsi="Arial" w:cs="Arial"/>
          <w:lang w:val="en-US"/>
        </w:rPr>
        <w:t xml:space="preserve">: </w:t>
      </w:r>
      <w:proofErr w:type="spellStart"/>
      <w:r w:rsidRPr="004808D0">
        <w:rPr>
          <w:rFonts w:ascii="Arial" w:hAnsi="Arial" w:cs="Arial"/>
          <w:lang w:val="en-US"/>
        </w:rPr>
        <w:t>Jurnal</w:t>
      </w:r>
      <w:proofErr w:type="spellEnd"/>
      <w:r w:rsidRPr="004808D0">
        <w:rPr>
          <w:rFonts w:ascii="Arial" w:hAnsi="Arial" w:cs="Arial"/>
          <w:lang w:val="en-US"/>
        </w:rPr>
        <w:t xml:space="preserve"> </w:t>
      </w:r>
      <w:proofErr w:type="spellStart"/>
      <w:r w:rsidRPr="004808D0">
        <w:rPr>
          <w:rFonts w:ascii="Arial" w:hAnsi="Arial" w:cs="Arial"/>
          <w:lang w:val="en-US"/>
        </w:rPr>
        <w:t>Manajemen</w:t>
      </w:r>
      <w:proofErr w:type="spellEnd"/>
      <w:r w:rsidRPr="004808D0">
        <w:rPr>
          <w:rFonts w:ascii="Arial" w:hAnsi="Arial" w:cs="Arial"/>
          <w:lang w:val="en-US"/>
        </w:rPr>
        <w:t xml:space="preserve">, </w:t>
      </w:r>
      <w:proofErr w:type="spellStart"/>
      <w:r w:rsidRPr="004808D0">
        <w:rPr>
          <w:rFonts w:ascii="Arial" w:hAnsi="Arial" w:cs="Arial"/>
          <w:lang w:val="en-US"/>
        </w:rPr>
        <w:t>Administrasi</w:t>
      </w:r>
      <w:proofErr w:type="spellEnd"/>
      <w:r w:rsidRPr="004808D0">
        <w:rPr>
          <w:rFonts w:ascii="Arial" w:hAnsi="Arial" w:cs="Arial"/>
          <w:lang w:val="en-US"/>
        </w:rPr>
        <w:t xml:space="preserve">, </w:t>
      </w:r>
      <w:proofErr w:type="spellStart"/>
      <w:r w:rsidRPr="004808D0">
        <w:rPr>
          <w:rFonts w:ascii="Arial" w:hAnsi="Arial" w:cs="Arial"/>
          <w:lang w:val="en-US"/>
        </w:rPr>
        <w:t>Pemasaran</w:t>
      </w:r>
      <w:proofErr w:type="spellEnd"/>
      <w:r w:rsidRPr="004808D0">
        <w:rPr>
          <w:rFonts w:ascii="Arial" w:hAnsi="Arial" w:cs="Arial"/>
          <w:lang w:val="en-US"/>
        </w:rPr>
        <w:t xml:space="preserve"> dan </w:t>
      </w:r>
      <w:proofErr w:type="spellStart"/>
      <w:r w:rsidRPr="004808D0">
        <w:rPr>
          <w:rFonts w:ascii="Arial" w:hAnsi="Arial" w:cs="Arial"/>
          <w:lang w:val="en-US"/>
        </w:rPr>
        <w:t>Kesekretariatan</w:t>
      </w:r>
      <w:proofErr w:type="spellEnd"/>
      <w:r w:rsidRPr="004808D0">
        <w:rPr>
          <w:rFonts w:ascii="Arial" w:hAnsi="Arial" w:cs="Arial"/>
          <w:lang w:val="en-US"/>
        </w:rPr>
        <w:t>, 5(1), pp. 1-9.</w:t>
      </w:r>
    </w:p>
    <w:p w14:paraId="6F27A6BA" w14:textId="77777777" w:rsidR="007B6715" w:rsidRPr="004808D0" w:rsidRDefault="007B6715" w:rsidP="007B6715">
      <w:pPr>
        <w:spacing w:line="360" w:lineRule="auto"/>
        <w:rPr>
          <w:rFonts w:ascii="Arial" w:hAnsi="Arial" w:cs="Arial"/>
        </w:rPr>
      </w:pPr>
      <w:proofErr w:type="spellStart"/>
      <w:r w:rsidRPr="004808D0">
        <w:rPr>
          <w:rFonts w:ascii="Arial" w:hAnsi="Arial" w:cs="Arial"/>
          <w:lang w:val="en-US"/>
        </w:rPr>
        <w:t>Shalihah</w:t>
      </w:r>
      <w:proofErr w:type="spellEnd"/>
      <w:r w:rsidRPr="004808D0">
        <w:rPr>
          <w:rFonts w:ascii="Arial" w:hAnsi="Arial" w:cs="Arial"/>
          <w:lang w:val="en-US"/>
        </w:rPr>
        <w:t xml:space="preserve">, A., 2024. It </w:t>
      </w:r>
      <w:proofErr w:type="gramStart"/>
      <w:r w:rsidRPr="004808D0">
        <w:rPr>
          <w:rFonts w:ascii="Arial" w:hAnsi="Arial" w:cs="Arial"/>
          <w:lang w:val="en-US"/>
        </w:rPr>
        <w:t>Implements in</w:t>
      </w:r>
      <w:proofErr w:type="gramEnd"/>
      <w:r w:rsidRPr="004808D0">
        <w:rPr>
          <w:rFonts w:ascii="Arial" w:hAnsi="Arial" w:cs="Arial"/>
          <w:lang w:val="en-US"/>
        </w:rPr>
        <w:t xml:space="preserve"> Meetings, Incentives, Conferences, and Exhibitions (Mice) Industry: A Systematic Mapping Study. Journal of Social Research, 3(3), pp.737-750.</w:t>
      </w:r>
    </w:p>
    <w:p w14:paraId="6CDE56FC" w14:textId="55903490" w:rsidR="007B6715" w:rsidRPr="004808D0" w:rsidRDefault="007B6715" w:rsidP="007B6715">
      <w:pPr>
        <w:spacing w:line="360" w:lineRule="auto"/>
        <w:rPr>
          <w:rFonts w:ascii="Arial" w:hAnsi="Arial" w:cs="Arial"/>
        </w:rPr>
      </w:pPr>
      <w:r w:rsidRPr="004808D0">
        <w:rPr>
          <w:rFonts w:ascii="Arial" w:hAnsi="Arial" w:cs="Arial"/>
          <w:lang w:val="en-US"/>
        </w:rPr>
        <w:t xml:space="preserve">Tuan, L.T., 2022. Promoting employee green </w:t>
      </w:r>
      <w:proofErr w:type="spellStart"/>
      <w:r w:rsidRPr="004808D0">
        <w:rPr>
          <w:rFonts w:ascii="Arial" w:hAnsi="Arial" w:cs="Arial"/>
          <w:lang w:val="en-US"/>
        </w:rPr>
        <w:t>behaviour</w:t>
      </w:r>
      <w:proofErr w:type="spellEnd"/>
      <w:r w:rsidRPr="004808D0">
        <w:rPr>
          <w:rFonts w:ascii="Arial" w:hAnsi="Arial" w:cs="Arial"/>
          <w:lang w:val="en-US"/>
        </w:rPr>
        <w:t xml:space="preserve"> in the Chinese and Vietnamese hospitality contexts: The roles of green human resource management </w:t>
      </w:r>
      <w:r w:rsidRPr="004808D0">
        <w:rPr>
          <w:rFonts w:ascii="Arial" w:hAnsi="Arial" w:cs="Arial"/>
          <w:lang w:val="en-US"/>
        </w:rPr>
        <w:lastRenderedPageBreak/>
        <w:t>practices and responsible leadership. International Journal of Hospitality Management, 105, p.103253.</w:t>
      </w:r>
    </w:p>
    <w:sectPr w:rsidR="007B6715" w:rsidRPr="004808D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182490F"/>
    <w:multiLevelType w:val="hybridMultilevel"/>
    <w:tmpl w:val="28B4E066"/>
    <w:lvl w:ilvl="0" w:tplc="3D347B5C">
      <w:start w:val="1"/>
      <w:numFmt w:val="bullet"/>
      <w:lvlText w:val="•"/>
      <w:lvlJc w:val="left"/>
      <w:pPr>
        <w:tabs>
          <w:tab w:val="num" w:pos="720"/>
        </w:tabs>
        <w:ind w:left="720" w:hanging="360"/>
      </w:pPr>
      <w:rPr>
        <w:rFonts w:ascii="Arial" w:hAnsi="Arial" w:hint="default"/>
      </w:rPr>
    </w:lvl>
    <w:lvl w:ilvl="1" w:tplc="0E80B142" w:tentative="1">
      <w:start w:val="1"/>
      <w:numFmt w:val="bullet"/>
      <w:lvlText w:val="•"/>
      <w:lvlJc w:val="left"/>
      <w:pPr>
        <w:tabs>
          <w:tab w:val="num" w:pos="1440"/>
        </w:tabs>
        <w:ind w:left="1440" w:hanging="360"/>
      </w:pPr>
      <w:rPr>
        <w:rFonts w:ascii="Arial" w:hAnsi="Arial" w:hint="default"/>
      </w:rPr>
    </w:lvl>
    <w:lvl w:ilvl="2" w:tplc="E61AF1D0" w:tentative="1">
      <w:start w:val="1"/>
      <w:numFmt w:val="bullet"/>
      <w:lvlText w:val="•"/>
      <w:lvlJc w:val="left"/>
      <w:pPr>
        <w:tabs>
          <w:tab w:val="num" w:pos="2160"/>
        </w:tabs>
        <w:ind w:left="2160" w:hanging="360"/>
      </w:pPr>
      <w:rPr>
        <w:rFonts w:ascii="Arial" w:hAnsi="Arial" w:hint="default"/>
      </w:rPr>
    </w:lvl>
    <w:lvl w:ilvl="3" w:tplc="80C0BE9A" w:tentative="1">
      <w:start w:val="1"/>
      <w:numFmt w:val="bullet"/>
      <w:lvlText w:val="•"/>
      <w:lvlJc w:val="left"/>
      <w:pPr>
        <w:tabs>
          <w:tab w:val="num" w:pos="2880"/>
        </w:tabs>
        <w:ind w:left="2880" w:hanging="360"/>
      </w:pPr>
      <w:rPr>
        <w:rFonts w:ascii="Arial" w:hAnsi="Arial" w:hint="default"/>
      </w:rPr>
    </w:lvl>
    <w:lvl w:ilvl="4" w:tplc="AE06CC9E" w:tentative="1">
      <w:start w:val="1"/>
      <w:numFmt w:val="bullet"/>
      <w:lvlText w:val="•"/>
      <w:lvlJc w:val="left"/>
      <w:pPr>
        <w:tabs>
          <w:tab w:val="num" w:pos="3600"/>
        </w:tabs>
        <w:ind w:left="3600" w:hanging="360"/>
      </w:pPr>
      <w:rPr>
        <w:rFonts w:ascii="Arial" w:hAnsi="Arial" w:hint="default"/>
      </w:rPr>
    </w:lvl>
    <w:lvl w:ilvl="5" w:tplc="71A8DE26" w:tentative="1">
      <w:start w:val="1"/>
      <w:numFmt w:val="bullet"/>
      <w:lvlText w:val="•"/>
      <w:lvlJc w:val="left"/>
      <w:pPr>
        <w:tabs>
          <w:tab w:val="num" w:pos="4320"/>
        </w:tabs>
        <w:ind w:left="4320" w:hanging="360"/>
      </w:pPr>
      <w:rPr>
        <w:rFonts w:ascii="Arial" w:hAnsi="Arial" w:hint="default"/>
      </w:rPr>
    </w:lvl>
    <w:lvl w:ilvl="6" w:tplc="EF4842FA" w:tentative="1">
      <w:start w:val="1"/>
      <w:numFmt w:val="bullet"/>
      <w:lvlText w:val="•"/>
      <w:lvlJc w:val="left"/>
      <w:pPr>
        <w:tabs>
          <w:tab w:val="num" w:pos="5040"/>
        </w:tabs>
        <w:ind w:left="5040" w:hanging="360"/>
      </w:pPr>
      <w:rPr>
        <w:rFonts w:ascii="Arial" w:hAnsi="Arial" w:hint="default"/>
      </w:rPr>
    </w:lvl>
    <w:lvl w:ilvl="7" w:tplc="C71052DA" w:tentative="1">
      <w:start w:val="1"/>
      <w:numFmt w:val="bullet"/>
      <w:lvlText w:val="•"/>
      <w:lvlJc w:val="left"/>
      <w:pPr>
        <w:tabs>
          <w:tab w:val="num" w:pos="5760"/>
        </w:tabs>
        <w:ind w:left="5760" w:hanging="360"/>
      </w:pPr>
      <w:rPr>
        <w:rFonts w:ascii="Arial" w:hAnsi="Arial" w:hint="default"/>
      </w:rPr>
    </w:lvl>
    <w:lvl w:ilvl="8" w:tplc="06960B50" w:tentative="1">
      <w:start w:val="1"/>
      <w:numFmt w:val="bullet"/>
      <w:lvlText w:val="•"/>
      <w:lvlJc w:val="left"/>
      <w:pPr>
        <w:tabs>
          <w:tab w:val="num" w:pos="6480"/>
        </w:tabs>
        <w:ind w:left="6480" w:hanging="360"/>
      </w:pPr>
      <w:rPr>
        <w:rFonts w:ascii="Arial" w:hAnsi="Arial" w:hint="default"/>
      </w:rPr>
    </w:lvl>
  </w:abstractNum>
  <w:num w:numId="1" w16cid:durableId="9688210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6715"/>
    <w:rsid w:val="000358E5"/>
    <w:rsid w:val="00113655"/>
    <w:rsid w:val="00206347"/>
    <w:rsid w:val="004726CE"/>
    <w:rsid w:val="004808D0"/>
    <w:rsid w:val="007B6715"/>
    <w:rsid w:val="009A0516"/>
    <w:rsid w:val="00C417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66104A"/>
  <w15:chartTrackingRefBased/>
  <w15:docId w15:val="{475A23B7-585A-2A4E-975F-84C89F401B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671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B671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B671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B671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B671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B671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B671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B671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B671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671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B671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B671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B671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B671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B671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B671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B671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B6715"/>
    <w:rPr>
      <w:rFonts w:eastAsiaTheme="majorEastAsia" w:cstheme="majorBidi"/>
      <w:color w:val="272727" w:themeColor="text1" w:themeTint="D8"/>
    </w:rPr>
  </w:style>
  <w:style w:type="paragraph" w:styleId="Title">
    <w:name w:val="Title"/>
    <w:basedOn w:val="Normal"/>
    <w:next w:val="Normal"/>
    <w:link w:val="TitleChar"/>
    <w:uiPriority w:val="10"/>
    <w:qFormat/>
    <w:rsid w:val="007B671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B671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B671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B671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B6715"/>
    <w:pPr>
      <w:spacing w:before="160"/>
      <w:jc w:val="center"/>
    </w:pPr>
    <w:rPr>
      <w:i/>
      <w:iCs/>
      <w:color w:val="404040" w:themeColor="text1" w:themeTint="BF"/>
    </w:rPr>
  </w:style>
  <w:style w:type="character" w:customStyle="1" w:styleId="QuoteChar">
    <w:name w:val="Quote Char"/>
    <w:basedOn w:val="DefaultParagraphFont"/>
    <w:link w:val="Quote"/>
    <w:uiPriority w:val="29"/>
    <w:rsid w:val="007B6715"/>
    <w:rPr>
      <w:i/>
      <w:iCs/>
      <w:color w:val="404040" w:themeColor="text1" w:themeTint="BF"/>
    </w:rPr>
  </w:style>
  <w:style w:type="paragraph" w:styleId="ListParagraph">
    <w:name w:val="List Paragraph"/>
    <w:basedOn w:val="Normal"/>
    <w:uiPriority w:val="34"/>
    <w:qFormat/>
    <w:rsid w:val="007B6715"/>
    <w:pPr>
      <w:ind w:left="720"/>
      <w:contextualSpacing/>
    </w:pPr>
  </w:style>
  <w:style w:type="character" w:styleId="IntenseEmphasis">
    <w:name w:val="Intense Emphasis"/>
    <w:basedOn w:val="DefaultParagraphFont"/>
    <w:uiPriority w:val="21"/>
    <w:qFormat/>
    <w:rsid w:val="007B6715"/>
    <w:rPr>
      <w:i/>
      <w:iCs/>
      <w:color w:val="0F4761" w:themeColor="accent1" w:themeShade="BF"/>
    </w:rPr>
  </w:style>
  <w:style w:type="paragraph" w:styleId="IntenseQuote">
    <w:name w:val="Intense Quote"/>
    <w:basedOn w:val="Normal"/>
    <w:next w:val="Normal"/>
    <w:link w:val="IntenseQuoteChar"/>
    <w:uiPriority w:val="30"/>
    <w:qFormat/>
    <w:rsid w:val="007B671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B6715"/>
    <w:rPr>
      <w:i/>
      <w:iCs/>
      <w:color w:val="0F4761" w:themeColor="accent1" w:themeShade="BF"/>
    </w:rPr>
  </w:style>
  <w:style w:type="character" w:styleId="IntenseReference">
    <w:name w:val="Intense Reference"/>
    <w:basedOn w:val="DefaultParagraphFont"/>
    <w:uiPriority w:val="32"/>
    <w:qFormat/>
    <w:rsid w:val="007B6715"/>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6513578">
      <w:bodyDiv w:val="1"/>
      <w:marLeft w:val="0"/>
      <w:marRight w:val="0"/>
      <w:marTop w:val="0"/>
      <w:marBottom w:val="0"/>
      <w:divBdr>
        <w:top w:val="none" w:sz="0" w:space="0" w:color="auto"/>
        <w:left w:val="none" w:sz="0" w:space="0" w:color="auto"/>
        <w:bottom w:val="none" w:sz="0" w:space="0" w:color="auto"/>
        <w:right w:val="none" w:sz="0" w:space="0" w:color="auto"/>
      </w:divBdr>
    </w:div>
    <w:div w:id="96173276">
      <w:bodyDiv w:val="1"/>
      <w:marLeft w:val="0"/>
      <w:marRight w:val="0"/>
      <w:marTop w:val="0"/>
      <w:marBottom w:val="0"/>
      <w:divBdr>
        <w:top w:val="none" w:sz="0" w:space="0" w:color="auto"/>
        <w:left w:val="none" w:sz="0" w:space="0" w:color="auto"/>
        <w:bottom w:val="none" w:sz="0" w:space="0" w:color="auto"/>
        <w:right w:val="none" w:sz="0" w:space="0" w:color="auto"/>
      </w:divBdr>
    </w:div>
    <w:div w:id="635372793">
      <w:bodyDiv w:val="1"/>
      <w:marLeft w:val="0"/>
      <w:marRight w:val="0"/>
      <w:marTop w:val="0"/>
      <w:marBottom w:val="0"/>
      <w:divBdr>
        <w:top w:val="none" w:sz="0" w:space="0" w:color="auto"/>
        <w:left w:val="none" w:sz="0" w:space="0" w:color="auto"/>
        <w:bottom w:val="none" w:sz="0" w:space="0" w:color="auto"/>
        <w:right w:val="none" w:sz="0" w:space="0" w:color="auto"/>
      </w:divBdr>
    </w:div>
    <w:div w:id="776750597">
      <w:bodyDiv w:val="1"/>
      <w:marLeft w:val="0"/>
      <w:marRight w:val="0"/>
      <w:marTop w:val="0"/>
      <w:marBottom w:val="0"/>
      <w:divBdr>
        <w:top w:val="none" w:sz="0" w:space="0" w:color="auto"/>
        <w:left w:val="none" w:sz="0" w:space="0" w:color="auto"/>
        <w:bottom w:val="none" w:sz="0" w:space="0" w:color="auto"/>
        <w:right w:val="none" w:sz="0" w:space="0" w:color="auto"/>
      </w:divBdr>
      <w:divsChild>
        <w:div w:id="1658340598">
          <w:marLeft w:val="1080"/>
          <w:marRight w:val="0"/>
          <w:marTop w:val="0"/>
          <w:marBottom w:val="120"/>
          <w:divBdr>
            <w:top w:val="none" w:sz="0" w:space="0" w:color="auto"/>
            <w:left w:val="none" w:sz="0" w:space="0" w:color="auto"/>
            <w:bottom w:val="none" w:sz="0" w:space="0" w:color="auto"/>
            <w:right w:val="none" w:sz="0" w:space="0" w:color="auto"/>
          </w:divBdr>
        </w:div>
        <w:div w:id="336425775">
          <w:marLeft w:val="1080"/>
          <w:marRight w:val="0"/>
          <w:marTop w:val="0"/>
          <w:marBottom w:val="120"/>
          <w:divBdr>
            <w:top w:val="none" w:sz="0" w:space="0" w:color="auto"/>
            <w:left w:val="none" w:sz="0" w:space="0" w:color="auto"/>
            <w:bottom w:val="none" w:sz="0" w:space="0" w:color="auto"/>
            <w:right w:val="none" w:sz="0" w:space="0" w:color="auto"/>
          </w:divBdr>
        </w:div>
        <w:div w:id="1184442335">
          <w:marLeft w:val="1080"/>
          <w:marRight w:val="0"/>
          <w:marTop w:val="0"/>
          <w:marBottom w:val="120"/>
          <w:divBdr>
            <w:top w:val="none" w:sz="0" w:space="0" w:color="auto"/>
            <w:left w:val="none" w:sz="0" w:space="0" w:color="auto"/>
            <w:bottom w:val="none" w:sz="0" w:space="0" w:color="auto"/>
            <w:right w:val="none" w:sz="0" w:space="0" w:color="auto"/>
          </w:divBdr>
        </w:div>
        <w:div w:id="78840906">
          <w:marLeft w:val="1080"/>
          <w:marRight w:val="0"/>
          <w:marTop w:val="0"/>
          <w:marBottom w:val="120"/>
          <w:divBdr>
            <w:top w:val="none" w:sz="0" w:space="0" w:color="auto"/>
            <w:left w:val="none" w:sz="0" w:space="0" w:color="auto"/>
            <w:bottom w:val="none" w:sz="0" w:space="0" w:color="auto"/>
            <w:right w:val="none" w:sz="0" w:space="0" w:color="auto"/>
          </w:divBdr>
        </w:div>
        <w:div w:id="1470047768">
          <w:marLeft w:val="1080"/>
          <w:marRight w:val="0"/>
          <w:marTop w:val="0"/>
          <w:marBottom w:val="120"/>
          <w:divBdr>
            <w:top w:val="none" w:sz="0" w:space="0" w:color="auto"/>
            <w:left w:val="none" w:sz="0" w:space="0" w:color="auto"/>
            <w:bottom w:val="none" w:sz="0" w:space="0" w:color="auto"/>
            <w:right w:val="none" w:sz="0" w:space="0" w:color="auto"/>
          </w:divBdr>
        </w:div>
        <w:div w:id="1345473596">
          <w:marLeft w:val="1080"/>
          <w:marRight w:val="0"/>
          <w:marTop w:val="0"/>
          <w:marBottom w:val="120"/>
          <w:divBdr>
            <w:top w:val="none" w:sz="0" w:space="0" w:color="auto"/>
            <w:left w:val="none" w:sz="0" w:space="0" w:color="auto"/>
            <w:bottom w:val="none" w:sz="0" w:space="0" w:color="auto"/>
            <w:right w:val="none" w:sz="0" w:space="0" w:color="auto"/>
          </w:divBdr>
        </w:div>
        <w:div w:id="1605771284">
          <w:marLeft w:val="1080"/>
          <w:marRight w:val="0"/>
          <w:marTop w:val="0"/>
          <w:marBottom w:val="120"/>
          <w:divBdr>
            <w:top w:val="none" w:sz="0" w:space="0" w:color="auto"/>
            <w:left w:val="none" w:sz="0" w:space="0" w:color="auto"/>
            <w:bottom w:val="none" w:sz="0" w:space="0" w:color="auto"/>
            <w:right w:val="none" w:sz="0" w:space="0" w:color="auto"/>
          </w:divBdr>
        </w:div>
        <w:div w:id="141585674">
          <w:marLeft w:val="1080"/>
          <w:marRight w:val="0"/>
          <w:marTop w:val="0"/>
          <w:marBottom w:val="120"/>
          <w:divBdr>
            <w:top w:val="none" w:sz="0" w:space="0" w:color="auto"/>
            <w:left w:val="none" w:sz="0" w:space="0" w:color="auto"/>
            <w:bottom w:val="none" w:sz="0" w:space="0" w:color="auto"/>
            <w:right w:val="none" w:sz="0" w:space="0" w:color="auto"/>
          </w:divBdr>
        </w:div>
        <w:div w:id="662664660">
          <w:marLeft w:val="1080"/>
          <w:marRight w:val="0"/>
          <w:marTop w:val="0"/>
          <w:marBottom w:val="120"/>
          <w:divBdr>
            <w:top w:val="none" w:sz="0" w:space="0" w:color="auto"/>
            <w:left w:val="none" w:sz="0" w:space="0" w:color="auto"/>
            <w:bottom w:val="none" w:sz="0" w:space="0" w:color="auto"/>
            <w:right w:val="none" w:sz="0" w:space="0" w:color="auto"/>
          </w:divBdr>
        </w:div>
        <w:div w:id="1926763986">
          <w:marLeft w:val="1080"/>
          <w:marRight w:val="0"/>
          <w:marTop w:val="0"/>
          <w:marBottom w:val="120"/>
          <w:divBdr>
            <w:top w:val="none" w:sz="0" w:space="0" w:color="auto"/>
            <w:left w:val="none" w:sz="0" w:space="0" w:color="auto"/>
            <w:bottom w:val="none" w:sz="0" w:space="0" w:color="auto"/>
            <w:right w:val="none" w:sz="0" w:space="0" w:color="auto"/>
          </w:divBdr>
        </w:div>
        <w:div w:id="1610969326">
          <w:marLeft w:val="1080"/>
          <w:marRight w:val="0"/>
          <w:marTop w:val="0"/>
          <w:marBottom w:val="120"/>
          <w:divBdr>
            <w:top w:val="none" w:sz="0" w:space="0" w:color="auto"/>
            <w:left w:val="none" w:sz="0" w:space="0" w:color="auto"/>
            <w:bottom w:val="none" w:sz="0" w:space="0" w:color="auto"/>
            <w:right w:val="none" w:sz="0" w:space="0" w:color="auto"/>
          </w:divBdr>
        </w:div>
        <w:div w:id="534662131">
          <w:marLeft w:val="1080"/>
          <w:marRight w:val="0"/>
          <w:marTop w:val="0"/>
          <w:marBottom w:val="120"/>
          <w:divBdr>
            <w:top w:val="none" w:sz="0" w:space="0" w:color="auto"/>
            <w:left w:val="none" w:sz="0" w:space="0" w:color="auto"/>
            <w:bottom w:val="none" w:sz="0" w:space="0" w:color="auto"/>
            <w:right w:val="none" w:sz="0" w:space="0" w:color="auto"/>
          </w:divBdr>
        </w:div>
        <w:div w:id="1415593305">
          <w:marLeft w:val="1080"/>
          <w:marRight w:val="0"/>
          <w:marTop w:val="0"/>
          <w:marBottom w:val="120"/>
          <w:divBdr>
            <w:top w:val="none" w:sz="0" w:space="0" w:color="auto"/>
            <w:left w:val="none" w:sz="0" w:space="0" w:color="auto"/>
            <w:bottom w:val="none" w:sz="0" w:space="0" w:color="auto"/>
            <w:right w:val="none" w:sz="0" w:space="0" w:color="auto"/>
          </w:divBdr>
        </w:div>
        <w:div w:id="531070758">
          <w:marLeft w:val="1080"/>
          <w:marRight w:val="0"/>
          <w:marTop w:val="0"/>
          <w:marBottom w:val="120"/>
          <w:divBdr>
            <w:top w:val="none" w:sz="0" w:space="0" w:color="auto"/>
            <w:left w:val="none" w:sz="0" w:space="0" w:color="auto"/>
            <w:bottom w:val="none" w:sz="0" w:space="0" w:color="auto"/>
            <w:right w:val="none" w:sz="0" w:space="0" w:color="auto"/>
          </w:divBdr>
        </w:div>
        <w:div w:id="1625387000">
          <w:marLeft w:val="1080"/>
          <w:marRight w:val="0"/>
          <w:marTop w:val="0"/>
          <w:marBottom w:val="120"/>
          <w:divBdr>
            <w:top w:val="none" w:sz="0" w:space="0" w:color="auto"/>
            <w:left w:val="none" w:sz="0" w:space="0" w:color="auto"/>
            <w:bottom w:val="none" w:sz="0" w:space="0" w:color="auto"/>
            <w:right w:val="none" w:sz="0" w:space="0" w:color="auto"/>
          </w:divBdr>
        </w:div>
      </w:divsChild>
    </w:div>
    <w:div w:id="858352667">
      <w:bodyDiv w:val="1"/>
      <w:marLeft w:val="0"/>
      <w:marRight w:val="0"/>
      <w:marTop w:val="0"/>
      <w:marBottom w:val="0"/>
      <w:divBdr>
        <w:top w:val="none" w:sz="0" w:space="0" w:color="auto"/>
        <w:left w:val="none" w:sz="0" w:space="0" w:color="auto"/>
        <w:bottom w:val="none" w:sz="0" w:space="0" w:color="auto"/>
        <w:right w:val="none" w:sz="0" w:space="0" w:color="auto"/>
      </w:divBdr>
    </w:div>
    <w:div w:id="926034142">
      <w:bodyDiv w:val="1"/>
      <w:marLeft w:val="0"/>
      <w:marRight w:val="0"/>
      <w:marTop w:val="0"/>
      <w:marBottom w:val="0"/>
      <w:divBdr>
        <w:top w:val="none" w:sz="0" w:space="0" w:color="auto"/>
        <w:left w:val="none" w:sz="0" w:space="0" w:color="auto"/>
        <w:bottom w:val="none" w:sz="0" w:space="0" w:color="auto"/>
        <w:right w:val="none" w:sz="0" w:space="0" w:color="auto"/>
      </w:divBdr>
    </w:div>
    <w:div w:id="1379747569">
      <w:bodyDiv w:val="1"/>
      <w:marLeft w:val="0"/>
      <w:marRight w:val="0"/>
      <w:marTop w:val="0"/>
      <w:marBottom w:val="0"/>
      <w:divBdr>
        <w:top w:val="none" w:sz="0" w:space="0" w:color="auto"/>
        <w:left w:val="none" w:sz="0" w:space="0" w:color="auto"/>
        <w:bottom w:val="none" w:sz="0" w:space="0" w:color="auto"/>
        <w:right w:val="none" w:sz="0" w:space="0" w:color="auto"/>
      </w:divBdr>
    </w:div>
    <w:div w:id="1566986088">
      <w:bodyDiv w:val="1"/>
      <w:marLeft w:val="0"/>
      <w:marRight w:val="0"/>
      <w:marTop w:val="0"/>
      <w:marBottom w:val="0"/>
      <w:divBdr>
        <w:top w:val="none" w:sz="0" w:space="0" w:color="auto"/>
        <w:left w:val="none" w:sz="0" w:space="0" w:color="auto"/>
        <w:bottom w:val="none" w:sz="0" w:space="0" w:color="auto"/>
        <w:right w:val="none" w:sz="0" w:space="0" w:color="auto"/>
      </w:divBdr>
    </w:div>
    <w:div w:id="1594513976">
      <w:bodyDiv w:val="1"/>
      <w:marLeft w:val="0"/>
      <w:marRight w:val="0"/>
      <w:marTop w:val="0"/>
      <w:marBottom w:val="0"/>
      <w:divBdr>
        <w:top w:val="none" w:sz="0" w:space="0" w:color="auto"/>
        <w:left w:val="none" w:sz="0" w:space="0" w:color="auto"/>
        <w:bottom w:val="none" w:sz="0" w:space="0" w:color="auto"/>
        <w:right w:val="none" w:sz="0" w:space="0" w:color="auto"/>
      </w:divBdr>
    </w:div>
    <w:div w:id="1868905105">
      <w:bodyDiv w:val="1"/>
      <w:marLeft w:val="0"/>
      <w:marRight w:val="0"/>
      <w:marTop w:val="0"/>
      <w:marBottom w:val="0"/>
      <w:divBdr>
        <w:top w:val="none" w:sz="0" w:space="0" w:color="auto"/>
        <w:left w:val="none" w:sz="0" w:space="0" w:color="auto"/>
        <w:bottom w:val="none" w:sz="0" w:space="0" w:color="auto"/>
        <w:right w:val="none" w:sz="0" w:space="0" w:color="auto"/>
      </w:divBdr>
    </w:div>
    <w:div w:id="19431059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emf"/><Relationship Id="rId13" Type="http://schemas.openxmlformats.org/officeDocument/2006/relationships/image" Target="media/image9.emf"/><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emf"/><Relationship Id="rId12" Type="http://schemas.openxmlformats.org/officeDocument/2006/relationships/image" Target="media/image8.emf"/><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2.emf"/><Relationship Id="rId1" Type="http://schemas.openxmlformats.org/officeDocument/2006/relationships/numbering" Target="numbering.xml"/><Relationship Id="rId6" Type="http://schemas.openxmlformats.org/officeDocument/2006/relationships/image" Target="media/image2.emf"/><Relationship Id="rId11" Type="http://schemas.openxmlformats.org/officeDocument/2006/relationships/image" Target="media/image7.emf"/><Relationship Id="rId5" Type="http://schemas.openxmlformats.org/officeDocument/2006/relationships/image" Target="media/image1.emf"/><Relationship Id="rId15" Type="http://schemas.openxmlformats.org/officeDocument/2006/relationships/image" Target="media/image11.emf"/><Relationship Id="rId10" Type="http://schemas.openxmlformats.org/officeDocument/2006/relationships/image" Target="media/image6.emf"/><Relationship Id="rId4" Type="http://schemas.openxmlformats.org/officeDocument/2006/relationships/webSettings" Target="webSettings.xml"/><Relationship Id="rId9" Type="http://schemas.openxmlformats.org/officeDocument/2006/relationships/image" Target="media/image5.emf"/><Relationship Id="rId14" Type="http://schemas.openxmlformats.org/officeDocument/2006/relationships/image" Target="media/image10.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TotalTime>
  <Pages>1</Pages>
  <Words>2122</Words>
  <Characters>12102</Characters>
  <Application>Microsoft Office Word</Application>
  <DocSecurity>0</DocSecurity>
  <Lines>100</Lines>
  <Paragraphs>28</Paragraphs>
  <ScaleCrop>false</ScaleCrop>
  <Company/>
  <LinksUpToDate>false</LinksUpToDate>
  <CharactersWithSpaces>14196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Author</dc:creator>
  <cp:keywords/>
  <dc:description/>
  <cp:lastModifiedBy>Anaida Adamache (2026381)</cp:lastModifiedBy>
  <cp:revision>3</cp:revision>
  <dcterms:created xsi:type="dcterms:W3CDTF">2025-02-04T10:19:00Z</dcterms:created>
  <dcterms:modified xsi:type="dcterms:W3CDTF">2025-02-04T10:19:00Z</dcterms:modified>
</cp:coreProperties>
</file>