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C34DA" w14:textId="47A6DE50" w:rsidR="00821693" w:rsidRDefault="00821693" w:rsidP="00D77F9A">
      <w:pPr>
        <w:jc w:val="right"/>
        <w:rPr>
          <w:rFonts w:eastAsia="Times New Roman" w:cs="Times New Roman"/>
          <w:b/>
          <w:bCs/>
          <w:sz w:val="44"/>
          <w:szCs w:val="44"/>
        </w:rPr>
      </w:pPr>
      <w:r w:rsidRPr="00821693">
        <w:rPr>
          <w:rFonts w:eastAsia="Times New Roman" w:cs="Times New Roman"/>
          <w:b/>
          <w:bCs/>
          <w:noProof/>
          <w:sz w:val="44"/>
          <w:szCs w:val="44"/>
        </w:rPr>
        <w:drawing>
          <wp:inline distT="0" distB="0" distL="0" distR="0" wp14:anchorId="67AB6F90" wp14:editId="36E3D29C">
            <wp:extent cx="1838582" cy="895475"/>
            <wp:effectExtent l="0" t="0" r="9525" b="0"/>
            <wp:docPr id="677309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09759" name=""/>
                    <pic:cNvPicPr/>
                  </pic:nvPicPr>
                  <pic:blipFill>
                    <a:blip r:embed="rId7"/>
                    <a:stretch>
                      <a:fillRect/>
                    </a:stretch>
                  </pic:blipFill>
                  <pic:spPr>
                    <a:xfrm>
                      <a:off x="0" y="0"/>
                      <a:ext cx="1838582" cy="895475"/>
                    </a:xfrm>
                    <a:prstGeom prst="rect">
                      <a:avLst/>
                    </a:prstGeom>
                  </pic:spPr>
                </pic:pic>
              </a:graphicData>
            </a:graphic>
          </wp:inline>
        </w:drawing>
      </w:r>
    </w:p>
    <w:p w14:paraId="595E819A" w14:textId="77777777" w:rsidR="00821693" w:rsidRDefault="00821693" w:rsidP="00073D3B">
      <w:pPr>
        <w:jc w:val="center"/>
        <w:rPr>
          <w:rFonts w:eastAsia="Times New Roman" w:cs="Times New Roman"/>
          <w:b/>
          <w:bCs/>
          <w:sz w:val="44"/>
          <w:szCs w:val="44"/>
        </w:rPr>
      </w:pPr>
    </w:p>
    <w:p w14:paraId="7D3502E9" w14:textId="77777777" w:rsidR="00821693" w:rsidRDefault="00821693" w:rsidP="00073D3B">
      <w:pPr>
        <w:jc w:val="center"/>
        <w:rPr>
          <w:rFonts w:eastAsia="Times New Roman" w:cs="Times New Roman"/>
          <w:b/>
          <w:bCs/>
          <w:sz w:val="44"/>
          <w:szCs w:val="44"/>
        </w:rPr>
      </w:pPr>
    </w:p>
    <w:p w14:paraId="06BD7258" w14:textId="77777777" w:rsidR="00821693" w:rsidRDefault="00821693" w:rsidP="00073D3B">
      <w:pPr>
        <w:jc w:val="center"/>
        <w:rPr>
          <w:rFonts w:eastAsia="Times New Roman" w:cs="Times New Roman"/>
          <w:b/>
          <w:bCs/>
          <w:sz w:val="44"/>
          <w:szCs w:val="44"/>
        </w:rPr>
      </w:pPr>
    </w:p>
    <w:p w14:paraId="6A4C3450" w14:textId="50FB72D0" w:rsidR="00821693" w:rsidRPr="00821693" w:rsidRDefault="00821693" w:rsidP="00073D3B">
      <w:pPr>
        <w:jc w:val="center"/>
        <w:rPr>
          <w:rFonts w:eastAsia="Times New Roman" w:cs="Times New Roman"/>
          <w:b/>
          <w:bCs/>
          <w:sz w:val="44"/>
          <w:szCs w:val="44"/>
        </w:rPr>
      </w:pPr>
      <w:r w:rsidRPr="00821693">
        <w:rPr>
          <w:rFonts w:eastAsia="Times New Roman" w:cs="Times New Roman"/>
          <w:b/>
          <w:bCs/>
          <w:sz w:val="44"/>
          <w:szCs w:val="44"/>
        </w:rPr>
        <w:t>Module Title: Project Management</w:t>
      </w:r>
    </w:p>
    <w:p w14:paraId="170BFF20" w14:textId="1E4B472F" w:rsidR="00821693" w:rsidRPr="00821693" w:rsidRDefault="00821693" w:rsidP="00073D3B">
      <w:pPr>
        <w:jc w:val="center"/>
        <w:rPr>
          <w:rFonts w:eastAsia="Times New Roman" w:cs="Times New Roman"/>
          <w:b/>
          <w:bCs/>
          <w:sz w:val="44"/>
          <w:szCs w:val="44"/>
        </w:rPr>
      </w:pPr>
      <w:r w:rsidRPr="00821693">
        <w:rPr>
          <w:rFonts w:eastAsia="Times New Roman" w:cs="Times New Roman"/>
          <w:b/>
          <w:bCs/>
          <w:sz w:val="44"/>
          <w:szCs w:val="44"/>
        </w:rPr>
        <w:t xml:space="preserve">Module </w:t>
      </w:r>
      <w:r w:rsidR="000B1F9E">
        <w:rPr>
          <w:rFonts w:eastAsia="Times New Roman" w:cs="Times New Roman"/>
          <w:b/>
          <w:bCs/>
          <w:sz w:val="44"/>
          <w:szCs w:val="44"/>
        </w:rPr>
        <w:t>C</w:t>
      </w:r>
      <w:r w:rsidRPr="00821693">
        <w:rPr>
          <w:rFonts w:eastAsia="Times New Roman" w:cs="Times New Roman"/>
          <w:b/>
          <w:bCs/>
          <w:sz w:val="44"/>
          <w:szCs w:val="44"/>
        </w:rPr>
        <w:t>ode: LCBB6006</w:t>
      </w:r>
    </w:p>
    <w:p w14:paraId="6241A05C" w14:textId="77777777" w:rsidR="00821693" w:rsidRPr="00821693" w:rsidRDefault="00821693" w:rsidP="00073D3B">
      <w:pPr>
        <w:jc w:val="center"/>
        <w:rPr>
          <w:rFonts w:eastAsia="Times New Roman" w:cs="Times New Roman"/>
          <w:b/>
          <w:bCs/>
          <w:sz w:val="44"/>
          <w:szCs w:val="44"/>
        </w:rPr>
      </w:pPr>
      <w:r w:rsidRPr="00821693">
        <w:rPr>
          <w:rFonts w:eastAsia="Times New Roman" w:cs="Times New Roman"/>
          <w:b/>
          <w:bCs/>
          <w:sz w:val="44"/>
          <w:szCs w:val="44"/>
        </w:rPr>
        <w:t>Assignment Title: Component 2: Coursework: Essay</w:t>
      </w:r>
    </w:p>
    <w:p w14:paraId="2F469E56" w14:textId="5815413E" w:rsidR="00821693" w:rsidRPr="00D7350D" w:rsidRDefault="00821693" w:rsidP="00073D3B">
      <w:pPr>
        <w:jc w:val="center"/>
        <w:rPr>
          <w:rFonts w:eastAsia="Times New Roman" w:cs="Times New Roman"/>
          <w:b/>
          <w:bCs/>
          <w:sz w:val="40"/>
          <w:szCs w:val="40"/>
        </w:rPr>
      </w:pPr>
      <w:r w:rsidRPr="00D7350D">
        <w:rPr>
          <w:rFonts w:eastAsia="Times New Roman" w:cs="Times New Roman"/>
          <w:b/>
          <w:bCs/>
          <w:sz w:val="40"/>
          <w:szCs w:val="40"/>
        </w:rPr>
        <w:t>Student Name:</w:t>
      </w:r>
      <w:r w:rsidR="00A0297A" w:rsidRPr="00D7350D">
        <w:rPr>
          <w:rFonts w:eastAsia="Times New Roman" w:cs="Times New Roman"/>
          <w:b/>
          <w:bCs/>
          <w:sz w:val="40"/>
          <w:szCs w:val="40"/>
        </w:rPr>
        <w:t xml:space="preserve"> Amadu</w:t>
      </w:r>
      <w:r w:rsidR="00CD52A9">
        <w:rPr>
          <w:rFonts w:eastAsia="Times New Roman" w:cs="Times New Roman"/>
          <w:b/>
          <w:bCs/>
          <w:sz w:val="40"/>
          <w:szCs w:val="40"/>
        </w:rPr>
        <w:t xml:space="preserve"> Barrie</w:t>
      </w:r>
    </w:p>
    <w:p w14:paraId="7A8728AB" w14:textId="17CC8DB9" w:rsidR="007504B5" w:rsidRDefault="00821693" w:rsidP="00073D3B">
      <w:pPr>
        <w:jc w:val="center"/>
        <w:rPr>
          <w:rFonts w:eastAsia="Times New Roman" w:cs="Times New Roman"/>
          <w:b/>
          <w:bCs/>
          <w:sz w:val="40"/>
          <w:szCs w:val="40"/>
        </w:rPr>
      </w:pPr>
      <w:r w:rsidRPr="00D7350D">
        <w:rPr>
          <w:rFonts w:eastAsia="Times New Roman" w:cs="Times New Roman"/>
          <w:b/>
          <w:bCs/>
          <w:sz w:val="40"/>
          <w:szCs w:val="40"/>
        </w:rPr>
        <w:t>Student ID:</w:t>
      </w:r>
      <w:r w:rsidR="00250C01">
        <w:rPr>
          <w:rFonts w:eastAsia="Times New Roman" w:cs="Times New Roman"/>
          <w:b/>
          <w:bCs/>
          <w:sz w:val="40"/>
          <w:szCs w:val="40"/>
        </w:rPr>
        <w:t xml:space="preserve"> 232378</w:t>
      </w:r>
      <w:r w:rsidR="00184E21">
        <w:rPr>
          <w:rFonts w:eastAsia="Times New Roman" w:cs="Times New Roman"/>
          <w:b/>
          <w:bCs/>
          <w:sz w:val="40"/>
          <w:szCs w:val="40"/>
        </w:rPr>
        <w:t>4</w:t>
      </w:r>
    </w:p>
    <w:p w14:paraId="631E5361" w14:textId="6D7C4893" w:rsidR="00184E21" w:rsidRDefault="00184E21" w:rsidP="00073D3B">
      <w:pPr>
        <w:jc w:val="center"/>
        <w:rPr>
          <w:rFonts w:eastAsia="Times New Roman" w:cs="Times New Roman"/>
          <w:b/>
          <w:bCs/>
          <w:sz w:val="40"/>
          <w:szCs w:val="40"/>
        </w:rPr>
      </w:pPr>
      <w:r>
        <w:rPr>
          <w:rFonts w:eastAsia="Times New Roman" w:cs="Times New Roman"/>
          <w:b/>
          <w:bCs/>
          <w:sz w:val="40"/>
          <w:szCs w:val="40"/>
        </w:rPr>
        <w:t>Supervisor Name: Dr L S Rodrigo</w:t>
      </w:r>
    </w:p>
    <w:p w14:paraId="0609A69D" w14:textId="77777777" w:rsidR="007504B5" w:rsidRDefault="007504B5" w:rsidP="00073D3B">
      <w:pPr>
        <w:jc w:val="center"/>
        <w:rPr>
          <w:rFonts w:eastAsia="Times New Roman" w:cs="Times New Roman"/>
          <w:b/>
          <w:bCs/>
          <w:sz w:val="40"/>
          <w:szCs w:val="40"/>
        </w:rPr>
      </w:pPr>
    </w:p>
    <w:p w14:paraId="0F20BA1A" w14:textId="77777777" w:rsidR="007504B5" w:rsidRDefault="007504B5" w:rsidP="00073D3B">
      <w:pPr>
        <w:jc w:val="center"/>
        <w:rPr>
          <w:rFonts w:eastAsia="Times New Roman" w:cs="Times New Roman"/>
          <w:b/>
          <w:bCs/>
          <w:sz w:val="40"/>
          <w:szCs w:val="40"/>
        </w:rPr>
      </w:pPr>
    </w:p>
    <w:p w14:paraId="36EB0FFC" w14:textId="77777777" w:rsidR="007504B5" w:rsidRDefault="007504B5" w:rsidP="00073D3B">
      <w:pPr>
        <w:jc w:val="center"/>
        <w:rPr>
          <w:rFonts w:eastAsia="Times New Roman" w:cs="Times New Roman"/>
          <w:b/>
          <w:bCs/>
          <w:sz w:val="40"/>
          <w:szCs w:val="40"/>
        </w:rPr>
      </w:pPr>
    </w:p>
    <w:p w14:paraId="5854C44F" w14:textId="77777777" w:rsidR="007504B5" w:rsidRDefault="007504B5" w:rsidP="00073D3B">
      <w:pPr>
        <w:jc w:val="center"/>
        <w:rPr>
          <w:rFonts w:eastAsia="Times New Roman" w:cs="Times New Roman"/>
          <w:b/>
          <w:bCs/>
          <w:sz w:val="40"/>
          <w:szCs w:val="40"/>
        </w:rPr>
      </w:pPr>
    </w:p>
    <w:p w14:paraId="4B7231AA" w14:textId="77777777" w:rsidR="007504B5" w:rsidRDefault="007504B5" w:rsidP="00073D3B">
      <w:pPr>
        <w:jc w:val="center"/>
        <w:rPr>
          <w:rFonts w:eastAsia="Times New Roman" w:cs="Times New Roman"/>
          <w:b/>
          <w:bCs/>
          <w:sz w:val="40"/>
          <w:szCs w:val="40"/>
        </w:rPr>
      </w:pPr>
    </w:p>
    <w:p w14:paraId="401537D3" w14:textId="77777777" w:rsidR="007504B5" w:rsidRDefault="007504B5" w:rsidP="00073D3B">
      <w:pPr>
        <w:jc w:val="center"/>
        <w:rPr>
          <w:rFonts w:eastAsia="Times New Roman" w:cs="Times New Roman"/>
          <w:b/>
          <w:bCs/>
          <w:sz w:val="40"/>
          <w:szCs w:val="40"/>
        </w:rPr>
      </w:pPr>
    </w:p>
    <w:p w14:paraId="19A4E011" w14:textId="77777777" w:rsidR="007504B5" w:rsidRDefault="007504B5" w:rsidP="00073D3B">
      <w:pPr>
        <w:jc w:val="center"/>
        <w:rPr>
          <w:rFonts w:eastAsia="Times New Roman" w:cs="Times New Roman"/>
          <w:b/>
          <w:bCs/>
          <w:sz w:val="40"/>
          <w:szCs w:val="40"/>
        </w:rPr>
      </w:pPr>
    </w:p>
    <w:sdt>
      <w:sdtPr>
        <w:rPr>
          <w:rFonts w:ascii="Times New Roman" w:eastAsia="Arial" w:hAnsi="Times New Roman" w:cs="Arial"/>
          <w:color w:val="auto"/>
          <w:sz w:val="24"/>
          <w:szCs w:val="22"/>
          <w:lang w:val="en-GB"/>
        </w:rPr>
        <w:id w:val="1083577578"/>
        <w:docPartObj>
          <w:docPartGallery w:val="Table of Contents"/>
          <w:docPartUnique/>
        </w:docPartObj>
      </w:sdtPr>
      <w:sdtEndPr>
        <w:rPr>
          <w:b/>
          <w:bCs/>
          <w:noProof/>
        </w:rPr>
      </w:sdtEndPr>
      <w:sdtContent>
        <w:p w14:paraId="71E5CCCA" w14:textId="5168E54D" w:rsidR="007504B5" w:rsidRDefault="007504B5">
          <w:pPr>
            <w:pStyle w:val="TOCHeading"/>
          </w:pPr>
          <w:r>
            <w:t>Contents</w:t>
          </w:r>
        </w:p>
        <w:p w14:paraId="3214572E" w14:textId="00F71FD3" w:rsidR="007504B5" w:rsidRDefault="007504B5">
          <w:pPr>
            <w:pStyle w:val="TOC1"/>
            <w:tabs>
              <w:tab w:val="right" w:leader="dot" w:pos="9350"/>
            </w:tabs>
            <w:rPr>
              <w:noProof/>
            </w:rPr>
          </w:pPr>
          <w:r>
            <w:fldChar w:fldCharType="begin"/>
          </w:r>
          <w:r>
            <w:instrText xml:space="preserve"> TOC \o "1-3" \h \z \u </w:instrText>
          </w:r>
          <w:r>
            <w:fldChar w:fldCharType="separate"/>
          </w:r>
          <w:hyperlink w:anchor="_Toc225629873" w:history="1">
            <w:r w:rsidRPr="005A3F75">
              <w:rPr>
                <w:rStyle w:val="Hyperlink"/>
                <w:noProof/>
              </w:rPr>
              <w:t>Introduction</w:t>
            </w:r>
            <w:r>
              <w:rPr>
                <w:noProof/>
                <w:webHidden/>
              </w:rPr>
              <w:tab/>
            </w:r>
            <w:r>
              <w:rPr>
                <w:noProof/>
                <w:webHidden/>
              </w:rPr>
              <w:fldChar w:fldCharType="begin"/>
            </w:r>
            <w:r>
              <w:rPr>
                <w:noProof/>
                <w:webHidden/>
              </w:rPr>
              <w:instrText xml:space="preserve"> PAGEREF _Toc225629873 \h </w:instrText>
            </w:r>
            <w:r>
              <w:rPr>
                <w:noProof/>
                <w:webHidden/>
              </w:rPr>
            </w:r>
            <w:r>
              <w:rPr>
                <w:noProof/>
                <w:webHidden/>
              </w:rPr>
              <w:fldChar w:fldCharType="separate"/>
            </w:r>
            <w:r>
              <w:rPr>
                <w:noProof/>
                <w:webHidden/>
              </w:rPr>
              <w:t>3</w:t>
            </w:r>
            <w:r>
              <w:rPr>
                <w:noProof/>
                <w:webHidden/>
              </w:rPr>
              <w:fldChar w:fldCharType="end"/>
            </w:r>
          </w:hyperlink>
        </w:p>
        <w:p w14:paraId="51615DD2" w14:textId="618CF851" w:rsidR="007504B5" w:rsidRDefault="007504B5">
          <w:pPr>
            <w:pStyle w:val="TOC1"/>
            <w:tabs>
              <w:tab w:val="right" w:leader="dot" w:pos="9350"/>
            </w:tabs>
            <w:rPr>
              <w:noProof/>
            </w:rPr>
          </w:pPr>
          <w:hyperlink w:anchor="_Toc225629874" w:history="1">
            <w:r w:rsidRPr="005A3F75">
              <w:rPr>
                <w:rStyle w:val="Hyperlink"/>
                <w:noProof/>
              </w:rPr>
              <w:t>Risk planning</w:t>
            </w:r>
            <w:r>
              <w:rPr>
                <w:noProof/>
                <w:webHidden/>
              </w:rPr>
              <w:tab/>
            </w:r>
            <w:r>
              <w:rPr>
                <w:noProof/>
                <w:webHidden/>
              </w:rPr>
              <w:fldChar w:fldCharType="begin"/>
            </w:r>
            <w:r>
              <w:rPr>
                <w:noProof/>
                <w:webHidden/>
              </w:rPr>
              <w:instrText xml:space="preserve"> PAGEREF _Toc225629874 \h </w:instrText>
            </w:r>
            <w:r>
              <w:rPr>
                <w:noProof/>
                <w:webHidden/>
              </w:rPr>
            </w:r>
            <w:r>
              <w:rPr>
                <w:noProof/>
                <w:webHidden/>
              </w:rPr>
              <w:fldChar w:fldCharType="separate"/>
            </w:r>
            <w:r>
              <w:rPr>
                <w:noProof/>
                <w:webHidden/>
              </w:rPr>
              <w:t>4</w:t>
            </w:r>
            <w:r>
              <w:rPr>
                <w:noProof/>
                <w:webHidden/>
              </w:rPr>
              <w:fldChar w:fldCharType="end"/>
            </w:r>
          </w:hyperlink>
        </w:p>
        <w:p w14:paraId="1F592086" w14:textId="5F0A8A9C" w:rsidR="007504B5" w:rsidRDefault="007504B5">
          <w:pPr>
            <w:pStyle w:val="TOC1"/>
            <w:tabs>
              <w:tab w:val="right" w:leader="dot" w:pos="9350"/>
            </w:tabs>
            <w:rPr>
              <w:noProof/>
            </w:rPr>
          </w:pPr>
          <w:hyperlink w:anchor="_Toc225629875" w:history="1">
            <w:r w:rsidRPr="005A3F75">
              <w:rPr>
                <w:rStyle w:val="Hyperlink"/>
                <w:noProof/>
              </w:rPr>
              <w:t>Contracting Methods</w:t>
            </w:r>
            <w:r>
              <w:rPr>
                <w:noProof/>
                <w:webHidden/>
              </w:rPr>
              <w:tab/>
            </w:r>
            <w:r>
              <w:rPr>
                <w:noProof/>
                <w:webHidden/>
              </w:rPr>
              <w:fldChar w:fldCharType="begin"/>
            </w:r>
            <w:r>
              <w:rPr>
                <w:noProof/>
                <w:webHidden/>
              </w:rPr>
              <w:instrText xml:space="preserve"> PAGEREF _Toc225629875 \h </w:instrText>
            </w:r>
            <w:r>
              <w:rPr>
                <w:noProof/>
                <w:webHidden/>
              </w:rPr>
            </w:r>
            <w:r>
              <w:rPr>
                <w:noProof/>
                <w:webHidden/>
              </w:rPr>
              <w:fldChar w:fldCharType="separate"/>
            </w:r>
            <w:r>
              <w:rPr>
                <w:noProof/>
                <w:webHidden/>
              </w:rPr>
              <w:t>6</w:t>
            </w:r>
            <w:r>
              <w:rPr>
                <w:noProof/>
                <w:webHidden/>
              </w:rPr>
              <w:fldChar w:fldCharType="end"/>
            </w:r>
          </w:hyperlink>
        </w:p>
        <w:p w14:paraId="39418959" w14:textId="3621D2D9" w:rsidR="007504B5" w:rsidRDefault="007504B5">
          <w:pPr>
            <w:pStyle w:val="TOC1"/>
            <w:tabs>
              <w:tab w:val="right" w:leader="dot" w:pos="9350"/>
            </w:tabs>
            <w:rPr>
              <w:noProof/>
            </w:rPr>
          </w:pPr>
          <w:hyperlink w:anchor="_Toc225629876" w:history="1">
            <w:r w:rsidRPr="005A3F75">
              <w:rPr>
                <w:rStyle w:val="Hyperlink"/>
                <w:noProof/>
              </w:rPr>
              <w:t>Conclusion</w:t>
            </w:r>
            <w:r>
              <w:rPr>
                <w:noProof/>
                <w:webHidden/>
              </w:rPr>
              <w:tab/>
            </w:r>
            <w:r>
              <w:rPr>
                <w:noProof/>
                <w:webHidden/>
              </w:rPr>
              <w:fldChar w:fldCharType="begin"/>
            </w:r>
            <w:r>
              <w:rPr>
                <w:noProof/>
                <w:webHidden/>
              </w:rPr>
              <w:instrText xml:space="preserve"> PAGEREF _Toc225629876 \h </w:instrText>
            </w:r>
            <w:r>
              <w:rPr>
                <w:noProof/>
                <w:webHidden/>
              </w:rPr>
            </w:r>
            <w:r>
              <w:rPr>
                <w:noProof/>
                <w:webHidden/>
              </w:rPr>
              <w:fldChar w:fldCharType="separate"/>
            </w:r>
            <w:r>
              <w:rPr>
                <w:noProof/>
                <w:webHidden/>
              </w:rPr>
              <w:t>8</w:t>
            </w:r>
            <w:r>
              <w:rPr>
                <w:noProof/>
                <w:webHidden/>
              </w:rPr>
              <w:fldChar w:fldCharType="end"/>
            </w:r>
          </w:hyperlink>
        </w:p>
        <w:p w14:paraId="223EFEEA" w14:textId="5B50759F" w:rsidR="007504B5" w:rsidRDefault="007504B5">
          <w:pPr>
            <w:pStyle w:val="TOC1"/>
            <w:tabs>
              <w:tab w:val="right" w:leader="dot" w:pos="9350"/>
            </w:tabs>
            <w:rPr>
              <w:noProof/>
            </w:rPr>
          </w:pPr>
          <w:hyperlink w:anchor="_Toc225629877" w:history="1">
            <w:r w:rsidRPr="005A3F75">
              <w:rPr>
                <w:rStyle w:val="Hyperlink"/>
                <w:noProof/>
              </w:rPr>
              <w:t>References</w:t>
            </w:r>
            <w:r>
              <w:rPr>
                <w:noProof/>
                <w:webHidden/>
              </w:rPr>
              <w:tab/>
            </w:r>
            <w:r>
              <w:rPr>
                <w:noProof/>
                <w:webHidden/>
              </w:rPr>
              <w:fldChar w:fldCharType="begin"/>
            </w:r>
            <w:r>
              <w:rPr>
                <w:noProof/>
                <w:webHidden/>
              </w:rPr>
              <w:instrText xml:space="preserve"> PAGEREF _Toc225629877 \h </w:instrText>
            </w:r>
            <w:r>
              <w:rPr>
                <w:noProof/>
                <w:webHidden/>
              </w:rPr>
            </w:r>
            <w:r>
              <w:rPr>
                <w:noProof/>
                <w:webHidden/>
              </w:rPr>
              <w:fldChar w:fldCharType="separate"/>
            </w:r>
            <w:r>
              <w:rPr>
                <w:noProof/>
                <w:webHidden/>
              </w:rPr>
              <w:t>9</w:t>
            </w:r>
            <w:r>
              <w:rPr>
                <w:noProof/>
                <w:webHidden/>
              </w:rPr>
              <w:fldChar w:fldCharType="end"/>
            </w:r>
          </w:hyperlink>
        </w:p>
        <w:p w14:paraId="17EE4D48" w14:textId="38BD4E12" w:rsidR="007504B5" w:rsidRDefault="007504B5">
          <w:r>
            <w:rPr>
              <w:b/>
              <w:bCs/>
              <w:noProof/>
            </w:rPr>
            <w:fldChar w:fldCharType="end"/>
          </w:r>
        </w:p>
      </w:sdtContent>
    </w:sdt>
    <w:p w14:paraId="4EB0FC5D" w14:textId="090B82C8" w:rsidR="00821693" w:rsidRDefault="00821693" w:rsidP="00073D3B">
      <w:pPr>
        <w:jc w:val="center"/>
        <w:rPr>
          <w:rFonts w:eastAsia="Times New Roman" w:cs="Times New Roman"/>
          <w:b/>
          <w:bCs/>
          <w:szCs w:val="24"/>
        </w:rPr>
      </w:pPr>
      <w:r>
        <w:rPr>
          <w:rFonts w:eastAsia="Times New Roman" w:cs="Times New Roman"/>
          <w:b/>
          <w:bCs/>
          <w:szCs w:val="24"/>
        </w:rPr>
        <w:br w:type="page"/>
      </w:r>
    </w:p>
    <w:p w14:paraId="00000001" w14:textId="13235CEF" w:rsidR="00E27F51" w:rsidRPr="007E4F8D" w:rsidRDefault="0013710A" w:rsidP="00073D3B">
      <w:pPr>
        <w:pStyle w:val="Heading1"/>
        <w:spacing w:before="0" w:after="0"/>
      </w:pPr>
      <w:bookmarkStart w:id="0" w:name="_Toc225629873"/>
      <w:r w:rsidRPr="007E4F8D">
        <w:t>Introduction</w:t>
      </w:r>
      <w:bookmarkEnd w:id="0"/>
    </w:p>
    <w:p w14:paraId="00000002" w14:textId="489947AA" w:rsidR="00E27F51" w:rsidRPr="007E4F8D" w:rsidRDefault="0013710A" w:rsidP="00073D3B">
      <w:pPr>
        <w:rPr>
          <w:rFonts w:eastAsia="Times New Roman" w:cs="Times New Roman"/>
          <w:szCs w:val="24"/>
        </w:rPr>
      </w:pPr>
      <w:r w:rsidRPr="007E4F8D">
        <w:rPr>
          <w:rFonts w:eastAsia="Times New Roman" w:cs="Times New Roman"/>
          <w:szCs w:val="24"/>
        </w:rPr>
        <w:t>The essay will evaluate the aspects of risk planning</w:t>
      </w:r>
      <w:r w:rsidR="00064A88">
        <w:rPr>
          <w:rFonts w:eastAsia="Times New Roman" w:cs="Times New Roman"/>
          <w:szCs w:val="24"/>
        </w:rPr>
        <w:t xml:space="preserve"> along with the procedure included in risk management</w:t>
      </w:r>
      <w:r w:rsidRPr="007E4F8D">
        <w:rPr>
          <w:rFonts w:eastAsia="Times New Roman" w:cs="Times New Roman"/>
          <w:szCs w:val="24"/>
        </w:rPr>
        <w:t xml:space="preserve">. Since there may be several risks while strategising a project, having thought of mitigation ways can be beneficial. Therefore, a discussion will be conducted to plan such methods for the plan to become successful. The process of risk management will be highlighted in the context, such as Identification, Analysis, Responses, Monitoring and Control. A portrayal will be provided regarding the usefulness of the stages that have been mentioned here in the discussion below. On the other hand, there will be assessments of the </w:t>
      </w:r>
      <w:r w:rsidR="0043007C">
        <w:rPr>
          <w:rFonts w:eastAsia="Times New Roman" w:cs="Times New Roman"/>
          <w:szCs w:val="24"/>
        </w:rPr>
        <w:t xml:space="preserve">four </w:t>
      </w:r>
      <w:r w:rsidRPr="007E4F8D">
        <w:rPr>
          <w:rFonts w:eastAsia="Times New Roman" w:cs="Times New Roman"/>
          <w:szCs w:val="24"/>
        </w:rPr>
        <w:t xml:space="preserve">contracting methods in project management. Turnkey, Multicontract, Do-it-yourself (DIY), and Multicontract and DIY are the </w:t>
      </w:r>
      <w:r w:rsidR="0043007C">
        <w:rPr>
          <w:rFonts w:eastAsia="Times New Roman" w:cs="Times New Roman"/>
          <w:szCs w:val="24"/>
        </w:rPr>
        <w:t xml:space="preserve">different types </w:t>
      </w:r>
      <w:r w:rsidRPr="007E4F8D">
        <w:rPr>
          <w:rFonts w:eastAsia="Times New Roman" w:cs="Times New Roman"/>
          <w:szCs w:val="24"/>
        </w:rPr>
        <w:t xml:space="preserve">of contracting which will be scrutinised here. Their advantages and disadvantages will be described to identify the suitable project types for each segment. </w:t>
      </w:r>
    </w:p>
    <w:p w14:paraId="1F296C10" w14:textId="77777777" w:rsidR="00821693" w:rsidRDefault="00821693" w:rsidP="00073D3B">
      <w:pPr>
        <w:jc w:val="left"/>
        <w:rPr>
          <w:rFonts w:eastAsia="Times New Roman" w:cs="Times New Roman"/>
          <w:b/>
          <w:bCs/>
          <w:szCs w:val="24"/>
        </w:rPr>
      </w:pPr>
      <w:r>
        <w:rPr>
          <w:rFonts w:eastAsia="Times New Roman" w:cs="Times New Roman"/>
          <w:b/>
          <w:bCs/>
          <w:szCs w:val="24"/>
        </w:rPr>
        <w:br w:type="page"/>
      </w:r>
    </w:p>
    <w:p w14:paraId="00000003" w14:textId="69014400" w:rsidR="00E27F51" w:rsidRPr="007E4F8D" w:rsidRDefault="005B71B2" w:rsidP="00073D3B">
      <w:pPr>
        <w:pStyle w:val="Heading1"/>
        <w:spacing w:before="0" w:after="0"/>
      </w:pPr>
      <w:bookmarkStart w:id="1" w:name="_Toc225629874"/>
      <w:r>
        <w:t>Risk planning</w:t>
      </w:r>
      <w:bookmarkEnd w:id="1"/>
    </w:p>
    <w:p w14:paraId="00000005" w14:textId="272DEB60" w:rsidR="00E27F51" w:rsidRPr="007E4F8D" w:rsidRDefault="0013710A" w:rsidP="00073D3B">
      <w:pPr>
        <w:rPr>
          <w:rFonts w:eastAsia="Times New Roman" w:cs="Times New Roman"/>
          <w:szCs w:val="24"/>
        </w:rPr>
      </w:pPr>
      <w:r w:rsidRPr="007E4F8D">
        <w:rPr>
          <w:rFonts w:eastAsia="Times New Roman" w:cs="Times New Roman"/>
          <w:szCs w:val="24"/>
        </w:rPr>
        <w:t>Risk planning is extremely important for a project, as it will be helpful in making it successful in the industry. It has the ability to identify and assess the risk and prepare the company to overcome it. This can be considered one of the potent tools of project management in the market. Risk planning is critical for a business, as it can prevent any imminent disasters that may come over the project. Moreover, protecting resources can also be conducted with the help of the tool mentioned here. Managing the budget and allocating resources appropriately can occur with an adequate management system</w:t>
      </w:r>
      <w:sdt>
        <w:sdtPr>
          <w:rPr>
            <w:rFonts w:eastAsia="Times New Roman" w:cs="Times New Roman"/>
            <w:szCs w:val="24"/>
          </w:rPr>
          <w:id w:val="-1650125706"/>
          <w:citation/>
        </w:sdtPr>
        <w:sdtEndPr/>
        <w:sdtContent>
          <w:r w:rsidR="007E4F8D">
            <w:rPr>
              <w:rFonts w:eastAsia="Times New Roman" w:cs="Times New Roman"/>
              <w:szCs w:val="24"/>
            </w:rPr>
            <w:fldChar w:fldCharType="begin"/>
          </w:r>
          <w:r w:rsidR="007E4F8D">
            <w:rPr>
              <w:rFonts w:eastAsia="Times New Roman" w:cs="Times New Roman"/>
              <w:szCs w:val="24"/>
              <w:lang w:val="en-US"/>
            </w:rPr>
            <w:instrText xml:space="preserve"> CITATION Tre251 \l 1033 </w:instrText>
          </w:r>
          <w:r w:rsidR="007E4F8D">
            <w:rPr>
              <w:rFonts w:eastAsia="Times New Roman" w:cs="Times New Roman"/>
              <w:szCs w:val="24"/>
            </w:rPr>
            <w:fldChar w:fldCharType="separate"/>
          </w:r>
          <w:r w:rsidR="007E4F8D">
            <w:rPr>
              <w:rFonts w:eastAsia="Times New Roman" w:cs="Times New Roman"/>
              <w:noProof/>
              <w:szCs w:val="24"/>
              <w:lang w:val="en-US"/>
            </w:rPr>
            <w:t xml:space="preserve"> </w:t>
          </w:r>
          <w:r w:rsidR="007E4F8D" w:rsidRPr="007E4F8D">
            <w:rPr>
              <w:rFonts w:eastAsia="Times New Roman" w:cs="Times New Roman"/>
              <w:noProof/>
              <w:szCs w:val="24"/>
              <w:lang w:val="en-US"/>
            </w:rPr>
            <w:t>(Hoerr, 2025)</w:t>
          </w:r>
          <w:r w:rsidR="007E4F8D">
            <w:rPr>
              <w:rFonts w:eastAsia="Times New Roman" w:cs="Times New Roman"/>
              <w:szCs w:val="24"/>
            </w:rPr>
            <w:fldChar w:fldCharType="end"/>
          </w:r>
        </w:sdtContent>
      </w:sdt>
      <w:r w:rsidRPr="007E4F8D">
        <w:rPr>
          <w:rFonts w:eastAsia="Times New Roman" w:cs="Times New Roman"/>
          <w:szCs w:val="24"/>
        </w:rPr>
        <w:t xml:space="preserve">. Decision-making may be enhanced with the approach in ventures through the establishment of a structured framework. Data-driven choices can improve the uncertainty within a business to make it prosper. Stakeholder management, to boost their confidence, can also be seen in the discussion of risk planning. </w:t>
      </w:r>
      <w:r w:rsidR="0043007C">
        <w:rPr>
          <w:rFonts w:eastAsia="Times New Roman" w:cs="Times New Roman"/>
          <w:szCs w:val="24"/>
        </w:rPr>
        <w:t xml:space="preserve">Identifying </w:t>
      </w:r>
      <w:r w:rsidRPr="007E4F8D">
        <w:rPr>
          <w:rFonts w:eastAsia="Times New Roman" w:cs="Times New Roman"/>
          <w:szCs w:val="24"/>
        </w:rPr>
        <w:t xml:space="preserve">the potential challenges </w:t>
      </w:r>
      <w:r w:rsidR="0043007C">
        <w:rPr>
          <w:rFonts w:eastAsia="Times New Roman" w:cs="Times New Roman"/>
          <w:szCs w:val="24"/>
        </w:rPr>
        <w:t xml:space="preserve">before it arrives </w:t>
      </w:r>
      <w:r w:rsidRPr="007E4F8D">
        <w:rPr>
          <w:rFonts w:eastAsia="Times New Roman" w:cs="Times New Roman"/>
          <w:szCs w:val="24"/>
        </w:rPr>
        <w:t xml:space="preserve">can enhance their </w:t>
      </w:r>
      <w:r w:rsidR="0043007C" w:rsidRPr="007E4F8D">
        <w:rPr>
          <w:rFonts w:eastAsia="Times New Roman" w:cs="Times New Roman"/>
          <w:szCs w:val="24"/>
        </w:rPr>
        <w:t>mood and</w:t>
      </w:r>
      <w:r w:rsidRPr="007E4F8D">
        <w:rPr>
          <w:rFonts w:eastAsia="Times New Roman" w:cs="Times New Roman"/>
          <w:szCs w:val="24"/>
        </w:rPr>
        <w:t xml:space="preserve"> </w:t>
      </w:r>
      <w:r w:rsidR="0043007C">
        <w:rPr>
          <w:rFonts w:eastAsia="Times New Roman" w:cs="Times New Roman"/>
          <w:szCs w:val="24"/>
        </w:rPr>
        <w:t xml:space="preserve">foster </w:t>
      </w:r>
      <w:r w:rsidRPr="007E4F8D">
        <w:rPr>
          <w:rFonts w:eastAsia="Times New Roman" w:cs="Times New Roman"/>
          <w:szCs w:val="24"/>
        </w:rPr>
        <w:t>a culture of continuous advancement. On the other hand, there are several processes for the tool to become successful, such as Identification, Analysis, Responses, Monitoring and Control.</w:t>
      </w:r>
    </w:p>
    <w:p w14:paraId="00000006" w14:textId="39F82B2B" w:rsidR="00E27F51" w:rsidRPr="007E4F8D" w:rsidRDefault="0013710A" w:rsidP="00073D3B">
      <w:pPr>
        <w:rPr>
          <w:rFonts w:eastAsia="Times New Roman" w:cs="Times New Roman"/>
          <w:szCs w:val="24"/>
        </w:rPr>
      </w:pPr>
      <w:r w:rsidRPr="007E4F8D">
        <w:rPr>
          <w:rFonts w:eastAsia="Times New Roman" w:cs="Times New Roman"/>
          <w:szCs w:val="24"/>
        </w:rPr>
        <w:t>Risk identification is a significant aspect where potential issues of a project can be recognised by scrutinising the operations. However, the process ultimately identifies threats and opportunities of the business. Whether a plan would be beneficial for the venture or not can be analysed adequately with the approach. The importance of the tool lies in the fact that an unidentified risk cannot be mitigated, and spotting challenges earl</w:t>
      </w:r>
      <w:r w:rsidR="0043007C">
        <w:rPr>
          <w:rFonts w:eastAsia="Times New Roman" w:cs="Times New Roman"/>
          <w:szCs w:val="24"/>
        </w:rPr>
        <w:t xml:space="preserve">ier </w:t>
      </w:r>
      <w:r w:rsidRPr="007E4F8D">
        <w:rPr>
          <w:rFonts w:eastAsia="Times New Roman" w:cs="Times New Roman"/>
          <w:szCs w:val="24"/>
        </w:rPr>
        <w:t>can help the business prevent the issue from occurring. As a result, severe damage in the future can be limited by taking preventive measures</w:t>
      </w:r>
      <w:sdt>
        <w:sdtPr>
          <w:rPr>
            <w:rFonts w:eastAsia="Times New Roman" w:cs="Times New Roman"/>
            <w:szCs w:val="24"/>
          </w:rPr>
          <w:id w:val="1136759180"/>
          <w:citation/>
        </w:sdtPr>
        <w:sdtEndPr/>
        <w:sdtContent>
          <w:r w:rsidR="007E4F8D">
            <w:rPr>
              <w:rFonts w:eastAsia="Times New Roman" w:cs="Times New Roman"/>
              <w:szCs w:val="24"/>
            </w:rPr>
            <w:fldChar w:fldCharType="begin"/>
          </w:r>
          <w:r w:rsidR="007E4F8D">
            <w:rPr>
              <w:rFonts w:eastAsia="Times New Roman" w:cs="Times New Roman"/>
              <w:szCs w:val="24"/>
              <w:lang w:val="en-US"/>
            </w:rPr>
            <w:instrText xml:space="preserve"> CITATION Joc231 \l 1033 </w:instrText>
          </w:r>
          <w:r w:rsidR="007E4F8D">
            <w:rPr>
              <w:rFonts w:eastAsia="Times New Roman" w:cs="Times New Roman"/>
              <w:szCs w:val="24"/>
            </w:rPr>
            <w:fldChar w:fldCharType="separate"/>
          </w:r>
          <w:r w:rsidR="007E4F8D">
            <w:rPr>
              <w:rFonts w:eastAsia="Times New Roman" w:cs="Times New Roman"/>
              <w:noProof/>
              <w:szCs w:val="24"/>
              <w:lang w:val="en-US"/>
            </w:rPr>
            <w:t xml:space="preserve"> </w:t>
          </w:r>
          <w:r w:rsidR="007E4F8D" w:rsidRPr="007E4F8D">
            <w:rPr>
              <w:rFonts w:eastAsia="Times New Roman" w:cs="Times New Roman"/>
              <w:noProof/>
              <w:szCs w:val="24"/>
              <w:lang w:val="en-US"/>
            </w:rPr>
            <w:t>(Schwenk, 2023)</w:t>
          </w:r>
          <w:r w:rsidR="007E4F8D">
            <w:rPr>
              <w:rFonts w:eastAsia="Times New Roman" w:cs="Times New Roman"/>
              <w:szCs w:val="24"/>
            </w:rPr>
            <w:fldChar w:fldCharType="end"/>
          </w:r>
        </w:sdtContent>
      </w:sdt>
      <w:r w:rsidRPr="007E4F8D">
        <w:rPr>
          <w:rFonts w:eastAsia="Times New Roman" w:cs="Times New Roman"/>
          <w:szCs w:val="24"/>
        </w:rPr>
        <w:t xml:space="preserve">. For example, the High Speed 2 project in the UK identified the risks of geological aspects, imminent damage on </w:t>
      </w:r>
      <w:r w:rsidR="007E4F8D" w:rsidRPr="007E4F8D">
        <w:rPr>
          <w:rFonts w:eastAsia="Times New Roman" w:cs="Times New Roman"/>
          <w:szCs w:val="24"/>
        </w:rPr>
        <w:t>archaeological</w:t>
      </w:r>
      <w:r w:rsidRPr="007E4F8D">
        <w:rPr>
          <w:rFonts w:eastAsia="Times New Roman" w:cs="Times New Roman"/>
          <w:szCs w:val="24"/>
        </w:rPr>
        <w:t xml:space="preserve"> finds and dissatisfaction from local communities</w:t>
      </w:r>
      <w:sdt>
        <w:sdtPr>
          <w:rPr>
            <w:rFonts w:eastAsia="Times New Roman" w:cs="Times New Roman"/>
            <w:szCs w:val="24"/>
          </w:rPr>
          <w:id w:val="1097132428"/>
          <w:citation/>
        </w:sdtPr>
        <w:sdtEndPr/>
        <w:sdtContent>
          <w:r w:rsidR="007E4F8D">
            <w:rPr>
              <w:rFonts w:eastAsia="Times New Roman" w:cs="Times New Roman"/>
              <w:szCs w:val="24"/>
            </w:rPr>
            <w:fldChar w:fldCharType="begin"/>
          </w:r>
          <w:r w:rsidR="007E4F8D">
            <w:rPr>
              <w:rFonts w:eastAsia="Times New Roman" w:cs="Times New Roman"/>
              <w:szCs w:val="24"/>
              <w:lang w:val="en-US"/>
            </w:rPr>
            <w:instrText xml:space="preserve"> CITATION Mic242 \l 1033 </w:instrText>
          </w:r>
          <w:r w:rsidR="007E4F8D">
            <w:rPr>
              <w:rFonts w:eastAsia="Times New Roman" w:cs="Times New Roman"/>
              <w:szCs w:val="24"/>
            </w:rPr>
            <w:fldChar w:fldCharType="separate"/>
          </w:r>
          <w:r w:rsidR="007E4F8D">
            <w:rPr>
              <w:rFonts w:eastAsia="Times New Roman" w:cs="Times New Roman"/>
              <w:noProof/>
              <w:szCs w:val="24"/>
              <w:lang w:val="en-US"/>
            </w:rPr>
            <w:t xml:space="preserve"> </w:t>
          </w:r>
          <w:r w:rsidR="007E4F8D" w:rsidRPr="007E4F8D">
            <w:rPr>
              <w:rFonts w:eastAsia="Times New Roman" w:cs="Times New Roman"/>
              <w:noProof/>
              <w:szCs w:val="24"/>
              <w:lang w:val="en-US"/>
            </w:rPr>
            <w:t>(Benson, 2024)</w:t>
          </w:r>
          <w:r w:rsidR="007E4F8D">
            <w:rPr>
              <w:rFonts w:eastAsia="Times New Roman" w:cs="Times New Roman"/>
              <w:szCs w:val="24"/>
            </w:rPr>
            <w:fldChar w:fldCharType="end"/>
          </w:r>
        </w:sdtContent>
      </w:sdt>
      <w:r w:rsidRPr="007E4F8D">
        <w:rPr>
          <w:rFonts w:eastAsia="Times New Roman" w:cs="Times New Roman"/>
          <w:szCs w:val="24"/>
        </w:rPr>
        <w:t xml:space="preserve">. Therefore, the authority has been able to help in allocating a proper budget for the project and adhering to an improved timeline. </w:t>
      </w:r>
    </w:p>
    <w:p w14:paraId="00000007" w14:textId="4471613B" w:rsidR="00E27F51" w:rsidRPr="007E4F8D" w:rsidRDefault="0013710A" w:rsidP="00073D3B">
      <w:pPr>
        <w:rPr>
          <w:rFonts w:eastAsia="Times New Roman" w:cs="Times New Roman"/>
          <w:szCs w:val="24"/>
        </w:rPr>
      </w:pPr>
      <w:r w:rsidRPr="007E4F8D">
        <w:rPr>
          <w:rFonts w:eastAsia="Times New Roman" w:cs="Times New Roman"/>
          <w:szCs w:val="24"/>
        </w:rPr>
        <w:t>Risk analysis is another method that comes after the identification. This generally utilises the evaluation element to assess the probability of an issue in the project. Moreover, highlighting the influence of the challenge on the business can be analysed with the process, which can act as an asset of success for the company. One of the potential significances of the tool lies under th</w:t>
      </w:r>
      <w:r w:rsidR="007E4F8D">
        <w:rPr>
          <w:rFonts w:eastAsia="Times New Roman" w:cs="Times New Roman"/>
          <w:szCs w:val="24"/>
        </w:rPr>
        <w:t>e</w:t>
      </w:r>
      <w:r w:rsidRPr="007E4F8D">
        <w:rPr>
          <w:rFonts w:eastAsia="Times New Roman" w:cs="Times New Roman"/>
          <w:szCs w:val="24"/>
        </w:rPr>
        <w:t xml:space="preserve"> </w:t>
      </w:r>
      <w:r w:rsidR="007E4F8D" w:rsidRPr="007E4F8D">
        <w:rPr>
          <w:rFonts w:eastAsia="Times New Roman" w:cs="Times New Roman"/>
          <w:szCs w:val="24"/>
        </w:rPr>
        <w:t>fact</w:t>
      </w:r>
      <w:r w:rsidRPr="007E4F8D">
        <w:rPr>
          <w:rFonts w:eastAsia="Times New Roman" w:cs="Times New Roman"/>
          <w:szCs w:val="24"/>
        </w:rPr>
        <w:t xml:space="preserve"> that segmenting risks as per priorities can be helpful for a project. Such an approach can benefit it with an ultimate time management system. Since every challenge is not similar, its impact on each operation would be different. Therefore, minor glitches need to be avoided, and complex tasks need to be given importance. For instance, the authority of the London 2012 Olympics analysed the issue of transport strikes</w:t>
      </w:r>
      <w:sdt>
        <w:sdtPr>
          <w:rPr>
            <w:rFonts w:eastAsia="Times New Roman" w:cs="Times New Roman"/>
            <w:szCs w:val="24"/>
          </w:rPr>
          <w:id w:val="-63648463"/>
          <w:citation/>
        </w:sdtPr>
        <w:sdtEndPr/>
        <w:sdtContent>
          <w:r w:rsidR="007E4F8D">
            <w:rPr>
              <w:rFonts w:eastAsia="Times New Roman" w:cs="Times New Roman"/>
              <w:szCs w:val="24"/>
            </w:rPr>
            <w:fldChar w:fldCharType="begin"/>
          </w:r>
          <w:r w:rsidR="007E4F8D">
            <w:rPr>
              <w:rFonts w:eastAsia="Times New Roman" w:cs="Times New Roman"/>
              <w:szCs w:val="24"/>
              <w:lang w:val="en-US"/>
            </w:rPr>
            <w:instrText xml:space="preserve"> CITATION Mat22 \l 1033 </w:instrText>
          </w:r>
          <w:r w:rsidR="007E4F8D">
            <w:rPr>
              <w:rFonts w:eastAsia="Times New Roman" w:cs="Times New Roman"/>
              <w:szCs w:val="24"/>
            </w:rPr>
            <w:fldChar w:fldCharType="separate"/>
          </w:r>
          <w:r w:rsidR="007E4F8D">
            <w:rPr>
              <w:rFonts w:eastAsia="Times New Roman" w:cs="Times New Roman"/>
              <w:noProof/>
              <w:szCs w:val="24"/>
              <w:lang w:val="en-US"/>
            </w:rPr>
            <w:t xml:space="preserve"> </w:t>
          </w:r>
          <w:r w:rsidR="007E4F8D" w:rsidRPr="007E4F8D">
            <w:rPr>
              <w:rFonts w:eastAsia="Times New Roman" w:cs="Times New Roman"/>
              <w:noProof/>
              <w:szCs w:val="24"/>
              <w:lang w:val="en-US"/>
            </w:rPr>
            <w:t>(Dowling, 2022)</w:t>
          </w:r>
          <w:r w:rsidR="007E4F8D">
            <w:rPr>
              <w:rFonts w:eastAsia="Times New Roman" w:cs="Times New Roman"/>
              <w:szCs w:val="24"/>
            </w:rPr>
            <w:fldChar w:fldCharType="end"/>
          </w:r>
        </w:sdtContent>
      </w:sdt>
      <w:r w:rsidRPr="007E4F8D">
        <w:rPr>
          <w:rFonts w:eastAsia="Times New Roman" w:cs="Times New Roman"/>
          <w:szCs w:val="24"/>
        </w:rPr>
        <w:t xml:space="preserve">. As a result, they planned enhanced logistics with alternative transport plans years in advance. </w:t>
      </w:r>
    </w:p>
    <w:p w14:paraId="00000008" w14:textId="17D82FC5" w:rsidR="00E27F51" w:rsidRPr="007E4F8D" w:rsidRDefault="0013710A" w:rsidP="00073D3B">
      <w:pPr>
        <w:rPr>
          <w:rFonts w:eastAsia="Times New Roman" w:cs="Times New Roman"/>
          <w:szCs w:val="24"/>
        </w:rPr>
      </w:pPr>
      <w:r w:rsidRPr="007E4F8D">
        <w:rPr>
          <w:rFonts w:eastAsia="Times New Roman" w:cs="Times New Roman"/>
          <w:szCs w:val="24"/>
        </w:rPr>
        <w:t>Risk response is a process of risk planning, which can only be applied after the previous phase of risk analysis. It refers to the factor of deciding on the ways to handle each risk that has been identified for the project</w:t>
      </w:r>
      <w:r w:rsidR="00BE5678" w:rsidRPr="00BE5678">
        <w:rPr>
          <w:rFonts w:eastAsia="Times New Roman" w:cs="Times New Roman"/>
          <w:szCs w:val="24"/>
        </w:rPr>
        <w:t xml:space="preserve"> </w:t>
      </w:r>
      <w:sdt>
        <w:sdtPr>
          <w:rPr>
            <w:rFonts w:eastAsia="Times New Roman" w:cs="Times New Roman"/>
            <w:szCs w:val="24"/>
          </w:rPr>
          <w:id w:val="-473218586"/>
          <w:citation/>
        </w:sdtPr>
        <w:sdtEndPr/>
        <w:sdtContent>
          <w:r w:rsidR="00BE5678">
            <w:rPr>
              <w:rFonts w:eastAsia="Times New Roman" w:cs="Times New Roman"/>
              <w:szCs w:val="24"/>
            </w:rPr>
            <w:fldChar w:fldCharType="begin"/>
          </w:r>
          <w:r w:rsidR="00BE5678">
            <w:rPr>
              <w:rFonts w:eastAsia="Times New Roman" w:cs="Times New Roman"/>
              <w:szCs w:val="24"/>
              <w:lang w:val="en-US"/>
            </w:rPr>
            <w:instrText xml:space="preserve"> CITATION Ste21 \l 1033 </w:instrText>
          </w:r>
          <w:r w:rsidR="00BE5678">
            <w:rPr>
              <w:rFonts w:eastAsia="Times New Roman" w:cs="Times New Roman"/>
              <w:szCs w:val="24"/>
            </w:rPr>
            <w:fldChar w:fldCharType="separate"/>
          </w:r>
          <w:r w:rsidR="00BE5678">
            <w:rPr>
              <w:rFonts w:eastAsia="Times New Roman" w:cs="Times New Roman"/>
              <w:noProof/>
              <w:szCs w:val="24"/>
              <w:lang w:val="en-US"/>
            </w:rPr>
            <w:t xml:space="preserve"> </w:t>
          </w:r>
          <w:r w:rsidR="00BE5678" w:rsidRPr="00BE5678">
            <w:rPr>
              <w:rFonts w:eastAsia="Times New Roman" w:cs="Times New Roman"/>
              <w:noProof/>
              <w:szCs w:val="24"/>
              <w:lang w:val="en-US"/>
            </w:rPr>
            <w:t>(Culp, 2021)</w:t>
          </w:r>
          <w:r w:rsidR="00BE5678">
            <w:rPr>
              <w:rFonts w:eastAsia="Times New Roman" w:cs="Times New Roman"/>
              <w:szCs w:val="24"/>
            </w:rPr>
            <w:fldChar w:fldCharType="end"/>
          </w:r>
        </w:sdtContent>
      </w:sdt>
      <w:r w:rsidRPr="007E4F8D">
        <w:rPr>
          <w:rFonts w:eastAsia="Times New Roman" w:cs="Times New Roman"/>
          <w:szCs w:val="24"/>
        </w:rPr>
        <w:t>. There can be several strategies for the process to be completed, like avoiding the issue to make a bypass, as the current operational system may not mitigate it. Another strategy is to transfer the risk to a third party, such as an insurance company. This can be helpful in maintaining a healthy atmosphere in the workforce, since the challenge can be avoided, and major tasks can be focused on. An assured way to mitigate the risks is to analyse the root cause in the project that can disrupt the business to a certain extent. Accepting the challenge and moving on with it can be possible only for a time of mild risk. Issues that have a low impact on the project can be handled this way. The approach is essential to study the challenges and work on them to respond adequately. For example, the Elizabeth Line project has identified several risks and transferred its financial burden of delays to the contractors</w:t>
      </w:r>
      <w:sdt>
        <w:sdtPr>
          <w:rPr>
            <w:rFonts w:eastAsia="Times New Roman" w:cs="Times New Roman"/>
            <w:szCs w:val="24"/>
          </w:rPr>
          <w:id w:val="-215363174"/>
          <w:citation/>
        </w:sdtPr>
        <w:sdtEndPr/>
        <w:sdtContent>
          <w:r w:rsidR="00BE5678">
            <w:rPr>
              <w:rFonts w:eastAsia="Times New Roman" w:cs="Times New Roman"/>
              <w:szCs w:val="24"/>
            </w:rPr>
            <w:fldChar w:fldCharType="begin"/>
          </w:r>
          <w:r w:rsidR="00BE5678">
            <w:rPr>
              <w:rFonts w:eastAsia="Times New Roman" w:cs="Times New Roman"/>
              <w:szCs w:val="24"/>
              <w:lang w:val="en-US"/>
            </w:rPr>
            <w:instrText xml:space="preserve"> CITATION Tim24 \l 1033 </w:instrText>
          </w:r>
          <w:r w:rsidR="00BE5678">
            <w:rPr>
              <w:rFonts w:eastAsia="Times New Roman" w:cs="Times New Roman"/>
              <w:szCs w:val="24"/>
            </w:rPr>
            <w:fldChar w:fldCharType="separate"/>
          </w:r>
          <w:r w:rsidR="00BE5678">
            <w:rPr>
              <w:rFonts w:eastAsia="Times New Roman" w:cs="Times New Roman"/>
              <w:noProof/>
              <w:szCs w:val="24"/>
              <w:lang w:val="en-US"/>
            </w:rPr>
            <w:t xml:space="preserve"> </w:t>
          </w:r>
          <w:r w:rsidR="00BE5678" w:rsidRPr="00BE5678">
            <w:rPr>
              <w:rFonts w:eastAsia="Times New Roman" w:cs="Times New Roman"/>
              <w:noProof/>
              <w:szCs w:val="24"/>
              <w:lang w:val="en-US"/>
            </w:rPr>
            <w:t>(Robinson, 2024)</w:t>
          </w:r>
          <w:r w:rsidR="00BE5678">
            <w:rPr>
              <w:rFonts w:eastAsia="Times New Roman" w:cs="Times New Roman"/>
              <w:szCs w:val="24"/>
            </w:rPr>
            <w:fldChar w:fldCharType="end"/>
          </w:r>
        </w:sdtContent>
      </w:sdt>
      <w:r w:rsidRPr="007E4F8D">
        <w:rPr>
          <w:rFonts w:eastAsia="Times New Roman" w:cs="Times New Roman"/>
          <w:szCs w:val="24"/>
        </w:rPr>
        <w:t>.</w:t>
      </w:r>
      <w:r w:rsidR="0043007C">
        <w:rPr>
          <w:rFonts w:eastAsia="Times New Roman" w:cs="Times New Roman"/>
          <w:szCs w:val="24"/>
        </w:rPr>
        <w:t xml:space="preserve"> </w:t>
      </w:r>
      <w:r w:rsidRPr="007E4F8D">
        <w:rPr>
          <w:rFonts w:eastAsia="Times New Roman" w:cs="Times New Roman"/>
          <w:szCs w:val="24"/>
        </w:rPr>
        <w:t xml:space="preserve">This subtle decision-making has enhanced the project in its own way in the UK industry. </w:t>
      </w:r>
    </w:p>
    <w:p w14:paraId="00000009" w14:textId="06FDD01C" w:rsidR="00230792" w:rsidRDefault="0013710A" w:rsidP="00073D3B">
      <w:pPr>
        <w:rPr>
          <w:rFonts w:eastAsia="Times New Roman" w:cs="Times New Roman"/>
          <w:szCs w:val="24"/>
        </w:rPr>
      </w:pPr>
      <w:r w:rsidRPr="007E4F8D">
        <w:rPr>
          <w:rFonts w:eastAsia="Times New Roman" w:cs="Times New Roman"/>
          <w:szCs w:val="24"/>
        </w:rPr>
        <w:t>The ultimate stage of risk planning is the process of monitoring and control to implement a culture of continuous improvement in the project. Supervising the risk register and the significance of the responses can be evaluated with the process. It is extremely necessary for a project due to the possibility of novel risks emerging, and a new plan is always required. Such an aspect is managed minutely by the process for the benefit of the project. Since outdated strategies may not be applicable to modern risks, they need to be updated regularly</w:t>
      </w:r>
      <w:sdt>
        <w:sdtPr>
          <w:rPr>
            <w:rFonts w:eastAsia="Times New Roman" w:cs="Times New Roman"/>
            <w:szCs w:val="24"/>
          </w:rPr>
          <w:id w:val="107318559"/>
          <w:citation/>
        </w:sdtPr>
        <w:sdtEndPr/>
        <w:sdtContent>
          <w:r w:rsidR="00BE5678">
            <w:rPr>
              <w:rFonts w:eastAsia="Times New Roman" w:cs="Times New Roman"/>
              <w:szCs w:val="24"/>
            </w:rPr>
            <w:fldChar w:fldCharType="begin"/>
          </w:r>
          <w:r w:rsidR="00BE5678">
            <w:rPr>
              <w:rFonts w:eastAsia="Times New Roman" w:cs="Times New Roman"/>
              <w:szCs w:val="24"/>
              <w:lang w:val="en-US"/>
            </w:rPr>
            <w:instrText xml:space="preserve"> CITATION Cra221 \l 1033 </w:instrText>
          </w:r>
          <w:r w:rsidR="00BE5678">
            <w:rPr>
              <w:rFonts w:eastAsia="Times New Roman" w:cs="Times New Roman"/>
              <w:szCs w:val="24"/>
            </w:rPr>
            <w:fldChar w:fldCharType="separate"/>
          </w:r>
          <w:r w:rsidR="00BE5678">
            <w:rPr>
              <w:rFonts w:eastAsia="Times New Roman" w:cs="Times New Roman"/>
              <w:noProof/>
              <w:szCs w:val="24"/>
              <w:lang w:val="en-US"/>
            </w:rPr>
            <w:t xml:space="preserve"> </w:t>
          </w:r>
          <w:r w:rsidR="00BE5678" w:rsidRPr="00BE5678">
            <w:rPr>
              <w:rFonts w:eastAsia="Times New Roman" w:cs="Times New Roman"/>
              <w:noProof/>
              <w:szCs w:val="24"/>
              <w:lang w:val="en-US"/>
            </w:rPr>
            <w:t>(Unger, 2022)</w:t>
          </w:r>
          <w:r w:rsidR="00BE5678">
            <w:rPr>
              <w:rFonts w:eastAsia="Times New Roman" w:cs="Times New Roman"/>
              <w:szCs w:val="24"/>
            </w:rPr>
            <w:fldChar w:fldCharType="end"/>
          </w:r>
        </w:sdtContent>
      </w:sdt>
      <w:r w:rsidRPr="007E4F8D">
        <w:rPr>
          <w:rFonts w:eastAsia="Times New Roman" w:cs="Times New Roman"/>
          <w:szCs w:val="24"/>
        </w:rPr>
        <w:t xml:space="preserve">. For instance, in NHS IT infrastructure upgrades, the supervising segment of the business detects even a minor error with high regard to prevent any severe damage to the operations. Preventive measures are immediately taken, like pausing the rollout or accepting a contingency plan to protect patient data. </w:t>
      </w:r>
    </w:p>
    <w:p w14:paraId="7A369E1A" w14:textId="77777777" w:rsidR="005B71B2" w:rsidRDefault="005B71B2" w:rsidP="00073D3B">
      <w:pPr>
        <w:rPr>
          <w:rFonts w:eastAsia="Times New Roman" w:cs="Times New Roman"/>
          <w:szCs w:val="24"/>
        </w:rPr>
      </w:pPr>
    </w:p>
    <w:p w14:paraId="7D993908" w14:textId="77777777" w:rsidR="005B71B2" w:rsidRDefault="005B71B2" w:rsidP="00073D3B">
      <w:pPr>
        <w:rPr>
          <w:rFonts w:eastAsia="Times New Roman" w:cs="Times New Roman"/>
          <w:szCs w:val="24"/>
        </w:rPr>
      </w:pPr>
    </w:p>
    <w:p w14:paraId="4CDDFB20" w14:textId="77777777" w:rsidR="005B71B2" w:rsidRDefault="005B71B2" w:rsidP="00073D3B">
      <w:pPr>
        <w:rPr>
          <w:rFonts w:eastAsia="Times New Roman" w:cs="Times New Roman"/>
          <w:szCs w:val="24"/>
        </w:rPr>
      </w:pPr>
    </w:p>
    <w:p w14:paraId="102BB014" w14:textId="77777777" w:rsidR="005B71B2" w:rsidRDefault="005B71B2" w:rsidP="00073D3B">
      <w:pPr>
        <w:rPr>
          <w:rFonts w:eastAsia="Times New Roman" w:cs="Times New Roman"/>
          <w:szCs w:val="24"/>
        </w:rPr>
      </w:pPr>
    </w:p>
    <w:p w14:paraId="1B84346B" w14:textId="011C9F45" w:rsidR="005B71B2" w:rsidRDefault="005B71B2" w:rsidP="005B71B2">
      <w:pPr>
        <w:pStyle w:val="Heading1"/>
      </w:pPr>
      <w:bookmarkStart w:id="2" w:name="_Toc225629875"/>
      <w:r>
        <w:t>Contracting Methods</w:t>
      </w:r>
      <w:bookmarkEnd w:id="2"/>
    </w:p>
    <w:p w14:paraId="4EF51D70" w14:textId="77777777" w:rsidR="00425AAF" w:rsidRDefault="00425AAF" w:rsidP="00073D3B">
      <w:r>
        <w:t xml:space="preserve">Contracting is recognised as a fundamental part of project management as it helps to effectively illustrate responsibilities, risks, and resources shared among the client and contractors (Viitanen, 2024). It outlines the overall structure of a project through which it can be effectively delivered, indicating the way its objectives can be achieved. Essentially, the selection of contracting methods encompass the level of control, exposure to risk along with coordination that are needed from the client. Meanwhile, a Turnkey contract is considered as an arrangement in which a single contractor is often responsible to deliver the entire project from beginning to finish </w:t>
      </w:r>
      <w:sdt>
        <w:sdtPr>
          <w:id w:val="1295263551"/>
          <w:citation/>
        </w:sdtPr>
        <w:sdtEndPr/>
        <w:sdtContent>
          <w:r>
            <w:fldChar w:fldCharType="begin"/>
          </w:r>
          <w:r>
            <w:rPr>
              <w:lang w:val="en-US"/>
            </w:rPr>
            <w:instrText xml:space="preserve"> CITATION HME23 \l 1033 </w:instrText>
          </w:r>
          <w:r>
            <w:fldChar w:fldCharType="separate"/>
          </w:r>
          <w:r w:rsidRPr="00764D0B">
            <w:rPr>
              <w:rFonts w:eastAsia="Times New Roman"/>
              <w:noProof/>
              <w:lang w:val="en-US"/>
            </w:rPr>
            <w:t>(HMEC, 2023)</w:t>
          </w:r>
          <w:r>
            <w:fldChar w:fldCharType="end"/>
          </w:r>
        </w:sdtContent>
      </w:sdt>
      <w:r>
        <w:t xml:space="preserve">.  Apparently, it comprises designing, procurement, construction, as well as final delivery, outlining a simplified structure with respect to minimal involvement of the client, particularly during execution. </w:t>
      </w:r>
    </w:p>
    <w:p w14:paraId="2C7733EC" w14:textId="77777777" w:rsidR="00425AAF" w:rsidRDefault="00425AAF" w:rsidP="00073D3B">
      <w:r>
        <w:t>Accordingly, the turnkey type of method is highly suitable for large and complex projects in which the client is limited with lack of technical expertise. In addition to this, this approach of contract greatly showcases efficiency and clarity towards allocation of responsibility. Turnkey contracting also signifies a compelling accountability as one contractor manages every aspect of the project. Similarly, it is also recognised to help in reducing administrative burden for the client and allowing a faster completion due to streamlined communication. It is also highly evident that it offers a better cost certainty, as projects are often required to be delivered at a fixed price. However, this method recognised cause reduction in flexibility due to the expensiveness of the project. As it heavily depends on a single contractor, it significantly increases the risk, specifically in a solar-powered microgrid project. Ultimately, this could result in quality issues in  case the contractor lacks specialised knowledge in the renewable energy systems.</w:t>
      </w:r>
    </w:p>
    <w:p w14:paraId="0EB2C202" w14:textId="335FCE2A" w:rsidR="00D00242" w:rsidRDefault="00D00242" w:rsidP="00073D3B">
      <w:pPr>
        <w:rPr>
          <w:rFonts w:ascii="Arial" w:hAnsi="Arial"/>
          <w:b/>
          <w:bCs/>
          <w:color w:val="000000"/>
          <w:sz w:val="26"/>
          <w:szCs w:val="26"/>
        </w:rPr>
      </w:pPr>
    </w:p>
    <w:p w14:paraId="740F9D3A" w14:textId="77777777" w:rsidR="00425AAF" w:rsidRDefault="00425AAF" w:rsidP="00073D3B">
      <w:r>
        <w:t xml:space="preserve">Multicontracting is referred to as another type of contracting method in which the client hires multiple contractors for accomplishing differentiated components of the project </w:t>
      </w:r>
      <w:sdt>
        <w:sdtPr>
          <w:id w:val="2088032503"/>
          <w:citation/>
        </w:sdtPr>
        <w:sdtEndPr/>
        <w:sdtContent>
          <w:r>
            <w:fldChar w:fldCharType="begin"/>
          </w:r>
          <w:r>
            <w:rPr>
              <w:lang w:val="en-US"/>
            </w:rPr>
            <w:instrText xml:space="preserve"> CITATION Lex26 \l 1033 </w:instrText>
          </w:r>
          <w:r>
            <w:fldChar w:fldCharType="separate"/>
          </w:r>
          <w:r w:rsidRPr="00764D0B">
            <w:rPr>
              <w:rFonts w:eastAsia="Times New Roman"/>
              <w:noProof/>
              <w:lang w:val="en-US"/>
            </w:rPr>
            <w:t>(Lexisnexis, 2026)</w:t>
          </w:r>
          <w:r>
            <w:fldChar w:fldCharType="end"/>
          </w:r>
        </w:sdtContent>
      </w:sdt>
      <w:r>
        <w:t xml:space="preserve">. Each contractor is inferred to be responsible for a specific task in which the client compellingly coordinates their activities throughout the execution of the project. Henceforth, it is recognised to be highly suitable for projects which need diverse expertise along with the need of strong management capabilities. As it encompasses a higher level of engagement and control throughput the project, such approach outlines flexibility in choosing specialised contractors for distinguishing tasks </w:t>
      </w:r>
      <w:sdt>
        <w:sdtPr>
          <w:id w:val="83881589"/>
          <w:citation/>
        </w:sdtPr>
        <w:sdtEndPr/>
        <w:sdtContent>
          <w:r>
            <w:fldChar w:fldCharType="begin"/>
          </w:r>
          <w:r>
            <w:rPr>
              <w:lang w:val="en-US"/>
            </w:rPr>
            <w:instrText xml:space="preserve"> CITATION NSW26 \l 1033 </w:instrText>
          </w:r>
          <w:r>
            <w:fldChar w:fldCharType="separate"/>
          </w:r>
          <w:r w:rsidRPr="00764D0B">
            <w:rPr>
              <w:rFonts w:eastAsia="Times New Roman"/>
              <w:noProof/>
              <w:lang w:val="en-US"/>
            </w:rPr>
            <w:t>(NSW, 2026)</w:t>
          </w:r>
          <w:r>
            <w:fldChar w:fldCharType="end"/>
          </w:r>
        </w:sdtContent>
      </w:sdt>
      <w:r>
        <w:t>. It prominently improves quality in projects as experts often handle specific components which potentially result in saving of cost through competitive bidding. While signifying control for the client over every stage of the project, multicontracting is regarded to increase overall complexity across coordination and communication. It potentially causes delays in particular when contractors fail to effectively collaborate with the clients. In accordance with the project of solar-powered microgrids, poor coordination among integration teams are recognised to affect overall performance and efficiency.</w:t>
      </w:r>
    </w:p>
    <w:p w14:paraId="160FB8A1" w14:textId="097D4076" w:rsidR="00425AAF" w:rsidRDefault="00425AAF" w:rsidP="00073D3B">
      <w:r>
        <w:t xml:space="preserve">Accordingly, the approach of DIY referred to utilising in-house resources and expertise in order to conduct the project work internally by undertaking most or all of the aspects by client (Holopainen, 2022). As it signifies a high level of control and autonomy, this method is recognised to be greatly suitable for smaller projects. Additionally, this method is suitable when the organisation has sufficient technical skills and resources, indicating a cost-effective approach. Thus, the cost savings approach of the DIY contracting method helps </w:t>
      </w:r>
      <w:r w:rsidR="0043007C">
        <w:t xml:space="preserve">the project of solar-powered microgrids </w:t>
      </w:r>
      <w:r>
        <w:t xml:space="preserve">to reduce dependence on external contractors significantly. It indicates full control over project decisions and execution. It also signifies opportunities for internal learning and skill development. Alongside, this particular method underscores some of the substantial risks in case the client lacks the needed expertise (Blair </w:t>
      </w:r>
      <w:r>
        <w:rPr>
          <w:i/>
          <w:iCs/>
        </w:rPr>
        <w:t xml:space="preserve">et al., </w:t>
      </w:r>
      <w:r>
        <w:t xml:space="preserve">2023). Hence, highlighting the way it can cause delays, inefficiencies, or quality issues, particularly during design or installation that could lead to system failure. </w:t>
      </w:r>
    </w:p>
    <w:p w14:paraId="7291D397" w14:textId="77777777" w:rsidR="00D00242" w:rsidRDefault="00D00242" w:rsidP="00073D3B"/>
    <w:p w14:paraId="742AA405" w14:textId="1334225A" w:rsidR="00425AAF" w:rsidRDefault="00425AAF" w:rsidP="00073D3B">
      <w:r>
        <w:t>The hybrid approach of combining elements of multicontracting and DIY often occurred when the client undertakes some tasks internally while outsourcing others to specialised contractors. It encompasses a flexible structure which balances control and external expertise along with outlining its suitability for projects. Simultaneously, this type of method is commonly undertaken when a client has partial expertise while preferred to remain engaged in the work and frequently informed from specialist input.</w:t>
      </w:r>
      <w:r w:rsidR="00AA7D2B">
        <w:t xml:space="preserve"> </w:t>
      </w:r>
      <w:r>
        <w:t>This approach further illustrates a balanced distribution of responsibilities</w:t>
      </w:r>
      <w:r w:rsidR="00AA7D2B">
        <w:t xml:space="preserve"> of the project of solar-powered microgrids</w:t>
      </w:r>
      <w:r>
        <w:t>, indicating cost efficiency by limiting outsourcing. Hence</w:t>
      </w:r>
      <w:r w:rsidR="00AA7D2B">
        <w:t>,</w:t>
      </w:r>
      <w:r>
        <w:t xml:space="preserve"> it signifies flexibility to manage distinguishing aspects of the project, allowing the client to retain control over critical activities. However, it is highly crucial to understand the concerns associated with coordination challenges among the internal teams as well as external contractors </w:t>
      </w:r>
      <w:sdt>
        <w:sdtPr>
          <w:id w:val="-583765961"/>
          <w:citation/>
        </w:sdtPr>
        <w:sdtEndPr/>
        <w:sdtContent>
          <w:r>
            <w:fldChar w:fldCharType="begin"/>
          </w:r>
          <w:r>
            <w:rPr>
              <w:lang w:val="en-US"/>
            </w:rPr>
            <w:instrText xml:space="preserve"> CITATION Vac25 \l 1033 </w:instrText>
          </w:r>
          <w:r>
            <w:fldChar w:fldCharType="separate"/>
          </w:r>
          <w:r w:rsidRPr="00764D0B">
            <w:rPr>
              <w:rFonts w:eastAsia="Times New Roman"/>
              <w:noProof/>
              <w:lang w:val="en-US"/>
            </w:rPr>
            <w:t>(Vaco, 2025)</w:t>
          </w:r>
          <w:r>
            <w:fldChar w:fldCharType="end"/>
          </w:r>
        </w:sdtContent>
      </w:sdt>
      <w:r>
        <w:t xml:space="preserve">. This is signified to potentially result in confusion regarding the different roles and responsibilities. </w:t>
      </w:r>
    </w:p>
    <w:p w14:paraId="11F3E670" w14:textId="0335D5D2" w:rsidR="00230792" w:rsidRDefault="00425AAF" w:rsidP="00073D3B">
      <w:r>
        <w:t xml:space="preserve">Accordingly, it is highly evident that there is no single contracting method which is universally appropriate for every project. Thus far, the selection of any contract method is indicated to greatly depend on various factors highlighting project complexity, available expertise, risk tolerance, along with desired level of control. Following that, turnkey contracting is recognised to be greatly appropriate for clients which seek simplicity as well as minimal involvement, meanwhile multicontracting can suit that type of clients prefer greater autonomy along with managing complexity. Apart from that, DIY is considered to be highly suitable for smaller or less complicated projects, whereas the hybrid approach encompasses a balanced option for those projects which conduct in </w:t>
      </w:r>
      <w:r w:rsidR="00AA7D2B">
        <w:t>moderate scale</w:t>
      </w:r>
      <w:r>
        <w:t>.</w:t>
      </w:r>
    </w:p>
    <w:p w14:paraId="31963F18" w14:textId="77777777" w:rsidR="00D00242" w:rsidRPr="00AA7D2B" w:rsidRDefault="00D00242" w:rsidP="00073D3B"/>
    <w:p w14:paraId="4F349FCF" w14:textId="77777777" w:rsidR="00425AAF" w:rsidRDefault="00425AAF" w:rsidP="00073D3B">
      <w:pPr>
        <w:pStyle w:val="Heading1"/>
        <w:spacing w:before="0" w:after="0"/>
      </w:pPr>
      <w:bookmarkStart w:id="3" w:name="_Toc225629876"/>
      <w:r>
        <w:t>Conclusion</w:t>
      </w:r>
      <w:bookmarkEnd w:id="3"/>
    </w:p>
    <w:p w14:paraId="30E3B7EB" w14:textId="77777777" w:rsidR="00425AAF" w:rsidRDefault="00425AAF" w:rsidP="00073D3B">
      <w:r>
        <w:t>The entire discussion of the  essay has thoroughly highlighted the necessity of both risk planning and contracting in order to amend successful project management. It has initiated from elaborating on risk planning which has indicated a structural approach which helps to pinpoint and respond to uncertainties. This has also emphasised the way risk planning supports to vitally reduce potential disruptions along with improving decision-making throughout the lifecycle of a project. Simultaneously, the evaluation of contracting methods has effectively outlined through which responsibilities and risks can be constructively allocated between stakeholders. Apart from that, the context has also signified selection of an appropriate contracting method, by focusing on project complexity and organisational capability. In conclusion, implementation of risk planning effectively with a suitable contracting strategy has highlighted a balanced pathway toward acquiring efficiency, cost control, and sustainable project outcomes.</w:t>
      </w:r>
    </w:p>
    <w:p w14:paraId="3BA1F4AF" w14:textId="77777777" w:rsidR="00425AAF" w:rsidRDefault="00425AAF" w:rsidP="00073D3B">
      <w:pPr>
        <w:jc w:val="left"/>
        <w:rPr>
          <w:b/>
          <w:sz w:val="28"/>
          <w:szCs w:val="40"/>
        </w:rPr>
      </w:pPr>
      <w:r>
        <w:br w:type="page"/>
      </w:r>
    </w:p>
    <w:p w14:paraId="46AD2419" w14:textId="3AF7486B" w:rsidR="00E27F51" w:rsidRDefault="00230792" w:rsidP="00073D3B">
      <w:pPr>
        <w:pStyle w:val="Heading1"/>
        <w:spacing w:before="0" w:after="0"/>
      </w:pPr>
      <w:bookmarkStart w:id="4" w:name="_Toc225629877"/>
      <w:r>
        <w:t>References</w:t>
      </w:r>
      <w:bookmarkEnd w:id="4"/>
    </w:p>
    <w:p w14:paraId="1F0B5147" w14:textId="77777777" w:rsidR="00F47BDE" w:rsidRDefault="00F47BDE" w:rsidP="00073D3B">
      <w:r>
        <w:t xml:space="preserve">Benson, M., (2024). </w:t>
      </w:r>
      <w:r w:rsidRPr="00230792">
        <w:rPr>
          <w:i/>
          <w:iCs/>
        </w:rPr>
        <w:t>High Speed Rail 2 – an overview</w:t>
      </w:r>
      <w:r>
        <w:t>. [Online] Available at: https://commonslibrary.parliament.uk/research-briefings/cbp-9313/ [Accessed 24 March 2026].</w:t>
      </w:r>
    </w:p>
    <w:p w14:paraId="1039D97A" w14:textId="77777777" w:rsidR="00F47BDE" w:rsidRDefault="00F47BDE" w:rsidP="00073D3B">
      <w:pPr>
        <w:rPr>
          <w:highlight w:val="white"/>
        </w:rPr>
      </w:pPr>
      <w:r>
        <w:rPr>
          <w:highlight w:val="white"/>
        </w:rPr>
        <w:t xml:space="preserve">Blair, G., Woodcock, H., &amp; Pagano, R. (2023). To outsource or not to outsource: Resource decision-making in the project management environment. </w:t>
      </w:r>
      <w:r>
        <w:rPr>
          <w:i/>
          <w:iCs/>
          <w:highlight w:val="white"/>
        </w:rPr>
        <w:t>Journal of Advanced Research in Alternative Energy, Environment and Ecology</w:t>
      </w:r>
      <w:r>
        <w:rPr>
          <w:highlight w:val="white"/>
        </w:rPr>
        <w:t xml:space="preserve">, </w:t>
      </w:r>
      <w:r>
        <w:rPr>
          <w:i/>
          <w:iCs/>
          <w:highlight w:val="white"/>
        </w:rPr>
        <w:t>9</w:t>
      </w:r>
      <w:r>
        <w:rPr>
          <w:highlight w:val="white"/>
        </w:rPr>
        <w:t>(3&amp;4), 10-20.</w:t>
      </w:r>
    </w:p>
    <w:p w14:paraId="1658D824" w14:textId="77777777" w:rsidR="00F47BDE" w:rsidRDefault="00F47BDE" w:rsidP="00073D3B">
      <w:r>
        <w:t xml:space="preserve">Culp, S., (2021). </w:t>
      </w:r>
      <w:r w:rsidRPr="00230792">
        <w:rPr>
          <w:i/>
          <w:iCs/>
        </w:rPr>
        <w:t>New Challenge For Risk: Managing Risk To Support Growth</w:t>
      </w:r>
      <w:r>
        <w:t>. [Online] Available at: https://www.forbes.com/sites/steveculp/2021/11/17/new-challenge-for-risk-managing-risk-to-support-growth/ [Accessed 24 March 2026].</w:t>
      </w:r>
    </w:p>
    <w:p w14:paraId="6968A71B" w14:textId="77777777" w:rsidR="00F47BDE" w:rsidRDefault="00F47BDE" w:rsidP="00073D3B">
      <w:r>
        <w:t xml:space="preserve">Dowling, M., (2022). </w:t>
      </w:r>
      <w:r w:rsidRPr="00230792">
        <w:rPr>
          <w:i/>
          <w:iCs/>
        </w:rPr>
        <w:t>London 2012 Olympics: how it boosted medal winning but failed to inspire a generation</w:t>
      </w:r>
      <w:r>
        <w:t>. [Online] Available at: https://theconversation.com/london-2012-olympics-how-it-boosted-medal-winning-but-failed-to-inspire-a-generation-187383 [Accessed 24 March 2026].</w:t>
      </w:r>
    </w:p>
    <w:p w14:paraId="6EDFA254" w14:textId="77777777" w:rsidR="00F47BDE" w:rsidRPr="00764D0B" w:rsidRDefault="00F47BDE" w:rsidP="00073D3B">
      <w:r w:rsidRPr="00764D0B">
        <w:t xml:space="preserve">HMEC, </w:t>
      </w:r>
      <w:r>
        <w:t>(</w:t>
      </w:r>
      <w:r w:rsidRPr="00764D0B">
        <w:t>2023</w:t>
      </w:r>
      <w:r>
        <w:t>)</w:t>
      </w:r>
      <w:r w:rsidRPr="00764D0B">
        <w:t xml:space="preserve">. </w:t>
      </w:r>
      <w:r w:rsidRPr="00764D0B">
        <w:rPr>
          <w:i/>
          <w:iCs/>
        </w:rPr>
        <w:t>Turnkey Project Advantages and Disadvantages: What To Know Before Signing a Contract.</w:t>
      </w:r>
      <w:r w:rsidRPr="00764D0B">
        <w:t xml:space="preserve"> [Online] Available at: https://www.hm-ec.com/blog-posts/turnkey-project-advantages-and-disadvantages-what-to-know-before-signing-a-contract-hm</w:t>
      </w:r>
      <w:r>
        <w:t xml:space="preserve"> </w:t>
      </w:r>
      <w:r w:rsidRPr="00764D0B">
        <w:t>[Accessed 23 March 2026].</w:t>
      </w:r>
    </w:p>
    <w:p w14:paraId="14636375" w14:textId="77777777" w:rsidR="00F47BDE" w:rsidRDefault="00F47BDE" w:rsidP="00073D3B">
      <w:r>
        <w:t xml:space="preserve">Hoerr, T., (2025). </w:t>
      </w:r>
      <w:r w:rsidRPr="00230792">
        <w:rPr>
          <w:i/>
          <w:iCs/>
        </w:rPr>
        <w:t>The Art Of Risk Management And Navigating Uncertainty</w:t>
      </w:r>
      <w:r>
        <w:t>. [Online] Available at: https://www.forbes.com/councils/forbestechcouncil/2025/03/13/the-art-of-risk-management-and-navigating-uncertainty/ [Accessed 24 March 2026].</w:t>
      </w:r>
    </w:p>
    <w:p w14:paraId="43EB4B8E" w14:textId="77777777" w:rsidR="00F47BDE" w:rsidRDefault="00F47BDE" w:rsidP="00073D3B">
      <w:pPr>
        <w:rPr>
          <w:highlight w:val="white"/>
        </w:rPr>
      </w:pPr>
      <w:r>
        <w:rPr>
          <w:highlight w:val="white"/>
        </w:rPr>
        <w:t>Holopainen, T. (2022). Feasibility of In-house vs. Outsourced Project Management in Public Facility Implementation.</w:t>
      </w:r>
    </w:p>
    <w:p w14:paraId="34BE6E70" w14:textId="77777777" w:rsidR="00F47BDE" w:rsidRPr="00764D0B" w:rsidRDefault="00F47BDE" w:rsidP="00073D3B">
      <w:r w:rsidRPr="00764D0B">
        <w:t xml:space="preserve">Lexisnexis, </w:t>
      </w:r>
      <w:r>
        <w:t>(</w:t>
      </w:r>
      <w:r w:rsidRPr="00764D0B">
        <w:t>2026</w:t>
      </w:r>
      <w:r>
        <w:t>)</w:t>
      </w:r>
      <w:r w:rsidRPr="00764D0B">
        <w:t xml:space="preserve">. </w:t>
      </w:r>
      <w:r w:rsidRPr="00764D0B">
        <w:rPr>
          <w:i/>
          <w:iCs/>
        </w:rPr>
        <w:t>What is multi-contracting?.</w:t>
      </w:r>
      <w:r w:rsidRPr="00764D0B">
        <w:t xml:space="preserve"> [Online] Available at: https://www.lexisnexis.co.uk/legal/guidance/multi-contracting</w:t>
      </w:r>
      <w:r>
        <w:t xml:space="preserve"> </w:t>
      </w:r>
      <w:r w:rsidRPr="00764D0B">
        <w:t>[Accessed 23 March 2026].</w:t>
      </w:r>
    </w:p>
    <w:p w14:paraId="089F8F17" w14:textId="77777777" w:rsidR="00F47BDE" w:rsidRPr="00764D0B" w:rsidRDefault="00F47BDE" w:rsidP="00073D3B">
      <w:r w:rsidRPr="00764D0B">
        <w:t xml:space="preserve">NSW, </w:t>
      </w:r>
      <w:r>
        <w:t>(</w:t>
      </w:r>
      <w:r w:rsidRPr="00764D0B">
        <w:t>2026</w:t>
      </w:r>
      <w:r>
        <w:t>)</w:t>
      </w:r>
      <w:r w:rsidRPr="00764D0B">
        <w:t xml:space="preserve">. </w:t>
      </w:r>
      <w:r w:rsidRPr="00764D0B">
        <w:rPr>
          <w:i/>
          <w:iCs/>
        </w:rPr>
        <w:t>Construction procurement guide: single and multiple contract options</w:t>
      </w:r>
      <w:r w:rsidRPr="00764D0B">
        <w:t>. [Online] Available at: https://www.info.buy.nsw.gov.au/resources/construction/construction-procurement-guide-single-and-multiple-contract-options</w:t>
      </w:r>
      <w:r>
        <w:t xml:space="preserve"> </w:t>
      </w:r>
      <w:r w:rsidRPr="00764D0B">
        <w:t>[Accessed 23 March 2026].</w:t>
      </w:r>
    </w:p>
    <w:p w14:paraId="6C411502" w14:textId="77777777" w:rsidR="00F47BDE" w:rsidRDefault="00F47BDE" w:rsidP="00073D3B">
      <w:r>
        <w:t xml:space="preserve">Robinson, T., (2024). </w:t>
      </w:r>
      <w:r w:rsidRPr="00230792">
        <w:rPr>
          <w:i/>
          <w:iCs/>
        </w:rPr>
        <w:t>Future transport infrastructure projects and the Elizabeth Line</w:t>
      </w:r>
      <w:r>
        <w:t>. [Online] Available at: https://commonslibrary.parliament.uk/research-briefings/cdp-2024-0146/ [Accessed 24 March 2026].</w:t>
      </w:r>
    </w:p>
    <w:p w14:paraId="17CFDBA6" w14:textId="77777777" w:rsidR="00F47BDE" w:rsidRDefault="00F47BDE" w:rsidP="00073D3B">
      <w:r>
        <w:t xml:space="preserve">Schwenk, J., (2023). </w:t>
      </w:r>
      <w:r w:rsidRPr="00230792">
        <w:rPr>
          <w:i/>
          <w:iCs/>
        </w:rPr>
        <w:t>Fundamentals Of Risk Assessment: Methods And Tools Used To Assess Business Risks</w:t>
      </w:r>
      <w:r>
        <w:t>. [Online] Available at: https://www.forbes.com/councils/forbesbusinesscouncil/2023/09/28/fundamentals-of-risk-assessment-methods-and-tools-used-to-assess-business-risks/ [Accessed 24 March 2026].</w:t>
      </w:r>
    </w:p>
    <w:p w14:paraId="1C2A34C4" w14:textId="77777777" w:rsidR="00F47BDE" w:rsidRDefault="00F47BDE" w:rsidP="00073D3B">
      <w:r>
        <w:t xml:space="preserve">Unger, C., (2022). </w:t>
      </w:r>
      <w:r w:rsidRPr="00230792">
        <w:rPr>
          <w:i/>
          <w:iCs/>
        </w:rPr>
        <w:t>Continuous Controls Monitoring: The Next Generation Of Controls Testing</w:t>
      </w:r>
      <w:r>
        <w:t>. [Online] Available at: https://www.forbes.com/councils/forbestechcouncil/2022/06/02/continuous-controls-monitoring-the-next-generation-of-controls-testing/ [Accessed 24 March 2026].</w:t>
      </w:r>
    </w:p>
    <w:p w14:paraId="1A37054B" w14:textId="77777777" w:rsidR="00F47BDE" w:rsidRPr="00764D0B" w:rsidRDefault="00F47BDE" w:rsidP="00073D3B">
      <w:r w:rsidRPr="00764D0B">
        <w:t xml:space="preserve">Vaco, </w:t>
      </w:r>
      <w:r>
        <w:t>(</w:t>
      </w:r>
      <w:r w:rsidRPr="00764D0B">
        <w:t>2025</w:t>
      </w:r>
      <w:r>
        <w:t>)</w:t>
      </w:r>
      <w:r w:rsidRPr="00764D0B">
        <w:t xml:space="preserve">. </w:t>
      </w:r>
      <w:r w:rsidRPr="00764D0B">
        <w:rPr>
          <w:i/>
          <w:iCs/>
        </w:rPr>
        <w:t>How to make internal and external tech teams work well together</w:t>
      </w:r>
      <w:r w:rsidRPr="00764D0B">
        <w:t>. [Online] Available at: https://www.vaco.com/blog/how-internal-and-external-tech-teams-collaborate/</w:t>
      </w:r>
      <w:r>
        <w:t xml:space="preserve"> </w:t>
      </w:r>
      <w:r w:rsidRPr="00764D0B">
        <w:t>[Accessed 23 March 2026].</w:t>
      </w:r>
    </w:p>
    <w:p w14:paraId="4BD2C9AA" w14:textId="754C7C85" w:rsidR="00F47BDE" w:rsidRDefault="00F47BDE" w:rsidP="00073D3B">
      <w:r>
        <w:rPr>
          <w:highlight w:val="white"/>
        </w:rPr>
        <w:t>Viitanen, J. (2024). Handbook for turnkey deliveries</w:t>
      </w:r>
      <w:r w:rsidR="00757F74">
        <w:t xml:space="preserve">. </w:t>
      </w:r>
    </w:p>
    <w:p w14:paraId="37C91401" w14:textId="77777777" w:rsidR="00425AAF" w:rsidRDefault="00425AAF" w:rsidP="00073D3B"/>
    <w:p w14:paraId="49E2669D" w14:textId="66C41531" w:rsidR="00230792" w:rsidRDefault="00230792" w:rsidP="00073D3B"/>
    <w:p w14:paraId="29156BB4" w14:textId="77777777" w:rsidR="00230792" w:rsidRDefault="00230792" w:rsidP="00073D3B">
      <w:pPr>
        <w:rPr>
          <w:rFonts w:eastAsia="Times New Roman" w:cs="Times New Roman"/>
          <w:szCs w:val="24"/>
        </w:rPr>
      </w:pPr>
    </w:p>
    <w:sectPr w:rsidR="00230792" w:rsidSect="00821693">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5772C" w14:textId="77777777" w:rsidR="00264D2E" w:rsidRDefault="00264D2E" w:rsidP="00821693">
      <w:pPr>
        <w:spacing w:line="240" w:lineRule="auto"/>
      </w:pPr>
      <w:r>
        <w:separator/>
      </w:r>
    </w:p>
  </w:endnote>
  <w:endnote w:type="continuationSeparator" w:id="0">
    <w:p w14:paraId="5BF4F7A6" w14:textId="77777777" w:rsidR="00264D2E" w:rsidRDefault="00264D2E" w:rsidP="008216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7C032798-F8A1-4E24-87E5-69732EB67F56}"/>
  </w:font>
  <w:font w:name="Cambria">
    <w:panose1 w:val="02040503050406030204"/>
    <w:charset w:val="00"/>
    <w:family w:val="roman"/>
    <w:pitch w:val="variable"/>
    <w:sig w:usb0="E00006FF" w:usb1="420024FF" w:usb2="02000000" w:usb3="00000000" w:csb0="0000019F" w:csb1="00000000"/>
    <w:embedRegular r:id="rId2" w:fontKey="{753AD4FC-2E4B-644A-9B81-E66CA61188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0480223"/>
      <w:docPartObj>
        <w:docPartGallery w:val="Page Numbers (Bottom of Page)"/>
        <w:docPartUnique/>
      </w:docPartObj>
    </w:sdtPr>
    <w:sdtEndPr/>
    <w:sdtContent>
      <w:sdt>
        <w:sdtPr>
          <w:id w:val="-1769616900"/>
          <w:docPartObj>
            <w:docPartGallery w:val="Page Numbers (Top of Page)"/>
            <w:docPartUnique/>
          </w:docPartObj>
        </w:sdtPr>
        <w:sdtEndPr/>
        <w:sdtContent>
          <w:p w14:paraId="1DDE9E61" w14:textId="304DEDAE" w:rsidR="00821693" w:rsidRDefault="0082169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194D3EA" w14:textId="77777777" w:rsidR="00821693" w:rsidRDefault="00821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7EE7E" w14:textId="77777777" w:rsidR="00264D2E" w:rsidRDefault="00264D2E" w:rsidP="00821693">
      <w:pPr>
        <w:spacing w:line="240" w:lineRule="auto"/>
      </w:pPr>
      <w:r>
        <w:separator/>
      </w:r>
    </w:p>
  </w:footnote>
  <w:footnote w:type="continuationSeparator" w:id="0">
    <w:p w14:paraId="703B65DA" w14:textId="77777777" w:rsidR="00264D2E" w:rsidRDefault="00264D2E" w:rsidP="008216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7574F" w14:textId="1E121368" w:rsidR="00821693" w:rsidRPr="00821693" w:rsidRDefault="00821693" w:rsidP="00821693">
    <w:pPr>
      <w:pStyle w:val="Header"/>
      <w:jc w:val="right"/>
      <w:rPr>
        <w:b/>
        <w:bCs/>
      </w:rPr>
    </w:pPr>
    <w:r w:rsidRPr="00821693">
      <w:rPr>
        <w:b/>
        <w:bCs/>
      </w:rPr>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F51"/>
    <w:rsid w:val="00064A88"/>
    <w:rsid w:val="00073D3B"/>
    <w:rsid w:val="000A6A32"/>
    <w:rsid w:val="000B1F9E"/>
    <w:rsid w:val="000B6AF1"/>
    <w:rsid w:val="000C2FD2"/>
    <w:rsid w:val="001051DA"/>
    <w:rsid w:val="0013710A"/>
    <w:rsid w:val="00184E21"/>
    <w:rsid w:val="00230792"/>
    <w:rsid w:val="00250C01"/>
    <w:rsid w:val="00264D2E"/>
    <w:rsid w:val="002C26E4"/>
    <w:rsid w:val="003B5228"/>
    <w:rsid w:val="00425AAF"/>
    <w:rsid w:val="0043007C"/>
    <w:rsid w:val="005B71B2"/>
    <w:rsid w:val="005F3657"/>
    <w:rsid w:val="00707A67"/>
    <w:rsid w:val="007504B5"/>
    <w:rsid w:val="00757F74"/>
    <w:rsid w:val="007E4F8D"/>
    <w:rsid w:val="00821693"/>
    <w:rsid w:val="00825255"/>
    <w:rsid w:val="00887BF2"/>
    <w:rsid w:val="009539BA"/>
    <w:rsid w:val="0099720A"/>
    <w:rsid w:val="00A0297A"/>
    <w:rsid w:val="00A44037"/>
    <w:rsid w:val="00AA22F0"/>
    <w:rsid w:val="00AA7D2B"/>
    <w:rsid w:val="00AC06F9"/>
    <w:rsid w:val="00AF1D78"/>
    <w:rsid w:val="00B13062"/>
    <w:rsid w:val="00BE5678"/>
    <w:rsid w:val="00BF5755"/>
    <w:rsid w:val="00C6419D"/>
    <w:rsid w:val="00CD52A9"/>
    <w:rsid w:val="00D00242"/>
    <w:rsid w:val="00D7350D"/>
    <w:rsid w:val="00D77F9A"/>
    <w:rsid w:val="00E27F51"/>
    <w:rsid w:val="00E75223"/>
    <w:rsid w:val="00EF640C"/>
    <w:rsid w:val="00F47BDE"/>
    <w:rsid w:val="00FB1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E975D"/>
  <w15:docId w15:val="{53BCE4F5-6FF6-4ABD-B107-5E2519612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F8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E4F8D"/>
    <w:pPr>
      <w:keepNext/>
      <w:keepLines/>
      <w:spacing w:before="120" w:after="120"/>
      <w:outlineLvl w:val="0"/>
    </w:pPr>
    <w:rPr>
      <w:b/>
      <w:sz w:val="28"/>
      <w:szCs w:val="40"/>
    </w:rPr>
  </w:style>
  <w:style w:type="paragraph" w:styleId="Heading2">
    <w:name w:val="heading 2"/>
    <w:basedOn w:val="Normal"/>
    <w:next w:val="Normal"/>
    <w:uiPriority w:val="9"/>
    <w:unhideWhenUsed/>
    <w:qFormat/>
    <w:rsid w:val="007E4F8D"/>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230792"/>
    <w:rPr>
      <w:rFonts w:ascii="Times New Roman" w:hAnsi="Times New Roman"/>
      <w:b/>
      <w:sz w:val="28"/>
      <w:szCs w:val="40"/>
      <w:lang w:val="en-GB"/>
    </w:rPr>
  </w:style>
  <w:style w:type="paragraph" w:styleId="Bibliography">
    <w:name w:val="Bibliography"/>
    <w:basedOn w:val="Normal"/>
    <w:next w:val="Normal"/>
    <w:uiPriority w:val="37"/>
    <w:unhideWhenUsed/>
    <w:rsid w:val="00230792"/>
  </w:style>
  <w:style w:type="character" w:styleId="Hyperlink">
    <w:name w:val="Hyperlink"/>
    <w:basedOn w:val="DefaultParagraphFont"/>
    <w:uiPriority w:val="99"/>
    <w:unhideWhenUsed/>
    <w:rsid w:val="00230792"/>
    <w:rPr>
      <w:color w:val="0000FF" w:themeColor="hyperlink"/>
      <w:u w:val="single"/>
    </w:rPr>
  </w:style>
  <w:style w:type="character" w:styleId="UnresolvedMention">
    <w:name w:val="Unresolved Mention"/>
    <w:basedOn w:val="DefaultParagraphFont"/>
    <w:uiPriority w:val="99"/>
    <w:semiHidden/>
    <w:unhideWhenUsed/>
    <w:rsid w:val="00230792"/>
    <w:rPr>
      <w:color w:val="605E5C"/>
      <w:shd w:val="clear" w:color="auto" w:fill="E1DFDD"/>
    </w:rPr>
  </w:style>
  <w:style w:type="paragraph" w:styleId="Header">
    <w:name w:val="header"/>
    <w:basedOn w:val="Normal"/>
    <w:link w:val="HeaderChar"/>
    <w:uiPriority w:val="99"/>
    <w:unhideWhenUsed/>
    <w:rsid w:val="00821693"/>
    <w:pPr>
      <w:tabs>
        <w:tab w:val="center" w:pos="4680"/>
        <w:tab w:val="right" w:pos="9360"/>
      </w:tabs>
      <w:spacing w:line="240" w:lineRule="auto"/>
    </w:pPr>
  </w:style>
  <w:style w:type="character" w:customStyle="1" w:styleId="HeaderChar">
    <w:name w:val="Header Char"/>
    <w:basedOn w:val="DefaultParagraphFont"/>
    <w:link w:val="Header"/>
    <w:uiPriority w:val="99"/>
    <w:rsid w:val="00821693"/>
    <w:rPr>
      <w:rFonts w:ascii="Times New Roman" w:hAnsi="Times New Roman"/>
      <w:sz w:val="24"/>
      <w:lang w:val="en-GB"/>
    </w:rPr>
  </w:style>
  <w:style w:type="paragraph" w:styleId="Footer">
    <w:name w:val="footer"/>
    <w:basedOn w:val="Normal"/>
    <w:link w:val="FooterChar"/>
    <w:uiPriority w:val="99"/>
    <w:unhideWhenUsed/>
    <w:rsid w:val="00821693"/>
    <w:pPr>
      <w:tabs>
        <w:tab w:val="center" w:pos="4680"/>
        <w:tab w:val="right" w:pos="9360"/>
      </w:tabs>
      <w:spacing w:line="240" w:lineRule="auto"/>
    </w:pPr>
  </w:style>
  <w:style w:type="character" w:customStyle="1" w:styleId="FooterChar">
    <w:name w:val="Footer Char"/>
    <w:basedOn w:val="DefaultParagraphFont"/>
    <w:link w:val="Footer"/>
    <w:uiPriority w:val="99"/>
    <w:rsid w:val="00821693"/>
    <w:rPr>
      <w:rFonts w:ascii="Times New Roman" w:hAnsi="Times New Roman"/>
      <w:sz w:val="24"/>
      <w:lang w:val="en-GB"/>
    </w:rPr>
  </w:style>
  <w:style w:type="paragraph" w:styleId="ListParagraph">
    <w:name w:val="List Paragraph"/>
    <w:basedOn w:val="Normal"/>
    <w:uiPriority w:val="34"/>
    <w:qFormat/>
    <w:rsid w:val="00AC06F9"/>
    <w:pPr>
      <w:ind w:left="720"/>
      <w:contextualSpacing/>
    </w:pPr>
  </w:style>
  <w:style w:type="paragraph" w:styleId="TOCHeading">
    <w:name w:val="TOC Heading"/>
    <w:basedOn w:val="Heading1"/>
    <w:next w:val="Normal"/>
    <w:uiPriority w:val="39"/>
    <w:unhideWhenUsed/>
    <w:qFormat/>
    <w:rsid w:val="007504B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504B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00462">
      <w:bodyDiv w:val="1"/>
      <w:marLeft w:val="0"/>
      <w:marRight w:val="0"/>
      <w:marTop w:val="0"/>
      <w:marBottom w:val="0"/>
      <w:divBdr>
        <w:top w:val="none" w:sz="0" w:space="0" w:color="auto"/>
        <w:left w:val="none" w:sz="0" w:space="0" w:color="auto"/>
        <w:bottom w:val="none" w:sz="0" w:space="0" w:color="auto"/>
        <w:right w:val="none" w:sz="0" w:space="0" w:color="auto"/>
      </w:divBdr>
    </w:div>
    <w:div w:id="557977628">
      <w:bodyDiv w:val="1"/>
      <w:marLeft w:val="0"/>
      <w:marRight w:val="0"/>
      <w:marTop w:val="0"/>
      <w:marBottom w:val="0"/>
      <w:divBdr>
        <w:top w:val="none" w:sz="0" w:space="0" w:color="auto"/>
        <w:left w:val="none" w:sz="0" w:space="0" w:color="auto"/>
        <w:bottom w:val="none" w:sz="0" w:space="0" w:color="auto"/>
        <w:right w:val="none" w:sz="0" w:space="0" w:color="auto"/>
      </w:divBdr>
    </w:div>
    <w:div w:id="978344267">
      <w:bodyDiv w:val="1"/>
      <w:marLeft w:val="0"/>
      <w:marRight w:val="0"/>
      <w:marTop w:val="0"/>
      <w:marBottom w:val="0"/>
      <w:divBdr>
        <w:top w:val="none" w:sz="0" w:space="0" w:color="auto"/>
        <w:left w:val="none" w:sz="0" w:space="0" w:color="auto"/>
        <w:bottom w:val="none" w:sz="0" w:space="0" w:color="auto"/>
        <w:right w:val="none" w:sz="0" w:space="0" w:color="auto"/>
      </w:divBdr>
    </w:div>
    <w:div w:id="1042099731">
      <w:bodyDiv w:val="1"/>
      <w:marLeft w:val="0"/>
      <w:marRight w:val="0"/>
      <w:marTop w:val="0"/>
      <w:marBottom w:val="0"/>
      <w:divBdr>
        <w:top w:val="none" w:sz="0" w:space="0" w:color="auto"/>
        <w:left w:val="none" w:sz="0" w:space="0" w:color="auto"/>
        <w:bottom w:val="none" w:sz="0" w:space="0" w:color="auto"/>
        <w:right w:val="none" w:sz="0" w:space="0" w:color="auto"/>
      </w:divBdr>
    </w:div>
    <w:div w:id="1053426563">
      <w:bodyDiv w:val="1"/>
      <w:marLeft w:val="0"/>
      <w:marRight w:val="0"/>
      <w:marTop w:val="0"/>
      <w:marBottom w:val="0"/>
      <w:divBdr>
        <w:top w:val="none" w:sz="0" w:space="0" w:color="auto"/>
        <w:left w:val="none" w:sz="0" w:space="0" w:color="auto"/>
        <w:bottom w:val="none" w:sz="0" w:space="0" w:color="auto"/>
        <w:right w:val="none" w:sz="0" w:space="0" w:color="auto"/>
      </w:divBdr>
    </w:div>
    <w:div w:id="1434746714">
      <w:bodyDiv w:val="1"/>
      <w:marLeft w:val="0"/>
      <w:marRight w:val="0"/>
      <w:marTop w:val="0"/>
      <w:marBottom w:val="0"/>
      <w:divBdr>
        <w:top w:val="none" w:sz="0" w:space="0" w:color="auto"/>
        <w:left w:val="none" w:sz="0" w:space="0" w:color="auto"/>
        <w:bottom w:val="none" w:sz="0" w:space="0" w:color="auto"/>
        <w:right w:val="none" w:sz="0" w:space="0" w:color="auto"/>
      </w:divBdr>
    </w:div>
    <w:div w:id="1686906722">
      <w:bodyDiv w:val="1"/>
      <w:marLeft w:val="0"/>
      <w:marRight w:val="0"/>
      <w:marTop w:val="0"/>
      <w:marBottom w:val="0"/>
      <w:divBdr>
        <w:top w:val="none" w:sz="0" w:space="0" w:color="auto"/>
        <w:left w:val="none" w:sz="0" w:space="0" w:color="auto"/>
        <w:bottom w:val="none" w:sz="0" w:space="0" w:color="auto"/>
        <w:right w:val="none" w:sz="0" w:space="0" w:color="auto"/>
      </w:divBdr>
    </w:div>
    <w:div w:id="1885633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Tre251</b:Tag>
    <b:SourceType>InternetSite</b:SourceType>
    <b:Guid>{4F456921-9C35-4560-B1F3-1DED52CFA791}</b:Guid>
    <b:Author>
      <b:Author>
        <b:NameList>
          <b:Person>
            <b:Last>Hoerr</b:Last>
            <b:First>Trent</b:First>
          </b:Person>
        </b:NameList>
      </b:Author>
    </b:Author>
    <b:Title>The Art Of Risk Management And Navigating Uncertainty</b:Title>
    <b:Year>2025</b:Year>
    <b:YearAccessed>2026</b:YearAccessed>
    <b:MonthAccessed>March</b:MonthAccessed>
    <b:DayAccessed>24</b:DayAccessed>
    <b:URL>https://www.forbes.com/councils/forbestechcouncil/2025/03/13/the-art-of-risk-management-and-navigating-uncertainty/</b:URL>
    <b:RefOrder>1</b:RefOrder>
  </b:Source>
  <b:Source>
    <b:Tag>Joc231</b:Tag>
    <b:SourceType>InternetSite</b:SourceType>
    <b:Guid>{C3F03FEA-02E1-4C05-A36C-680B2B7EF8F1}</b:Guid>
    <b:Author>
      <b:Author>
        <b:NameList>
          <b:Person>
            <b:Last>Schwenk</b:Last>
            <b:First>Jochen</b:First>
          </b:Person>
        </b:NameList>
      </b:Author>
    </b:Author>
    <b:Title>Fundamentals Of Risk Assessment: Methods And Tools Used To Assess Business Risks</b:Title>
    <b:Year>2023</b:Year>
    <b:YearAccessed>2026</b:YearAccessed>
    <b:MonthAccessed>March</b:MonthAccessed>
    <b:DayAccessed>24</b:DayAccessed>
    <b:URL>https://www.forbes.com/councils/forbesbusinesscouncil/2023/09/28/fundamentals-of-risk-assessment-methods-and-tools-used-to-assess-business-risks/</b:URL>
    <b:RefOrder>2</b:RefOrder>
  </b:Source>
  <b:Source>
    <b:Tag>Mic242</b:Tag>
    <b:SourceType>InternetSite</b:SourceType>
    <b:Guid>{6BA8D96D-1C8A-4A08-95BD-722C4C88BD27}</b:Guid>
    <b:Author>
      <b:Author>
        <b:NameList>
          <b:Person>
            <b:Last>Benson</b:Last>
            <b:First>Michael</b:First>
          </b:Person>
        </b:NameList>
      </b:Author>
    </b:Author>
    <b:Title>High Speed Rail 2 – an overview</b:Title>
    <b:Year>2024</b:Year>
    <b:YearAccessed>2026</b:YearAccessed>
    <b:MonthAccessed>March</b:MonthAccessed>
    <b:DayAccessed>24</b:DayAccessed>
    <b:URL>https://commonslibrary.parliament.uk/research-briefings/cbp-9313/</b:URL>
    <b:RefOrder>3</b:RefOrder>
  </b:Source>
  <b:Source>
    <b:Tag>Mat22</b:Tag>
    <b:SourceType>InternetSite</b:SourceType>
    <b:Guid>{CC9EC027-4FAE-4497-A579-2EB2A37DB435}</b:Guid>
    <b:Author>
      <b:Author>
        <b:NameList>
          <b:Person>
            <b:Last>Dowling</b:Last>
            <b:First>Mathew</b:First>
          </b:Person>
        </b:NameList>
      </b:Author>
    </b:Author>
    <b:Title>London 2012 Olympics: how it boosted medal winning but failed to inspire a generation</b:Title>
    <b:Year>2022</b:Year>
    <b:YearAccessed>2026</b:YearAccessed>
    <b:MonthAccessed>March</b:MonthAccessed>
    <b:DayAccessed>24</b:DayAccessed>
    <b:URL>https://theconversation.com/london-2012-olympics-how-it-boosted-medal-winning-but-failed-to-inspire-a-generation-187383</b:URL>
    <b:RefOrder>4</b:RefOrder>
  </b:Source>
  <b:Source>
    <b:Tag>Ste21</b:Tag>
    <b:SourceType>InternetSite</b:SourceType>
    <b:Guid>{B73BC16B-29E3-403B-A735-F2B1AD6FDA10}</b:Guid>
    <b:Author>
      <b:Author>
        <b:NameList>
          <b:Person>
            <b:Last>Culp</b:Last>
            <b:First>Steve</b:First>
          </b:Person>
        </b:NameList>
      </b:Author>
    </b:Author>
    <b:Title>New Challenge For Risk: Managing Risk To Support Growth</b:Title>
    <b:Year>2021</b:Year>
    <b:YearAccessed>2026</b:YearAccessed>
    <b:MonthAccessed>March</b:MonthAccessed>
    <b:DayAccessed>24</b:DayAccessed>
    <b:URL>https://www.forbes.com/sites/steveculp/2021/11/17/new-challenge-for-risk-managing-risk-to-support-growth/</b:URL>
    <b:RefOrder>5</b:RefOrder>
  </b:Source>
  <b:Source>
    <b:Tag>Tim24</b:Tag>
    <b:SourceType>InternetSite</b:SourceType>
    <b:Guid>{80848E06-845D-47C4-81DD-3B80D8B24F48}</b:Guid>
    <b:Author>
      <b:Author>
        <b:NameList>
          <b:Person>
            <b:Last>Robinson</b:Last>
            <b:First>Timothy</b:First>
          </b:Person>
        </b:NameList>
      </b:Author>
    </b:Author>
    <b:Title>Future transport infrastructure projects and the Elizabeth Line</b:Title>
    <b:Year>2024</b:Year>
    <b:YearAccessed>2026</b:YearAccessed>
    <b:MonthAccessed>March</b:MonthAccessed>
    <b:DayAccessed>24</b:DayAccessed>
    <b:URL>https://commonslibrary.parliament.uk/research-briefings/cdp-2024-0146/</b:URL>
    <b:RefOrder>6</b:RefOrder>
  </b:Source>
  <b:Source>
    <b:Tag>Cra221</b:Tag>
    <b:SourceType>InternetSite</b:SourceType>
    <b:Guid>{C4D82BCB-6F21-4C09-9CA0-6024EC7BC804}</b:Guid>
    <b:Author>
      <b:Author>
        <b:NameList>
          <b:Person>
            <b:Last>Unger</b:Last>
            <b:First>Craig</b:First>
          </b:Person>
        </b:NameList>
      </b:Author>
    </b:Author>
    <b:Title>Continuous Controls Monitoring: The Next Generation Of Controls Testing</b:Title>
    <b:Year>2022</b:Year>
    <b:YearAccessed>2026</b:YearAccessed>
    <b:MonthAccessed>March</b:MonthAccessed>
    <b:DayAccessed>24</b:DayAccessed>
    <b:URL>https://www.forbes.com/councils/forbestechcouncil/2022/06/02/continuous-controls-monitoring-the-next-generation-of-controls-testing/</b:URL>
    <b:RefOrder>7</b:RefOrder>
  </b:Source>
  <b:Source>
    <b:Tag>HME23</b:Tag>
    <b:SourceType>InternetSite</b:SourceType>
    <b:Guid>{23021D4F-239A-418F-8F01-33F2D196E66D}</b:Guid>
    <b:Author>
      <b:Author>
        <b:Corporate>HMEC</b:Corporate>
      </b:Author>
    </b:Author>
    <b:Title>Turnkey Project Advantages and Disadvantages: What To Know Before Signing a Contract</b:Title>
    <b:Year>2023</b:Year>
    <b:YearAccessed>2026</b:YearAccessed>
    <b:MonthAccessed>March</b:MonthAccessed>
    <b:DayAccessed>23</b:DayAccessed>
    <b:URL>https://www.hm-ec.com/blog-posts/turnkey-project-advantages-and-disadvantages-what-to-know-before-signing-a-contract-hm</b:URL>
    <b:RefOrder>1</b:RefOrder>
  </b:Source>
  <b:Source>
    <b:Tag>Lex26</b:Tag>
    <b:SourceType>InternetSite</b:SourceType>
    <b:Guid>{4F22E02C-BE06-4B5B-B1BB-F76C36A053FD}</b:Guid>
    <b:Author>
      <b:Author>
        <b:Corporate>Lexisnexis</b:Corporate>
      </b:Author>
    </b:Author>
    <b:Title>What is multi-contracting?</b:Title>
    <b:Year>2026</b:Year>
    <b:YearAccessed>2026</b:YearAccessed>
    <b:MonthAccessed>March</b:MonthAccessed>
    <b:DayAccessed>23</b:DayAccessed>
    <b:URL>https://www.lexisnexis.co.uk/legal/guidance/multi-contracting</b:URL>
    <b:RefOrder>2</b:RefOrder>
  </b:Source>
  <b:Source>
    <b:Tag>NSW26</b:Tag>
    <b:SourceType>InternetSite</b:SourceType>
    <b:Guid>{92E8D1EC-7C56-44F6-B343-F7FD4E32DDD2}</b:Guid>
    <b:Author>
      <b:Author>
        <b:Corporate>NSW</b:Corporate>
      </b:Author>
    </b:Author>
    <b:Title>Construction procurement guide: single and multiple contract options</b:Title>
    <b:Year>2026</b:Year>
    <b:YearAccessed>2026</b:YearAccessed>
    <b:MonthAccessed>March</b:MonthAccessed>
    <b:DayAccessed>23</b:DayAccessed>
    <b:URL>https://www.info.buy.nsw.gov.au/resources/construction/construction-procurement-guide-single-and-multiple-contract-options</b:URL>
    <b:RefOrder>3</b:RefOrder>
  </b:Source>
  <b:Source>
    <b:Tag>Vac25</b:Tag>
    <b:SourceType>InternetSite</b:SourceType>
    <b:Guid>{7DD364D3-3700-4553-985D-31218DAD3CF9}</b:Guid>
    <b:Author>
      <b:Author>
        <b:Corporate>Vaco</b:Corporate>
      </b:Author>
    </b:Author>
    <b:Title>How to make internal and external tech teams work well together </b:Title>
    <b:Year>2025</b:Year>
    <b:YearAccessed>2026</b:YearAccessed>
    <b:MonthAccessed>March</b:MonthAccessed>
    <b:DayAccessed>23</b:DayAccessed>
    <b:URL>https://www.vaco.com/blog/how-internal-and-external-tech-teams-collaborate/</b:URL>
    <b:RefOrder>4</b:RefOrder>
  </b:Source>
</b:Sources>
</file>

<file path=customXml/itemProps1.xml><?xml version="1.0" encoding="utf-8"?>
<ds:datastoreItem xmlns:ds="http://schemas.openxmlformats.org/officeDocument/2006/customXml" ds:itemID="{463B09E6-F4F2-4373-ACC1-DF3E9AB85D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2599</Words>
  <Characters>14817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Amadu</dc:creator>
  <cp:lastModifiedBy>Mariama Barrie</cp:lastModifiedBy>
  <cp:revision>2</cp:revision>
  <dcterms:created xsi:type="dcterms:W3CDTF">2026-03-30T14:46:00Z</dcterms:created>
  <dcterms:modified xsi:type="dcterms:W3CDTF">2026-03-30T14:46:00Z</dcterms:modified>
</cp:coreProperties>
</file>