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5DA3A1" w14:textId="77777777" w:rsidR="00D16F65" w:rsidRDefault="00D16F65" w:rsidP="00D16F65">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p>
    <w:p w14:paraId="1B46B7C7" w14:textId="77777777" w:rsidR="00D16F65" w:rsidRDefault="00D16F65" w:rsidP="00D16F65">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p>
    <w:p w14:paraId="72C48E2F" w14:textId="580DDA4E" w:rsidR="00D16F65" w:rsidRDefault="00977930" w:rsidP="00977930">
      <w:pPr>
        <w:pStyle w:val="Title"/>
        <w:adjustRightInd w:val="0"/>
        <w:snapToGrid w:val="0"/>
        <w:spacing w:before="240" w:after="240" w:line="360" w:lineRule="auto"/>
        <w:contextualSpacing w:val="0"/>
        <w:jc w:val="center"/>
        <w:rPr>
          <w:rFonts w:ascii="Times New Roman" w:hAnsi="Times New Roman" w:cs="Times New Roman"/>
          <w:color w:val="000000" w:themeColor="text1"/>
          <w:sz w:val="52"/>
          <w:szCs w:val="52"/>
          <w:lang w:val="en-US"/>
        </w:rPr>
      </w:pPr>
      <w:r w:rsidRPr="00977930">
        <w:rPr>
          <w:rFonts w:ascii="Times New Roman" w:hAnsi="Times New Roman" w:cs="Times New Roman"/>
          <w:noProof/>
          <w:color w:val="000000" w:themeColor="text1"/>
          <w:sz w:val="52"/>
          <w:szCs w:val="52"/>
          <w:lang w:val="en-GB" w:eastAsia="en-GB"/>
        </w:rPr>
        <w:drawing>
          <wp:inline distT="0" distB="0" distL="0" distR="0" wp14:anchorId="267CB49C" wp14:editId="0F58C23F">
            <wp:extent cx="3237470" cy="1190827"/>
            <wp:effectExtent l="0" t="0" r="1270" b="3175"/>
            <wp:docPr id="127216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164998" name=""/>
                    <pic:cNvPicPr/>
                  </pic:nvPicPr>
                  <pic:blipFill>
                    <a:blip r:embed="rId7"/>
                    <a:stretch>
                      <a:fillRect/>
                    </a:stretch>
                  </pic:blipFill>
                  <pic:spPr>
                    <a:xfrm>
                      <a:off x="0" y="0"/>
                      <a:ext cx="3253029" cy="1196550"/>
                    </a:xfrm>
                    <a:prstGeom prst="rect">
                      <a:avLst/>
                    </a:prstGeom>
                  </pic:spPr>
                </pic:pic>
              </a:graphicData>
            </a:graphic>
          </wp:inline>
        </w:drawing>
      </w:r>
    </w:p>
    <w:p w14:paraId="0420B8B9" w14:textId="77777777" w:rsidR="00977930" w:rsidRDefault="00977930" w:rsidP="00977930">
      <w:pPr>
        <w:jc w:val="center"/>
        <w:rPr>
          <w:lang w:val="en-US"/>
        </w:rPr>
      </w:pPr>
    </w:p>
    <w:p w14:paraId="538B90DD" w14:textId="4BDB4A9F" w:rsidR="00977930" w:rsidRDefault="00977930" w:rsidP="00977930">
      <w:pPr>
        <w:jc w:val="center"/>
        <w:rPr>
          <w:lang w:val="en-US"/>
        </w:rPr>
      </w:pPr>
      <w:r>
        <w:rPr>
          <w:lang w:val="en-US"/>
        </w:rPr>
        <w:t>Student Name:</w:t>
      </w:r>
      <w:r w:rsidR="00E66EA4">
        <w:rPr>
          <w:lang w:val="en-US"/>
        </w:rPr>
        <w:t xml:space="preserve"> </w:t>
      </w:r>
      <w:r w:rsidR="00E66EA4" w:rsidRPr="00E66EA4">
        <w:rPr>
          <w:lang w:val="en-US"/>
        </w:rPr>
        <w:t>Aemanben Anwarbhai Dhanani</w:t>
      </w:r>
    </w:p>
    <w:p w14:paraId="02F82293" w14:textId="77777777" w:rsidR="00977930" w:rsidRDefault="00977930" w:rsidP="00977930">
      <w:pPr>
        <w:jc w:val="center"/>
        <w:rPr>
          <w:lang w:val="en-US"/>
        </w:rPr>
      </w:pPr>
    </w:p>
    <w:p w14:paraId="73506BED" w14:textId="15C1CE55" w:rsidR="00977930" w:rsidRDefault="00977930" w:rsidP="00977930">
      <w:pPr>
        <w:jc w:val="center"/>
        <w:rPr>
          <w:lang w:val="en-US"/>
        </w:rPr>
      </w:pPr>
      <w:r>
        <w:rPr>
          <w:lang w:val="en-US"/>
        </w:rPr>
        <w:t>Student ID:</w:t>
      </w:r>
      <w:r w:rsidR="00E66EA4">
        <w:rPr>
          <w:lang w:val="en-US"/>
        </w:rPr>
        <w:t xml:space="preserve"> </w:t>
      </w:r>
      <w:r w:rsidR="00E66EA4" w:rsidRPr="00E66EA4">
        <w:rPr>
          <w:lang w:val="en-US"/>
        </w:rPr>
        <w:t>2525496</w:t>
      </w:r>
    </w:p>
    <w:p w14:paraId="28B3D6BE" w14:textId="77777777" w:rsidR="00977930" w:rsidRDefault="00977930" w:rsidP="00977930">
      <w:pPr>
        <w:jc w:val="center"/>
        <w:rPr>
          <w:lang w:val="en-US"/>
        </w:rPr>
      </w:pPr>
    </w:p>
    <w:p w14:paraId="7550488A" w14:textId="765B5409" w:rsidR="00977930" w:rsidRPr="00977930" w:rsidRDefault="00977930" w:rsidP="00977930">
      <w:pPr>
        <w:jc w:val="center"/>
        <w:rPr>
          <w:lang w:val="en-US"/>
        </w:rPr>
      </w:pPr>
      <w:r>
        <w:rPr>
          <w:lang w:val="en-US"/>
        </w:rPr>
        <w:t>Module Name: Human Capital Management</w:t>
      </w:r>
    </w:p>
    <w:p w14:paraId="7FC17DA0" w14:textId="77777777" w:rsidR="00977930" w:rsidRDefault="00977930" w:rsidP="00977930">
      <w:pPr>
        <w:jc w:val="center"/>
        <w:rPr>
          <w:lang w:val="en-US"/>
        </w:rPr>
      </w:pPr>
    </w:p>
    <w:p w14:paraId="79CD1762" w14:textId="16421237" w:rsidR="00977930" w:rsidRDefault="00977930" w:rsidP="00977930">
      <w:pPr>
        <w:jc w:val="center"/>
        <w:rPr>
          <w:lang w:val="en-US"/>
        </w:rPr>
      </w:pPr>
      <w:r>
        <w:rPr>
          <w:lang w:val="en-US"/>
        </w:rPr>
        <w:t>Module Code: LCMB7023</w:t>
      </w:r>
    </w:p>
    <w:p w14:paraId="6028DBA4" w14:textId="77777777" w:rsidR="00977930" w:rsidRDefault="00977930" w:rsidP="00977930">
      <w:pPr>
        <w:jc w:val="center"/>
        <w:rPr>
          <w:lang w:val="en-US"/>
        </w:rPr>
      </w:pPr>
    </w:p>
    <w:p w14:paraId="31CAC285" w14:textId="67994662" w:rsidR="00977930" w:rsidRDefault="00977930" w:rsidP="00977930">
      <w:pPr>
        <w:jc w:val="center"/>
        <w:rPr>
          <w:lang w:val="en-US"/>
        </w:rPr>
      </w:pPr>
      <w:r>
        <w:rPr>
          <w:lang w:val="en-US"/>
        </w:rPr>
        <w:t xml:space="preserve">Lecturer’s Name: </w:t>
      </w:r>
      <w:r w:rsidR="00494210">
        <w:rPr>
          <w:lang w:val="en-US"/>
        </w:rPr>
        <w:t>Gladius Kulothungan</w:t>
      </w:r>
    </w:p>
    <w:p w14:paraId="7E2E1449" w14:textId="10A739D0" w:rsidR="00494210" w:rsidRDefault="00494210" w:rsidP="00977930">
      <w:pPr>
        <w:jc w:val="center"/>
        <w:rPr>
          <w:lang w:val="en-US"/>
        </w:rPr>
      </w:pPr>
      <w:r>
        <w:rPr>
          <w:lang w:val="en-US"/>
        </w:rPr>
        <w:t xml:space="preserve">                  Ejike Udeogu</w:t>
      </w:r>
    </w:p>
    <w:p w14:paraId="5B2BE94C" w14:textId="77777777" w:rsidR="00977930" w:rsidRDefault="00977930" w:rsidP="00977930">
      <w:pPr>
        <w:jc w:val="center"/>
        <w:rPr>
          <w:lang w:val="en-US"/>
        </w:rPr>
      </w:pPr>
    </w:p>
    <w:p w14:paraId="713F9EFA" w14:textId="56803F3B" w:rsidR="00977930" w:rsidRDefault="00977930" w:rsidP="00977930">
      <w:pPr>
        <w:jc w:val="center"/>
        <w:rPr>
          <w:lang w:val="en-US"/>
        </w:rPr>
      </w:pPr>
      <w:r>
        <w:rPr>
          <w:lang w:val="en-US"/>
        </w:rPr>
        <w:t>Word Count: 2480</w:t>
      </w:r>
      <w:bookmarkStart w:id="0" w:name="_GoBack"/>
      <w:bookmarkEnd w:id="0"/>
    </w:p>
    <w:p w14:paraId="1594FBD0" w14:textId="77777777" w:rsidR="00977930" w:rsidRDefault="00977930" w:rsidP="00977930">
      <w:pPr>
        <w:jc w:val="center"/>
        <w:rPr>
          <w:lang w:val="en-US"/>
        </w:rPr>
      </w:pPr>
    </w:p>
    <w:p w14:paraId="0DF3805A" w14:textId="1A7F02A4" w:rsidR="00977930" w:rsidRPr="00977930" w:rsidRDefault="00977930" w:rsidP="00977930">
      <w:pPr>
        <w:jc w:val="center"/>
        <w:rPr>
          <w:lang w:val="en-US"/>
        </w:rPr>
      </w:pPr>
      <w:r>
        <w:rPr>
          <w:lang w:val="en-US"/>
        </w:rPr>
        <w:t>Term 1</w:t>
      </w:r>
    </w:p>
    <w:p w14:paraId="117C9436" w14:textId="77777777" w:rsidR="00D16F65" w:rsidRPr="00D16F65" w:rsidRDefault="00D16F65"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br w:type="page"/>
      </w:r>
    </w:p>
    <w:sdt>
      <w:sdtPr>
        <w:rPr>
          <w:rFonts w:ascii="Times New Roman" w:eastAsiaTheme="minorHAnsi" w:hAnsi="Times New Roman" w:cs="Times New Roman"/>
          <w:b w:val="0"/>
          <w:bCs w:val="0"/>
          <w:color w:val="000000" w:themeColor="text1"/>
          <w:kern w:val="2"/>
          <w:sz w:val="24"/>
          <w:szCs w:val="24"/>
          <w:lang w:val="en-IN"/>
          <w14:ligatures w14:val="standardContextual"/>
        </w:rPr>
        <w:id w:val="-933826200"/>
        <w:docPartObj>
          <w:docPartGallery w:val="Table of Contents"/>
          <w:docPartUnique/>
        </w:docPartObj>
      </w:sdtPr>
      <w:sdtEndPr>
        <w:rPr>
          <w:noProof/>
        </w:rPr>
      </w:sdtEndPr>
      <w:sdtContent>
        <w:p w14:paraId="7100BFFA" w14:textId="51E548ED" w:rsidR="00D16F65" w:rsidRPr="00D16F65" w:rsidRDefault="00D16F65" w:rsidP="00D16F65">
          <w:pPr>
            <w:pStyle w:val="TOCHeading"/>
            <w:adjustRightInd w:val="0"/>
            <w:snapToGrid w:val="0"/>
            <w:spacing w:before="240" w:after="240" w:line="360" w:lineRule="auto"/>
            <w:jc w:val="both"/>
            <w:rPr>
              <w:rFonts w:ascii="Times New Roman" w:hAnsi="Times New Roman" w:cs="Times New Roman"/>
              <w:color w:val="000000" w:themeColor="text1"/>
              <w:sz w:val="24"/>
              <w:szCs w:val="24"/>
            </w:rPr>
          </w:pPr>
          <w:r w:rsidRPr="00D16F65">
            <w:rPr>
              <w:rFonts w:ascii="Times New Roman" w:hAnsi="Times New Roman" w:cs="Times New Roman"/>
              <w:color w:val="000000" w:themeColor="text1"/>
              <w:sz w:val="24"/>
              <w:szCs w:val="24"/>
            </w:rPr>
            <w:t>Table of Contents</w:t>
          </w:r>
        </w:p>
        <w:p w14:paraId="79BD2120" w14:textId="78D7AACC" w:rsidR="004F3B1F" w:rsidRDefault="00D16F65">
          <w:pPr>
            <w:pStyle w:val="TOC1"/>
            <w:tabs>
              <w:tab w:val="right" w:leader="dot" w:pos="9016"/>
            </w:tabs>
            <w:rPr>
              <w:rFonts w:eastAsiaTheme="minorEastAsia"/>
              <w:b w:val="0"/>
              <w:bCs w:val="0"/>
              <w:noProof/>
              <w:sz w:val="24"/>
              <w:szCs w:val="24"/>
              <w:lang w:eastAsia="en-GB"/>
            </w:rPr>
          </w:pPr>
          <w:r w:rsidRPr="00D16F65">
            <w:rPr>
              <w:rFonts w:ascii="Times New Roman" w:hAnsi="Times New Roman" w:cs="Times New Roman"/>
              <w:b w:val="0"/>
              <w:bCs w:val="0"/>
              <w:color w:val="000000" w:themeColor="text1"/>
              <w:sz w:val="24"/>
              <w:szCs w:val="24"/>
            </w:rPr>
            <w:fldChar w:fldCharType="begin"/>
          </w:r>
          <w:r w:rsidRPr="00D16F65">
            <w:rPr>
              <w:rFonts w:ascii="Times New Roman" w:hAnsi="Times New Roman" w:cs="Times New Roman"/>
              <w:color w:val="000000" w:themeColor="text1"/>
              <w:sz w:val="24"/>
              <w:szCs w:val="24"/>
            </w:rPr>
            <w:instrText xml:space="preserve"> TOC \o "1-3" \h \z \u </w:instrText>
          </w:r>
          <w:r w:rsidRPr="00D16F65">
            <w:rPr>
              <w:rFonts w:ascii="Times New Roman" w:hAnsi="Times New Roman" w:cs="Times New Roman"/>
              <w:b w:val="0"/>
              <w:bCs w:val="0"/>
              <w:color w:val="000000" w:themeColor="text1"/>
              <w:sz w:val="24"/>
              <w:szCs w:val="24"/>
            </w:rPr>
            <w:fldChar w:fldCharType="separate"/>
          </w:r>
          <w:hyperlink w:anchor="_Toc224817478" w:history="1">
            <w:r w:rsidR="004F3B1F" w:rsidRPr="00ED624B">
              <w:rPr>
                <w:rStyle w:val="Hyperlink"/>
                <w:rFonts w:ascii="Times New Roman" w:hAnsi="Times New Roman" w:cs="Times New Roman"/>
                <w:noProof/>
                <w:lang w:val="en-US"/>
              </w:rPr>
              <w:t>Part 1</w:t>
            </w:r>
            <w:r w:rsidR="004F3B1F">
              <w:rPr>
                <w:noProof/>
                <w:webHidden/>
              </w:rPr>
              <w:tab/>
            </w:r>
            <w:r w:rsidR="004F3B1F">
              <w:rPr>
                <w:noProof/>
                <w:webHidden/>
              </w:rPr>
              <w:fldChar w:fldCharType="begin"/>
            </w:r>
            <w:r w:rsidR="004F3B1F">
              <w:rPr>
                <w:noProof/>
                <w:webHidden/>
              </w:rPr>
              <w:instrText xml:space="preserve"> PAGEREF _Toc224817478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7ACD38A" w14:textId="62554876" w:rsidR="004F3B1F" w:rsidRDefault="00CB7125">
          <w:pPr>
            <w:pStyle w:val="TOC1"/>
            <w:tabs>
              <w:tab w:val="right" w:leader="dot" w:pos="9016"/>
            </w:tabs>
            <w:rPr>
              <w:rFonts w:eastAsiaTheme="minorEastAsia"/>
              <w:b w:val="0"/>
              <w:bCs w:val="0"/>
              <w:noProof/>
              <w:sz w:val="24"/>
              <w:szCs w:val="24"/>
              <w:lang w:eastAsia="en-GB"/>
            </w:rPr>
          </w:pPr>
          <w:hyperlink w:anchor="_Toc224817479" w:history="1">
            <w:r w:rsidR="004F3B1F" w:rsidRPr="00ED624B">
              <w:rPr>
                <w:rStyle w:val="Hyperlink"/>
                <w:rFonts w:ascii="Times New Roman" w:hAnsi="Times New Roman" w:cs="Times New Roman"/>
                <w:noProof/>
                <w:lang w:val="en-US"/>
              </w:rPr>
              <w:t>Option 3: Designing the Talent Ecosystem</w:t>
            </w:r>
            <w:r w:rsidR="004F3B1F">
              <w:rPr>
                <w:noProof/>
                <w:webHidden/>
              </w:rPr>
              <w:tab/>
            </w:r>
            <w:r w:rsidR="004F3B1F">
              <w:rPr>
                <w:noProof/>
                <w:webHidden/>
              </w:rPr>
              <w:fldChar w:fldCharType="begin"/>
            </w:r>
            <w:r w:rsidR="004F3B1F">
              <w:rPr>
                <w:noProof/>
                <w:webHidden/>
              </w:rPr>
              <w:instrText xml:space="preserve"> PAGEREF _Toc224817479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C3C4C31" w14:textId="63DCDB46" w:rsidR="004F3B1F" w:rsidRDefault="00CB7125">
          <w:pPr>
            <w:pStyle w:val="TOC2"/>
            <w:tabs>
              <w:tab w:val="right" w:leader="dot" w:pos="9016"/>
            </w:tabs>
            <w:rPr>
              <w:rFonts w:eastAsiaTheme="minorEastAsia"/>
              <w:i w:val="0"/>
              <w:iCs w:val="0"/>
              <w:noProof/>
              <w:sz w:val="24"/>
              <w:szCs w:val="24"/>
              <w:lang w:eastAsia="en-GB"/>
            </w:rPr>
          </w:pPr>
          <w:hyperlink w:anchor="_Toc224817480" w:history="1">
            <w:r w:rsidR="004F3B1F" w:rsidRPr="00ED624B">
              <w:rPr>
                <w:rStyle w:val="Hyperlink"/>
                <w:rFonts w:ascii="Times New Roman" w:hAnsi="Times New Roman" w:cs="Times New Roman"/>
                <w:b/>
                <w:bCs/>
                <w:noProof/>
                <w:lang w:val="en-US"/>
              </w:rPr>
              <w:t>A. Current Talent Ecosystem in Tech Companies</w:t>
            </w:r>
            <w:r w:rsidR="004F3B1F">
              <w:rPr>
                <w:noProof/>
                <w:webHidden/>
              </w:rPr>
              <w:tab/>
            </w:r>
            <w:r w:rsidR="004F3B1F">
              <w:rPr>
                <w:noProof/>
                <w:webHidden/>
              </w:rPr>
              <w:fldChar w:fldCharType="begin"/>
            </w:r>
            <w:r w:rsidR="004F3B1F">
              <w:rPr>
                <w:noProof/>
                <w:webHidden/>
              </w:rPr>
              <w:instrText xml:space="preserve"> PAGEREF _Toc224817480 \h </w:instrText>
            </w:r>
            <w:r w:rsidR="004F3B1F">
              <w:rPr>
                <w:noProof/>
                <w:webHidden/>
              </w:rPr>
            </w:r>
            <w:r w:rsidR="004F3B1F">
              <w:rPr>
                <w:noProof/>
                <w:webHidden/>
              </w:rPr>
              <w:fldChar w:fldCharType="separate"/>
            </w:r>
            <w:r w:rsidR="004F3B1F">
              <w:rPr>
                <w:noProof/>
                <w:webHidden/>
              </w:rPr>
              <w:t>4</w:t>
            </w:r>
            <w:r w:rsidR="004F3B1F">
              <w:rPr>
                <w:noProof/>
                <w:webHidden/>
              </w:rPr>
              <w:fldChar w:fldCharType="end"/>
            </w:r>
          </w:hyperlink>
        </w:p>
        <w:p w14:paraId="6043E5B1" w14:textId="464D62D2" w:rsidR="004F3B1F" w:rsidRDefault="00CB7125">
          <w:pPr>
            <w:pStyle w:val="TOC2"/>
            <w:tabs>
              <w:tab w:val="right" w:leader="dot" w:pos="9016"/>
            </w:tabs>
            <w:rPr>
              <w:rFonts w:eastAsiaTheme="minorEastAsia"/>
              <w:i w:val="0"/>
              <w:iCs w:val="0"/>
              <w:noProof/>
              <w:sz w:val="24"/>
              <w:szCs w:val="24"/>
              <w:lang w:eastAsia="en-GB"/>
            </w:rPr>
          </w:pPr>
          <w:hyperlink w:anchor="_Toc224817481" w:history="1">
            <w:r w:rsidR="004F3B1F" w:rsidRPr="00ED624B">
              <w:rPr>
                <w:rStyle w:val="Hyperlink"/>
                <w:rFonts w:ascii="Times New Roman" w:hAnsi="Times New Roman" w:cs="Times New Roman"/>
                <w:b/>
                <w:bCs/>
                <w:noProof/>
                <w:lang w:val="en-US"/>
              </w:rPr>
              <w:t>B. Strategic Build vs. Buy Talent Model for Aether</w:t>
            </w:r>
            <w:r w:rsidR="004F3B1F">
              <w:rPr>
                <w:noProof/>
                <w:webHidden/>
              </w:rPr>
              <w:tab/>
            </w:r>
            <w:r w:rsidR="004F3B1F">
              <w:rPr>
                <w:noProof/>
                <w:webHidden/>
              </w:rPr>
              <w:fldChar w:fldCharType="begin"/>
            </w:r>
            <w:r w:rsidR="004F3B1F">
              <w:rPr>
                <w:noProof/>
                <w:webHidden/>
              </w:rPr>
              <w:instrText xml:space="preserve"> PAGEREF _Toc224817481 \h </w:instrText>
            </w:r>
            <w:r w:rsidR="004F3B1F">
              <w:rPr>
                <w:noProof/>
                <w:webHidden/>
              </w:rPr>
            </w:r>
            <w:r w:rsidR="004F3B1F">
              <w:rPr>
                <w:noProof/>
                <w:webHidden/>
              </w:rPr>
              <w:fldChar w:fldCharType="separate"/>
            </w:r>
            <w:r w:rsidR="004F3B1F">
              <w:rPr>
                <w:noProof/>
                <w:webHidden/>
              </w:rPr>
              <w:t>6</w:t>
            </w:r>
            <w:r w:rsidR="004F3B1F">
              <w:rPr>
                <w:noProof/>
                <w:webHidden/>
              </w:rPr>
              <w:fldChar w:fldCharType="end"/>
            </w:r>
          </w:hyperlink>
        </w:p>
        <w:p w14:paraId="27CF94BD" w14:textId="0302E22E" w:rsidR="004F3B1F" w:rsidRDefault="00CB7125">
          <w:pPr>
            <w:pStyle w:val="TOC1"/>
            <w:tabs>
              <w:tab w:val="right" w:leader="dot" w:pos="9016"/>
            </w:tabs>
            <w:rPr>
              <w:rFonts w:eastAsiaTheme="minorEastAsia"/>
              <w:b w:val="0"/>
              <w:bCs w:val="0"/>
              <w:noProof/>
              <w:sz w:val="24"/>
              <w:szCs w:val="24"/>
              <w:lang w:eastAsia="en-GB"/>
            </w:rPr>
          </w:pPr>
          <w:hyperlink w:anchor="_Toc224817482" w:history="1">
            <w:r w:rsidR="004F3B1F" w:rsidRPr="00ED624B">
              <w:rPr>
                <w:rStyle w:val="Hyperlink"/>
                <w:rFonts w:ascii="Times New Roman" w:hAnsi="Times New Roman" w:cs="Times New Roman"/>
                <w:noProof/>
              </w:rPr>
              <w:t>Part 2: Reflection</w:t>
            </w:r>
            <w:r w:rsidR="004F3B1F">
              <w:rPr>
                <w:noProof/>
                <w:webHidden/>
              </w:rPr>
              <w:tab/>
            </w:r>
            <w:r w:rsidR="004F3B1F">
              <w:rPr>
                <w:noProof/>
                <w:webHidden/>
              </w:rPr>
              <w:fldChar w:fldCharType="begin"/>
            </w:r>
            <w:r w:rsidR="004F3B1F">
              <w:rPr>
                <w:noProof/>
                <w:webHidden/>
              </w:rPr>
              <w:instrText xml:space="preserve"> PAGEREF _Toc224817482 \h </w:instrText>
            </w:r>
            <w:r w:rsidR="004F3B1F">
              <w:rPr>
                <w:noProof/>
                <w:webHidden/>
              </w:rPr>
            </w:r>
            <w:r w:rsidR="004F3B1F">
              <w:rPr>
                <w:noProof/>
                <w:webHidden/>
              </w:rPr>
              <w:fldChar w:fldCharType="separate"/>
            </w:r>
            <w:r w:rsidR="004F3B1F">
              <w:rPr>
                <w:noProof/>
                <w:webHidden/>
              </w:rPr>
              <w:t>8</w:t>
            </w:r>
            <w:r w:rsidR="004F3B1F">
              <w:rPr>
                <w:noProof/>
                <w:webHidden/>
              </w:rPr>
              <w:fldChar w:fldCharType="end"/>
            </w:r>
          </w:hyperlink>
        </w:p>
        <w:p w14:paraId="6189DD8A" w14:textId="72FA0E7A" w:rsidR="004F3B1F" w:rsidRDefault="00CB7125">
          <w:pPr>
            <w:pStyle w:val="TOC1"/>
            <w:tabs>
              <w:tab w:val="right" w:leader="dot" w:pos="9016"/>
            </w:tabs>
            <w:rPr>
              <w:rFonts w:eastAsiaTheme="minorEastAsia"/>
              <w:b w:val="0"/>
              <w:bCs w:val="0"/>
              <w:noProof/>
              <w:sz w:val="24"/>
              <w:szCs w:val="24"/>
              <w:lang w:eastAsia="en-GB"/>
            </w:rPr>
          </w:pPr>
          <w:hyperlink w:anchor="_Toc224817483" w:history="1">
            <w:r w:rsidR="004F3B1F" w:rsidRPr="00ED624B">
              <w:rPr>
                <w:rStyle w:val="Hyperlink"/>
                <w:rFonts w:ascii="Times New Roman" w:hAnsi="Times New Roman" w:cs="Times New Roman"/>
                <w:noProof/>
                <w:lang w:val="en-US"/>
              </w:rPr>
              <w:t>References</w:t>
            </w:r>
            <w:r w:rsidR="004F3B1F">
              <w:rPr>
                <w:noProof/>
                <w:webHidden/>
              </w:rPr>
              <w:tab/>
            </w:r>
            <w:r w:rsidR="004F3B1F">
              <w:rPr>
                <w:noProof/>
                <w:webHidden/>
              </w:rPr>
              <w:fldChar w:fldCharType="begin"/>
            </w:r>
            <w:r w:rsidR="004F3B1F">
              <w:rPr>
                <w:noProof/>
                <w:webHidden/>
              </w:rPr>
              <w:instrText xml:space="preserve"> PAGEREF _Toc224817483 \h </w:instrText>
            </w:r>
            <w:r w:rsidR="004F3B1F">
              <w:rPr>
                <w:noProof/>
                <w:webHidden/>
              </w:rPr>
            </w:r>
            <w:r w:rsidR="004F3B1F">
              <w:rPr>
                <w:noProof/>
                <w:webHidden/>
              </w:rPr>
              <w:fldChar w:fldCharType="separate"/>
            </w:r>
            <w:r w:rsidR="004F3B1F">
              <w:rPr>
                <w:noProof/>
                <w:webHidden/>
              </w:rPr>
              <w:t>12</w:t>
            </w:r>
            <w:r w:rsidR="004F3B1F">
              <w:rPr>
                <w:noProof/>
                <w:webHidden/>
              </w:rPr>
              <w:fldChar w:fldCharType="end"/>
            </w:r>
          </w:hyperlink>
        </w:p>
        <w:p w14:paraId="44D1DF91" w14:textId="0104F0E5" w:rsidR="00D16F65" w:rsidRPr="00D16F65" w:rsidRDefault="00D16F65"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b/>
              <w:bCs/>
              <w:noProof/>
              <w:color w:val="000000" w:themeColor="text1"/>
            </w:rPr>
            <w:fldChar w:fldCharType="end"/>
          </w:r>
        </w:p>
      </w:sdtContent>
    </w:sdt>
    <w:p w14:paraId="31BEAD08" w14:textId="77777777" w:rsidR="002939C1" w:rsidRDefault="002939C1">
      <w:pPr>
        <w:rPr>
          <w:rFonts w:ascii="Times New Roman" w:hAnsi="Times New Roman" w:cs="Times New Roman"/>
          <w:color w:val="000000" w:themeColor="text1"/>
          <w:lang w:val="en-US"/>
        </w:rPr>
      </w:pPr>
      <w:r>
        <w:rPr>
          <w:rFonts w:ascii="Times New Roman" w:hAnsi="Times New Roman" w:cs="Times New Roman"/>
          <w:color w:val="000000" w:themeColor="text1"/>
          <w:lang w:val="en-US"/>
        </w:rPr>
        <w:br w:type="page"/>
      </w:r>
    </w:p>
    <w:p w14:paraId="0BAEA163"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lastRenderedPageBreak/>
        <w:t xml:space="preserve">Report To: The Board of Directors, Aether Innovations </w:t>
      </w:r>
    </w:p>
    <w:p w14:paraId="22EDDCCF"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From: Human Capital Consultant </w:t>
      </w:r>
    </w:p>
    <w:p w14:paraId="42185D0B"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Date: March 2026</w:t>
      </w:r>
    </w:p>
    <w:p w14:paraId="6C16137B"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Subject: Integrated Human Capital Blueprint: Aligning People and Performance </w:t>
      </w:r>
    </w:p>
    <w:p w14:paraId="75CB3CE6" w14:textId="77777777" w:rsidR="002939C1" w:rsidRDefault="002939C1" w:rsidP="00D16F65">
      <w:pPr>
        <w:adjustRightInd w:val="0"/>
        <w:snapToGrid w:val="0"/>
        <w:spacing w:before="240" w:after="240" w:line="360" w:lineRule="auto"/>
        <w:jc w:val="both"/>
        <w:rPr>
          <w:rFonts w:ascii="Times New Roman" w:hAnsi="Times New Roman" w:cs="Times New Roman"/>
          <w:color w:val="000000" w:themeColor="text1"/>
          <w:lang w:val="en-US"/>
        </w:rPr>
      </w:pPr>
    </w:p>
    <w:p w14:paraId="20B7FEC1" w14:textId="77777777" w:rsidR="002939C1" w:rsidRPr="002939C1" w:rsidRDefault="002939C1"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2939C1">
        <w:rPr>
          <w:rFonts w:ascii="Times New Roman" w:hAnsi="Times New Roman" w:cs="Times New Roman"/>
          <w:b/>
          <w:bCs/>
          <w:color w:val="000000" w:themeColor="text1"/>
          <w:lang w:val="en-US"/>
        </w:rPr>
        <w:t xml:space="preserve">Executive Summary </w:t>
      </w:r>
    </w:p>
    <w:p w14:paraId="5CD77044" w14:textId="77777777" w:rsidR="004F3B1F" w:rsidRDefault="004F3B1F"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Aether Innovations faces issues of flat revenue growth and low retention which is leading to declining number of satisfied customers. The reasons are identified as limited development among employees and skill gap amid AI era. The report examines the latest tech talent ecosystem and proposes an integrated HR strategy. </w:t>
      </w:r>
    </w:p>
    <w:p w14:paraId="27530336" w14:textId="282EE2C2" w:rsidR="00D16F65" w:rsidRPr="00D16F65" w:rsidRDefault="004F3B1F" w:rsidP="00D16F65">
      <w:pPr>
        <w:adjustRightInd w:val="0"/>
        <w:snapToGrid w:val="0"/>
        <w:spacing w:before="240" w:after="240" w:line="360" w:lineRule="auto"/>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The main strategy is the Build Vs Buy Model to develop high potential employees using Human Capital Theory and Resource Base View. A structured mentorship is identified as an effective solution to disengagement. The company needs to invest in their employee training to improve AI literacy. Aether can change its challenges into competitive benefits to become a high performing innovator in the tech industry.  </w:t>
      </w:r>
      <w:r w:rsidR="00D16F65" w:rsidRPr="00D16F65">
        <w:rPr>
          <w:rFonts w:ascii="Times New Roman" w:hAnsi="Times New Roman" w:cs="Times New Roman"/>
          <w:color w:val="000000" w:themeColor="text1"/>
          <w:lang w:val="en-US"/>
        </w:rPr>
        <w:br w:type="page"/>
      </w:r>
    </w:p>
    <w:p w14:paraId="7D4B24DC" w14:textId="646FD17A" w:rsidR="002B776B" w:rsidRDefault="002B776B"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1" w:name="_Toc224817478"/>
      <w:r>
        <w:rPr>
          <w:rFonts w:ascii="Times New Roman" w:hAnsi="Times New Roman" w:cs="Times New Roman"/>
          <w:b/>
          <w:bCs/>
          <w:color w:val="000000" w:themeColor="text1"/>
          <w:sz w:val="24"/>
          <w:szCs w:val="24"/>
          <w:lang w:val="en-US"/>
        </w:rPr>
        <w:lastRenderedPageBreak/>
        <w:t>Part 1</w:t>
      </w:r>
      <w:bookmarkEnd w:id="1"/>
    </w:p>
    <w:p w14:paraId="01EBD1B9" w14:textId="4C088109" w:rsidR="007B234F" w:rsidRPr="00D16F65" w:rsidRDefault="007B234F"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2" w:name="_Toc224817479"/>
      <w:r w:rsidRPr="00D16F65">
        <w:rPr>
          <w:rFonts w:ascii="Times New Roman" w:hAnsi="Times New Roman" w:cs="Times New Roman"/>
          <w:b/>
          <w:bCs/>
          <w:color w:val="000000" w:themeColor="text1"/>
          <w:sz w:val="24"/>
          <w:szCs w:val="24"/>
          <w:lang w:val="en-US"/>
        </w:rPr>
        <w:t>Option 3: Designing the T</w:t>
      </w:r>
      <w:r w:rsidR="00BE0969">
        <w:rPr>
          <w:rFonts w:ascii="Times New Roman" w:hAnsi="Times New Roman" w:cs="Times New Roman"/>
          <w:b/>
          <w:bCs/>
          <w:color w:val="000000" w:themeColor="text1"/>
          <w:sz w:val="24"/>
          <w:szCs w:val="24"/>
          <w:lang w:val="en-US"/>
        </w:rPr>
        <w:t>a</w:t>
      </w:r>
      <w:r w:rsidRPr="00D16F65">
        <w:rPr>
          <w:rFonts w:ascii="Times New Roman" w:hAnsi="Times New Roman" w:cs="Times New Roman"/>
          <w:b/>
          <w:bCs/>
          <w:color w:val="000000" w:themeColor="text1"/>
          <w:sz w:val="24"/>
          <w:szCs w:val="24"/>
          <w:lang w:val="en-US"/>
        </w:rPr>
        <w:t>lent Ecosystem</w:t>
      </w:r>
      <w:bookmarkEnd w:id="2"/>
      <w:r w:rsidRPr="00D16F65">
        <w:rPr>
          <w:rFonts w:ascii="Times New Roman" w:hAnsi="Times New Roman" w:cs="Times New Roman"/>
          <w:b/>
          <w:bCs/>
          <w:color w:val="000000" w:themeColor="text1"/>
          <w:sz w:val="24"/>
          <w:szCs w:val="24"/>
          <w:lang w:val="en-US"/>
        </w:rPr>
        <w:t xml:space="preserve"> </w:t>
      </w:r>
    </w:p>
    <w:p w14:paraId="2EF809B9" w14:textId="37D08699" w:rsidR="007B234F" w:rsidRPr="00D16F65" w:rsidRDefault="00801EDF" w:rsidP="00D16F65">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3" w:name="_Toc224817480"/>
      <w:r w:rsidRPr="00D16F65">
        <w:rPr>
          <w:rFonts w:ascii="Times New Roman" w:hAnsi="Times New Roman" w:cs="Times New Roman"/>
          <w:b/>
          <w:bCs/>
          <w:color w:val="000000" w:themeColor="text1"/>
          <w:sz w:val="24"/>
          <w:szCs w:val="24"/>
          <w:lang w:val="en-US"/>
        </w:rPr>
        <w:t>A.</w:t>
      </w:r>
      <w:r w:rsidR="007B234F" w:rsidRPr="00D16F65">
        <w:rPr>
          <w:rFonts w:ascii="Times New Roman" w:hAnsi="Times New Roman" w:cs="Times New Roman"/>
          <w:b/>
          <w:bCs/>
          <w:color w:val="000000" w:themeColor="text1"/>
          <w:sz w:val="24"/>
          <w:szCs w:val="24"/>
          <w:lang w:val="en-US"/>
        </w:rPr>
        <w:t xml:space="preserve"> Current Talent Ecosystem in Tech Companies</w:t>
      </w:r>
      <w:bookmarkEnd w:id="3"/>
      <w:r w:rsidR="007B234F" w:rsidRPr="00D16F65">
        <w:rPr>
          <w:rFonts w:ascii="Times New Roman" w:hAnsi="Times New Roman" w:cs="Times New Roman"/>
          <w:b/>
          <w:bCs/>
          <w:color w:val="000000" w:themeColor="text1"/>
          <w:sz w:val="24"/>
          <w:szCs w:val="24"/>
          <w:lang w:val="en-US"/>
        </w:rPr>
        <w:t xml:space="preserve"> </w:t>
      </w:r>
    </w:p>
    <w:p w14:paraId="1C02BCEC" w14:textId="27420141"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 xml:space="preserve">The tech talent landscape has a high demand for AI-augmented senior talent and skill-based roles. A </w:t>
      </w:r>
      <w:r w:rsidR="00D16F65" w:rsidRPr="00D16F65">
        <w:rPr>
          <w:rFonts w:ascii="Times New Roman" w:hAnsi="Times New Roman" w:cs="Times New Roman"/>
          <w:color w:val="000000" w:themeColor="text1"/>
          <w:lang w:val="en-US"/>
        </w:rPr>
        <w:t>report by Global Tech Talent Guidebook (2025)</w:t>
      </w:r>
      <w:r w:rsidRPr="00D16F65">
        <w:rPr>
          <w:rFonts w:ascii="Times New Roman" w:hAnsi="Times New Roman" w:cs="Times New Roman"/>
          <w:color w:val="000000" w:themeColor="text1"/>
          <w:lang w:val="en-US"/>
        </w:rPr>
        <w:t xml:space="preserve"> that integration of AI is reshaping the strategies of the workforce because CEOs prioritize AI proficiency as the top skill requirement for the upcoming years. There is a massive talent shortage in this area, including cyber security and cloud engineering, that costs the global economy trillions in terms of productivity loss</w:t>
      </w:r>
      <w:r w:rsidR="00977930">
        <w:rPr>
          <w:rFonts w:ascii="Times New Roman" w:hAnsi="Times New Roman" w:cs="Times New Roman"/>
          <w:color w:val="000000" w:themeColor="text1"/>
          <w:lang w:val="en-US"/>
        </w:rPr>
        <w:t xml:space="preserve"> (Huang, et. al., 2023)</w:t>
      </w:r>
      <w:r w:rsidRPr="00D16F65">
        <w:rPr>
          <w:rFonts w:ascii="Times New Roman" w:hAnsi="Times New Roman" w:cs="Times New Roman"/>
          <w:color w:val="000000" w:themeColor="text1"/>
          <w:lang w:val="en-US"/>
        </w:rPr>
        <w:t xml:space="preserve">. The current talent ecosystem trends include: </w:t>
      </w:r>
    </w:p>
    <w:p w14:paraId="30167676" w14:textId="422941D3"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b/>
          <w:bCs/>
          <w:color w:val="000000" w:themeColor="text1"/>
          <w:lang w:val="en-US"/>
        </w:rPr>
        <w:t xml:space="preserve">AI Driven Shifts and Skills as </w:t>
      </w:r>
      <w:r w:rsidR="00801EDF" w:rsidRPr="00D16F65">
        <w:rPr>
          <w:rFonts w:ascii="Times New Roman" w:hAnsi="Times New Roman" w:cs="Times New Roman"/>
          <w:b/>
          <w:bCs/>
          <w:color w:val="000000" w:themeColor="text1"/>
          <w:lang w:val="en-US"/>
        </w:rPr>
        <w:t xml:space="preserve">the New </w:t>
      </w:r>
      <w:r w:rsidRPr="00D16F65">
        <w:rPr>
          <w:rFonts w:ascii="Times New Roman" w:hAnsi="Times New Roman" w:cs="Times New Roman"/>
          <w:b/>
          <w:bCs/>
          <w:color w:val="000000" w:themeColor="text1"/>
          <w:lang w:val="en-US"/>
        </w:rPr>
        <w:t>Currency</w:t>
      </w:r>
      <w:r w:rsidRPr="00D16F65">
        <w:rPr>
          <w:rFonts w:ascii="Times New Roman" w:hAnsi="Times New Roman" w:cs="Times New Roman"/>
          <w:color w:val="000000" w:themeColor="text1"/>
          <w:lang w:val="en-US"/>
        </w:rPr>
        <w:t xml:space="preserve">: the organizations these days are moving from siloed talent functions to integrated ecosystems where skill wins over degrees. </w:t>
      </w:r>
      <w:r w:rsidR="00D16F65" w:rsidRPr="00D16F65">
        <w:rPr>
          <w:rFonts w:ascii="Times New Roman" w:hAnsi="Times New Roman" w:cs="Times New Roman"/>
          <w:color w:val="000000" w:themeColor="text1"/>
          <w:lang w:val="en-US"/>
        </w:rPr>
        <w:t>A recent interview study of 50 HR by EY (2025)</w:t>
      </w:r>
      <w:r w:rsidRPr="00D16F65">
        <w:rPr>
          <w:rFonts w:ascii="Times New Roman" w:hAnsi="Times New Roman" w:cs="Times New Roman"/>
          <w:color w:val="000000" w:themeColor="text1"/>
          <w:lang w:val="en-US"/>
        </w:rPr>
        <w:t xml:space="preserve"> highlight that AI-first HR is evolving from automation to agentic support. The internal mobility marketplaces are becoming core strategies. Now companies want to create capabilities in real time that blend humans and data for adaptability. This is why there is a massive drop in entry-level tech hiring because companies want experienced talent who can immediately use tools like copilot</w:t>
      </w:r>
      <w:r w:rsidR="00977930">
        <w:rPr>
          <w:rFonts w:ascii="Times New Roman" w:hAnsi="Times New Roman" w:cs="Times New Roman"/>
          <w:color w:val="000000" w:themeColor="text1"/>
          <w:lang w:val="en-US"/>
        </w:rPr>
        <w:t xml:space="preserve"> (Mikalef, et. al., 2023)</w:t>
      </w:r>
      <w:r w:rsidRPr="00D16F65">
        <w:rPr>
          <w:rFonts w:ascii="Times New Roman" w:hAnsi="Times New Roman" w:cs="Times New Roman"/>
          <w:color w:val="000000" w:themeColor="text1"/>
          <w:lang w:val="en-US"/>
        </w:rPr>
        <w:t>.</w:t>
      </w:r>
    </w:p>
    <w:p w14:paraId="339BDA52" w14:textId="3C97C395"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b/>
          <w:bCs/>
          <w:color w:val="000000" w:themeColor="text1"/>
          <w:lang w:val="en-US"/>
        </w:rPr>
        <w:t>Blended workforce and flexibility</w:t>
      </w:r>
      <w:r w:rsidRPr="00D16F65">
        <w:rPr>
          <w:rFonts w:ascii="Times New Roman" w:hAnsi="Times New Roman" w:cs="Times New Roman"/>
          <w:color w:val="000000" w:themeColor="text1"/>
          <w:lang w:val="en-US"/>
        </w:rPr>
        <w:t>: there is a rise of teams that consist of employees, AI agents, contractors, etc. that are also called blended teams. This new kind of workforce is re-creating the rules of talent acquisition while focusing on transferable skills over jobs. This is why junior roles are being reduced due to automation and talent is pushed towards adaptability</w:t>
      </w:r>
      <w:r w:rsidR="00D16F65" w:rsidRPr="00D16F65">
        <w:rPr>
          <w:rFonts w:ascii="Times New Roman" w:hAnsi="Times New Roman" w:cs="Times New Roman"/>
          <w:color w:val="000000" w:themeColor="text1"/>
          <w:lang w:val="en-US"/>
        </w:rPr>
        <w:t xml:space="preserve"> (McKinsey &amp; Company, 2025)</w:t>
      </w:r>
      <w:r w:rsidRPr="00D16F65">
        <w:rPr>
          <w:rFonts w:ascii="Times New Roman" w:hAnsi="Times New Roman" w:cs="Times New Roman"/>
          <w:color w:val="000000" w:themeColor="text1"/>
          <w:lang w:val="en-US"/>
        </w:rPr>
        <w:t>.</w:t>
      </w:r>
    </w:p>
    <w:p w14:paraId="5E34F999" w14:textId="77777777"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Hiring and Workforce Dynamics </w:t>
      </w:r>
    </w:p>
    <w:p w14:paraId="240E0B16" w14:textId="58B98F14"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The market is employer favored but very complex because global hiring is becoming uncertain due to precision hiring requirements</w:t>
      </w:r>
      <w:r w:rsidR="00977930">
        <w:rPr>
          <w:rFonts w:ascii="Times New Roman" w:hAnsi="Times New Roman" w:cs="Times New Roman"/>
          <w:color w:val="000000" w:themeColor="text1"/>
          <w:lang w:val="en-US"/>
        </w:rPr>
        <w:t xml:space="preserve"> (Kolade and Owoseni, 2022)</w:t>
      </w:r>
      <w:r w:rsidRPr="00D16F65">
        <w:rPr>
          <w:rFonts w:ascii="Times New Roman" w:hAnsi="Times New Roman" w:cs="Times New Roman"/>
          <w:color w:val="000000" w:themeColor="text1"/>
          <w:lang w:val="en-US"/>
        </w:rPr>
        <w:t>. The tech leaders plan permanent hires and they prefer contract-based roles to bridge gaps. The global talent is talent flows, also favoring emerging hubs where countries like India dominate the IT outsourcing and Eastern Europe is growing in fintech and cyber security</w:t>
      </w:r>
      <w:r w:rsidR="00D16F65" w:rsidRPr="00D16F65">
        <w:rPr>
          <w:rFonts w:ascii="Times New Roman" w:hAnsi="Times New Roman" w:cs="Times New Roman"/>
          <w:color w:val="000000" w:themeColor="text1"/>
          <w:lang w:val="en-US"/>
        </w:rPr>
        <w:t xml:space="preserve"> (Ovcharenko. 2025)</w:t>
      </w:r>
      <w:r w:rsidRPr="00D16F65">
        <w:rPr>
          <w:rFonts w:ascii="Times New Roman" w:hAnsi="Times New Roman" w:cs="Times New Roman"/>
          <w:color w:val="000000" w:themeColor="text1"/>
          <w:lang w:val="en-US"/>
        </w:rPr>
        <w:t xml:space="preserve">. The blended models are becoming very standard because gig opportunities are being prioritized by </w:t>
      </w:r>
      <w:r w:rsidRPr="00D16F65">
        <w:rPr>
          <w:rFonts w:ascii="Times New Roman" w:hAnsi="Times New Roman" w:cs="Times New Roman"/>
          <w:color w:val="000000" w:themeColor="text1"/>
          <w:lang w:val="en-US"/>
        </w:rPr>
        <w:lastRenderedPageBreak/>
        <w:t>companies. This high level of geo flexibility creates an alignment between cost and skills through offshoring.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1"/>
        <w:gridCol w:w="3429"/>
        <w:gridCol w:w="3936"/>
      </w:tblGrid>
      <w:tr w:rsidR="00D16F65" w:rsidRPr="00D16F65" w14:paraId="47918875" w14:textId="77777777" w:rsidTr="00DE4B29">
        <w:trPr>
          <w:tblHeader/>
          <w:tblCellSpacing w:w="15" w:type="dxa"/>
        </w:trPr>
        <w:tc>
          <w:tcPr>
            <w:tcW w:w="0" w:type="auto"/>
            <w:vAlign w:val="center"/>
            <w:hideMark/>
          </w:tcPr>
          <w:p w14:paraId="5DB81D99"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Trend</w:t>
            </w:r>
          </w:p>
        </w:tc>
        <w:tc>
          <w:tcPr>
            <w:tcW w:w="0" w:type="auto"/>
            <w:vAlign w:val="center"/>
            <w:hideMark/>
          </w:tcPr>
          <w:p w14:paraId="7B546061"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Impact on Tech Firms</w:t>
            </w:r>
          </w:p>
        </w:tc>
        <w:tc>
          <w:tcPr>
            <w:tcW w:w="0" w:type="auto"/>
            <w:vAlign w:val="center"/>
            <w:hideMark/>
          </w:tcPr>
          <w:p w14:paraId="6F02555B" w14:textId="77777777" w:rsidR="007B234F" w:rsidRPr="007B234F" w:rsidRDefault="007B234F" w:rsidP="00D16F65">
            <w:pPr>
              <w:adjustRightInd w:val="0"/>
              <w:snapToGrid w:val="0"/>
              <w:spacing w:before="240" w:after="240" w:line="360" w:lineRule="auto"/>
              <w:jc w:val="both"/>
              <w:rPr>
                <w:rFonts w:ascii="Times New Roman" w:hAnsi="Times New Roman" w:cs="Times New Roman"/>
                <w:b/>
                <w:bCs/>
                <w:color w:val="000000" w:themeColor="text1"/>
              </w:rPr>
            </w:pPr>
            <w:r w:rsidRPr="007B234F">
              <w:rPr>
                <w:rFonts w:ascii="Times New Roman" w:hAnsi="Times New Roman" w:cs="Times New Roman"/>
                <w:b/>
                <w:bCs/>
                <w:color w:val="000000" w:themeColor="text1"/>
              </w:rPr>
              <w:t>Relevance to Aether</w:t>
            </w:r>
          </w:p>
        </w:tc>
      </w:tr>
      <w:tr w:rsidR="00D16F65" w:rsidRPr="00D16F65" w14:paraId="02B3AB45" w14:textId="77777777" w:rsidTr="00DE4B29">
        <w:trPr>
          <w:tblCellSpacing w:w="15" w:type="dxa"/>
        </w:trPr>
        <w:tc>
          <w:tcPr>
            <w:tcW w:w="0" w:type="auto"/>
            <w:vAlign w:val="center"/>
            <w:hideMark/>
          </w:tcPr>
          <w:p w14:paraId="352CC8D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AI Skills Gap</w:t>
            </w:r>
          </w:p>
        </w:tc>
        <w:tc>
          <w:tcPr>
            <w:tcW w:w="0" w:type="auto"/>
            <w:vAlign w:val="center"/>
            <w:hideMark/>
          </w:tcPr>
          <w:p w14:paraId="1221E63B"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78% of IT roles require AI expertise, shortages in governance.</w:t>
            </w:r>
          </w:p>
        </w:tc>
        <w:tc>
          <w:tcPr>
            <w:tcW w:w="0" w:type="auto"/>
            <w:vAlign w:val="center"/>
            <w:hideMark/>
          </w:tcPr>
          <w:p w14:paraId="398A1E2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Flat growth from underutilized AI, high turnover among non-upskilled staff.</w:t>
            </w:r>
          </w:p>
        </w:tc>
      </w:tr>
      <w:tr w:rsidR="00D16F65" w:rsidRPr="00D16F65" w14:paraId="7346E475" w14:textId="77777777" w:rsidTr="00DE4B29">
        <w:trPr>
          <w:tblCellSpacing w:w="15" w:type="dxa"/>
        </w:trPr>
        <w:tc>
          <w:tcPr>
            <w:tcW w:w="0" w:type="auto"/>
            <w:vAlign w:val="center"/>
            <w:hideMark/>
          </w:tcPr>
          <w:p w14:paraId="41BE1529"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Blended Workforces</w:t>
            </w:r>
          </w:p>
        </w:tc>
        <w:tc>
          <w:tcPr>
            <w:tcW w:w="0" w:type="auto"/>
            <w:vAlign w:val="center"/>
            <w:hideMark/>
          </w:tcPr>
          <w:p w14:paraId="343EAE59"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 xml:space="preserve">Shift to gig/AI hybrid workforces </w:t>
            </w:r>
          </w:p>
        </w:tc>
        <w:tc>
          <w:tcPr>
            <w:tcW w:w="0" w:type="auto"/>
            <w:vAlign w:val="center"/>
            <w:hideMark/>
          </w:tcPr>
          <w:p w14:paraId="63B35EC0"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Opportunity to integrate contractors for innovation spikes.</w:t>
            </w:r>
          </w:p>
        </w:tc>
      </w:tr>
      <w:tr w:rsidR="00D16F65" w:rsidRPr="00D16F65" w14:paraId="07D612EF" w14:textId="77777777" w:rsidTr="00DE4B29">
        <w:trPr>
          <w:tblCellSpacing w:w="15" w:type="dxa"/>
        </w:trPr>
        <w:tc>
          <w:tcPr>
            <w:tcW w:w="0" w:type="auto"/>
            <w:vAlign w:val="center"/>
            <w:hideMark/>
          </w:tcPr>
          <w:p w14:paraId="01B74E40"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Skills-Based Hiring</w:t>
            </w:r>
          </w:p>
        </w:tc>
        <w:tc>
          <w:tcPr>
            <w:tcW w:w="0" w:type="auto"/>
            <w:vAlign w:val="center"/>
            <w:hideMark/>
          </w:tcPr>
          <w:p w14:paraId="70419662"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Focus on evidence over credentials</w:t>
            </w:r>
          </w:p>
        </w:tc>
        <w:tc>
          <w:tcPr>
            <w:tcW w:w="0" w:type="auto"/>
            <w:vAlign w:val="center"/>
            <w:hideMark/>
          </w:tcPr>
          <w:p w14:paraId="1F33231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Reduce turnover by promoting from within, addressing satisfaction drops.</w:t>
            </w:r>
          </w:p>
        </w:tc>
      </w:tr>
      <w:tr w:rsidR="00D16F65" w:rsidRPr="00D16F65" w14:paraId="4086B402" w14:textId="77777777" w:rsidTr="00DE4B29">
        <w:trPr>
          <w:tblCellSpacing w:w="15" w:type="dxa"/>
        </w:trPr>
        <w:tc>
          <w:tcPr>
            <w:tcW w:w="0" w:type="auto"/>
            <w:vAlign w:val="center"/>
            <w:hideMark/>
          </w:tcPr>
          <w:p w14:paraId="3AA10BAE"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Power Skills Emphasis</w:t>
            </w:r>
          </w:p>
        </w:tc>
        <w:tc>
          <w:tcPr>
            <w:tcW w:w="0" w:type="auto"/>
            <w:vAlign w:val="center"/>
            <w:hideMark/>
          </w:tcPr>
          <w:p w14:paraId="4F49D62C"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Human-centric skills as AI differentiators.</w:t>
            </w:r>
          </w:p>
        </w:tc>
        <w:tc>
          <w:tcPr>
            <w:tcW w:w="0" w:type="auto"/>
            <w:vAlign w:val="center"/>
            <w:hideMark/>
          </w:tcPr>
          <w:p w14:paraId="5EAA2628" w14:textId="77777777" w:rsidR="007B234F" w:rsidRPr="007B234F" w:rsidRDefault="007B234F" w:rsidP="00D16F65">
            <w:pPr>
              <w:adjustRightInd w:val="0"/>
              <w:snapToGrid w:val="0"/>
              <w:spacing w:before="240" w:after="240" w:line="360" w:lineRule="auto"/>
              <w:jc w:val="both"/>
              <w:rPr>
                <w:rFonts w:ascii="Times New Roman" w:hAnsi="Times New Roman" w:cs="Times New Roman"/>
                <w:color w:val="000000" w:themeColor="text1"/>
              </w:rPr>
            </w:pPr>
            <w:r w:rsidRPr="007B234F">
              <w:rPr>
                <w:rFonts w:ascii="Times New Roman" w:hAnsi="Times New Roman" w:cs="Times New Roman"/>
                <w:color w:val="000000" w:themeColor="text1"/>
              </w:rPr>
              <w:t>Rebuild engagement through wellness and development programs.</w:t>
            </w:r>
          </w:p>
        </w:tc>
      </w:tr>
    </w:tbl>
    <w:p w14:paraId="432EFFCB" w14:textId="77777777" w:rsidR="007B234F" w:rsidRPr="00D16F65" w:rsidRDefault="007B234F" w:rsidP="00D16F65">
      <w:pPr>
        <w:adjustRightInd w:val="0"/>
        <w:snapToGrid w:val="0"/>
        <w:spacing w:before="240" w:after="240" w:line="360" w:lineRule="auto"/>
        <w:jc w:val="both"/>
        <w:rPr>
          <w:rFonts w:ascii="Times New Roman" w:hAnsi="Times New Roman" w:cs="Times New Roman"/>
          <w:color w:val="000000" w:themeColor="text1"/>
          <w:lang w:val="en-US"/>
        </w:rPr>
      </w:pPr>
    </w:p>
    <w:p w14:paraId="79EA4CAF" w14:textId="3E143922" w:rsidR="007B234F" w:rsidRPr="00D16F65" w:rsidRDefault="00801EDF" w:rsidP="00D16F65">
      <w:pPr>
        <w:adjustRightInd w:val="0"/>
        <w:snapToGrid w:val="0"/>
        <w:spacing w:before="240" w:after="240" w:line="360" w:lineRule="auto"/>
        <w:jc w:val="both"/>
        <w:rPr>
          <w:rFonts w:ascii="Times New Roman" w:hAnsi="Times New Roman" w:cs="Times New Roman"/>
          <w:color w:val="000000" w:themeColor="text1"/>
          <w:lang w:val="en-US"/>
        </w:rPr>
      </w:pPr>
      <w:r w:rsidRPr="00D16F65">
        <w:rPr>
          <w:rFonts w:ascii="Times New Roman" w:hAnsi="Times New Roman" w:cs="Times New Roman"/>
          <w:color w:val="000000" w:themeColor="text1"/>
          <w:lang w:val="en-US"/>
        </w:rPr>
        <w:t>Geographically, there is a diverse ecosystem of talent as tech giants and multinationals are looking for specialized talent pool in AI and engineering. For example, Canada is outpacing US in terms of tech job growth</w:t>
      </w:r>
      <w:r w:rsidR="00D16F65" w:rsidRPr="00D16F65">
        <w:rPr>
          <w:rFonts w:ascii="Times New Roman" w:hAnsi="Times New Roman" w:cs="Times New Roman"/>
          <w:color w:val="000000" w:themeColor="text1"/>
          <w:lang w:val="en-US"/>
        </w:rPr>
        <w:t xml:space="preserve"> (Riehl, 2025)</w:t>
      </w:r>
      <w:r w:rsidRPr="00D16F65">
        <w:rPr>
          <w:rFonts w:ascii="Times New Roman" w:hAnsi="Times New Roman" w:cs="Times New Roman"/>
          <w:color w:val="000000" w:themeColor="text1"/>
          <w:lang w:val="en-US"/>
        </w:rPr>
        <w:t xml:space="preserve">. Overall, the companies with AI integration are creating agile cultures and creating diverse talent portfolios to thrive. </w:t>
      </w:r>
    </w:p>
    <w:p w14:paraId="51310B3A" w14:textId="39B0D581"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Next Steps for Aether </w:t>
      </w:r>
    </w:p>
    <w:p w14:paraId="65971532" w14:textId="073F13B6"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Aether can transform its challenges into strengths by aligning with the current trends of talent acquisition. It is crucial to embrace AI technologies as an ally where skills and values are prioritized</w:t>
      </w:r>
      <w:r w:rsidR="00977930">
        <w:rPr>
          <w:rFonts w:ascii="Times New Roman" w:hAnsi="Times New Roman" w:cs="Times New Roman"/>
          <w:color w:val="000000" w:themeColor="text1"/>
        </w:rPr>
        <w:t xml:space="preserve"> (Babashahi, 2024)</w:t>
      </w:r>
      <w:r w:rsidRPr="00D16F65">
        <w:rPr>
          <w:rFonts w:ascii="Times New Roman" w:hAnsi="Times New Roman" w:cs="Times New Roman"/>
          <w:color w:val="000000" w:themeColor="text1"/>
        </w:rPr>
        <w:t>. It will create engagement and position the company for sustained growth in the tech landscape. They must form a cross-functional task force and pilot upskilling in one department</w:t>
      </w:r>
      <w:r w:rsidR="00D16F65" w:rsidRPr="00D16F65">
        <w:rPr>
          <w:rFonts w:ascii="Times New Roman" w:hAnsi="Times New Roman" w:cs="Times New Roman"/>
          <w:color w:val="000000" w:themeColor="text1"/>
        </w:rPr>
        <w:t xml:space="preserve"> (McKinsey, 2025)</w:t>
      </w:r>
      <w:r w:rsidRPr="00D16F65">
        <w:rPr>
          <w:rFonts w:ascii="Times New Roman" w:hAnsi="Times New Roman" w:cs="Times New Roman"/>
          <w:color w:val="000000" w:themeColor="text1"/>
        </w:rPr>
        <w:t>. A committed execution can help Aether to emerge as a resilient and high-performing innovator.</w:t>
      </w:r>
    </w:p>
    <w:p w14:paraId="2471FCD2" w14:textId="48E3D94C" w:rsidR="00801EDF" w:rsidRPr="00D16F65" w:rsidRDefault="00801EDF" w:rsidP="00D16F65">
      <w:pPr>
        <w:pStyle w:val="Heading2"/>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4" w:name="_Toc224817481"/>
      <w:r w:rsidRPr="00D16F65">
        <w:rPr>
          <w:rFonts w:ascii="Times New Roman" w:hAnsi="Times New Roman" w:cs="Times New Roman"/>
          <w:b/>
          <w:bCs/>
          <w:color w:val="000000" w:themeColor="text1"/>
          <w:sz w:val="24"/>
          <w:szCs w:val="24"/>
          <w:lang w:val="en-US"/>
        </w:rPr>
        <w:lastRenderedPageBreak/>
        <w:t>B. Strategic Build vs. Buy Talent Model for Aether</w:t>
      </w:r>
      <w:bookmarkEnd w:id="4"/>
      <w:r w:rsidRPr="00D16F65">
        <w:rPr>
          <w:rFonts w:ascii="Times New Roman" w:hAnsi="Times New Roman" w:cs="Times New Roman"/>
          <w:b/>
          <w:bCs/>
          <w:color w:val="000000" w:themeColor="text1"/>
          <w:sz w:val="24"/>
          <w:szCs w:val="24"/>
          <w:lang w:val="en-US"/>
        </w:rPr>
        <w:t xml:space="preserve"> </w:t>
      </w:r>
    </w:p>
    <w:p w14:paraId="1B282A60" w14:textId="7A0DAA71"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The company needs a transformative talent strategy that can be used to solve the issues of staff turnover and keep the customers satisfied. Theories like human capital theory view employees as assets that get returns through investment</w:t>
      </w:r>
      <w:r w:rsidR="00977930">
        <w:rPr>
          <w:rFonts w:ascii="Times New Roman" w:hAnsi="Times New Roman" w:cs="Times New Roman"/>
          <w:color w:val="000000" w:themeColor="text1"/>
        </w:rPr>
        <w:t xml:space="preserve"> (Oltulular, 2025)</w:t>
      </w:r>
      <w:r w:rsidRPr="00D16F65">
        <w:rPr>
          <w:rFonts w:ascii="Times New Roman" w:hAnsi="Times New Roman" w:cs="Times New Roman"/>
          <w:color w:val="000000" w:themeColor="text1"/>
        </w:rPr>
        <w:t>. Another theory is the resource-based view that focuses on unique internal capabilities to get an advantage over rivals</w:t>
      </w:r>
      <w:r w:rsidR="00D16F65" w:rsidRPr="00D16F65">
        <w:rPr>
          <w:rFonts w:ascii="Times New Roman" w:hAnsi="Times New Roman" w:cs="Times New Roman"/>
          <w:color w:val="000000" w:themeColor="text1"/>
        </w:rPr>
        <w:t xml:space="preserve"> (Lubis, 2022)</w:t>
      </w:r>
      <w:r w:rsidRPr="00D16F65">
        <w:rPr>
          <w:rFonts w:ascii="Times New Roman" w:hAnsi="Times New Roman" w:cs="Times New Roman"/>
          <w:color w:val="000000" w:themeColor="text1"/>
        </w:rPr>
        <w:t>. This proposal supports the hybrid build versus buy model because upscaling is dominating external hiring due to AI-driven efficiencies. It is important for Aether to build internal talent and buy selectively for rapid innovation. It is an integrated approach to solve the challenges and achieve employee excellence.</w:t>
      </w:r>
    </w:p>
    <w:p w14:paraId="64EF3921" w14:textId="4B15447C" w:rsidR="00801EDF" w:rsidRPr="00D16F65" w:rsidRDefault="00801EDF" w:rsidP="00D16F65">
      <w:pPr>
        <w:adjustRightInd w:val="0"/>
        <w:snapToGrid w:val="0"/>
        <w:spacing w:before="240" w:after="240" w:line="360" w:lineRule="auto"/>
        <w:jc w:val="both"/>
        <w:rPr>
          <w:rFonts w:ascii="Times New Roman" w:hAnsi="Times New Roman" w:cs="Times New Roman"/>
          <w:b/>
          <w:bCs/>
          <w:color w:val="000000" w:themeColor="text1"/>
          <w:lang w:val="en-US"/>
        </w:rPr>
      </w:pPr>
      <w:r w:rsidRPr="00D16F65">
        <w:rPr>
          <w:rFonts w:ascii="Times New Roman" w:hAnsi="Times New Roman" w:cs="Times New Roman"/>
          <w:b/>
          <w:bCs/>
          <w:color w:val="000000" w:themeColor="text1"/>
          <w:lang w:val="en-US"/>
        </w:rPr>
        <w:t xml:space="preserve">Build vs. Buy Model </w:t>
      </w:r>
    </w:p>
    <w:p w14:paraId="7BF58DB3" w14:textId="48655173" w:rsidR="00801EDF"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The traditional </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build</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strategy develops existing employees by giving them proper mentorship that is ideal for large companies with a stable workload. On the other hand</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buy</w:t>
      </w:r>
      <w:r w:rsidR="005D7905">
        <w:rPr>
          <w:rFonts w:ascii="Times New Roman" w:hAnsi="Times New Roman" w:cs="Times New Roman"/>
          <w:color w:val="000000" w:themeColor="text1"/>
        </w:rPr>
        <w:t>’</w:t>
      </w:r>
      <w:r w:rsidRPr="00D16F65">
        <w:rPr>
          <w:rFonts w:ascii="Times New Roman" w:hAnsi="Times New Roman" w:cs="Times New Roman"/>
          <w:color w:val="000000" w:themeColor="text1"/>
        </w:rPr>
        <w:t xml:space="preserve"> involves external hiring for immediate expertise. This strategy is more suitable for new and volatile companies</w:t>
      </w:r>
      <w:r w:rsidR="00D16F65" w:rsidRPr="00D16F65">
        <w:rPr>
          <w:rFonts w:ascii="Times New Roman" w:hAnsi="Times New Roman" w:cs="Times New Roman"/>
          <w:color w:val="000000" w:themeColor="text1"/>
        </w:rPr>
        <w:t xml:space="preserve"> (DiDomenico, 2025)</w:t>
      </w:r>
      <w:r w:rsidRPr="00D16F65">
        <w:rPr>
          <w:rFonts w:ascii="Times New Roman" w:hAnsi="Times New Roman" w:cs="Times New Roman"/>
          <w:color w:val="000000" w:themeColor="text1"/>
        </w:rPr>
        <w:t>. The technology industry has an inclination towards up-skilling and most of them prefer internal training over hiring.</w:t>
      </w:r>
      <w:r w:rsidR="00400EB2">
        <w:rPr>
          <w:rFonts w:ascii="Times New Roman" w:hAnsi="Times New Roman" w:cs="Times New Roman"/>
          <w:color w:val="000000" w:themeColor="text1"/>
        </w:rPr>
        <w:t xml:space="preserve"> There are some challenges like skill mismatch in this AI driven landscape with limited internal development opportunities. </w:t>
      </w:r>
    </w:p>
    <w:p w14:paraId="02A31561" w14:textId="50E4FEF7" w:rsidR="00400EB2" w:rsidRDefault="00400EB2"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Build Vs Buy model is grounded in the HRM theories and draw on Human Capital Theory (HCT) which treats people within the company as valuable assets</w:t>
      </w:r>
      <w:r w:rsidR="002B776B">
        <w:rPr>
          <w:rFonts w:ascii="Times New Roman" w:hAnsi="Times New Roman" w:cs="Times New Roman"/>
          <w:color w:val="000000" w:themeColor="text1"/>
        </w:rPr>
        <w:t xml:space="preserve"> (Congna and Saad, 2025)</w:t>
      </w:r>
      <w:r>
        <w:rPr>
          <w:rFonts w:ascii="Times New Roman" w:hAnsi="Times New Roman" w:cs="Times New Roman"/>
          <w:color w:val="000000" w:themeColor="text1"/>
        </w:rPr>
        <w:t xml:space="preserve">. Upskilling has overtook external hiring as a dominant strategy where a ‘build’ approach fits perfectly with the needs of Aether. This model integrated external hiring with internal development. </w:t>
      </w:r>
    </w:p>
    <w:p w14:paraId="1606494D"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Aether is a mid-sized company that can adopt the </w:t>
      </w:r>
      <w:r w:rsidRPr="00D16F65">
        <w:rPr>
          <w:rFonts w:ascii="Times New Roman" w:hAnsi="Times New Roman" w:cs="Times New Roman"/>
          <w:b/>
          <w:bCs/>
          <w:color w:val="000000" w:themeColor="text1"/>
        </w:rPr>
        <w:t>Built-Buy-Borrow-Bot</w:t>
      </w:r>
      <w:r w:rsidRPr="00D16F65">
        <w:rPr>
          <w:rFonts w:ascii="Times New Roman" w:hAnsi="Times New Roman" w:cs="Times New Roman"/>
          <w:color w:val="000000" w:themeColor="text1"/>
        </w:rPr>
        <w:t xml:space="preserve"> framework where they can:</w:t>
      </w:r>
    </w:p>
    <w:p w14:paraId="0F27B95E"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Build 70% of their workforce internally</w:t>
      </w:r>
    </w:p>
    <w:p w14:paraId="5B5FAE4B"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Buy 20% targeted hires for AI skills</w:t>
      </w:r>
    </w:p>
    <w:p w14:paraId="6ED247C8" w14:textId="77777777"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 xml:space="preserve">Borrow 5% gig/contractors and </w:t>
      </w:r>
    </w:p>
    <w:p w14:paraId="164A0052" w14:textId="1418A78A" w:rsidR="00801EDF" w:rsidRPr="00D16F65"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t>5% AI agents for routine tasks</w:t>
      </w:r>
    </w:p>
    <w:p w14:paraId="200DA62D" w14:textId="77777777" w:rsidR="00400EB2" w:rsidRDefault="00400EB2" w:rsidP="00D16F65">
      <w:pPr>
        <w:adjustRightInd w:val="0"/>
        <w:snapToGrid w:val="0"/>
        <w:spacing w:before="240" w:after="240" w:line="360" w:lineRule="auto"/>
        <w:jc w:val="both"/>
        <w:rPr>
          <w:rFonts w:ascii="Times New Roman" w:hAnsi="Times New Roman" w:cs="Times New Roman"/>
          <w:color w:val="000000" w:themeColor="text1"/>
        </w:rPr>
      </w:pPr>
    </w:p>
    <w:p w14:paraId="5EE29016" w14:textId="3096B0E9" w:rsidR="00C95CC2" w:rsidRDefault="00801EDF" w:rsidP="00D16F65">
      <w:pPr>
        <w:adjustRightInd w:val="0"/>
        <w:snapToGrid w:val="0"/>
        <w:spacing w:before="240" w:after="240" w:line="360" w:lineRule="auto"/>
        <w:jc w:val="both"/>
        <w:rPr>
          <w:rFonts w:ascii="Times New Roman" w:hAnsi="Times New Roman" w:cs="Times New Roman"/>
          <w:color w:val="000000" w:themeColor="text1"/>
        </w:rPr>
      </w:pPr>
      <w:r w:rsidRPr="00D16F65">
        <w:rPr>
          <w:rFonts w:ascii="Times New Roman" w:hAnsi="Times New Roman" w:cs="Times New Roman"/>
          <w:color w:val="000000" w:themeColor="text1"/>
        </w:rPr>
        <w:lastRenderedPageBreak/>
        <w:t>This model also applies the HCT by investing in human capital to increase productivity while minimizing turnover costs. Another theory is RBV that supports the development of AI-integrated teams and differentiates Aether in the skill shortage market</w:t>
      </w:r>
      <w:r w:rsidR="00977930">
        <w:rPr>
          <w:rFonts w:ascii="Times New Roman" w:hAnsi="Times New Roman" w:cs="Times New Roman"/>
          <w:color w:val="000000" w:themeColor="text1"/>
        </w:rPr>
        <w:t xml:space="preserve"> (Khanra, et. al., 2021)</w:t>
      </w:r>
      <w:r w:rsidRPr="00D16F65">
        <w:rPr>
          <w:rFonts w:ascii="Times New Roman" w:hAnsi="Times New Roman" w:cs="Times New Roman"/>
          <w:color w:val="000000" w:themeColor="text1"/>
        </w:rPr>
        <w:t>. The top performers should be retained through leadership paths to counter the issues of disengagement and foster innovation to revive growth.</w:t>
      </w:r>
    </w:p>
    <w:p w14:paraId="6CD1CD1D" w14:textId="47361D32" w:rsidR="00400EB2" w:rsidRPr="002B776B" w:rsidRDefault="00400EB2" w:rsidP="00D16F65">
      <w:pPr>
        <w:adjustRightInd w:val="0"/>
        <w:snapToGrid w:val="0"/>
        <w:spacing w:before="240" w:after="240" w:line="360" w:lineRule="auto"/>
        <w:jc w:val="both"/>
        <w:rPr>
          <w:rFonts w:ascii="Times New Roman" w:hAnsi="Times New Roman" w:cs="Times New Roman"/>
          <w:b/>
          <w:bCs/>
          <w:color w:val="000000" w:themeColor="text1"/>
        </w:rPr>
      </w:pPr>
      <w:r w:rsidRPr="002B776B">
        <w:rPr>
          <w:rFonts w:ascii="Times New Roman" w:hAnsi="Times New Roman" w:cs="Times New Roman"/>
          <w:b/>
          <w:bCs/>
          <w:color w:val="000000" w:themeColor="text1"/>
        </w:rPr>
        <w:t>Mentorship</w:t>
      </w:r>
    </w:p>
    <w:p w14:paraId="13A193A0" w14:textId="233044AC" w:rsidR="00400EB2" w:rsidRPr="00400EB2" w:rsidRDefault="00400EB2" w:rsidP="00400EB2">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Mentorship pairs the leaders with high potential employees to guide them and network. The HCT views this as an investment in human capital that improves organization and individual value</w:t>
      </w:r>
      <w:r w:rsidR="002B776B">
        <w:rPr>
          <w:rFonts w:ascii="Times New Roman" w:hAnsi="Times New Roman" w:cs="Times New Roman"/>
          <w:color w:val="000000" w:themeColor="text1"/>
        </w:rPr>
        <w:t xml:space="preserve"> (Li, et. al., 2024)</w:t>
      </w:r>
      <w:r>
        <w:rPr>
          <w:rFonts w:ascii="Times New Roman" w:hAnsi="Times New Roman" w:cs="Times New Roman"/>
          <w:color w:val="000000" w:themeColor="text1"/>
        </w:rPr>
        <w:t xml:space="preserve">. </w:t>
      </w:r>
      <w:r w:rsidRPr="00400EB2">
        <w:rPr>
          <w:rFonts w:ascii="Times New Roman" w:hAnsi="Times New Roman" w:cs="Times New Roman"/>
          <w:color w:val="000000" w:themeColor="text1"/>
        </w:rPr>
        <w:t xml:space="preserve">It differentiates Aether in this competitive market where employees would stay longer if provided with learning opportunities and a commitment to growth. The formal programs like reverse mentoring also help to create inclusivity and attract diverse talent. </w:t>
      </w:r>
    </w:p>
    <w:p w14:paraId="75361121" w14:textId="2F9722F3" w:rsidR="00400EB2" w:rsidRDefault="00400EB2" w:rsidP="00400EB2">
      <w:pPr>
        <w:adjustRightInd w:val="0"/>
        <w:snapToGrid w:val="0"/>
        <w:spacing w:before="240" w:after="240" w:line="360" w:lineRule="auto"/>
        <w:jc w:val="both"/>
        <w:rPr>
          <w:rFonts w:ascii="Times New Roman" w:hAnsi="Times New Roman" w:cs="Times New Roman"/>
          <w:color w:val="000000" w:themeColor="text1"/>
        </w:rPr>
      </w:pPr>
      <w:r w:rsidRPr="00400EB2">
        <w:rPr>
          <w:rFonts w:ascii="Times New Roman" w:hAnsi="Times New Roman" w:cs="Times New Roman"/>
          <w:color w:val="000000" w:themeColor="text1"/>
        </w:rPr>
        <w:t xml:space="preserve">The technology industry suffers from growth gaps and burnout, where mentorship can minimize the flight risk </w:t>
      </w:r>
      <w:r w:rsidR="002B776B">
        <w:rPr>
          <w:rFonts w:ascii="Times New Roman" w:hAnsi="Times New Roman" w:cs="Times New Roman"/>
          <w:color w:val="000000" w:themeColor="text1"/>
        </w:rPr>
        <w:t>with</w:t>
      </w:r>
      <w:r w:rsidRPr="00400EB2">
        <w:rPr>
          <w:rFonts w:ascii="Times New Roman" w:hAnsi="Times New Roman" w:cs="Times New Roman"/>
          <w:color w:val="000000" w:themeColor="text1"/>
        </w:rPr>
        <w:t xml:space="preserve"> support networks. They gain exposure to strategic challenges and </w:t>
      </w:r>
      <w:r w:rsidR="002B776B">
        <w:rPr>
          <w:rFonts w:ascii="Times New Roman" w:hAnsi="Times New Roman" w:cs="Times New Roman"/>
          <w:color w:val="000000" w:themeColor="text1"/>
        </w:rPr>
        <w:t>be</w:t>
      </w:r>
      <w:r w:rsidRPr="00400EB2">
        <w:rPr>
          <w:rFonts w:ascii="Times New Roman" w:hAnsi="Times New Roman" w:cs="Times New Roman"/>
          <w:color w:val="000000" w:themeColor="text1"/>
        </w:rPr>
        <w:t xml:space="preserve"> good in AI ethics, which tackles the issue of flat growth in the company</w:t>
      </w:r>
      <w:r w:rsidR="002B776B">
        <w:rPr>
          <w:rFonts w:ascii="Times New Roman" w:hAnsi="Times New Roman" w:cs="Times New Roman"/>
          <w:color w:val="000000" w:themeColor="text1"/>
        </w:rPr>
        <w:t xml:space="preserve"> (Radanllev, 2025)</w:t>
      </w:r>
      <w:r w:rsidRPr="00400EB2">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5CDBDCBA" w14:textId="25858009" w:rsidR="00400EB2" w:rsidRPr="002B776B" w:rsidRDefault="00400EB2" w:rsidP="00400EB2">
      <w:pPr>
        <w:adjustRightInd w:val="0"/>
        <w:snapToGrid w:val="0"/>
        <w:spacing w:before="240" w:after="240" w:line="360" w:lineRule="auto"/>
        <w:jc w:val="both"/>
        <w:rPr>
          <w:rFonts w:ascii="Times New Roman" w:hAnsi="Times New Roman" w:cs="Times New Roman"/>
          <w:b/>
          <w:bCs/>
          <w:color w:val="000000" w:themeColor="text1"/>
        </w:rPr>
      </w:pPr>
      <w:r w:rsidRPr="002B776B">
        <w:rPr>
          <w:rFonts w:ascii="Times New Roman" w:hAnsi="Times New Roman" w:cs="Times New Roman"/>
          <w:b/>
          <w:bCs/>
          <w:color w:val="000000" w:themeColor="text1"/>
        </w:rPr>
        <w:t xml:space="preserve">Leadership Paths </w:t>
      </w:r>
    </w:p>
    <w:p w14:paraId="0C5FD5EA" w14:textId="041C9ADF" w:rsidR="00400EB2" w:rsidRDefault="005C58B6" w:rsidP="00400EB2">
      <w:pPr>
        <w:adjustRightInd w:val="0"/>
        <w:snapToGrid w:val="0"/>
        <w:spacing w:before="240" w:after="240" w:line="360" w:lineRule="auto"/>
        <w:jc w:val="both"/>
        <w:rPr>
          <w:rFonts w:ascii="Times New Roman" w:hAnsi="Times New Roman" w:cs="Times New Roman"/>
          <w:color w:val="000000" w:themeColor="text1"/>
        </w:rPr>
      </w:pPr>
      <w:r w:rsidRPr="005C58B6">
        <w:rPr>
          <w:rFonts w:ascii="Times New Roman" w:hAnsi="Times New Roman" w:cs="Times New Roman"/>
          <w:color w:val="000000" w:themeColor="text1"/>
        </w:rPr>
        <w:t>A transparent leadership is the best to progress from an individual contributor to executive roles. It is important to focus on power skills like resilience and emotional intelligence along with technical expertise. HCT positions path as a major factor for organizational benefits. The employees want rapid growth and a visible path can attract them by promising meaningful careers. A succession planning can be used here to help employees integrate personal growth to business impact</w:t>
      </w:r>
      <w:r w:rsidR="002B776B">
        <w:rPr>
          <w:rFonts w:ascii="Times New Roman" w:hAnsi="Times New Roman" w:cs="Times New Roman"/>
          <w:color w:val="000000" w:themeColor="text1"/>
        </w:rPr>
        <w:t xml:space="preserve"> (Alrifae, et. al., 2025)</w:t>
      </w:r>
      <w:r w:rsidRPr="005C58B6">
        <w:rPr>
          <w:rFonts w:ascii="Times New Roman" w:hAnsi="Times New Roman" w:cs="Times New Roman"/>
          <w:color w:val="000000" w:themeColor="text1"/>
        </w:rPr>
        <w:t>. The path becomes more accelerated when integrated with mentorship. It creates employee excellence and customer excellence both at the same time.</w:t>
      </w:r>
    </w:p>
    <w:p w14:paraId="7B559E6F" w14:textId="3CA8CDDC" w:rsidR="005C58B6" w:rsidRPr="005C58B6" w:rsidRDefault="005C58B6" w:rsidP="00400EB2">
      <w:pPr>
        <w:adjustRightInd w:val="0"/>
        <w:snapToGrid w:val="0"/>
        <w:spacing w:before="240" w:after="240" w:line="360" w:lineRule="auto"/>
        <w:jc w:val="both"/>
        <w:rPr>
          <w:rFonts w:ascii="Times New Roman" w:hAnsi="Times New Roman" w:cs="Times New Roman"/>
          <w:b/>
          <w:bCs/>
          <w:color w:val="000000" w:themeColor="text1"/>
        </w:rPr>
      </w:pPr>
      <w:r w:rsidRPr="005C58B6">
        <w:rPr>
          <w:rFonts w:ascii="Times New Roman" w:hAnsi="Times New Roman" w:cs="Times New Roman"/>
          <w:b/>
          <w:bCs/>
          <w:color w:val="000000" w:themeColor="text1"/>
        </w:rPr>
        <w:t xml:space="preserve">Lifelong Learning </w:t>
      </w:r>
    </w:p>
    <w:p w14:paraId="788F0557" w14:textId="5204BC80" w:rsidR="005C58B6" w:rsidRDefault="002B776B" w:rsidP="00400EB2">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It address the skill shortage issue and essential for employability. The RBV theory sees it as a tool to create adaptable workforce while justifying investments for productivity. The AI driven platforms signal forward-thinking culture that draw employees towards growth and satisfaction. The program prepare them for leadership while reduces the fear of obsolescence. Aether must invest in AI literacy and power skills to drop their staff turnover and achieve productivity gains (Benlian and Pinski, 2025).  </w:t>
      </w:r>
    </w:p>
    <w:p w14:paraId="5C30B38B" w14:textId="5E6A559E" w:rsidR="00C95CC2" w:rsidRPr="00977930" w:rsidRDefault="00C95CC2" w:rsidP="00977930">
      <w:pPr>
        <w:pStyle w:val="Heading1"/>
        <w:rPr>
          <w:rFonts w:ascii="Times New Roman" w:hAnsi="Times New Roman" w:cs="Times New Roman"/>
          <w:b/>
          <w:bCs/>
          <w:color w:val="000000" w:themeColor="text1"/>
          <w:sz w:val="24"/>
          <w:szCs w:val="24"/>
        </w:rPr>
      </w:pPr>
      <w:bookmarkStart w:id="5" w:name="_Toc224817482"/>
      <w:r w:rsidRPr="00977930">
        <w:rPr>
          <w:rFonts w:ascii="Times New Roman" w:hAnsi="Times New Roman" w:cs="Times New Roman"/>
          <w:b/>
          <w:bCs/>
          <w:color w:val="000000" w:themeColor="text1"/>
          <w:sz w:val="24"/>
          <w:szCs w:val="24"/>
        </w:rPr>
        <w:lastRenderedPageBreak/>
        <w:t>Part 2: Reflection</w:t>
      </w:r>
      <w:bookmarkEnd w:id="5"/>
    </w:p>
    <w:p w14:paraId="7590A50E" w14:textId="558F49A9" w:rsidR="00C95CC2" w:rsidRDefault="00C95CC2"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module was full of learnings for me regarding the management of human capital in organizations. </w:t>
      </w:r>
      <w:r w:rsidR="00295FC5">
        <w:rPr>
          <w:rFonts w:ascii="Times New Roman" w:hAnsi="Times New Roman" w:cs="Times New Roman"/>
          <w:color w:val="000000" w:themeColor="text1"/>
        </w:rPr>
        <w:t xml:space="preserve">It is always good to take a look at what things I did during this amazing journey and things learned on the way. </w:t>
      </w:r>
      <w:r>
        <w:rPr>
          <w:rFonts w:ascii="Times New Roman" w:hAnsi="Times New Roman" w:cs="Times New Roman"/>
          <w:color w:val="000000" w:themeColor="text1"/>
        </w:rPr>
        <w:t xml:space="preserve">I am reflecting on my learnings using Gibbs Reflective Cycle that will cover my experienced in a precise manner. </w:t>
      </w:r>
      <w:r w:rsidR="00977930">
        <w:rPr>
          <w:rFonts w:ascii="Times New Roman" w:hAnsi="Times New Roman" w:cs="Times New Roman"/>
          <w:color w:val="000000" w:themeColor="text1"/>
        </w:rPr>
        <w:t xml:space="preserve">This model used to examine experience and help individuals to take a look back on things to plan better. Graham Gibbs developed this popular model in 1988 to give an applicable structure to the experience of learning (Myers, 2022). </w:t>
      </w:r>
      <w:r w:rsidR="00295FC5">
        <w:rPr>
          <w:rFonts w:ascii="Times New Roman" w:hAnsi="Times New Roman" w:cs="Times New Roman"/>
          <w:color w:val="000000" w:themeColor="text1"/>
        </w:rPr>
        <w:t xml:space="preserve">It will provide a complete evaluation of my initial feelings and what lessons I have taken during the module. </w:t>
      </w:r>
      <w:r>
        <w:rPr>
          <w:rFonts w:ascii="Times New Roman" w:hAnsi="Times New Roman" w:cs="Times New Roman"/>
          <w:color w:val="000000" w:themeColor="text1"/>
        </w:rPr>
        <w:t>Following is my reflection on this module’s learning using Gibbs Model:</w:t>
      </w:r>
    </w:p>
    <w:p w14:paraId="4329F569" w14:textId="423945F6" w:rsidR="00295FC5" w:rsidRPr="00295FC5" w:rsidRDefault="00295FC5" w:rsidP="00295FC5">
      <w:pPr>
        <w:adjustRightInd w:val="0"/>
        <w:snapToGrid w:val="0"/>
        <w:spacing w:before="240" w:after="240" w:line="360" w:lineRule="auto"/>
        <w:jc w:val="center"/>
        <w:rPr>
          <w:rFonts w:ascii="Times New Roman" w:hAnsi="Times New Roman" w:cs="Times New Roman"/>
        </w:rPr>
      </w:pPr>
      <w:r w:rsidRPr="00295FC5">
        <w:rPr>
          <w:rFonts w:ascii="Times New Roman" w:hAnsi="Times New Roman" w:cs="Times New Roman"/>
        </w:rPr>
        <w:fldChar w:fldCharType="begin"/>
      </w:r>
      <w:r w:rsidRPr="00295FC5">
        <w:rPr>
          <w:rFonts w:ascii="Times New Roman" w:hAnsi="Times New Roman" w:cs="Times New Roman"/>
        </w:rPr>
        <w:instrText xml:space="preserve"> INCLUDEPICTURE "https://nova-live.imgix.net/image-3b42bb24-bc3b-4f8e-aa14-f0ae0682286d.jpg?q=60&amp;fm=webp&amp;fit=crop&amp;fp-x=0.5000000000000001&amp;crop=focalpoint&amp;fp-y=0.5&amp;rot=0&amp;fp-z=1&amp;w=700&amp;h=592" \* MERGEFORMATINET </w:instrText>
      </w:r>
      <w:r w:rsidRPr="00295FC5">
        <w:rPr>
          <w:rFonts w:ascii="Times New Roman" w:hAnsi="Times New Roman" w:cs="Times New Roman"/>
        </w:rPr>
        <w:fldChar w:fldCharType="separate"/>
      </w:r>
      <w:r w:rsidRPr="00295FC5">
        <w:rPr>
          <w:rFonts w:ascii="Times New Roman" w:hAnsi="Times New Roman" w:cs="Times New Roman"/>
          <w:noProof/>
          <w:lang w:val="en-GB" w:eastAsia="en-GB"/>
        </w:rPr>
        <w:drawing>
          <wp:inline distT="0" distB="0" distL="0" distR="0" wp14:anchorId="18EA4F43" wp14:editId="55DAB407">
            <wp:extent cx="5731510" cy="4849495"/>
            <wp:effectExtent l="0" t="0" r="0" b="1905"/>
            <wp:docPr id="53800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849495"/>
                    </a:xfrm>
                    <a:prstGeom prst="rect">
                      <a:avLst/>
                    </a:prstGeom>
                    <a:noFill/>
                    <a:ln>
                      <a:noFill/>
                    </a:ln>
                  </pic:spPr>
                </pic:pic>
              </a:graphicData>
            </a:graphic>
          </wp:inline>
        </w:drawing>
      </w:r>
      <w:r w:rsidRPr="00295FC5">
        <w:rPr>
          <w:rFonts w:ascii="Times New Roman" w:hAnsi="Times New Roman" w:cs="Times New Roman"/>
        </w:rPr>
        <w:fldChar w:fldCharType="end"/>
      </w:r>
    </w:p>
    <w:p w14:paraId="1F9DE646" w14:textId="74F71AC4" w:rsidR="00295FC5" w:rsidRPr="00295FC5" w:rsidRDefault="00295FC5" w:rsidP="00295FC5">
      <w:pPr>
        <w:adjustRightInd w:val="0"/>
        <w:snapToGrid w:val="0"/>
        <w:spacing w:before="240" w:after="240" w:line="360" w:lineRule="auto"/>
        <w:jc w:val="center"/>
        <w:rPr>
          <w:rFonts w:ascii="Times New Roman" w:hAnsi="Times New Roman" w:cs="Times New Roman"/>
        </w:rPr>
      </w:pPr>
      <w:r w:rsidRPr="00295FC5">
        <w:rPr>
          <w:rFonts w:ascii="Times New Roman" w:hAnsi="Times New Roman" w:cs="Times New Roman"/>
        </w:rPr>
        <w:t>Gibbs’ Reflective Cycle</w:t>
      </w:r>
    </w:p>
    <w:p w14:paraId="3D59CC09" w14:textId="5805E38A" w:rsidR="00295FC5" w:rsidRPr="00295FC5" w:rsidRDefault="00295FC5" w:rsidP="00295FC5">
      <w:pPr>
        <w:adjustRightInd w:val="0"/>
        <w:snapToGrid w:val="0"/>
        <w:spacing w:before="240" w:after="240" w:line="360" w:lineRule="auto"/>
        <w:jc w:val="center"/>
        <w:rPr>
          <w:rFonts w:ascii="Times New Roman" w:hAnsi="Times New Roman" w:cs="Times New Roman"/>
          <w:color w:val="000000" w:themeColor="text1"/>
        </w:rPr>
      </w:pPr>
      <w:r w:rsidRPr="00295FC5">
        <w:rPr>
          <w:rFonts w:ascii="Times New Roman" w:hAnsi="Times New Roman" w:cs="Times New Roman"/>
        </w:rPr>
        <w:t>Source: [Hughes, 2024]</w:t>
      </w:r>
    </w:p>
    <w:p w14:paraId="17E36D53" w14:textId="77777777" w:rsidR="00295FC5" w:rsidRDefault="00295FC5" w:rsidP="00D16F65">
      <w:pPr>
        <w:adjustRightInd w:val="0"/>
        <w:snapToGrid w:val="0"/>
        <w:spacing w:before="240" w:after="240" w:line="360" w:lineRule="auto"/>
        <w:jc w:val="both"/>
        <w:rPr>
          <w:rFonts w:ascii="Times New Roman" w:hAnsi="Times New Roman" w:cs="Times New Roman"/>
          <w:b/>
          <w:bCs/>
          <w:color w:val="000000" w:themeColor="text1"/>
        </w:rPr>
      </w:pPr>
    </w:p>
    <w:p w14:paraId="29546BBE" w14:textId="77777777" w:rsidR="00295FC5" w:rsidRDefault="00295FC5" w:rsidP="00D16F65">
      <w:pPr>
        <w:adjustRightInd w:val="0"/>
        <w:snapToGrid w:val="0"/>
        <w:spacing w:before="240" w:after="240" w:line="360" w:lineRule="auto"/>
        <w:jc w:val="both"/>
        <w:rPr>
          <w:rFonts w:ascii="Times New Roman" w:hAnsi="Times New Roman" w:cs="Times New Roman"/>
          <w:b/>
          <w:bCs/>
          <w:color w:val="000000" w:themeColor="text1"/>
        </w:rPr>
      </w:pPr>
    </w:p>
    <w:p w14:paraId="3761BE92" w14:textId="0AE5B4C4" w:rsidR="00C95CC2" w:rsidRPr="00DC3972" w:rsidRDefault="00C95CC2" w:rsidP="00D16F65">
      <w:pPr>
        <w:adjustRightInd w:val="0"/>
        <w:snapToGrid w:val="0"/>
        <w:spacing w:before="240" w:after="240" w:line="360" w:lineRule="auto"/>
        <w:jc w:val="both"/>
        <w:rPr>
          <w:rFonts w:ascii="Times New Roman" w:hAnsi="Times New Roman" w:cs="Times New Roman"/>
          <w:b/>
          <w:bCs/>
          <w:color w:val="000000" w:themeColor="text1"/>
        </w:rPr>
      </w:pPr>
      <w:r w:rsidRPr="00DC3972">
        <w:rPr>
          <w:rFonts w:ascii="Times New Roman" w:hAnsi="Times New Roman" w:cs="Times New Roman"/>
          <w:b/>
          <w:bCs/>
          <w:color w:val="000000" w:themeColor="text1"/>
        </w:rPr>
        <w:t xml:space="preserve">Description </w:t>
      </w:r>
    </w:p>
    <w:p w14:paraId="41ED40E1" w14:textId="45DEBED8" w:rsidR="00295FC5" w:rsidRDefault="004E3FCD"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 immersed myself in the advanced subjects of strategic and integrated HRM. One of the main learning was to critical understand the current research to know about the business as well as managerial environment. </w:t>
      </w:r>
      <w:r w:rsidR="00DC3972">
        <w:rPr>
          <w:rFonts w:ascii="Times New Roman" w:hAnsi="Times New Roman" w:cs="Times New Roman"/>
          <w:color w:val="000000" w:themeColor="text1"/>
        </w:rPr>
        <w:t>The opportunity to develop an integrated HR strategy for Aether Innovations introduced me to the issues faces by companies like staff turnover and flat growth. My strategy was to build performance through talent development and inclusive leadership. I also explored the techniques like cross-functional innovation labs and flexible reward systems. During this journey, I got to know about the Build vs. Buy Model and designing of talent ecosystem which will help me in my future career</w:t>
      </w:r>
      <w:r w:rsidR="00977930">
        <w:rPr>
          <w:rFonts w:ascii="Times New Roman" w:hAnsi="Times New Roman" w:cs="Times New Roman"/>
          <w:color w:val="000000" w:themeColor="text1"/>
        </w:rPr>
        <w:t xml:space="preserve"> (Paige, 2026)</w:t>
      </w:r>
      <w:r w:rsidR="00DC3972">
        <w:rPr>
          <w:rFonts w:ascii="Times New Roman" w:hAnsi="Times New Roman" w:cs="Times New Roman"/>
          <w:color w:val="000000" w:themeColor="text1"/>
        </w:rPr>
        <w:t xml:space="preserve">. </w:t>
      </w:r>
    </w:p>
    <w:p w14:paraId="6DA68168" w14:textId="249F5416" w:rsidR="00DC3972" w:rsidRPr="00DC3972" w:rsidRDefault="00DC3972" w:rsidP="00D16F65">
      <w:pPr>
        <w:adjustRightInd w:val="0"/>
        <w:snapToGrid w:val="0"/>
        <w:spacing w:before="240" w:after="240" w:line="360" w:lineRule="auto"/>
        <w:jc w:val="both"/>
        <w:rPr>
          <w:rFonts w:ascii="Times New Roman" w:hAnsi="Times New Roman" w:cs="Times New Roman"/>
          <w:b/>
          <w:bCs/>
          <w:color w:val="000000" w:themeColor="text1"/>
        </w:rPr>
      </w:pPr>
      <w:r w:rsidRPr="00DC3972">
        <w:rPr>
          <w:rFonts w:ascii="Times New Roman" w:hAnsi="Times New Roman" w:cs="Times New Roman"/>
          <w:b/>
          <w:bCs/>
          <w:color w:val="000000" w:themeColor="text1"/>
        </w:rPr>
        <w:t xml:space="preserve">Feelings </w:t>
      </w:r>
    </w:p>
    <w:p w14:paraId="545ED32F" w14:textId="26B615C4" w:rsidR="00977930" w:rsidRPr="00295FC5" w:rsidRDefault="007459A9"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beginning of the journey was full of excitements and I felt overwhelmed. The volume of information on IHRM within global tech firms intimidated me as I have to translate this dense research in to a practical strategy. </w:t>
      </w:r>
      <w:r w:rsidRPr="007459A9">
        <w:rPr>
          <w:rFonts w:ascii="Times New Roman" w:hAnsi="Times New Roman" w:cs="Times New Roman"/>
          <w:color w:val="000000" w:themeColor="text1"/>
        </w:rPr>
        <w:t>All the frustrations surfaced when initial ideas of retention bonuses clashed with the budget realities as well as cultural fit. However</w:t>
      </w:r>
      <w:r w:rsidR="00977930">
        <w:rPr>
          <w:rFonts w:ascii="Times New Roman" w:hAnsi="Times New Roman" w:cs="Times New Roman"/>
          <w:color w:val="000000" w:themeColor="text1"/>
        </w:rPr>
        <w:t>,</w:t>
      </w:r>
      <w:r w:rsidRPr="007459A9">
        <w:rPr>
          <w:rFonts w:ascii="Times New Roman" w:hAnsi="Times New Roman" w:cs="Times New Roman"/>
          <w:color w:val="000000" w:themeColor="text1"/>
        </w:rPr>
        <w:t xml:space="preserve"> I made some refinements in the strategies by linking learning and development investments directly to the innovation matrix, which made my confidence grow. I became more energized and felt proud when giving my final recommendations for the company. It was not just learning HRM but internalizing how people practice and how people's practices drive business resilience. These emotions reinforced my belief that personal development should mirror the organizational strategies studied within the modul</w:t>
      </w:r>
      <w:r w:rsidR="00977930">
        <w:rPr>
          <w:rFonts w:ascii="Times New Roman" w:hAnsi="Times New Roman" w:cs="Times New Roman"/>
          <w:color w:val="000000" w:themeColor="text1"/>
        </w:rPr>
        <w:t>e</w:t>
      </w:r>
      <w:r w:rsidRPr="007459A9">
        <w:rPr>
          <w:rFonts w:ascii="Times New Roman" w:hAnsi="Times New Roman" w:cs="Times New Roman"/>
          <w:color w:val="000000" w:themeColor="text1"/>
        </w:rPr>
        <w:t>.</w:t>
      </w:r>
    </w:p>
    <w:p w14:paraId="5A38F867" w14:textId="3E7F06A4" w:rsidR="007459A9" w:rsidRPr="007459A9" w:rsidRDefault="007459A9" w:rsidP="00D16F65">
      <w:pPr>
        <w:adjustRightInd w:val="0"/>
        <w:snapToGrid w:val="0"/>
        <w:spacing w:before="240" w:after="240" w:line="360" w:lineRule="auto"/>
        <w:jc w:val="both"/>
        <w:rPr>
          <w:rFonts w:ascii="Times New Roman" w:hAnsi="Times New Roman" w:cs="Times New Roman"/>
          <w:b/>
          <w:bCs/>
          <w:color w:val="000000" w:themeColor="text1"/>
        </w:rPr>
      </w:pPr>
      <w:r w:rsidRPr="007459A9">
        <w:rPr>
          <w:rFonts w:ascii="Times New Roman" w:hAnsi="Times New Roman" w:cs="Times New Roman"/>
          <w:b/>
          <w:bCs/>
          <w:color w:val="000000" w:themeColor="text1"/>
        </w:rPr>
        <w:t xml:space="preserve">Evaluation </w:t>
      </w:r>
    </w:p>
    <w:p w14:paraId="3517ADCF" w14:textId="6142F3FE" w:rsidR="007459A9" w:rsidRDefault="007459A9"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This experience was positive for me in different ways and my analytical skills improved in this peer-reviewed research. Some gaps were identified in the traditional performance management. I proposed some evidence based alternatives like continuous feedback loops.</w:t>
      </w:r>
      <w:r w:rsidR="0048649F">
        <w:rPr>
          <w:rFonts w:ascii="Times New Roman" w:hAnsi="Times New Roman" w:cs="Times New Roman"/>
          <w:color w:val="000000" w:themeColor="text1"/>
        </w:rPr>
        <w:t xml:space="preserve"> </w:t>
      </w:r>
      <w:r w:rsidR="0048649F" w:rsidRPr="0048649F">
        <w:rPr>
          <w:rFonts w:ascii="Times New Roman" w:hAnsi="Times New Roman" w:cs="Times New Roman"/>
          <w:color w:val="000000" w:themeColor="text1"/>
        </w:rPr>
        <w:t>My recommendation for Growth Mindset Coaching directly addressed the company's stagnation and feedback</w:t>
      </w:r>
      <w:r w:rsidR="00977930">
        <w:rPr>
          <w:rFonts w:ascii="Times New Roman" w:hAnsi="Times New Roman" w:cs="Times New Roman"/>
          <w:color w:val="000000" w:themeColor="text1"/>
        </w:rPr>
        <w:t xml:space="preserve"> (Li, et. al., 2025)</w:t>
      </w:r>
      <w:r w:rsidR="0048649F" w:rsidRPr="0048649F">
        <w:rPr>
          <w:rFonts w:ascii="Times New Roman" w:hAnsi="Times New Roman" w:cs="Times New Roman"/>
          <w:color w:val="000000" w:themeColor="text1"/>
        </w:rPr>
        <w:t xml:space="preserve">. It helped to create a multi-cultural workforce. There were some weaknesses that emerged as I initially found some contradicting sources of information. It took me some time to find the authentic sources that can be used for the study. Another challenge was time management because I spent so much effort on data analysis and less on personal </w:t>
      </w:r>
      <w:r w:rsidR="0048649F" w:rsidRPr="0048649F">
        <w:rPr>
          <w:rFonts w:ascii="Times New Roman" w:hAnsi="Times New Roman" w:cs="Times New Roman"/>
          <w:color w:val="000000" w:themeColor="text1"/>
        </w:rPr>
        <w:lastRenderedPageBreak/>
        <w:t>reflection. The entire module delivered high value but highlighted my own need for structured self-development to sustain the innovation culture I advocated for others.</w:t>
      </w:r>
    </w:p>
    <w:p w14:paraId="38B098F9" w14:textId="77386538" w:rsidR="0048649F" w:rsidRPr="00C744F0" w:rsidRDefault="0048649F" w:rsidP="00D16F65">
      <w:pPr>
        <w:adjustRightInd w:val="0"/>
        <w:snapToGrid w:val="0"/>
        <w:spacing w:before="240" w:after="240" w:line="360" w:lineRule="auto"/>
        <w:jc w:val="both"/>
        <w:rPr>
          <w:rFonts w:ascii="Times New Roman" w:hAnsi="Times New Roman" w:cs="Times New Roman"/>
          <w:b/>
          <w:bCs/>
          <w:color w:val="000000" w:themeColor="text1"/>
        </w:rPr>
      </w:pPr>
      <w:r w:rsidRPr="00C744F0">
        <w:rPr>
          <w:rFonts w:ascii="Times New Roman" w:hAnsi="Times New Roman" w:cs="Times New Roman"/>
          <w:b/>
          <w:bCs/>
          <w:color w:val="000000" w:themeColor="text1"/>
        </w:rPr>
        <w:t xml:space="preserve">Analysis </w:t>
      </w:r>
    </w:p>
    <w:p w14:paraId="36837A06" w14:textId="3C39BBDA" w:rsidR="0048649F" w:rsidRDefault="00C744F0" w:rsidP="00D16F6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entire module now makes more sense as I see clear connection between HRM and personal capability. </w:t>
      </w:r>
      <w:r w:rsidRPr="00C744F0">
        <w:rPr>
          <w:rFonts w:ascii="Times New Roman" w:hAnsi="Times New Roman" w:cs="Times New Roman"/>
          <w:color w:val="000000" w:themeColor="text1"/>
        </w:rPr>
        <w:t>The research showed that companies stagnate when leaders lack the same mindset they demand from teams. This is why Aether faced high turnover from their fixed mindset culture where they did not learn from their mistakes. My strategy countered this with a mandatory innovation sprint, which is a practice directly applied to me as well. This module also exposed some complexity of IHRM, where diversity and remote engagement require the leaders who model adaptability. It revealed that my knowledge helped me to design personal learning and development that creates a growth mindset. It is possible to risk becoming the bottleneck without deliberate self-development. The theories like self-determination helped me to focus on autonomy and competence, which should begin with me</w:t>
      </w:r>
      <w:r w:rsidR="00977930">
        <w:rPr>
          <w:rFonts w:ascii="Times New Roman" w:hAnsi="Times New Roman" w:cs="Times New Roman"/>
          <w:color w:val="000000" w:themeColor="text1"/>
        </w:rPr>
        <w:t xml:space="preserve"> (Alamer, et. al., 2025)</w:t>
      </w:r>
      <w:r w:rsidRPr="00C744F0">
        <w:rPr>
          <w:rFonts w:ascii="Times New Roman" w:hAnsi="Times New Roman" w:cs="Times New Roman"/>
          <w:color w:val="000000" w:themeColor="text1"/>
        </w:rPr>
        <w:t>.</w:t>
      </w:r>
    </w:p>
    <w:p w14:paraId="441F622A" w14:textId="523C4C69" w:rsidR="00C744F0" w:rsidRPr="00C744F0" w:rsidRDefault="00C744F0" w:rsidP="00D16F65">
      <w:pPr>
        <w:adjustRightInd w:val="0"/>
        <w:snapToGrid w:val="0"/>
        <w:spacing w:before="240" w:after="240" w:line="360" w:lineRule="auto"/>
        <w:jc w:val="both"/>
        <w:rPr>
          <w:rFonts w:ascii="Times New Roman" w:hAnsi="Times New Roman" w:cs="Times New Roman"/>
          <w:b/>
          <w:bCs/>
          <w:color w:val="000000" w:themeColor="text1"/>
        </w:rPr>
      </w:pPr>
      <w:r w:rsidRPr="00C744F0">
        <w:rPr>
          <w:rFonts w:ascii="Times New Roman" w:hAnsi="Times New Roman" w:cs="Times New Roman"/>
          <w:b/>
          <w:bCs/>
          <w:color w:val="000000" w:themeColor="text1"/>
        </w:rPr>
        <w:t xml:space="preserve">Conclusion </w:t>
      </w:r>
    </w:p>
    <w:p w14:paraId="7A7CF55B" w14:textId="4D9C5969" w:rsidR="00C744F0" w:rsidRDefault="008C1893" w:rsidP="00D16F65">
      <w:pPr>
        <w:adjustRightInd w:val="0"/>
        <w:snapToGrid w:val="0"/>
        <w:spacing w:before="240" w:after="240" w:line="360" w:lineRule="auto"/>
        <w:jc w:val="both"/>
        <w:rPr>
          <w:rFonts w:ascii="Times New Roman" w:hAnsi="Times New Roman" w:cs="Times New Roman"/>
          <w:color w:val="000000" w:themeColor="text1"/>
        </w:rPr>
      </w:pPr>
      <w:r w:rsidRPr="008C1893">
        <w:rPr>
          <w:rFonts w:ascii="Times New Roman" w:hAnsi="Times New Roman" w:cs="Times New Roman"/>
          <w:color w:val="000000" w:themeColor="text1"/>
        </w:rPr>
        <w:t>Overall I could have maintained a weekly learning journal and sought more peer feedback on the cultural adaptations for the strategy to improve my IHRM lens. The most powerful learning for me was that effective HRM is not just about designing policies for others but it starts within the self. This module gave me a robust baseline to understand the business environment and design strategic interventions. I also learned to link learning and development directly to innovation outcomes. This strong foundation will help me to move beyond theories towards intentional personal transformation. Now I am convinced that a growth mindset is not accidental but architected through systematic learning.</w:t>
      </w:r>
    </w:p>
    <w:p w14:paraId="788B274F" w14:textId="27863EF2" w:rsidR="008C1893" w:rsidRPr="008C1893" w:rsidRDefault="008C1893" w:rsidP="00D16F65">
      <w:pPr>
        <w:adjustRightInd w:val="0"/>
        <w:snapToGrid w:val="0"/>
        <w:spacing w:before="240" w:after="240" w:line="360" w:lineRule="auto"/>
        <w:jc w:val="both"/>
        <w:rPr>
          <w:rFonts w:ascii="Times New Roman" w:hAnsi="Times New Roman" w:cs="Times New Roman"/>
          <w:b/>
          <w:bCs/>
          <w:color w:val="000000" w:themeColor="text1"/>
        </w:rPr>
      </w:pPr>
      <w:r w:rsidRPr="008C1893">
        <w:rPr>
          <w:rFonts w:ascii="Times New Roman" w:hAnsi="Times New Roman" w:cs="Times New Roman"/>
          <w:b/>
          <w:bCs/>
          <w:color w:val="000000" w:themeColor="text1"/>
        </w:rPr>
        <w:t xml:space="preserve">Action Plan </w:t>
      </w:r>
    </w:p>
    <w:p w14:paraId="6CEC6348" w14:textId="450EC114" w:rsidR="00977930" w:rsidRP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sidRPr="00977930">
        <w:rPr>
          <w:rFonts w:ascii="Times New Roman" w:hAnsi="Times New Roman" w:cs="Times New Roman"/>
          <w:color w:val="000000" w:themeColor="text1"/>
        </w:rPr>
        <w:t>I have created a personal learning and development plan using the modules framework as my baseline. I will initially conduct a self HR audit that is similar to the organisational diagnostic I applied to Aether. It will help me to measure my own innovation readiness across creativity and willingness to experiment.</w:t>
      </w:r>
      <w:r w:rsidR="002B776B">
        <w:rPr>
          <w:rFonts w:ascii="Times New Roman" w:hAnsi="Times New Roman" w:cs="Times New Roman"/>
          <w:color w:val="000000" w:themeColor="text1"/>
        </w:rPr>
        <w:t xml:space="preserve"> </w:t>
      </w:r>
      <w:r w:rsidRPr="00977930">
        <w:rPr>
          <w:rFonts w:ascii="Times New Roman" w:hAnsi="Times New Roman" w:cs="Times New Roman"/>
          <w:color w:val="000000" w:themeColor="text1"/>
        </w:rPr>
        <w:t>I will then implement a learning pathway by allocating ten weekly hours. It will help me to tackle HR challenges and document my learning. It also includes a reflective coaching where I can take monthly sessions with a mentor using Gibbs cycle. It is similar to the innovation labs I proposed for the company.</w:t>
      </w:r>
    </w:p>
    <w:p w14:paraId="29D8732E" w14:textId="676A359F" w:rsidR="008C1893"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Afterwards, </w:t>
      </w:r>
      <w:r w:rsidRPr="00977930">
        <w:rPr>
          <w:rFonts w:ascii="Times New Roman" w:hAnsi="Times New Roman" w:cs="Times New Roman"/>
          <w:color w:val="000000" w:themeColor="text1"/>
        </w:rPr>
        <w:t>I will build psychological safety for myself by sharing my mistakes in my professional network and taking constructive feedback. My plan is to join HR communities to understand diverse cultural perspectives. It will help to prevent the biases I have identified in my earlier work.</w:t>
      </w:r>
    </w:p>
    <w:p w14:paraId="11EB21A0" w14:textId="59F8DA25"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impact of my work will be reviewed and updated regularly to make continuous improvements. </w:t>
      </w:r>
      <w:r w:rsidRPr="00977930">
        <w:rPr>
          <w:rFonts w:ascii="Times New Roman" w:hAnsi="Times New Roman" w:cs="Times New Roman"/>
          <w:color w:val="000000" w:themeColor="text1"/>
        </w:rPr>
        <w:t>This plan will position me as a role model leader who not only designs strategies but has the mindset to deliver them. This module has provided a strategic blueprint to sustain it for my personal and professional life.</w:t>
      </w:r>
    </w:p>
    <w:p w14:paraId="30DCC286" w14:textId="6FB187BA" w:rsidR="00977930" w:rsidRPr="00977930" w:rsidRDefault="00977930" w:rsidP="00977930">
      <w:pPr>
        <w:adjustRightInd w:val="0"/>
        <w:snapToGrid w:val="0"/>
        <w:spacing w:before="240" w:after="240" w:line="360" w:lineRule="auto"/>
        <w:jc w:val="both"/>
        <w:rPr>
          <w:rFonts w:ascii="Times New Roman" w:hAnsi="Times New Roman" w:cs="Times New Roman"/>
          <w:b/>
          <w:bCs/>
          <w:color w:val="000000" w:themeColor="text1"/>
        </w:rPr>
      </w:pPr>
      <w:r w:rsidRPr="00977930">
        <w:rPr>
          <w:rFonts w:ascii="Times New Roman" w:hAnsi="Times New Roman" w:cs="Times New Roman"/>
          <w:b/>
          <w:bCs/>
          <w:color w:val="000000" w:themeColor="text1"/>
        </w:rPr>
        <w:t xml:space="preserve">My plan to stay relevant in the AI era </w:t>
      </w:r>
    </w:p>
    <w:p w14:paraId="045134F2" w14:textId="68F446F8"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 recognize that the technologies like advanced automation and AI are reshaping almost every profession. As an aspiring professional in strategic HRM, it is important to know that these tools are able to do traditional HR tasks like resume screening, policy drafting and compliance checks. </w:t>
      </w:r>
      <w:r w:rsidRPr="00977930">
        <w:rPr>
          <w:rFonts w:ascii="Times New Roman" w:hAnsi="Times New Roman" w:cs="Times New Roman"/>
          <w:color w:val="000000" w:themeColor="text1"/>
        </w:rPr>
        <w:t>The question is not about whether this technology will displace parts of my job but how can I evolve to become indispensable and use this technology as a powerful co-pilot.</w:t>
      </w:r>
    </w:p>
    <w:p w14:paraId="64FE5033" w14:textId="1413025F" w:rsidR="00977930" w:rsidRDefault="00977930" w:rsidP="00977930">
      <w:pPr>
        <w:adjustRightInd w:val="0"/>
        <w:snapToGrid w:val="0"/>
        <w:spacing w:before="240" w:after="240" w:line="360" w:lineRule="auto"/>
        <w:jc w:val="both"/>
        <w:rPr>
          <w:rFonts w:ascii="Times New Roman" w:hAnsi="Times New Roman" w:cs="Times New Roman"/>
          <w:color w:val="000000" w:themeColor="text1"/>
        </w:rPr>
      </w:pPr>
      <w:r w:rsidRPr="00977930">
        <w:rPr>
          <w:rFonts w:ascii="Times New Roman" w:hAnsi="Times New Roman" w:cs="Times New Roman"/>
          <w:color w:val="000000" w:themeColor="text1"/>
        </w:rPr>
        <w:t>My plan is to work more on uniquely human capabilities that the technology is still struggling to replicate. These things can be empathy-driven coaching and cultural sense-making in diverse global teams. The ability to build trust across conflicting stakeholder groups is also an effective thing that makes me safe from this technology. It might be able to create learning and development programs but only a human leader can read the room during a tense situation. We can adapt the narrative in real time to restore psychological safety.</w:t>
      </w:r>
    </w:p>
    <w:p w14:paraId="578436FD" w14:textId="7509B17B" w:rsidR="00977930" w:rsidRPr="00295FC5" w:rsidRDefault="00977930" w:rsidP="00295FC5">
      <w:pPr>
        <w:adjustRightInd w:val="0"/>
        <w:snapToGrid w:val="0"/>
        <w:spacing w:before="240" w:after="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After that, I will treat AI fluency as a core professional competency to fine tune workflows with these tools. It will help to accelerate low-value and high volume tasks to make my work better. Here, one important thing is to own the accountability for the outcomes and make sure the outputs are bias checked. For example, projects like the Aether might make AI surface turnover patterns but I will interpret the cultural signals. Overall, I do not fear displacement but obsolescence through compliancy. A relentless upskilling in these practices and commitment to the human elements of leadership will make me valuable in this AI era. </w:t>
      </w:r>
      <w:r>
        <w:rPr>
          <w:rFonts w:ascii="Times New Roman" w:hAnsi="Times New Roman" w:cs="Times New Roman"/>
          <w:b/>
          <w:bCs/>
          <w:color w:val="000000" w:themeColor="text1"/>
          <w:lang w:val="en-US"/>
        </w:rPr>
        <w:br w:type="page"/>
      </w:r>
    </w:p>
    <w:p w14:paraId="02A35257" w14:textId="579A5A3A" w:rsidR="00801EDF" w:rsidRPr="00D16F65" w:rsidRDefault="00801EDF" w:rsidP="00D16F65">
      <w:pPr>
        <w:pStyle w:val="Heading1"/>
        <w:adjustRightInd w:val="0"/>
        <w:snapToGrid w:val="0"/>
        <w:spacing w:before="240" w:after="240" w:line="360" w:lineRule="auto"/>
        <w:jc w:val="both"/>
        <w:rPr>
          <w:rFonts w:ascii="Times New Roman" w:hAnsi="Times New Roman" w:cs="Times New Roman"/>
          <w:b/>
          <w:bCs/>
          <w:color w:val="000000" w:themeColor="text1"/>
          <w:sz w:val="24"/>
          <w:szCs w:val="24"/>
          <w:lang w:val="en-US"/>
        </w:rPr>
      </w:pPr>
      <w:bookmarkStart w:id="6" w:name="_Toc224817483"/>
      <w:r w:rsidRPr="00D16F65">
        <w:rPr>
          <w:rFonts w:ascii="Times New Roman" w:hAnsi="Times New Roman" w:cs="Times New Roman"/>
          <w:b/>
          <w:bCs/>
          <w:color w:val="000000" w:themeColor="text1"/>
          <w:sz w:val="24"/>
          <w:szCs w:val="24"/>
          <w:lang w:val="en-US"/>
        </w:rPr>
        <w:lastRenderedPageBreak/>
        <w:t>References</w:t>
      </w:r>
      <w:bookmarkEnd w:id="6"/>
      <w:r w:rsidRPr="00D16F65">
        <w:rPr>
          <w:rFonts w:ascii="Times New Roman" w:hAnsi="Times New Roman" w:cs="Times New Roman"/>
          <w:b/>
          <w:bCs/>
          <w:color w:val="000000" w:themeColor="text1"/>
          <w:sz w:val="24"/>
          <w:szCs w:val="24"/>
          <w:lang w:val="en-US"/>
        </w:rPr>
        <w:t xml:space="preserve"> </w:t>
      </w:r>
    </w:p>
    <w:p w14:paraId="19B20C63"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Alamer, A., Robat, E. S., Shirvan, M. E., &amp; Ryan, R. (2025). Self-determination theory and language learning: A multilevel meta-analysis. </w:t>
      </w:r>
      <w:r w:rsidRPr="002B776B">
        <w:rPr>
          <w:rFonts w:ascii="Times New Roman" w:hAnsi="Times New Roman" w:cs="Times New Roman"/>
          <w:i/>
          <w:iCs/>
          <w:color w:val="000000" w:themeColor="text1"/>
        </w:rPr>
        <w:t>Educational Psychology Review</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37</w:t>
      </w:r>
      <w:r w:rsidRPr="002B776B">
        <w:rPr>
          <w:rFonts w:ascii="Times New Roman" w:hAnsi="Times New Roman" w:cs="Times New Roman"/>
          <w:color w:val="000000" w:themeColor="text1"/>
        </w:rPr>
        <w:t>(2), 59.</w:t>
      </w:r>
    </w:p>
    <w:p w14:paraId="5E91EB4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Alrifae, A. A. M., Alhabeeb, A. A., Alhanatleh, H., &amp; Alnajdawi, S. (2025). Exploring the Role of Succession Planning and Talent Development in Enhancing Organizational Agility: The Case of Saudi Banking. </w:t>
      </w:r>
      <w:r w:rsidRPr="002B776B">
        <w:rPr>
          <w:rFonts w:ascii="Times New Roman" w:hAnsi="Times New Roman" w:cs="Times New Roman"/>
          <w:i/>
          <w:iCs/>
          <w:color w:val="000000" w:themeColor="text1"/>
        </w:rPr>
        <w:t>Sustainability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17</w:t>
      </w:r>
      <w:r w:rsidRPr="002B776B">
        <w:rPr>
          <w:rFonts w:ascii="Times New Roman" w:hAnsi="Times New Roman" w:cs="Times New Roman"/>
          <w:color w:val="000000" w:themeColor="text1"/>
        </w:rPr>
        <w:t>(24), 11215.</w:t>
      </w:r>
    </w:p>
    <w:p w14:paraId="1EFC27A3"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Babashahi, L., Barbosa, C. E., Lima, Y., Lyra, A., Salazar, H., Argôlo, M., ... &amp; Souza, J. M. D. (2024). AI in the workplace: A systematic review of skill transformation in the industry. </w:t>
      </w:r>
      <w:r w:rsidRPr="002B776B">
        <w:rPr>
          <w:rFonts w:ascii="Times New Roman" w:hAnsi="Times New Roman" w:cs="Times New Roman"/>
          <w:i/>
          <w:iCs/>
          <w:color w:val="000000" w:themeColor="text1"/>
        </w:rPr>
        <w:t>Administrative Sciences</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14</w:t>
      </w:r>
      <w:r w:rsidRPr="002B776B">
        <w:rPr>
          <w:rFonts w:ascii="Times New Roman" w:hAnsi="Times New Roman" w:cs="Times New Roman"/>
          <w:color w:val="000000" w:themeColor="text1"/>
        </w:rPr>
        <w:t>(6), 127.</w:t>
      </w:r>
    </w:p>
    <w:p w14:paraId="4A896311"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Benlian, A., &amp; Pinski, M. (2025). The AI literacy development canvas: Assessing and building AI literacy in organizations. </w:t>
      </w:r>
      <w:r w:rsidRPr="002B776B">
        <w:rPr>
          <w:rFonts w:ascii="Times New Roman" w:hAnsi="Times New Roman" w:cs="Times New Roman"/>
          <w:i/>
          <w:iCs/>
          <w:color w:val="000000" w:themeColor="text1"/>
        </w:rPr>
        <w:t>Business Horizons</w:t>
      </w:r>
      <w:r w:rsidRPr="002B776B">
        <w:rPr>
          <w:rFonts w:ascii="Times New Roman" w:hAnsi="Times New Roman" w:cs="Times New Roman"/>
          <w:color w:val="000000" w:themeColor="text1"/>
        </w:rPr>
        <w:t>.</w:t>
      </w:r>
    </w:p>
    <w:p w14:paraId="13AA6EA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Congna, H., &amp; Saad, N. (2025). The impact of human capital on employment quality: a scoping review. </w:t>
      </w:r>
      <w:r w:rsidRPr="002B776B">
        <w:rPr>
          <w:rFonts w:ascii="Times New Roman" w:hAnsi="Times New Roman" w:cs="Times New Roman"/>
          <w:i/>
          <w:iCs/>
          <w:color w:val="000000" w:themeColor="text1"/>
        </w:rPr>
        <w:t>Cogent Education</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12</w:t>
      </w:r>
      <w:r w:rsidRPr="002B776B">
        <w:rPr>
          <w:rFonts w:ascii="Times New Roman" w:hAnsi="Times New Roman" w:cs="Times New Roman"/>
          <w:color w:val="000000" w:themeColor="text1"/>
        </w:rPr>
        <w:t>(1), 2552352.</w:t>
      </w:r>
    </w:p>
    <w:p w14:paraId="0C62B5B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DiDomenico, P. (2025) Build, Buy, or Borrow? How One HR Leader Chooses a Talent Strategy. [Online] shrm. Available at </w:t>
      </w:r>
      <w:hyperlink r:id="rId9" w:history="1">
        <w:r w:rsidRPr="002B776B">
          <w:rPr>
            <w:rStyle w:val="Hyperlink"/>
            <w:rFonts w:ascii="Times New Roman" w:hAnsi="Times New Roman" w:cs="Times New Roman"/>
            <w:color w:val="000000" w:themeColor="text1"/>
            <w:u w:val="none"/>
            <w:lang w:val="en-US"/>
          </w:rPr>
          <w:t>https://www.shrm.org/in/topics-tools/news/organizational-employee-development/build-buy-borrow-talent-strategy</w:t>
        </w:r>
      </w:hyperlink>
    </w:p>
    <w:p w14:paraId="41E2BD52"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EY. (2023) Tech Skills Transformation. [Online] EY. Available at </w:t>
      </w:r>
      <w:hyperlink r:id="rId10" w:history="1">
        <w:r w:rsidRPr="002B776B">
          <w:rPr>
            <w:rStyle w:val="Hyperlink"/>
            <w:rFonts w:ascii="Times New Roman" w:hAnsi="Times New Roman" w:cs="Times New Roman"/>
            <w:color w:val="000000" w:themeColor="text1"/>
            <w:u w:val="none"/>
            <w:lang w:val="en-US"/>
          </w:rPr>
          <w:t>https://www.ey.com/content/dam/ey-unified-site/ey-com/en-in/insights/workforce/documents/ey-tech-skills-transformation-navigating-the-future-of-work-in-2025-and-beyond.pdf</w:t>
        </w:r>
      </w:hyperlink>
    </w:p>
    <w:p w14:paraId="3285CC54"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Huang, Y., Li, K., &amp; Li, P. (2023). Innovation ecosystems and national talent competitiveness: A country-based comparison using fsQCA. </w:t>
      </w:r>
      <w:r w:rsidRPr="002B776B">
        <w:rPr>
          <w:rFonts w:ascii="Times New Roman" w:hAnsi="Times New Roman" w:cs="Times New Roman"/>
          <w:i/>
          <w:iCs/>
          <w:color w:val="000000" w:themeColor="text1"/>
        </w:rPr>
        <w:t>Technological Forecasting and Social Change</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194</w:t>
      </w:r>
      <w:r w:rsidRPr="002B776B">
        <w:rPr>
          <w:rFonts w:ascii="Times New Roman" w:hAnsi="Times New Roman" w:cs="Times New Roman"/>
          <w:color w:val="000000" w:themeColor="text1"/>
        </w:rPr>
        <w:t>, 122733.</w:t>
      </w:r>
    </w:p>
    <w:p w14:paraId="51FC8EA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Hughes, M. (2024). Gibbs' Reflective Cycle. [Online] mindtools. Available at </w:t>
      </w:r>
      <w:hyperlink r:id="rId11" w:history="1">
        <w:r w:rsidRPr="002B776B">
          <w:rPr>
            <w:rStyle w:val="Hyperlink"/>
            <w:rFonts w:ascii="Times New Roman" w:hAnsi="Times New Roman" w:cs="Times New Roman"/>
            <w:color w:val="000000" w:themeColor="text1"/>
            <w:u w:val="none"/>
          </w:rPr>
          <w:t>https://www.mindtools.com/ano9qiu/gibbs-reflective-cycle/</w:t>
        </w:r>
      </w:hyperlink>
    </w:p>
    <w:p w14:paraId="60FA6CB8"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Khanra, S., Kaur, P., Joseph, R. P., Malik, A., &amp; Dhir, A. (2022). A resource‐based view of green innovation as a strategic firm resource: Present status and future directions. </w:t>
      </w:r>
      <w:r w:rsidRPr="002B776B">
        <w:rPr>
          <w:rFonts w:ascii="Times New Roman" w:hAnsi="Times New Roman" w:cs="Times New Roman"/>
          <w:i/>
          <w:iCs/>
          <w:color w:val="000000" w:themeColor="text1"/>
        </w:rPr>
        <w:t>Business Strategy and the Environment</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31</w:t>
      </w:r>
      <w:r w:rsidRPr="002B776B">
        <w:rPr>
          <w:rFonts w:ascii="Times New Roman" w:hAnsi="Times New Roman" w:cs="Times New Roman"/>
          <w:color w:val="000000" w:themeColor="text1"/>
        </w:rPr>
        <w:t>(4), 1395-1413.</w:t>
      </w:r>
    </w:p>
    <w:p w14:paraId="0229C1F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lastRenderedPageBreak/>
        <w:t>Kolade, O., &amp; Owoseni, A. (2022). Employment 5.0: The work of the future and the future of work. </w:t>
      </w:r>
      <w:r w:rsidRPr="002B776B">
        <w:rPr>
          <w:rFonts w:ascii="Times New Roman" w:hAnsi="Times New Roman" w:cs="Times New Roman"/>
          <w:i/>
          <w:iCs/>
          <w:color w:val="000000" w:themeColor="text1"/>
        </w:rPr>
        <w:t>Technology in Society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71</w:t>
      </w:r>
      <w:r w:rsidRPr="002B776B">
        <w:rPr>
          <w:rFonts w:ascii="Times New Roman" w:hAnsi="Times New Roman" w:cs="Times New Roman"/>
          <w:color w:val="000000" w:themeColor="text1"/>
        </w:rPr>
        <w:t>, 102086.</w:t>
      </w:r>
    </w:p>
    <w:p w14:paraId="1701C7AB"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Li, M., Guo, J., Zou, C., &amp; Yin, J. (2024). The Impact of Reverse Mentoring on Employees’ Innovative Behavior: Evidence from Chinese Technology Enterprises. </w:t>
      </w:r>
      <w:r w:rsidRPr="002B776B">
        <w:rPr>
          <w:rFonts w:ascii="Times New Roman" w:hAnsi="Times New Roman" w:cs="Times New Roman"/>
          <w:i/>
          <w:iCs/>
          <w:color w:val="000000" w:themeColor="text1"/>
        </w:rPr>
        <w:t>Sustainability</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17</w:t>
      </w:r>
      <w:r w:rsidRPr="002B776B">
        <w:rPr>
          <w:rFonts w:ascii="Times New Roman" w:hAnsi="Times New Roman" w:cs="Times New Roman"/>
          <w:color w:val="000000" w:themeColor="text1"/>
        </w:rPr>
        <w:t>(1), 6.</w:t>
      </w:r>
    </w:p>
    <w:p w14:paraId="3A55966F"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Li, X., AlWadi, B. M., Ahmad, A., Dukhaykh, S., &amp; Khan, I. (2025). Igniting success: how growth mindset fuels academic achievement through self-belief and strategic effort. </w:t>
      </w:r>
      <w:r w:rsidRPr="002B776B">
        <w:rPr>
          <w:rFonts w:ascii="Times New Roman" w:hAnsi="Times New Roman" w:cs="Times New Roman"/>
          <w:i/>
          <w:iCs/>
          <w:color w:val="000000" w:themeColor="text1"/>
        </w:rPr>
        <w:t>BMC nursing</w:t>
      </w:r>
      <w:r w:rsidRPr="002B776B">
        <w:rPr>
          <w:rFonts w:ascii="Times New Roman" w:hAnsi="Times New Roman" w:cs="Times New Roman"/>
          <w:color w:val="000000" w:themeColor="text1"/>
        </w:rPr>
        <w:t>.</w:t>
      </w:r>
    </w:p>
    <w:p w14:paraId="0078EA5C"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Lubis, N. W. (2022). Resource based view (RBV) in improving company strategic capacity. </w:t>
      </w:r>
      <w:r w:rsidRPr="002B776B">
        <w:rPr>
          <w:rFonts w:ascii="Times New Roman" w:hAnsi="Times New Roman" w:cs="Times New Roman"/>
          <w:i/>
          <w:iCs/>
          <w:color w:val="000000" w:themeColor="text1"/>
        </w:rPr>
        <w:t>Research Horizon</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2</w:t>
      </w:r>
      <w:r w:rsidRPr="002B776B">
        <w:rPr>
          <w:rFonts w:ascii="Times New Roman" w:hAnsi="Times New Roman" w:cs="Times New Roman"/>
          <w:color w:val="000000" w:themeColor="text1"/>
        </w:rPr>
        <w:t>(6), 587-596.</w:t>
      </w:r>
    </w:p>
    <w:p w14:paraId="39C36A38"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McKinsey &amp; Company (2025) Technology Trends Outlook 2025. [Online] McKinsey. Available at </w:t>
      </w:r>
      <w:hyperlink r:id="rId12" w:history="1">
        <w:r w:rsidRPr="002B776B">
          <w:rPr>
            <w:rStyle w:val="Hyperlink"/>
            <w:rFonts w:ascii="Times New Roman" w:hAnsi="Times New Roman" w:cs="Times New Roman"/>
            <w:color w:val="000000" w:themeColor="text1"/>
            <w:u w:val="none"/>
            <w:lang w:val="en-US"/>
          </w:rPr>
          <w:t>https://www.mckinsey.com/~/media/mckinsey/business%20functions/mckinsey%20digital/our%20insights/the%20top%20trends%20in%20tech%202025/mckinsey-technology-trends-outlook-2025.pdf</w:t>
        </w:r>
      </w:hyperlink>
    </w:p>
    <w:p w14:paraId="18CEB2ED"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McKinsey.(2025) We’re all techies now: Digital skill building for the future. [Online] McKinsey. Available at </w:t>
      </w:r>
      <w:hyperlink r:id="rId13" w:history="1">
        <w:r w:rsidRPr="002B776B">
          <w:rPr>
            <w:rStyle w:val="Hyperlink"/>
            <w:rFonts w:ascii="Times New Roman" w:hAnsi="Times New Roman" w:cs="Times New Roman"/>
            <w:color w:val="000000" w:themeColor="text1"/>
            <w:u w:val="none"/>
            <w:lang w:val="en-US"/>
          </w:rPr>
          <w:t>https://www.mckinsey.com/capabilities/people-and-organizational-performance/our-insights/we-are-all-techies-now-digital-skill-building-for-the-future</w:t>
        </w:r>
      </w:hyperlink>
    </w:p>
    <w:p w14:paraId="4CB2DF1A"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Mikalef, P., Islam, N., Parida, V., Singh, H., &amp; Altwaijry, N. (2023). Artificial intelligence (AI) competencies for organizational performance: A B2B marketing capabilities perspective. </w:t>
      </w:r>
      <w:r w:rsidRPr="002B776B">
        <w:rPr>
          <w:rFonts w:ascii="Times New Roman" w:hAnsi="Times New Roman" w:cs="Times New Roman"/>
          <w:i/>
          <w:iCs/>
          <w:color w:val="000000" w:themeColor="text1"/>
        </w:rPr>
        <w:t>Journal of Business Research</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164</w:t>
      </w:r>
      <w:r w:rsidRPr="002B776B">
        <w:rPr>
          <w:rFonts w:ascii="Times New Roman" w:hAnsi="Times New Roman" w:cs="Times New Roman"/>
          <w:color w:val="000000" w:themeColor="text1"/>
        </w:rPr>
        <w:t>, 113998.</w:t>
      </w:r>
    </w:p>
    <w:p w14:paraId="0525BA5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Myers, P. (2022). How to Apply the World Famous Gibbs Reflection Model. [Online] medium. Available at </w:t>
      </w:r>
      <w:hyperlink r:id="rId14" w:history="1">
        <w:r w:rsidRPr="002B776B">
          <w:rPr>
            <w:rStyle w:val="Hyperlink"/>
            <w:rFonts w:ascii="Times New Roman" w:hAnsi="Times New Roman" w:cs="Times New Roman"/>
            <w:color w:val="000000" w:themeColor="text1"/>
            <w:u w:val="none"/>
          </w:rPr>
          <w:t>https://medium.com/publishous/how-to-apply-the-world-famous-gibbs-reflection-model-11a72c0a3049</w:t>
        </w:r>
      </w:hyperlink>
    </w:p>
    <w:p w14:paraId="136A89E7"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Oltulular, S. (2025). Human capital dynamics are the key to economic growth: Source of value of the future. </w:t>
      </w:r>
      <w:r w:rsidRPr="002B776B">
        <w:rPr>
          <w:rFonts w:ascii="Times New Roman" w:hAnsi="Times New Roman" w:cs="Times New Roman"/>
          <w:i/>
          <w:iCs/>
          <w:color w:val="000000" w:themeColor="text1"/>
        </w:rPr>
        <w:t>Economies</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13</w:t>
      </w:r>
      <w:r w:rsidRPr="002B776B">
        <w:rPr>
          <w:rFonts w:ascii="Times New Roman" w:hAnsi="Times New Roman" w:cs="Times New Roman"/>
          <w:color w:val="000000" w:themeColor="text1"/>
        </w:rPr>
        <w:t>(8), 235.</w:t>
      </w:r>
    </w:p>
    <w:p w14:paraId="793924C7"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Ovcharenko, D. (2025) IT Outsourcing in Eastern Europe: 2026 Market Overview. [Online] Alcor. Available at </w:t>
      </w:r>
      <w:hyperlink r:id="rId15" w:history="1">
        <w:r w:rsidRPr="002B776B">
          <w:rPr>
            <w:rStyle w:val="Hyperlink"/>
            <w:rFonts w:ascii="Times New Roman" w:hAnsi="Times New Roman" w:cs="Times New Roman"/>
            <w:color w:val="000000" w:themeColor="text1"/>
            <w:u w:val="none"/>
            <w:lang w:val="en-US"/>
          </w:rPr>
          <w:t>https://alcor.com/it-outsourcing-to-eastern-europe-major-trends-insights/</w:t>
        </w:r>
      </w:hyperlink>
    </w:p>
    <w:p w14:paraId="2044D989"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lastRenderedPageBreak/>
        <w:t xml:space="preserve">Paige, M. (2026). The Build vs Buy Framework in the Age of AI. [Online] hatchworks. Available at </w:t>
      </w:r>
      <w:hyperlink r:id="rId16" w:history="1">
        <w:r w:rsidRPr="002B776B">
          <w:rPr>
            <w:rStyle w:val="Hyperlink"/>
            <w:rFonts w:ascii="Times New Roman" w:hAnsi="Times New Roman" w:cs="Times New Roman"/>
            <w:color w:val="000000" w:themeColor="text1"/>
            <w:u w:val="none"/>
          </w:rPr>
          <w:t>https://hatchworks.com/blog/gen-ai/build-vs-buy-framework/</w:t>
        </w:r>
      </w:hyperlink>
    </w:p>
    <w:p w14:paraId="0C5A1E2F"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Radanliev, P. (2025). AI ethics: Integrating transparency, fairness, and privacy in AI development. </w:t>
      </w:r>
      <w:r w:rsidRPr="002B776B">
        <w:rPr>
          <w:rFonts w:ascii="Times New Roman" w:hAnsi="Times New Roman" w:cs="Times New Roman"/>
          <w:i/>
          <w:iCs/>
          <w:color w:val="000000" w:themeColor="text1"/>
        </w:rPr>
        <w:t>Applied Artificial Intelligence</w:t>
      </w:r>
      <w:r w:rsidRPr="002B776B">
        <w:rPr>
          <w:rFonts w:ascii="Times New Roman" w:hAnsi="Times New Roman" w:cs="Times New Roman"/>
          <w:color w:val="000000" w:themeColor="text1"/>
        </w:rPr>
        <w:t>, </w:t>
      </w:r>
      <w:r w:rsidRPr="002B776B">
        <w:rPr>
          <w:rFonts w:ascii="Times New Roman" w:hAnsi="Times New Roman" w:cs="Times New Roman"/>
          <w:i/>
          <w:iCs/>
          <w:color w:val="000000" w:themeColor="text1"/>
        </w:rPr>
        <w:t>39</w:t>
      </w:r>
      <w:r w:rsidRPr="002B776B">
        <w:rPr>
          <w:rFonts w:ascii="Times New Roman" w:hAnsi="Times New Roman" w:cs="Times New Roman"/>
          <w:color w:val="000000" w:themeColor="text1"/>
        </w:rPr>
        <w:t>(1), 2463722.</w:t>
      </w:r>
    </w:p>
    <w:p w14:paraId="7844BA8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r w:rsidRPr="002B776B">
        <w:rPr>
          <w:rFonts w:ascii="Times New Roman" w:hAnsi="Times New Roman" w:cs="Times New Roman"/>
          <w:color w:val="000000" w:themeColor="text1"/>
          <w:lang w:val="en-US"/>
        </w:rPr>
        <w:t xml:space="preserve">Riehl, A. (2025). Canada outpaced US in tech talent growth in 2024: CBRE report. [Online] Betakit. Available at </w:t>
      </w:r>
      <w:hyperlink r:id="rId17" w:history="1">
        <w:r w:rsidRPr="002B776B">
          <w:rPr>
            <w:rStyle w:val="Hyperlink"/>
            <w:rFonts w:ascii="Times New Roman" w:hAnsi="Times New Roman" w:cs="Times New Roman"/>
            <w:color w:val="000000" w:themeColor="text1"/>
            <w:u w:val="none"/>
            <w:lang w:val="en-US"/>
          </w:rPr>
          <w:t>https://betakit.com/canada-outpaced-us-in-tech-talent-growth-in-2024-cbre-report/</w:t>
        </w:r>
      </w:hyperlink>
    </w:p>
    <w:p w14:paraId="7FB3C100" w14:textId="77777777" w:rsidR="002B776B" w:rsidRPr="002B776B" w:rsidRDefault="002B776B" w:rsidP="00D16F65">
      <w:pPr>
        <w:adjustRightInd w:val="0"/>
        <w:snapToGrid w:val="0"/>
        <w:spacing w:before="240" w:after="240" w:line="360" w:lineRule="auto"/>
        <w:jc w:val="both"/>
        <w:rPr>
          <w:rFonts w:ascii="Times New Roman" w:hAnsi="Times New Roman" w:cs="Times New Roman"/>
          <w:color w:val="000000" w:themeColor="text1"/>
        </w:rPr>
      </w:pPr>
      <w:r w:rsidRPr="002B776B">
        <w:rPr>
          <w:rFonts w:ascii="Times New Roman" w:hAnsi="Times New Roman" w:cs="Times New Roman"/>
          <w:color w:val="000000" w:themeColor="text1"/>
        </w:rPr>
        <w:t xml:space="preserve">Skillup. (2025). Build or Buy: Taking the Next Step with Transformative Learning. [Online] skillup. Available at </w:t>
      </w:r>
      <w:hyperlink r:id="rId18" w:history="1">
        <w:r w:rsidRPr="002B776B">
          <w:rPr>
            <w:rStyle w:val="Hyperlink"/>
            <w:rFonts w:ascii="Times New Roman" w:hAnsi="Times New Roman" w:cs="Times New Roman"/>
            <w:color w:val="000000" w:themeColor="text1"/>
            <w:u w:val="none"/>
          </w:rPr>
          <w:t>https://skillup.tech/build-or-buy-transformative-learning/</w:t>
        </w:r>
      </w:hyperlink>
    </w:p>
    <w:p w14:paraId="2E000A9F" w14:textId="77777777" w:rsidR="002B776B" w:rsidRPr="002B776B" w:rsidRDefault="002B776B" w:rsidP="00D16F65">
      <w:pPr>
        <w:adjustRightInd w:val="0"/>
        <w:snapToGrid w:val="0"/>
        <w:spacing w:before="240" w:after="240" w:line="360" w:lineRule="auto"/>
        <w:jc w:val="both"/>
        <w:rPr>
          <w:color w:val="000000" w:themeColor="text1"/>
        </w:rPr>
      </w:pPr>
      <w:r w:rsidRPr="002B776B">
        <w:rPr>
          <w:rFonts w:ascii="Times New Roman" w:hAnsi="Times New Roman" w:cs="Times New Roman"/>
          <w:color w:val="000000" w:themeColor="text1"/>
          <w:lang w:val="en-US"/>
        </w:rPr>
        <w:t xml:space="preserve">Vidualcapitalist. (2025) Global Tech Talent Guidebook. [Online] visualcapitalist. Available at </w:t>
      </w:r>
      <w:hyperlink r:id="rId19" w:history="1">
        <w:r w:rsidRPr="002B776B">
          <w:rPr>
            <w:rStyle w:val="Hyperlink"/>
            <w:rFonts w:ascii="Times New Roman" w:hAnsi="Times New Roman" w:cs="Times New Roman"/>
            <w:color w:val="000000" w:themeColor="text1"/>
            <w:u w:val="none"/>
            <w:lang w:val="en-US"/>
          </w:rPr>
          <w:t>https://elements.visualcapitalist.com/wp-content/uploads/2025/05/1746449266997.pdf</w:t>
        </w:r>
      </w:hyperlink>
    </w:p>
    <w:p w14:paraId="31527623" w14:textId="77777777" w:rsidR="002B776B" w:rsidRPr="00D16F65" w:rsidRDefault="002B776B" w:rsidP="00D16F65">
      <w:pPr>
        <w:adjustRightInd w:val="0"/>
        <w:snapToGrid w:val="0"/>
        <w:spacing w:before="240" w:after="240" w:line="360" w:lineRule="auto"/>
        <w:jc w:val="both"/>
        <w:rPr>
          <w:rFonts w:ascii="Times New Roman" w:hAnsi="Times New Roman" w:cs="Times New Roman"/>
          <w:color w:val="000000" w:themeColor="text1"/>
          <w:lang w:val="en-US"/>
        </w:rPr>
      </w:pPr>
    </w:p>
    <w:sectPr w:rsidR="002B776B" w:rsidRPr="00D16F65" w:rsidSect="009F3D75">
      <w:footerReference w:type="even" r:id="rId20"/>
      <w:footerReference w:type="default" r:id="rId2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D57D73" w14:textId="77777777" w:rsidR="00CB7125" w:rsidRDefault="00CB7125" w:rsidP="00D16F65">
      <w:pPr>
        <w:spacing w:after="0" w:line="240" w:lineRule="auto"/>
      </w:pPr>
      <w:r>
        <w:separator/>
      </w:r>
    </w:p>
  </w:endnote>
  <w:endnote w:type="continuationSeparator" w:id="0">
    <w:p w14:paraId="6C852922" w14:textId="77777777" w:rsidR="00CB7125" w:rsidRDefault="00CB7125" w:rsidP="00D1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59204747"/>
      <w:docPartObj>
        <w:docPartGallery w:val="Page Numbers (Bottom of Page)"/>
        <w:docPartUnique/>
      </w:docPartObj>
    </w:sdtPr>
    <w:sdtEndPr>
      <w:rPr>
        <w:rStyle w:val="PageNumber"/>
      </w:rPr>
    </w:sdtEndPr>
    <w:sdtContent>
      <w:p w14:paraId="2F87D4EB" w14:textId="5F40F812" w:rsidR="00D16F65" w:rsidRDefault="00D16F65" w:rsidP="00EB39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D1FA9B" w14:textId="77777777" w:rsidR="00D16F65" w:rsidRDefault="00D16F65" w:rsidP="00D16F65">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19003462"/>
      <w:docPartObj>
        <w:docPartGallery w:val="Page Numbers (Bottom of Page)"/>
        <w:docPartUnique/>
      </w:docPartObj>
    </w:sdtPr>
    <w:sdtEndPr>
      <w:rPr>
        <w:rStyle w:val="PageNumber"/>
      </w:rPr>
    </w:sdtEndPr>
    <w:sdtContent>
      <w:p w14:paraId="786D43D7" w14:textId="2D752689" w:rsidR="00D16F65" w:rsidRDefault="00D16F65" w:rsidP="00EB39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94210">
          <w:rPr>
            <w:rStyle w:val="PageNumber"/>
            <w:noProof/>
          </w:rPr>
          <w:t>1</w:t>
        </w:r>
        <w:r>
          <w:rPr>
            <w:rStyle w:val="PageNumber"/>
          </w:rPr>
          <w:fldChar w:fldCharType="end"/>
        </w:r>
      </w:p>
    </w:sdtContent>
  </w:sdt>
  <w:p w14:paraId="454EBB1E" w14:textId="77777777" w:rsidR="00D16F65" w:rsidRDefault="00D16F65" w:rsidP="00D16F65">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89177A" w14:textId="77777777" w:rsidR="00CB7125" w:rsidRDefault="00CB7125" w:rsidP="00D16F65">
      <w:pPr>
        <w:spacing w:after="0" w:line="240" w:lineRule="auto"/>
      </w:pPr>
      <w:r>
        <w:separator/>
      </w:r>
    </w:p>
  </w:footnote>
  <w:footnote w:type="continuationSeparator" w:id="0">
    <w:p w14:paraId="74B5CC80" w14:textId="77777777" w:rsidR="00CB7125" w:rsidRDefault="00CB7125" w:rsidP="00D16F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234F"/>
    <w:rsid w:val="002939C1"/>
    <w:rsid w:val="00295FC5"/>
    <w:rsid w:val="002B776B"/>
    <w:rsid w:val="003402E1"/>
    <w:rsid w:val="00400EB2"/>
    <w:rsid w:val="0048649F"/>
    <w:rsid w:val="00494210"/>
    <w:rsid w:val="004E3FCD"/>
    <w:rsid w:val="004F3B1F"/>
    <w:rsid w:val="005C58B6"/>
    <w:rsid w:val="005D7905"/>
    <w:rsid w:val="0068291B"/>
    <w:rsid w:val="007459A9"/>
    <w:rsid w:val="007A73FB"/>
    <w:rsid w:val="007B234F"/>
    <w:rsid w:val="00801EDF"/>
    <w:rsid w:val="008C1893"/>
    <w:rsid w:val="00977930"/>
    <w:rsid w:val="009F3D75"/>
    <w:rsid w:val="00B2790A"/>
    <w:rsid w:val="00BE0969"/>
    <w:rsid w:val="00C744F0"/>
    <w:rsid w:val="00C92DAD"/>
    <w:rsid w:val="00C95CC2"/>
    <w:rsid w:val="00CB7125"/>
    <w:rsid w:val="00D16F65"/>
    <w:rsid w:val="00DC3972"/>
    <w:rsid w:val="00E66EA4"/>
    <w:rsid w:val="00F92B90"/>
    <w:rsid w:val="00FE2E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112A5"/>
  <w15:chartTrackingRefBased/>
  <w15:docId w15:val="{4F179C57-DE38-1B41-9D52-AEA8A974E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23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3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3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3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3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3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3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3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3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3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3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3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3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3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3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3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3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34F"/>
    <w:rPr>
      <w:rFonts w:eastAsiaTheme="majorEastAsia" w:cstheme="majorBidi"/>
      <w:color w:val="272727" w:themeColor="text1" w:themeTint="D8"/>
    </w:rPr>
  </w:style>
  <w:style w:type="paragraph" w:styleId="Title">
    <w:name w:val="Title"/>
    <w:basedOn w:val="Normal"/>
    <w:next w:val="Normal"/>
    <w:link w:val="TitleChar"/>
    <w:uiPriority w:val="10"/>
    <w:qFormat/>
    <w:rsid w:val="007B23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3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3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3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34F"/>
    <w:pPr>
      <w:spacing w:before="160"/>
      <w:jc w:val="center"/>
    </w:pPr>
    <w:rPr>
      <w:i/>
      <w:iCs/>
      <w:color w:val="404040" w:themeColor="text1" w:themeTint="BF"/>
    </w:rPr>
  </w:style>
  <w:style w:type="character" w:customStyle="1" w:styleId="QuoteChar">
    <w:name w:val="Quote Char"/>
    <w:basedOn w:val="DefaultParagraphFont"/>
    <w:link w:val="Quote"/>
    <w:uiPriority w:val="29"/>
    <w:rsid w:val="007B234F"/>
    <w:rPr>
      <w:i/>
      <w:iCs/>
      <w:color w:val="404040" w:themeColor="text1" w:themeTint="BF"/>
    </w:rPr>
  </w:style>
  <w:style w:type="paragraph" w:styleId="ListParagraph">
    <w:name w:val="List Paragraph"/>
    <w:basedOn w:val="Normal"/>
    <w:uiPriority w:val="34"/>
    <w:qFormat/>
    <w:rsid w:val="007B234F"/>
    <w:pPr>
      <w:ind w:left="720"/>
      <w:contextualSpacing/>
    </w:pPr>
  </w:style>
  <w:style w:type="character" w:styleId="IntenseEmphasis">
    <w:name w:val="Intense Emphasis"/>
    <w:basedOn w:val="DefaultParagraphFont"/>
    <w:uiPriority w:val="21"/>
    <w:qFormat/>
    <w:rsid w:val="007B234F"/>
    <w:rPr>
      <w:i/>
      <w:iCs/>
      <w:color w:val="0F4761" w:themeColor="accent1" w:themeShade="BF"/>
    </w:rPr>
  </w:style>
  <w:style w:type="paragraph" w:styleId="IntenseQuote">
    <w:name w:val="Intense Quote"/>
    <w:basedOn w:val="Normal"/>
    <w:next w:val="Normal"/>
    <w:link w:val="IntenseQuoteChar"/>
    <w:uiPriority w:val="30"/>
    <w:qFormat/>
    <w:rsid w:val="007B23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34F"/>
    <w:rPr>
      <w:i/>
      <w:iCs/>
      <w:color w:val="0F4761" w:themeColor="accent1" w:themeShade="BF"/>
    </w:rPr>
  </w:style>
  <w:style w:type="character" w:styleId="IntenseReference">
    <w:name w:val="Intense Reference"/>
    <w:basedOn w:val="DefaultParagraphFont"/>
    <w:uiPriority w:val="32"/>
    <w:qFormat/>
    <w:rsid w:val="007B234F"/>
    <w:rPr>
      <w:b/>
      <w:bCs/>
      <w:smallCaps/>
      <w:color w:val="0F4761" w:themeColor="accent1" w:themeShade="BF"/>
      <w:spacing w:val="5"/>
    </w:rPr>
  </w:style>
  <w:style w:type="character" w:styleId="Hyperlink">
    <w:name w:val="Hyperlink"/>
    <w:basedOn w:val="DefaultParagraphFont"/>
    <w:uiPriority w:val="99"/>
    <w:unhideWhenUsed/>
    <w:rsid w:val="00D16F65"/>
    <w:rPr>
      <w:color w:val="467886" w:themeColor="hyperlink"/>
      <w:u w:val="single"/>
    </w:rPr>
  </w:style>
  <w:style w:type="character" w:customStyle="1" w:styleId="UnresolvedMention">
    <w:name w:val="Unresolved Mention"/>
    <w:basedOn w:val="DefaultParagraphFont"/>
    <w:uiPriority w:val="99"/>
    <w:semiHidden/>
    <w:unhideWhenUsed/>
    <w:rsid w:val="00D16F65"/>
    <w:rPr>
      <w:color w:val="605E5C"/>
      <w:shd w:val="clear" w:color="auto" w:fill="E1DFDD"/>
    </w:rPr>
  </w:style>
  <w:style w:type="paragraph" w:styleId="Footer">
    <w:name w:val="footer"/>
    <w:basedOn w:val="Normal"/>
    <w:link w:val="FooterChar"/>
    <w:uiPriority w:val="99"/>
    <w:unhideWhenUsed/>
    <w:rsid w:val="00D16F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F65"/>
  </w:style>
  <w:style w:type="character" w:styleId="PageNumber">
    <w:name w:val="page number"/>
    <w:basedOn w:val="DefaultParagraphFont"/>
    <w:uiPriority w:val="99"/>
    <w:semiHidden/>
    <w:unhideWhenUsed/>
    <w:rsid w:val="00D16F65"/>
  </w:style>
  <w:style w:type="paragraph" w:styleId="TOCHeading">
    <w:name w:val="TOC Heading"/>
    <w:basedOn w:val="Heading1"/>
    <w:next w:val="Normal"/>
    <w:uiPriority w:val="39"/>
    <w:unhideWhenUsed/>
    <w:qFormat/>
    <w:rsid w:val="00D16F6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6F65"/>
    <w:pPr>
      <w:spacing w:before="240" w:after="120"/>
    </w:pPr>
    <w:rPr>
      <w:b/>
      <w:bCs/>
      <w:sz w:val="20"/>
      <w:szCs w:val="20"/>
    </w:rPr>
  </w:style>
  <w:style w:type="paragraph" w:styleId="TOC2">
    <w:name w:val="toc 2"/>
    <w:basedOn w:val="Normal"/>
    <w:next w:val="Normal"/>
    <w:autoRedefine/>
    <w:uiPriority w:val="39"/>
    <w:unhideWhenUsed/>
    <w:rsid w:val="00D16F65"/>
    <w:pPr>
      <w:spacing w:before="120" w:after="0"/>
      <w:ind w:left="240"/>
    </w:pPr>
    <w:rPr>
      <w:i/>
      <w:iCs/>
      <w:sz w:val="20"/>
      <w:szCs w:val="20"/>
    </w:rPr>
  </w:style>
  <w:style w:type="paragraph" w:styleId="TOC3">
    <w:name w:val="toc 3"/>
    <w:basedOn w:val="Normal"/>
    <w:next w:val="Normal"/>
    <w:autoRedefine/>
    <w:uiPriority w:val="39"/>
    <w:semiHidden/>
    <w:unhideWhenUsed/>
    <w:rsid w:val="00D16F65"/>
    <w:pPr>
      <w:spacing w:after="0"/>
      <w:ind w:left="480"/>
    </w:pPr>
    <w:rPr>
      <w:sz w:val="20"/>
      <w:szCs w:val="20"/>
    </w:rPr>
  </w:style>
  <w:style w:type="paragraph" w:styleId="TOC4">
    <w:name w:val="toc 4"/>
    <w:basedOn w:val="Normal"/>
    <w:next w:val="Normal"/>
    <w:autoRedefine/>
    <w:uiPriority w:val="39"/>
    <w:semiHidden/>
    <w:unhideWhenUsed/>
    <w:rsid w:val="00D16F65"/>
    <w:pPr>
      <w:spacing w:after="0"/>
      <w:ind w:left="720"/>
    </w:pPr>
    <w:rPr>
      <w:sz w:val="20"/>
      <w:szCs w:val="20"/>
    </w:rPr>
  </w:style>
  <w:style w:type="paragraph" w:styleId="TOC5">
    <w:name w:val="toc 5"/>
    <w:basedOn w:val="Normal"/>
    <w:next w:val="Normal"/>
    <w:autoRedefine/>
    <w:uiPriority w:val="39"/>
    <w:semiHidden/>
    <w:unhideWhenUsed/>
    <w:rsid w:val="00D16F65"/>
    <w:pPr>
      <w:spacing w:after="0"/>
      <w:ind w:left="960"/>
    </w:pPr>
    <w:rPr>
      <w:sz w:val="20"/>
      <w:szCs w:val="20"/>
    </w:rPr>
  </w:style>
  <w:style w:type="paragraph" w:styleId="TOC6">
    <w:name w:val="toc 6"/>
    <w:basedOn w:val="Normal"/>
    <w:next w:val="Normal"/>
    <w:autoRedefine/>
    <w:uiPriority w:val="39"/>
    <w:semiHidden/>
    <w:unhideWhenUsed/>
    <w:rsid w:val="00D16F65"/>
    <w:pPr>
      <w:spacing w:after="0"/>
      <w:ind w:left="1200"/>
    </w:pPr>
    <w:rPr>
      <w:sz w:val="20"/>
      <w:szCs w:val="20"/>
    </w:rPr>
  </w:style>
  <w:style w:type="paragraph" w:styleId="TOC7">
    <w:name w:val="toc 7"/>
    <w:basedOn w:val="Normal"/>
    <w:next w:val="Normal"/>
    <w:autoRedefine/>
    <w:uiPriority w:val="39"/>
    <w:semiHidden/>
    <w:unhideWhenUsed/>
    <w:rsid w:val="00D16F65"/>
    <w:pPr>
      <w:spacing w:after="0"/>
      <w:ind w:left="1440"/>
    </w:pPr>
    <w:rPr>
      <w:sz w:val="20"/>
      <w:szCs w:val="20"/>
    </w:rPr>
  </w:style>
  <w:style w:type="paragraph" w:styleId="TOC8">
    <w:name w:val="toc 8"/>
    <w:basedOn w:val="Normal"/>
    <w:next w:val="Normal"/>
    <w:autoRedefine/>
    <w:uiPriority w:val="39"/>
    <w:semiHidden/>
    <w:unhideWhenUsed/>
    <w:rsid w:val="00D16F65"/>
    <w:pPr>
      <w:spacing w:after="0"/>
      <w:ind w:left="1680"/>
    </w:pPr>
    <w:rPr>
      <w:sz w:val="20"/>
      <w:szCs w:val="20"/>
    </w:rPr>
  </w:style>
  <w:style w:type="paragraph" w:styleId="TOC9">
    <w:name w:val="toc 9"/>
    <w:basedOn w:val="Normal"/>
    <w:next w:val="Normal"/>
    <w:autoRedefine/>
    <w:uiPriority w:val="39"/>
    <w:semiHidden/>
    <w:unhideWhenUsed/>
    <w:rsid w:val="00D16F65"/>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ckinsey.com/capabilities/people-and-organizational-performance/our-insights/we-are-all-techies-now-digital-skill-building-for-the-future" TargetMode="External"/><Relationship Id="rId18" Type="http://schemas.openxmlformats.org/officeDocument/2006/relationships/hyperlink" Target="https://skillup.tech/build-or-buy-transformative-learning/"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mckinsey.com/~/media/mckinsey/business%20functions/mckinsey%20digital/our%20insights/the%20top%20trends%20in%20tech%202025/mckinsey-technology-trends-outlook-2025.pdf" TargetMode="External"/><Relationship Id="rId17" Type="http://schemas.openxmlformats.org/officeDocument/2006/relationships/hyperlink" Target="https://betakit.com/canada-outpaced-us-in-tech-talent-growth-in-2024-cbre-report/" TargetMode="External"/><Relationship Id="rId2" Type="http://schemas.openxmlformats.org/officeDocument/2006/relationships/styles" Target="styles.xml"/><Relationship Id="rId16" Type="http://schemas.openxmlformats.org/officeDocument/2006/relationships/hyperlink" Target="https://hatchworks.com/blog/gen-ai/build-vs-buy-framewor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ano9qiu/gibbs-reflective-cycle/" TargetMode="External"/><Relationship Id="rId5" Type="http://schemas.openxmlformats.org/officeDocument/2006/relationships/footnotes" Target="footnotes.xml"/><Relationship Id="rId15" Type="http://schemas.openxmlformats.org/officeDocument/2006/relationships/hyperlink" Target="https://alcor.com/it-outsourcing-to-eastern-europe-major-trends-insights/" TargetMode="External"/><Relationship Id="rId23" Type="http://schemas.openxmlformats.org/officeDocument/2006/relationships/theme" Target="theme/theme1.xml"/><Relationship Id="rId10" Type="http://schemas.openxmlformats.org/officeDocument/2006/relationships/hyperlink" Target="https://www.ey.com/content/dam/ey-unified-site/ey-com/en-in/insights/workforce/documents/ey-tech-skills-transformation-navigating-the-future-of-work-in-2025-and-beyond.pdf" TargetMode="External"/><Relationship Id="rId19" Type="http://schemas.openxmlformats.org/officeDocument/2006/relationships/hyperlink" Target="https://elements.visualcapitalist.com/wp-content/uploads/2025/05/1746449266997.pdf" TargetMode="External"/><Relationship Id="rId4" Type="http://schemas.openxmlformats.org/officeDocument/2006/relationships/webSettings" Target="webSettings.xml"/><Relationship Id="rId9" Type="http://schemas.openxmlformats.org/officeDocument/2006/relationships/hyperlink" Target="https://www.shrm.org/in/topics-tools/news/organizational-employee-development/build-buy-borrow-talent-strategy" TargetMode="External"/><Relationship Id="rId14" Type="http://schemas.openxmlformats.org/officeDocument/2006/relationships/hyperlink" Target="https://medium.com/publishous/how-to-apply-the-world-famous-gibbs-reflection-model-11a72c0a304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88E431-3715-4C70-9DAD-3C655E047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28</cp:revision>
  <dcterms:created xsi:type="dcterms:W3CDTF">2026-03-11T09:36:00Z</dcterms:created>
  <dcterms:modified xsi:type="dcterms:W3CDTF">2026-03-19T10:57:00Z</dcterms:modified>
</cp:coreProperties>
</file>