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FA2D6F" w:rsidRDefault="00063B4C" w:rsidP="00750D5B">
      <w:pPr>
        <w:rPr>
          <w:rFonts w:cs="Arial"/>
          <w:sz w:val="24"/>
          <w:szCs w:val="24"/>
        </w:rPr>
      </w:pPr>
      <w:r w:rsidRPr="00FA2D6F">
        <w:rPr>
          <w:rFonts w:cs="Arial"/>
          <w:noProof/>
          <w:sz w:val="24"/>
          <w:szCs w:val="24"/>
          <w:lang w:val="en-US" w:eastAsia="en-US"/>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FA2D6F" w:rsidRDefault="00063B4C" w:rsidP="00750D5B">
      <w:pPr>
        <w:rPr>
          <w:rFonts w:cs="Arial"/>
          <w:sz w:val="24"/>
          <w:szCs w:val="24"/>
        </w:rPr>
      </w:pPr>
    </w:p>
    <w:p w14:paraId="00DE7510" w14:textId="684CC594" w:rsidR="00063B4C" w:rsidRPr="00FA2D6F" w:rsidRDefault="00063B4C" w:rsidP="00750D5B">
      <w:pPr>
        <w:rPr>
          <w:rFonts w:cs="Arial"/>
          <w:sz w:val="24"/>
          <w:szCs w:val="24"/>
        </w:rPr>
      </w:pPr>
    </w:p>
    <w:p w14:paraId="62B6C1AB" w14:textId="77777777" w:rsidR="00063B4C" w:rsidRPr="00FA2D6F" w:rsidRDefault="00063B4C" w:rsidP="00750D5B">
      <w:pPr>
        <w:rPr>
          <w:rFonts w:cs="Arial"/>
          <w:sz w:val="24"/>
          <w:szCs w:val="24"/>
        </w:rPr>
      </w:pPr>
    </w:p>
    <w:p w14:paraId="19C1447B" w14:textId="77777777" w:rsidR="00063B4C" w:rsidRPr="00FA2D6F" w:rsidRDefault="00063B4C" w:rsidP="00750D5B">
      <w:pPr>
        <w:ind w:right="1229"/>
        <w:rPr>
          <w:rFonts w:cs="Arial"/>
          <w:b/>
          <w:sz w:val="24"/>
          <w:szCs w:val="24"/>
        </w:rPr>
      </w:pPr>
    </w:p>
    <w:p w14:paraId="4BD32C57" w14:textId="2FA64C13" w:rsidR="00063B4C" w:rsidRPr="00FA2D6F" w:rsidRDefault="00063B4C" w:rsidP="00750D5B">
      <w:pPr>
        <w:ind w:right="1229"/>
        <w:rPr>
          <w:rFonts w:cs="Arial"/>
          <w:b/>
          <w:sz w:val="24"/>
          <w:szCs w:val="24"/>
        </w:rPr>
      </w:pPr>
      <w:r w:rsidRPr="00FA2D6F">
        <w:rPr>
          <w:rFonts w:cs="Arial"/>
          <w:b/>
          <w:sz w:val="24"/>
          <w:szCs w:val="24"/>
        </w:rPr>
        <w:t>Institute of Inner-City Learning Birmingham Campus</w:t>
      </w:r>
    </w:p>
    <w:p w14:paraId="7F58ECA1" w14:textId="77777777" w:rsidR="00063B4C" w:rsidRPr="00FA2D6F" w:rsidRDefault="00063B4C" w:rsidP="00750D5B">
      <w:pPr>
        <w:pStyle w:val="BodyText"/>
        <w:spacing w:line="360" w:lineRule="auto"/>
        <w:jc w:val="both"/>
        <w:rPr>
          <w:rFonts w:cs="Arial"/>
          <w:b/>
          <w:sz w:val="24"/>
          <w:szCs w:val="24"/>
        </w:rPr>
      </w:pPr>
    </w:p>
    <w:p w14:paraId="3009F44A" w14:textId="2F598781" w:rsidR="00063B4C" w:rsidRPr="00FA2D6F" w:rsidRDefault="00063B4C" w:rsidP="00750D5B">
      <w:pPr>
        <w:rPr>
          <w:rFonts w:cs="Arial"/>
          <w:b/>
          <w:sz w:val="24"/>
          <w:szCs w:val="24"/>
        </w:rPr>
      </w:pPr>
      <w:r w:rsidRPr="00FA2D6F">
        <w:rPr>
          <w:rFonts w:cs="Arial"/>
          <w:b/>
          <w:sz w:val="24"/>
          <w:szCs w:val="24"/>
        </w:rPr>
        <w:t>BSc (Hons) Health and Social Care</w:t>
      </w:r>
      <w:r w:rsidRPr="00FA2D6F">
        <w:rPr>
          <w:rFonts w:cs="Arial"/>
          <w:b/>
          <w:sz w:val="24"/>
          <w:szCs w:val="24"/>
        </w:rPr>
        <w:br/>
      </w:r>
    </w:p>
    <w:p w14:paraId="08ED8C42" w14:textId="0A36C282" w:rsidR="00063B4C" w:rsidRPr="00FA2D6F" w:rsidRDefault="00063B4C" w:rsidP="00750D5B">
      <w:pPr>
        <w:rPr>
          <w:rFonts w:cs="Arial"/>
          <w:b/>
          <w:sz w:val="24"/>
          <w:szCs w:val="24"/>
        </w:rPr>
      </w:pPr>
      <w:r w:rsidRPr="00FA2D6F">
        <w:rPr>
          <w:rFonts w:cs="Arial"/>
          <w:b/>
          <w:sz w:val="24"/>
          <w:szCs w:val="24"/>
        </w:rPr>
        <w:t>DISSERTATION GUIDANCE AND TEMPLATE</w:t>
      </w:r>
    </w:p>
    <w:p w14:paraId="1E529867" w14:textId="200D9475" w:rsidR="007943D8" w:rsidRPr="00FA2D6F" w:rsidRDefault="007943D8" w:rsidP="00750D5B">
      <w:pPr>
        <w:rPr>
          <w:rFonts w:cs="Arial"/>
          <w:b/>
          <w:sz w:val="24"/>
          <w:szCs w:val="24"/>
        </w:rPr>
      </w:pPr>
    </w:p>
    <w:p w14:paraId="10ADA15C" w14:textId="0EFBEDC4" w:rsidR="007943D8" w:rsidRPr="007D6848" w:rsidRDefault="007943D8" w:rsidP="00750D5B">
      <w:pPr>
        <w:rPr>
          <w:rFonts w:cs="Arial"/>
          <w:b/>
          <w:sz w:val="24"/>
          <w:szCs w:val="24"/>
        </w:rPr>
      </w:pPr>
      <w:bookmarkStart w:id="0" w:name="_Toc241150003"/>
    </w:p>
    <w:p w14:paraId="03CBDCC3" w14:textId="1C8CF565" w:rsidR="0082073D" w:rsidRPr="00FA2D6F" w:rsidRDefault="0082073D" w:rsidP="00750D5B">
      <w:pPr>
        <w:rPr>
          <w:rFonts w:cs="Arial"/>
          <w:sz w:val="24"/>
          <w:szCs w:val="24"/>
        </w:rPr>
      </w:pPr>
      <w:r w:rsidRPr="00FA2D6F">
        <w:rPr>
          <w:rFonts w:cs="Arial"/>
          <w:sz w:val="24"/>
          <w:szCs w:val="24"/>
        </w:rPr>
        <w:br w:type="page"/>
      </w:r>
    </w:p>
    <w:p w14:paraId="66AED332" w14:textId="77777777" w:rsidR="006D5E9F" w:rsidRPr="00FA2D6F" w:rsidRDefault="006D5E9F" w:rsidP="00750D5B">
      <w:pPr>
        <w:rPr>
          <w:rFonts w:cs="Arial"/>
          <w:sz w:val="24"/>
          <w:szCs w:val="24"/>
        </w:rPr>
      </w:pPr>
    </w:p>
    <w:p w14:paraId="6D29CD44" w14:textId="4E5090B2" w:rsidR="00063B4C" w:rsidRPr="00FA2D6F" w:rsidRDefault="00063B4C" w:rsidP="00750D5B">
      <w:pPr>
        <w:rPr>
          <w:rFonts w:cs="Arial"/>
          <w:b/>
          <w:bCs/>
          <w:sz w:val="24"/>
          <w:szCs w:val="24"/>
        </w:rPr>
      </w:pPr>
      <w:r w:rsidRPr="00FA2D6F">
        <w:rPr>
          <w:rFonts w:cs="Arial"/>
          <w:b/>
          <w:bCs/>
          <w:sz w:val="24"/>
          <w:szCs w:val="24"/>
        </w:rPr>
        <w:t>Disclaimer</w:t>
      </w:r>
      <w:bookmarkEnd w:id="0"/>
    </w:p>
    <w:p w14:paraId="265E2262" w14:textId="49B024A6" w:rsidR="00730C3C" w:rsidRPr="00FA2D6F" w:rsidRDefault="00063B4C" w:rsidP="00750D5B">
      <w:pPr>
        <w:spacing w:before="62"/>
        <w:ind w:right="96"/>
        <w:rPr>
          <w:rFonts w:cs="Arial"/>
          <w:sz w:val="24"/>
          <w:szCs w:val="24"/>
        </w:rPr>
      </w:pPr>
      <w:r w:rsidRPr="00FA2D6F">
        <w:rPr>
          <w:rFonts w:cs="Arial"/>
          <w:sz w:val="24"/>
          <w:szCs w:val="24"/>
        </w:rPr>
        <w:t xml:space="preserve">This document was correct at the time of publication. The Module Coordinator reserves the right to modify any </w:t>
      </w:r>
      <w:r w:rsidR="007943D8" w:rsidRPr="00FA2D6F">
        <w:rPr>
          <w:rFonts w:cs="Arial"/>
          <w:sz w:val="24"/>
          <w:szCs w:val="24"/>
        </w:rPr>
        <w:t>statement,</w:t>
      </w:r>
      <w:r w:rsidRPr="00FA2D6F">
        <w:rPr>
          <w:rFonts w:cs="Arial"/>
          <w:sz w:val="24"/>
          <w:szCs w:val="24"/>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45AA03BC" w:rsidR="00604A87" w:rsidRPr="00FA2D6F" w:rsidRDefault="00604A87" w:rsidP="00750D5B">
      <w:pPr>
        <w:rPr>
          <w:rFonts w:eastAsia="Times New Roman" w:cs="Arial"/>
          <w:b/>
          <w:sz w:val="24"/>
          <w:szCs w:val="24"/>
        </w:rPr>
      </w:pPr>
      <w:r w:rsidRPr="00FA2D6F">
        <w:rPr>
          <w:rFonts w:eastAsia="Times New Roman" w:cs="Arial"/>
          <w:b/>
          <w:sz w:val="24"/>
          <w:szCs w:val="24"/>
        </w:rPr>
        <w:t>DECLARATION</w:t>
      </w:r>
    </w:p>
    <w:p w14:paraId="113CAAED" w14:textId="2CC33593" w:rsidR="00604A87" w:rsidRPr="00FA2D6F" w:rsidRDefault="00604A87" w:rsidP="00750D5B">
      <w:pPr>
        <w:rPr>
          <w:rFonts w:eastAsia="Times New Roman" w:cs="Arial"/>
          <w:sz w:val="24"/>
          <w:szCs w:val="24"/>
        </w:rPr>
      </w:pPr>
      <w:r w:rsidRPr="00FA2D6F">
        <w:rPr>
          <w:rFonts w:eastAsia="Times New Roman" w:cs="Arial"/>
          <w:sz w:val="24"/>
          <w:szCs w:val="24"/>
        </w:rPr>
        <w:t>This work has not previously been accepted in substance for any degree and is not being concurrently submitted in candidature for any degree</w:t>
      </w:r>
    </w:p>
    <w:p w14:paraId="3EF51212" w14:textId="4302723B" w:rsidR="00604A87" w:rsidRPr="00FA2D6F" w:rsidRDefault="00604A87" w:rsidP="00750D5B">
      <w:pPr>
        <w:rPr>
          <w:rFonts w:eastAsia="Times New Roman" w:cs="Arial"/>
          <w:sz w:val="24"/>
          <w:szCs w:val="24"/>
        </w:rPr>
      </w:pPr>
      <w:r w:rsidRPr="00FA2D6F">
        <w:rPr>
          <w:rFonts w:eastAsia="Times New Roman" w:cs="Arial"/>
          <w:sz w:val="24"/>
          <w:szCs w:val="24"/>
        </w:rPr>
        <w:t>Signed…</w:t>
      </w:r>
      <w:r w:rsidR="007943D8">
        <w:rPr>
          <w:rFonts w:eastAsia="Times New Roman" w:cs="Arial"/>
          <w:sz w:val="24"/>
          <w:szCs w:val="24"/>
        </w:rPr>
        <w:t xml:space="preserve">Shafeena </w:t>
      </w:r>
      <w:proofErr w:type="spellStart"/>
      <w:r w:rsidR="007943D8">
        <w:rPr>
          <w:rFonts w:eastAsia="Times New Roman" w:cs="Arial"/>
          <w:sz w:val="24"/>
          <w:szCs w:val="24"/>
        </w:rPr>
        <w:t>Husssain</w:t>
      </w:r>
      <w:proofErr w:type="spellEnd"/>
      <w:r w:rsidR="007943D8">
        <w:rPr>
          <w:rFonts w:eastAsia="Times New Roman" w:cs="Arial"/>
          <w:sz w:val="24"/>
          <w:szCs w:val="24"/>
        </w:rPr>
        <w:t xml:space="preserve"> Mushtaq</w:t>
      </w:r>
      <w:r w:rsidRPr="00FA2D6F">
        <w:rPr>
          <w:rFonts w:eastAsia="Times New Roman" w:cs="Arial"/>
          <w:sz w:val="24"/>
          <w:szCs w:val="24"/>
        </w:rPr>
        <w:t>…………………………………………</w:t>
      </w:r>
    </w:p>
    <w:p w14:paraId="16B6CB34" w14:textId="7A930F50" w:rsidR="00604A87" w:rsidRPr="00FA2D6F" w:rsidRDefault="00604A87" w:rsidP="00750D5B">
      <w:pPr>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w:t>
      </w:r>
      <w:r w:rsidR="007943D8">
        <w:rPr>
          <w:rFonts w:eastAsia="Times New Roman" w:cs="Arial"/>
          <w:sz w:val="24"/>
          <w:szCs w:val="24"/>
        </w:rPr>
        <w:t xml:space="preserve"> 30</w:t>
      </w:r>
      <w:r w:rsidR="007943D8" w:rsidRPr="007943D8">
        <w:rPr>
          <w:rFonts w:eastAsia="Times New Roman" w:cs="Arial"/>
          <w:sz w:val="24"/>
          <w:szCs w:val="24"/>
          <w:vertAlign w:val="superscript"/>
        </w:rPr>
        <w:t>th</w:t>
      </w:r>
      <w:r w:rsidR="007943D8">
        <w:rPr>
          <w:rFonts w:eastAsia="Times New Roman" w:cs="Arial"/>
          <w:sz w:val="24"/>
          <w:szCs w:val="24"/>
        </w:rPr>
        <w:t xml:space="preserve"> September 2026</w:t>
      </w:r>
      <w:r w:rsidRPr="00FA2D6F">
        <w:rPr>
          <w:rFonts w:eastAsia="Times New Roman" w:cs="Arial"/>
          <w:sz w:val="24"/>
          <w:szCs w:val="24"/>
        </w:rPr>
        <w:t>………………………………………………</w:t>
      </w:r>
    </w:p>
    <w:p w14:paraId="7D9E43A8" w14:textId="77777777" w:rsidR="00604A87" w:rsidRPr="00FA2D6F" w:rsidRDefault="00604A87" w:rsidP="00750D5B">
      <w:pPr>
        <w:rPr>
          <w:rFonts w:eastAsia="Times New Roman" w:cs="Arial"/>
          <w:bCs/>
          <w:kern w:val="32"/>
          <w:sz w:val="24"/>
          <w:szCs w:val="24"/>
        </w:rPr>
      </w:pPr>
      <w:r w:rsidRPr="00FA2D6F">
        <w:rPr>
          <w:rFonts w:eastAsia="Times New Roman" w:cs="Arial"/>
          <w:b/>
          <w:sz w:val="24"/>
          <w:szCs w:val="24"/>
        </w:rPr>
        <w:t xml:space="preserve">STATEMENT 1 </w:t>
      </w:r>
    </w:p>
    <w:p w14:paraId="189DE0A6" w14:textId="20211A23" w:rsidR="00604A87" w:rsidRPr="00FA2D6F" w:rsidRDefault="00604A87" w:rsidP="00750D5B">
      <w:pPr>
        <w:rPr>
          <w:rFonts w:eastAsia="Times New Roman" w:cs="Arial"/>
          <w:sz w:val="24"/>
          <w:szCs w:val="24"/>
        </w:rPr>
      </w:pPr>
      <w:r w:rsidRPr="00FA2D6F">
        <w:rPr>
          <w:rFonts w:eastAsia="Times New Roman" w:cs="Arial"/>
          <w:sz w:val="24"/>
          <w:szCs w:val="24"/>
        </w:rPr>
        <w:t>This dissertation is being submitted in partial fulfilment of the requirements for the degree of BSc.</w:t>
      </w:r>
      <w:r w:rsidR="002D52F1">
        <w:rPr>
          <w:rFonts w:eastAsia="Times New Roman" w:cs="Arial"/>
          <w:sz w:val="24"/>
          <w:szCs w:val="24"/>
        </w:rPr>
        <w:t xml:space="preserve">  </w:t>
      </w:r>
    </w:p>
    <w:p w14:paraId="39F661A6" w14:textId="1BE45F68" w:rsidR="00604A87" w:rsidRPr="00FA2D6F" w:rsidRDefault="00604A87" w:rsidP="00750D5B">
      <w:pPr>
        <w:rPr>
          <w:rFonts w:eastAsia="Times New Roman" w:cs="Arial"/>
          <w:sz w:val="24"/>
          <w:szCs w:val="24"/>
        </w:rPr>
      </w:pPr>
      <w:r w:rsidRPr="00FA2D6F">
        <w:rPr>
          <w:rFonts w:eastAsia="Times New Roman" w:cs="Arial"/>
          <w:sz w:val="24"/>
          <w:szCs w:val="24"/>
        </w:rPr>
        <w:t>Signed…</w:t>
      </w:r>
      <w:r w:rsidR="007943D8">
        <w:rPr>
          <w:rFonts w:eastAsia="Times New Roman" w:cs="Arial"/>
          <w:sz w:val="24"/>
          <w:szCs w:val="24"/>
        </w:rPr>
        <w:t>Shafeena Hussain Mushtaq</w:t>
      </w:r>
      <w:r w:rsidRPr="00FA2D6F">
        <w:rPr>
          <w:rFonts w:eastAsia="Times New Roman" w:cs="Arial"/>
          <w:sz w:val="24"/>
          <w:szCs w:val="24"/>
        </w:rPr>
        <w:t xml:space="preserve">…………………………………………. </w:t>
      </w:r>
    </w:p>
    <w:p w14:paraId="21F5E413" w14:textId="47A49ACA" w:rsidR="00604A87" w:rsidRPr="00FA2D6F" w:rsidRDefault="00604A87" w:rsidP="00750D5B">
      <w:pPr>
        <w:rPr>
          <w:rFonts w:eastAsia="Times New Roman" w:cs="Arial"/>
          <w:sz w:val="24"/>
          <w:szCs w:val="24"/>
        </w:rPr>
      </w:pPr>
      <w:r w:rsidRPr="00FA2D6F">
        <w:rPr>
          <w:rFonts w:eastAsia="Times New Roman" w:cs="Arial"/>
          <w:sz w:val="24"/>
          <w:szCs w:val="24"/>
        </w:rPr>
        <w:t>Date…</w:t>
      </w:r>
      <w:r w:rsidR="007943D8">
        <w:rPr>
          <w:rFonts w:eastAsia="Times New Roman" w:cs="Arial"/>
          <w:sz w:val="24"/>
          <w:szCs w:val="24"/>
        </w:rPr>
        <w:t>30</w:t>
      </w:r>
      <w:r w:rsidR="007943D8" w:rsidRPr="007943D8">
        <w:rPr>
          <w:rFonts w:eastAsia="Times New Roman" w:cs="Arial"/>
          <w:sz w:val="24"/>
          <w:szCs w:val="24"/>
          <w:vertAlign w:val="superscript"/>
        </w:rPr>
        <w:t>th</w:t>
      </w:r>
      <w:r w:rsidR="007943D8">
        <w:rPr>
          <w:rFonts w:eastAsia="Times New Roman" w:cs="Arial"/>
          <w:sz w:val="24"/>
          <w:szCs w:val="24"/>
        </w:rPr>
        <w:t xml:space="preserve"> September 2026</w:t>
      </w:r>
      <w:r w:rsidRPr="00FA2D6F">
        <w:rPr>
          <w:rFonts w:eastAsia="Times New Roman" w:cs="Arial"/>
          <w:sz w:val="24"/>
          <w:szCs w:val="24"/>
        </w:rPr>
        <w:t>……………………………………………</w:t>
      </w:r>
    </w:p>
    <w:p w14:paraId="713B64B9" w14:textId="77777777" w:rsidR="00604A87" w:rsidRPr="00FA2D6F" w:rsidRDefault="00604A87" w:rsidP="00750D5B">
      <w:pPr>
        <w:rPr>
          <w:rFonts w:eastAsia="Times New Roman" w:cs="Arial"/>
          <w:sz w:val="24"/>
          <w:szCs w:val="24"/>
        </w:rPr>
      </w:pPr>
      <w:r w:rsidRPr="00FA2D6F">
        <w:rPr>
          <w:rFonts w:eastAsia="Times New Roman" w:cs="Arial"/>
          <w:b/>
          <w:sz w:val="24"/>
          <w:szCs w:val="24"/>
        </w:rPr>
        <w:t>STATEMENT 2</w:t>
      </w:r>
    </w:p>
    <w:p w14:paraId="4AA5D04A" w14:textId="65BB11AC" w:rsidR="00604A87" w:rsidRPr="00FA2D6F" w:rsidRDefault="00604A87" w:rsidP="00750D5B">
      <w:pPr>
        <w:rPr>
          <w:rFonts w:eastAsia="Times New Roman" w:cs="Arial"/>
          <w:sz w:val="24"/>
          <w:szCs w:val="24"/>
        </w:rPr>
      </w:pPr>
      <w:r w:rsidRPr="00FA2D6F">
        <w:rPr>
          <w:rFonts w:eastAsia="Times New Roman" w:cs="Arial"/>
          <w:sz w:val="24"/>
          <w:szCs w:val="24"/>
        </w:rPr>
        <w:t>This dissertation is the result of my own independent work/investigation, except where otherwise stated. Other sources are acknowledged by footnotes giving explicit references.  A bibliography is appended.</w:t>
      </w:r>
    </w:p>
    <w:p w14:paraId="319A31E7" w14:textId="2F6069C9"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w:t>
      </w:r>
      <w:r w:rsidR="007943D8">
        <w:rPr>
          <w:rFonts w:eastAsia="Times New Roman" w:cs="Arial"/>
          <w:sz w:val="24"/>
          <w:szCs w:val="24"/>
        </w:rPr>
        <w:t xml:space="preserve"> Shafeena Hussain Mushtaq</w:t>
      </w:r>
      <w:r w:rsidRPr="00FA2D6F">
        <w:rPr>
          <w:rFonts w:eastAsia="Times New Roman" w:cs="Arial"/>
          <w:sz w:val="24"/>
          <w:szCs w:val="24"/>
        </w:rPr>
        <w:t>……………………………………………</w:t>
      </w:r>
    </w:p>
    <w:p w14:paraId="1CB40FFB" w14:textId="7E479867" w:rsidR="00604A87" w:rsidRPr="00FA2D6F" w:rsidRDefault="00604A87" w:rsidP="00750D5B">
      <w:pPr>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 30th September 2026</w:t>
      </w:r>
      <w:r w:rsidRPr="00FA2D6F">
        <w:rPr>
          <w:rFonts w:eastAsia="Times New Roman" w:cs="Arial"/>
          <w:sz w:val="24"/>
          <w:szCs w:val="24"/>
        </w:rPr>
        <w:t xml:space="preserve">……………………………………………… </w:t>
      </w:r>
    </w:p>
    <w:p w14:paraId="42D5D0C6" w14:textId="77777777" w:rsidR="00604A87" w:rsidRPr="00FA2D6F" w:rsidRDefault="00604A87" w:rsidP="00750D5B">
      <w:pPr>
        <w:rPr>
          <w:rFonts w:eastAsia="Times New Roman" w:cs="Arial"/>
          <w:sz w:val="24"/>
          <w:szCs w:val="24"/>
        </w:rPr>
      </w:pPr>
      <w:r w:rsidRPr="00FA2D6F">
        <w:rPr>
          <w:rFonts w:eastAsia="Times New Roman" w:cs="Arial"/>
          <w:b/>
          <w:sz w:val="24"/>
          <w:szCs w:val="24"/>
        </w:rPr>
        <w:t>STATEMENT 3</w:t>
      </w:r>
    </w:p>
    <w:p w14:paraId="4B58546E" w14:textId="61CCB29A" w:rsidR="00604A87" w:rsidRPr="00FA2D6F" w:rsidRDefault="00604A87" w:rsidP="00750D5B">
      <w:pPr>
        <w:rPr>
          <w:rFonts w:eastAsia="Times New Roman" w:cs="Arial"/>
          <w:sz w:val="24"/>
          <w:szCs w:val="24"/>
        </w:rPr>
      </w:pPr>
      <w:r w:rsidRPr="00FA2D6F">
        <w:rPr>
          <w:rFonts w:eastAsia="Times New Roman" w:cs="Arial"/>
          <w:sz w:val="24"/>
          <w:szCs w:val="24"/>
        </w:rPr>
        <w:lastRenderedPageBreak/>
        <w:t>I hereby give consent for my dissertation, if accepted, to be available for photocopying and for interlibrary loan, and for the title and summary to be made available to outside organisations.</w:t>
      </w:r>
    </w:p>
    <w:p w14:paraId="5C25443E" w14:textId="2379EFEC"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Shafeena Hussain Mushtaq</w:t>
      </w:r>
      <w:r w:rsidRPr="00FA2D6F">
        <w:rPr>
          <w:rFonts w:eastAsia="Times New Roman" w:cs="Arial"/>
          <w:sz w:val="24"/>
          <w:szCs w:val="24"/>
        </w:rPr>
        <w:t>……………………………………………</w:t>
      </w:r>
    </w:p>
    <w:p w14:paraId="021196D1" w14:textId="39057F3E" w:rsidR="00604A87" w:rsidRPr="00FA2D6F" w:rsidRDefault="00604A87" w:rsidP="00750D5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 30</w:t>
      </w:r>
      <w:r w:rsidR="002D52F1" w:rsidRPr="002D52F1">
        <w:rPr>
          <w:rFonts w:eastAsia="Times New Roman" w:cs="Arial"/>
          <w:sz w:val="24"/>
          <w:szCs w:val="24"/>
          <w:vertAlign w:val="superscript"/>
        </w:rPr>
        <w:t>th</w:t>
      </w:r>
      <w:r w:rsidR="002D52F1">
        <w:rPr>
          <w:rFonts w:eastAsia="Times New Roman" w:cs="Arial"/>
          <w:sz w:val="24"/>
          <w:szCs w:val="24"/>
        </w:rPr>
        <w:t xml:space="preserve"> September 2026</w:t>
      </w:r>
      <w:r w:rsidRPr="00FA2D6F">
        <w:rPr>
          <w:rFonts w:eastAsia="Times New Roman" w:cs="Arial"/>
          <w:sz w:val="24"/>
          <w:szCs w:val="24"/>
        </w:rPr>
        <w:t>…………………………………………………</w:t>
      </w:r>
    </w:p>
    <w:p w14:paraId="77D38054" w14:textId="77777777" w:rsidR="00604A87" w:rsidRPr="00FA2D6F" w:rsidRDefault="00604A87" w:rsidP="00750D5B">
      <w:pPr>
        <w:rPr>
          <w:rFonts w:eastAsia="Times New Roman" w:cs="Arial"/>
          <w:b/>
          <w:sz w:val="24"/>
          <w:szCs w:val="24"/>
        </w:rPr>
      </w:pPr>
      <w:r w:rsidRPr="00FA2D6F">
        <w:rPr>
          <w:rFonts w:eastAsia="Times New Roman" w:cs="Arial"/>
          <w:b/>
          <w:sz w:val="24"/>
          <w:szCs w:val="24"/>
        </w:rPr>
        <w:t>STATEMENT 4</w:t>
      </w:r>
    </w:p>
    <w:p w14:paraId="0A15E499" w14:textId="1F9546C0" w:rsidR="00604A87" w:rsidRPr="00FA2D6F" w:rsidRDefault="00604A87" w:rsidP="00750D5B">
      <w:pPr>
        <w:rPr>
          <w:rFonts w:eastAsia="Times New Roman" w:cs="Arial"/>
          <w:sz w:val="24"/>
          <w:szCs w:val="24"/>
        </w:rPr>
      </w:pPr>
      <w:r w:rsidRPr="00FA2D6F">
        <w:rPr>
          <w:rFonts w:eastAsia="Times New Roman" w:cs="Arial"/>
          <w:sz w:val="24"/>
          <w:szCs w:val="24"/>
        </w:rPr>
        <w:t>I hereby give consent for my dissertation, if accepted, to be available on the university’s IT system to those who have consent to use the system.</w:t>
      </w:r>
    </w:p>
    <w:p w14:paraId="73D7762F" w14:textId="7021ACD6" w:rsidR="00604A87" w:rsidRPr="00FA2D6F" w:rsidRDefault="00604A87" w:rsidP="00750D5B">
      <w:pPr>
        <w:rPr>
          <w:rFonts w:eastAsia="Times New Roman" w:cs="Arial"/>
          <w:sz w:val="24"/>
          <w:szCs w:val="24"/>
        </w:rPr>
      </w:pPr>
      <w:r w:rsidRPr="00FA2D6F">
        <w:rPr>
          <w:rFonts w:eastAsia="Times New Roman" w:cs="Arial"/>
          <w:sz w:val="24"/>
          <w:szCs w:val="24"/>
        </w:rPr>
        <w:t>Signed…</w:t>
      </w:r>
      <w:r w:rsidR="002D52F1">
        <w:rPr>
          <w:rFonts w:eastAsia="Times New Roman" w:cs="Arial"/>
          <w:sz w:val="24"/>
          <w:szCs w:val="24"/>
        </w:rPr>
        <w:t>Shafeena Hussain Mushtaq</w:t>
      </w:r>
      <w:r w:rsidRPr="00FA2D6F">
        <w:rPr>
          <w:rFonts w:eastAsia="Times New Roman" w:cs="Arial"/>
          <w:sz w:val="24"/>
          <w:szCs w:val="24"/>
        </w:rPr>
        <w:t>……………………………………………</w:t>
      </w:r>
    </w:p>
    <w:p w14:paraId="0F4F888F" w14:textId="1F0B8E2A" w:rsidR="00AA3541" w:rsidRPr="00FA2D6F" w:rsidRDefault="00604A87" w:rsidP="00750D5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sz w:val="24"/>
          <w:szCs w:val="24"/>
        </w:rPr>
      </w:pPr>
      <w:r w:rsidRPr="00FA2D6F">
        <w:rPr>
          <w:rFonts w:eastAsia="Times New Roman" w:cs="Arial"/>
          <w:sz w:val="24"/>
          <w:szCs w:val="24"/>
        </w:rPr>
        <w:t>Date…</w:t>
      </w:r>
      <w:r w:rsidR="002D52F1">
        <w:rPr>
          <w:rFonts w:eastAsia="Times New Roman" w:cs="Arial"/>
          <w:sz w:val="24"/>
          <w:szCs w:val="24"/>
        </w:rPr>
        <w:t>30</w:t>
      </w:r>
      <w:r w:rsidR="002D52F1" w:rsidRPr="002D52F1">
        <w:rPr>
          <w:rFonts w:eastAsia="Times New Roman" w:cs="Arial"/>
          <w:sz w:val="24"/>
          <w:szCs w:val="24"/>
          <w:vertAlign w:val="superscript"/>
        </w:rPr>
        <w:t>th</w:t>
      </w:r>
      <w:r w:rsidR="002D52F1">
        <w:rPr>
          <w:rFonts w:eastAsia="Times New Roman" w:cs="Arial"/>
          <w:sz w:val="24"/>
          <w:szCs w:val="24"/>
        </w:rPr>
        <w:t xml:space="preserve"> September 2026</w:t>
      </w:r>
      <w:r w:rsidRPr="00FA2D6F">
        <w:rPr>
          <w:rFonts w:eastAsia="Times New Roman" w:cs="Arial"/>
          <w:sz w:val="24"/>
          <w:szCs w:val="24"/>
        </w:rPr>
        <w:t>………………………………………………</w:t>
      </w:r>
    </w:p>
    <w:p w14:paraId="3EEC2D9F" w14:textId="77777777" w:rsidR="00AA3541" w:rsidRPr="00FA2D6F" w:rsidRDefault="00AA3541" w:rsidP="00750D5B">
      <w:pPr>
        <w:rPr>
          <w:rFonts w:cs="Arial"/>
          <w:b/>
          <w:bCs/>
          <w:sz w:val="24"/>
          <w:szCs w:val="24"/>
        </w:rPr>
      </w:pPr>
    </w:p>
    <w:p w14:paraId="3E1B32A8" w14:textId="77777777" w:rsidR="00AA3541" w:rsidRPr="00FA2D6F" w:rsidRDefault="00AA3541" w:rsidP="00750D5B">
      <w:pPr>
        <w:rPr>
          <w:rFonts w:cs="Arial"/>
          <w:b/>
          <w:bCs/>
          <w:sz w:val="24"/>
          <w:szCs w:val="24"/>
        </w:rPr>
      </w:pPr>
    </w:p>
    <w:p w14:paraId="40D37BF2" w14:textId="77777777" w:rsidR="00AA3541" w:rsidRPr="00FA2D6F" w:rsidRDefault="00AA3541" w:rsidP="00750D5B">
      <w:pPr>
        <w:rPr>
          <w:rFonts w:cs="Arial"/>
          <w:b/>
          <w:bCs/>
          <w:sz w:val="24"/>
          <w:szCs w:val="24"/>
        </w:rPr>
      </w:pPr>
    </w:p>
    <w:p w14:paraId="113B7008" w14:textId="77777777" w:rsidR="00AA3541" w:rsidRPr="00FA2D6F" w:rsidRDefault="00AA3541" w:rsidP="00750D5B">
      <w:pPr>
        <w:rPr>
          <w:rFonts w:cs="Arial"/>
          <w:b/>
          <w:bCs/>
          <w:sz w:val="24"/>
          <w:szCs w:val="24"/>
        </w:rPr>
      </w:pPr>
    </w:p>
    <w:p w14:paraId="65358A57" w14:textId="60311083" w:rsidR="00995444" w:rsidRDefault="00533134" w:rsidP="00750D5B">
      <w:pPr>
        <w:rPr>
          <w:rFonts w:cs="Arial"/>
          <w:b/>
          <w:bCs/>
          <w:sz w:val="24"/>
          <w:szCs w:val="24"/>
        </w:rPr>
      </w:pPr>
      <w:r w:rsidRPr="00533134">
        <w:rPr>
          <w:rFonts w:cs="Arial"/>
          <w:b/>
          <w:bCs/>
          <w:sz w:val="24"/>
          <w:szCs w:val="24"/>
        </w:rPr>
        <w:t>Exploring Healthcare Access and inequalities Among Older Adults (Aged 72-80) in the Uk</w:t>
      </w:r>
    </w:p>
    <w:p w14:paraId="2A3B26B2" w14:textId="77777777" w:rsidR="00533134" w:rsidRDefault="00533134" w:rsidP="00750D5B">
      <w:pPr>
        <w:rPr>
          <w:rFonts w:cs="Arial"/>
          <w:b/>
          <w:bCs/>
          <w:sz w:val="24"/>
          <w:szCs w:val="24"/>
        </w:rPr>
      </w:pPr>
    </w:p>
    <w:p w14:paraId="040F8857" w14:textId="77777777" w:rsidR="00533134" w:rsidRDefault="00533134" w:rsidP="00750D5B">
      <w:pPr>
        <w:rPr>
          <w:rFonts w:cs="Arial"/>
          <w:b/>
          <w:bCs/>
          <w:sz w:val="24"/>
          <w:szCs w:val="24"/>
        </w:rPr>
      </w:pPr>
    </w:p>
    <w:p w14:paraId="65FFFD91" w14:textId="31177D6D" w:rsidR="00533134" w:rsidRDefault="00533134" w:rsidP="00750D5B">
      <w:pPr>
        <w:rPr>
          <w:rFonts w:cs="Arial"/>
          <w:b/>
          <w:bCs/>
          <w:sz w:val="24"/>
          <w:szCs w:val="24"/>
        </w:rPr>
      </w:pPr>
      <w:r>
        <w:rPr>
          <w:rFonts w:cs="Arial"/>
          <w:b/>
          <w:bCs/>
          <w:sz w:val="24"/>
          <w:szCs w:val="24"/>
        </w:rPr>
        <w:t>Name: Shafeena Hussain Mushtaq</w:t>
      </w:r>
    </w:p>
    <w:p w14:paraId="6E2CC0B6" w14:textId="6A36DA7A" w:rsidR="00533134" w:rsidRDefault="00533134" w:rsidP="00750D5B">
      <w:pPr>
        <w:rPr>
          <w:rFonts w:cs="Arial"/>
          <w:b/>
          <w:bCs/>
          <w:sz w:val="24"/>
          <w:szCs w:val="24"/>
        </w:rPr>
      </w:pPr>
      <w:r>
        <w:rPr>
          <w:rFonts w:cs="Arial"/>
          <w:b/>
          <w:bCs/>
          <w:sz w:val="24"/>
          <w:szCs w:val="24"/>
        </w:rPr>
        <w:t>Student ID: 2314453</w:t>
      </w:r>
    </w:p>
    <w:p w14:paraId="009BD9F5" w14:textId="1373E16A" w:rsidR="007D6848" w:rsidRPr="00533134" w:rsidRDefault="007D6848" w:rsidP="00750D5B">
      <w:pPr>
        <w:rPr>
          <w:rFonts w:cs="Arial"/>
          <w:b/>
          <w:bCs/>
          <w:sz w:val="24"/>
          <w:szCs w:val="24"/>
        </w:rPr>
      </w:pPr>
      <w:r>
        <w:rPr>
          <w:rFonts w:cs="Arial"/>
          <w:b/>
          <w:bCs/>
          <w:sz w:val="24"/>
          <w:szCs w:val="24"/>
        </w:rPr>
        <w:t>Module code: BMHP6020</w:t>
      </w:r>
    </w:p>
    <w:p w14:paraId="2A0C8FF0" w14:textId="3A8357B3" w:rsidR="00007B68" w:rsidRDefault="00007B68" w:rsidP="00750D5B">
      <w:pPr>
        <w:rPr>
          <w:rFonts w:eastAsia="Arial Unicode MS" w:cs="Arial"/>
          <w:b/>
          <w:sz w:val="24"/>
          <w:szCs w:val="24"/>
        </w:rPr>
      </w:pPr>
      <w:r w:rsidRPr="00FA2D6F">
        <w:rPr>
          <w:rFonts w:eastAsia="Arial Unicode MS" w:cs="Arial"/>
          <w:b/>
          <w:sz w:val="24"/>
          <w:szCs w:val="24"/>
        </w:rPr>
        <w:br w:type="page"/>
      </w:r>
      <w:r w:rsidR="00533134">
        <w:rPr>
          <w:rFonts w:eastAsia="Arial Unicode MS" w:cs="Arial"/>
          <w:b/>
          <w:sz w:val="24"/>
          <w:szCs w:val="24"/>
        </w:rPr>
        <w:lastRenderedPageBreak/>
        <w:t xml:space="preserve"> </w:t>
      </w:r>
    </w:p>
    <w:p w14:paraId="7A502C4C" w14:textId="77777777" w:rsidR="00533134" w:rsidRDefault="00533134" w:rsidP="00750D5B">
      <w:pPr>
        <w:rPr>
          <w:rFonts w:eastAsia="Arial Unicode MS" w:cs="Arial"/>
          <w:b/>
          <w:sz w:val="24"/>
          <w:szCs w:val="24"/>
        </w:rPr>
      </w:pPr>
    </w:p>
    <w:p w14:paraId="1FEBF784" w14:textId="77777777" w:rsidR="00533134" w:rsidRPr="00FA2D6F" w:rsidRDefault="00533134" w:rsidP="00750D5B">
      <w:pPr>
        <w:rPr>
          <w:rFonts w:eastAsia="Arial Unicode MS" w:cs="Arial"/>
          <w:b/>
          <w:sz w:val="24"/>
          <w:szCs w:val="24"/>
        </w:rPr>
      </w:pPr>
    </w:p>
    <w:p w14:paraId="0F4A849F" w14:textId="50B54631" w:rsidR="00995444" w:rsidRPr="00FA2D6F" w:rsidRDefault="00995444" w:rsidP="00750D5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sz w:val="24"/>
          <w:szCs w:val="24"/>
        </w:rPr>
      </w:pPr>
      <w:r w:rsidRPr="00FA2D6F">
        <w:rPr>
          <w:rFonts w:eastAsia="Arial Unicode MS" w:cs="Arial"/>
          <w:b/>
          <w:sz w:val="24"/>
          <w:szCs w:val="24"/>
        </w:rPr>
        <w:t xml:space="preserve">ACKNOWLEDGEMENTS </w:t>
      </w:r>
    </w:p>
    <w:p w14:paraId="3E6D1A03" w14:textId="545B14D7" w:rsidR="00995444" w:rsidRPr="00FA2D6F" w:rsidRDefault="007C1E6D" w:rsidP="00750D5B">
      <w:pPr>
        <w:pStyle w:val="NormalWeb"/>
        <w:shd w:val="clear" w:color="auto" w:fill="FFFFFF"/>
        <w:spacing w:before="0" w:beforeAutospacing="0" w:after="150" w:afterAutospacing="0" w:line="360" w:lineRule="auto"/>
        <w:jc w:val="both"/>
        <w:rPr>
          <w:rFonts w:ascii="Arial" w:hAnsi="Arial" w:cs="Arial"/>
          <w:color w:val="333333"/>
        </w:rPr>
      </w:pPr>
      <w:r w:rsidRPr="00FA2D6F">
        <w:rPr>
          <w:rFonts w:ascii="Arial" w:hAnsi="Arial" w:cs="Arial"/>
          <w:color w:val="333333"/>
        </w:rPr>
        <w:t xml:space="preserve">I would like to express my sincere gratitude to everyone who supported me throughout the completion of this dissertation. I owe thanks to my supervisor and academic team for their guide, encouragement and constructive inputs during this research project. They provided me with their encouragement and guidance to further my knowledge on health inequalities and enhance my academic research abilities. I also owe a debt of gratitude to the University of Wales Trinity Saint David for offering me the learning space, resources and academic assistance needed to undertake this independent project. The consistent learning that had taken place </w:t>
      </w:r>
      <w:r w:rsidR="002D52F1" w:rsidRPr="00FA2D6F">
        <w:rPr>
          <w:rFonts w:ascii="Arial" w:hAnsi="Arial" w:cs="Arial"/>
          <w:color w:val="333333"/>
        </w:rPr>
        <w:t>during</w:t>
      </w:r>
      <w:r w:rsidRPr="00FA2D6F">
        <w:rPr>
          <w:rFonts w:ascii="Arial" w:hAnsi="Arial" w:cs="Arial"/>
          <w:color w:val="333333"/>
        </w:rPr>
        <w:t xml:space="preserve"> my study has been a great help in the completion of this dissertation. I would like to thank the researchers and authors for their studies and publications which have informed this work. They have been vital to the research around inequalities in health care, ethnic differences, digital exclusion, and access to health care. </w:t>
      </w:r>
      <w:r w:rsidR="002D52F1" w:rsidRPr="00FA2D6F">
        <w:rPr>
          <w:rFonts w:ascii="Arial" w:hAnsi="Arial" w:cs="Arial"/>
          <w:color w:val="333333"/>
        </w:rPr>
        <w:t>Finally</w:t>
      </w:r>
      <w:r w:rsidRPr="00FA2D6F">
        <w:rPr>
          <w:rFonts w:ascii="Arial" w:hAnsi="Arial" w:cs="Arial"/>
          <w:color w:val="333333"/>
        </w:rPr>
        <w:t>, thank you to my family, friends and all those who have supported me along the way, with patience, encouragement and motivation. They were always there to support me, and it was great to stay focused and committed throughout the research and writing process. They were so kind and encouraging to us that we would not have been able to accomplish this</w:t>
      </w:r>
      <w:r w:rsidR="00995444" w:rsidRPr="00FA2D6F">
        <w:rPr>
          <w:rFonts w:ascii="Arial" w:hAnsi="Arial" w:cs="Arial"/>
          <w:color w:val="333333"/>
        </w:rPr>
        <w:t>.</w:t>
      </w:r>
    </w:p>
    <w:p w14:paraId="40A3E6C2" w14:textId="77777777" w:rsidR="00995444" w:rsidRPr="00FA2D6F" w:rsidRDefault="00995444" w:rsidP="00750D5B">
      <w:pPr>
        <w:rPr>
          <w:rFonts w:cs="Arial"/>
          <w:sz w:val="24"/>
          <w:szCs w:val="24"/>
        </w:rPr>
      </w:pPr>
    </w:p>
    <w:p w14:paraId="7EA8A979" w14:textId="77777777" w:rsidR="0073280B" w:rsidRPr="00FA2D6F" w:rsidRDefault="0073280B" w:rsidP="00750D5B">
      <w:pPr>
        <w:rPr>
          <w:rFonts w:cs="Arial"/>
          <w:sz w:val="24"/>
          <w:szCs w:val="24"/>
        </w:rPr>
      </w:pPr>
    </w:p>
    <w:p w14:paraId="24382F47" w14:textId="77777777" w:rsidR="0073280B" w:rsidRPr="00FA2D6F" w:rsidRDefault="0073280B" w:rsidP="00750D5B">
      <w:pPr>
        <w:rPr>
          <w:rFonts w:cs="Arial"/>
          <w:sz w:val="24"/>
          <w:szCs w:val="24"/>
        </w:rPr>
      </w:pPr>
    </w:p>
    <w:p w14:paraId="6A8FCE15" w14:textId="77777777" w:rsidR="0073280B" w:rsidRPr="00FA2D6F" w:rsidRDefault="0073280B" w:rsidP="00750D5B">
      <w:pPr>
        <w:rPr>
          <w:rFonts w:cs="Arial"/>
          <w:sz w:val="24"/>
          <w:szCs w:val="24"/>
        </w:rPr>
      </w:pPr>
    </w:p>
    <w:p w14:paraId="5B45260B" w14:textId="77777777" w:rsidR="0073280B" w:rsidRPr="00FA2D6F" w:rsidRDefault="0073280B" w:rsidP="00750D5B">
      <w:pPr>
        <w:rPr>
          <w:rFonts w:cs="Arial"/>
          <w:sz w:val="24"/>
          <w:szCs w:val="24"/>
        </w:rPr>
      </w:pPr>
    </w:p>
    <w:p w14:paraId="29F99602" w14:textId="77777777" w:rsidR="0073280B" w:rsidRPr="00FA2D6F" w:rsidRDefault="0073280B" w:rsidP="00750D5B">
      <w:pPr>
        <w:rPr>
          <w:rFonts w:cs="Arial"/>
          <w:sz w:val="24"/>
          <w:szCs w:val="24"/>
        </w:rPr>
      </w:pPr>
    </w:p>
    <w:p w14:paraId="7FFDFCFF" w14:textId="77777777" w:rsidR="0073280B" w:rsidRPr="00FA2D6F" w:rsidRDefault="0073280B" w:rsidP="00750D5B">
      <w:pPr>
        <w:rPr>
          <w:rFonts w:cs="Arial"/>
          <w:sz w:val="24"/>
          <w:szCs w:val="24"/>
        </w:rPr>
      </w:pPr>
    </w:p>
    <w:p w14:paraId="1E61CB56" w14:textId="77777777" w:rsidR="0073280B" w:rsidRPr="00FA2D6F" w:rsidRDefault="0073280B" w:rsidP="00750D5B">
      <w:pPr>
        <w:rPr>
          <w:rFonts w:cs="Arial"/>
          <w:sz w:val="24"/>
          <w:szCs w:val="24"/>
        </w:rPr>
      </w:pPr>
    </w:p>
    <w:p w14:paraId="4650381F" w14:textId="77777777" w:rsidR="0073280B" w:rsidRPr="00FA2D6F" w:rsidRDefault="0073280B" w:rsidP="00750D5B">
      <w:pPr>
        <w:rPr>
          <w:rFonts w:cs="Arial"/>
          <w:sz w:val="24"/>
          <w:szCs w:val="24"/>
        </w:rPr>
      </w:pPr>
    </w:p>
    <w:p w14:paraId="413A9F5D" w14:textId="77777777" w:rsidR="0073280B" w:rsidRPr="00FA2D6F" w:rsidRDefault="0073280B" w:rsidP="00750D5B">
      <w:pPr>
        <w:rPr>
          <w:rFonts w:cs="Arial"/>
          <w:sz w:val="24"/>
          <w:szCs w:val="24"/>
        </w:rPr>
      </w:pPr>
    </w:p>
    <w:p w14:paraId="0F7E2C83" w14:textId="77777777" w:rsidR="0073280B" w:rsidRPr="00FA2D6F" w:rsidRDefault="0073280B" w:rsidP="00750D5B">
      <w:pPr>
        <w:rPr>
          <w:rFonts w:cs="Arial"/>
          <w:sz w:val="24"/>
          <w:szCs w:val="24"/>
        </w:rPr>
      </w:pPr>
    </w:p>
    <w:p w14:paraId="58131FA4" w14:textId="77777777" w:rsidR="0073280B" w:rsidRPr="00FA2D6F" w:rsidRDefault="0073280B" w:rsidP="00750D5B">
      <w:pPr>
        <w:rPr>
          <w:rFonts w:cs="Arial"/>
          <w:sz w:val="24"/>
          <w:szCs w:val="24"/>
        </w:rPr>
      </w:pPr>
    </w:p>
    <w:p w14:paraId="6C0EC770" w14:textId="77777777" w:rsidR="0073280B" w:rsidRPr="00FA2D6F" w:rsidRDefault="0073280B" w:rsidP="00750D5B">
      <w:pPr>
        <w:rPr>
          <w:rFonts w:cs="Arial"/>
          <w:sz w:val="24"/>
          <w:szCs w:val="24"/>
        </w:rPr>
      </w:pPr>
    </w:p>
    <w:p w14:paraId="16D78A60" w14:textId="77777777" w:rsidR="0073280B" w:rsidRPr="00FA2D6F" w:rsidRDefault="0073280B" w:rsidP="00750D5B">
      <w:pPr>
        <w:rPr>
          <w:rFonts w:cs="Arial"/>
          <w:sz w:val="24"/>
          <w:szCs w:val="24"/>
        </w:rPr>
      </w:pPr>
    </w:p>
    <w:p w14:paraId="4B65C5F3" w14:textId="774DC26A" w:rsidR="00730C3C" w:rsidRPr="00FA2D6F" w:rsidRDefault="0073280B"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24"/>
          <w:szCs w:val="24"/>
        </w:rPr>
      </w:pPr>
      <w:r w:rsidRPr="00FA2D6F">
        <w:rPr>
          <w:rFonts w:eastAsia="Arial Unicode MS" w:cs="Arial"/>
          <w:b/>
          <w:sz w:val="24"/>
          <w:szCs w:val="24"/>
        </w:rPr>
        <w:t>ABSTRACT</w:t>
      </w:r>
      <w:r w:rsidRPr="00FA2D6F">
        <w:rPr>
          <w:rFonts w:eastAsia="Arial Unicode MS" w:cs="Arial"/>
          <w:sz w:val="24"/>
          <w:szCs w:val="24"/>
        </w:rPr>
        <w:t xml:space="preserve"> </w:t>
      </w:r>
      <w:r w:rsidRPr="00FA2D6F">
        <w:rPr>
          <w:rFonts w:eastAsia="Arial Unicode MS" w:cs="Arial"/>
          <w:i/>
          <w:sz w:val="24"/>
          <w:szCs w:val="24"/>
        </w:rPr>
        <w:t xml:space="preserve"> </w:t>
      </w:r>
    </w:p>
    <w:p w14:paraId="6E3C6EC3" w14:textId="095C0D6B"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 xml:space="preserve">Inequalities in health care remain an important issue in the UK with </w:t>
      </w:r>
      <w:r w:rsidR="0082073D" w:rsidRPr="00FA2D6F">
        <w:rPr>
          <w:rFonts w:cs="Arial"/>
          <w:sz w:val="24"/>
          <w:szCs w:val="24"/>
        </w:rPr>
        <w:t>ethnic minority</w:t>
      </w:r>
      <w:r w:rsidRPr="00FA2D6F">
        <w:rPr>
          <w:rFonts w:cs="Arial"/>
          <w:sz w:val="24"/>
          <w:szCs w:val="24"/>
        </w:rPr>
        <w:t xml:space="preserve"> adults from ethnic minorities groups potentially facing multiple barriers to accessing adequate and equitable health care. This dissertation aims to evaluate critically the issues of access to health care and inequalities with regards to adults (aged 72-80) in the UK. The goals are to explore the nature of healthcare service delivery, understand structural, systemic, socioeconomic, cultural and digital access to healthcare, understand the effectiveness of existing healthcare policies and interventions, and provide evidence-based recommendations for enhancing access to healthcare services equitably.</w:t>
      </w:r>
    </w:p>
    <w:p w14:paraId="77F4283A" w14:textId="57B69A2D"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An approach of qualitative thematic analysis was used by making use of a structured literature review of what is currently published. Relevant academic research, policy documents and healthcare reports were analysed for themes and patterns of healthcare inequalities in older ethnic minorities. Evidence was synthesised and explored within the complexity of factors shaping healthcare experiences and outcomes through thematic analysis.</w:t>
      </w:r>
    </w:p>
    <w:p w14:paraId="7088BA9F" w14:textId="33AE0D87"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t xml:space="preserve">The results highlighted </w:t>
      </w:r>
      <w:r w:rsidR="002D52F1" w:rsidRPr="00FA2D6F">
        <w:rPr>
          <w:rFonts w:cs="Arial"/>
          <w:sz w:val="24"/>
          <w:szCs w:val="24"/>
        </w:rPr>
        <w:t>several</w:t>
      </w:r>
      <w:r w:rsidRPr="00FA2D6F">
        <w:rPr>
          <w:rFonts w:cs="Arial"/>
          <w:sz w:val="24"/>
          <w:szCs w:val="24"/>
        </w:rPr>
        <w:t xml:space="preserve"> key themes, such as communication and language barriers, cultural differences, socioeconomic disadvantage, lack of continuity of care, experiences of discrimination and digital exclusion </w:t>
      </w:r>
      <w:r w:rsidR="002D52F1" w:rsidRPr="00FA2D6F">
        <w:rPr>
          <w:rFonts w:cs="Arial"/>
          <w:sz w:val="24"/>
          <w:szCs w:val="24"/>
        </w:rPr>
        <w:t>because of</w:t>
      </w:r>
      <w:r w:rsidRPr="00FA2D6F">
        <w:rPr>
          <w:rFonts w:cs="Arial"/>
          <w:sz w:val="24"/>
          <w:szCs w:val="24"/>
        </w:rPr>
        <w:t xml:space="preserve"> the growing use of healthcare services via technology. The NHS has universal access to </w:t>
      </w:r>
      <w:r w:rsidR="002D52F1" w:rsidRPr="00FA2D6F">
        <w:rPr>
          <w:rFonts w:cs="Arial"/>
          <w:sz w:val="24"/>
          <w:szCs w:val="24"/>
        </w:rPr>
        <w:t>healthcare,</w:t>
      </w:r>
      <w:r w:rsidRPr="00FA2D6F">
        <w:rPr>
          <w:rFonts w:cs="Arial"/>
          <w:sz w:val="24"/>
          <w:szCs w:val="24"/>
        </w:rPr>
        <w:t xml:space="preserve"> but evidence indicates that equal access to healthcare does not always lead to equal healthcare experience or outcomes. The review also identified older ethnic minority adults who are likely to be impacted by compounding age, ethnicity, migration and social disadvantage issues.</w:t>
      </w:r>
    </w:p>
    <w:p w14:paraId="0EF85532" w14:textId="0AD349AE" w:rsidR="007C1E6D" w:rsidRPr="00FA2D6F" w:rsidRDefault="007C1E6D" w:rsidP="00750D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sidRPr="00FA2D6F">
        <w:rPr>
          <w:rFonts w:cs="Arial"/>
          <w:sz w:val="24"/>
          <w:szCs w:val="24"/>
        </w:rPr>
        <w:lastRenderedPageBreak/>
        <w:t xml:space="preserve">The limitations of this dissertation were that it was based on secondary literature, that there were differences in study populations, and that there was limited evidence that was specific to adults (aged 72-80). The results of the research nevertheless have implications for health and social care practice. Some of the suggested strategies are to further build culturally competent care, bolster communication support, expand digital inclusion programs, deepen professional education and training, and create more targeted healthcare policies. The existing research and evidence base </w:t>
      </w:r>
      <w:r w:rsidR="00715336" w:rsidRPr="00FA2D6F">
        <w:rPr>
          <w:rFonts w:cs="Arial"/>
          <w:sz w:val="24"/>
          <w:szCs w:val="24"/>
        </w:rPr>
        <w:t>need</w:t>
      </w:r>
      <w:r w:rsidRPr="00FA2D6F">
        <w:rPr>
          <w:rFonts w:cs="Arial"/>
          <w:sz w:val="24"/>
          <w:szCs w:val="24"/>
        </w:rPr>
        <w:t xml:space="preserve"> to be expanded with further population-specific evidence to inform effective interventions and improve equity in health services for older people of ethnic minority communities.</w:t>
      </w:r>
    </w:p>
    <w:p w14:paraId="72CB7F2C" w14:textId="77777777" w:rsidR="00804B94" w:rsidRPr="00FA2D6F" w:rsidRDefault="00804B94" w:rsidP="00750D5B">
      <w:pPr>
        <w:rPr>
          <w:rFonts w:cs="Arial"/>
          <w:sz w:val="24"/>
          <w:szCs w:val="24"/>
        </w:rPr>
      </w:pPr>
    </w:p>
    <w:p w14:paraId="756C3EE0" w14:textId="29344E72" w:rsidR="00804B94" w:rsidRPr="00FA2D6F" w:rsidRDefault="007C1E6D" w:rsidP="00750D5B">
      <w:pPr>
        <w:rPr>
          <w:rFonts w:eastAsia="Calibri Light" w:cs="Arial"/>
          <w:b/>
          <w:kern w:val="0"/>
          <w:sz w:val="24"/>
          <w:szCs w:val="24"/>
          <w:lang w:eastAsia="en-GB" w:bidi="en-GB"/>
          <w14:ligatures w14:val="none"/>
        </w:rPr>
      </w:pPr>
      <w:r w:rsidRPr="00FA2D6F">
        <w:rPr>
          <w:rFonts w:cs="Arial"/>
          <w:sz w:val="24"/>
          <w:szCs w:val="24"/>
        </w:rPr>
        <w:br w:type="page"/>
      </w:r>
    </w:p>
    <w:sdt>
      <w:sdtPr>
        <w:rPr>
          <w:rFonts w:ascii="Arial" w:eastAsiaTheme="minorEastAsia" w:hAnsi="Arial" w:cs="Arial"/>
          <w:b/>
          <w:bCs/>
          <w:color w:val="auto"/>
          <w:kern w:val="2"/>
          <w:sz w:val="24"/>
          <w:szCs w:val="24"/>
          <w:lang w:val="en-GB" w:eastAsia="zh-CN"/>
          <w14:ligatures w14:val="standardContextual"/>
        </w:rPr>
        <w:id w:val="-399212087"/>
        <w:docPartObj>
          <w:docPartGallery w:val="Table of Contents"/>
          <w:docPartUnique/>
        </w:docPartObj>
      </w:sdtPr>
      <w:sdtEndPr>
        <w:rPr>
          <w:noProof/>
        </w:rPr>
      </w:sdtEndPr>
      <w:sdtContent>
        <w:p w14:paraId="7BDABE62" w14:textId="74159BFE" w:rsidR="007C1E6D" w:rsidRPr="00FA2D6F" w:rsidRDefault="007C1E6D" w:rsidP="00750D5B">
          <w:pPr>
            <w:pStyle w:val="TOCHeading"/>
            <w:numPr>
              <w:ilvl w:val="0"/>
              <w:numId w:val="0"/>
            </w:numPr>
            <w:spacing w:line="360" w:lineRule="auto"/>
            <w:jc w:val="both"/>
            <w:rPr>
              <w:rFonts w:ascii="Arial" w:hAnsi="Arial" w:cs="Arial"/>
              <w:b/>
              <w:bCs/>
              <w:color w:val="auto"/>
              <w:sz w:val="24"/>
              <w:szCs w:val="24"/>
            </w:rPr>
          </w:pPr>
          <w:r w:rsidRPr="00FA2D6F">
            <w:rPr>
              <w:rFonts w:ascii="Arial" w:hAnsi="Arial" w:cs="Arial"/>
              <w:b/>
              <w:bCs/>
              <w:color w:val="auto"/>
              <w:sz w:val="24"/>
              <w:szCs w:val="24"/>
            </w:rPr>
            <w:t>Table of Contents</w:t>
          </w:r>
        </w:p>
        <w:p w14:paraId="3288E064" w14:textId="77777777" w:rsidR="00F37EC0" w:rsidRPr="00FA2D6F" w:rsidRDefault="007C1E6D" w:rsidP="00750D5B">
          <w:pPr>
            <w:pStyle w:val="TOC1"/>
            <w:tabs>
              <w:tab w:val="left" w:pos="440"/>
              <w:tab w:val="right" w:leader="dot" w:pos="9016"/>
            </w:tabs>
            <w:rPr>
              <w:rFonts w:cs="Arial"/>
              <w:noProof/>
              <w:kern w:val="0"/>
              <w:sz w:val="24"/>
              <w:szCs w:val="24"/>
              <w:lang w:val="en-US" w:eastAsia="en-US"/>
              <w14:ligatures w14:val="none"/>
            </w:rPr>
          </w:pPr>
          <w:r w:rsidRPr="00FA2D6F">
            <w:rPr>
              <w:rFonts w:cs="Arial"/>
              <w:sz w:val="24"/>
              <w:szCs w:val="24"/>
            </w:rPr>
            <w:fldChar w:fldCharType="begin"/>
          </w:r>
          <w:r w:rsidRPr="00FA2D6F">
            <w:rPr>
              <w:rFonts w:cs="Arial"/>
              <w:sz w:val="24"/>
              <w:szCs w:val="24"/>
            </w:rPr>
            <w:instrText xml:space="preserve"> TOC \o "1-3" \h \z \u </w:instrText>
          </w:r>
          <w:r w:rsidRPr="00FA2D6F">
            <w:rPr>
              <w:rFonts w:cs="Arial"/>
              <w:sz w:val="24"/>
              <w:szCs w:val="24"/>
            </w:rPr>
            <w:fldChar w:fldCharType="separate"/>
          </w:r>
          <w:hyperlink w:anchor="_Toc241246266" w:history="1">
            <w:r w:rsidR="00F37EC0" w:rsidRPr="00FA2D6F">
              <w:rPr>
                <w:rStyle w:val="Hyperlink"/>
                <w:rFonts w:cs="Arial"/>
                <w:noProof/>
                <w:sz w:val="24"/>
                <w:szCs w:val="24"/>
                <w:lang w:bidi="en-GB"/>
              </w:rPr>
              <w:t>1</w:t>
            </w:r>
            <w:r w:rsidR="00F37EC0" w:rsidRPr="00FA2D6F">
              <w:rPr>
                <w:rFonts w:cs="Arial"/>
                <w:noProof/>
                <w:kern w:val="0"/>
                <w:sz w:val="24"/>
                <w:szCs w:val="24"/>
                <w:lang w:val="en-US" w:eastAsia="en-US"/>
                <w14:ligatures w14:val="none"/>
              </w:rPr>
              <w:tab/>
            </w:r>
            <w:r w:rsidR="00F37EC0" w:rsidRPr="00FA2D6F">
              <w:rPr>
                <w:rStyle w:val="Hyperlink"/>
                <w:rFonts w:cs="Arial"/>
                <w:noProof/>
                <w:sz w:val="24"/>
                <w:szCs w:val="24"/>
                <w:lang w:bidi="en-GB"/>
              </w:rPr>
              <w:t>CHAPTER 1: Introduction</w:t>
            </w:r>
            <w:r w:rsidR="00F37EC0" w:rsidRPr="00FA2D6F">
              <w:rPr>
                <w:rFonts w:cs="Arial"/>
                <w:noProof/>
                <w:webHidden/>
                <w:sz w:val="24"/>
                <w:szCs w:val="24"/>
              </w:rPr>
              <w:tab/>
            </w:r>
            <w:r w:rsidR="00F37EC0" w:rsidRPr="00FA2D6F">
              <w:rPr>
                <w:rFonts w:cs="Arial"/>
                <w:noProof/>
                <w:webHidden/>
                <w:sz w:val="24"/>
                <w:szCs w:val="24"/>
              </w:rPr>
              <w:fldChar w:fldCharType="begin"/>
            </w:r>
            <w:r w:rsidR="00F37EC0" w:rsidRPr="00FA2D6F">
              <w:rPr>
                <w:rFonts w:cs="Arial"/>
                <w:noProof/>
                <w:webHidden/>
                <w:sz w:val="24"/>
                <w:szCs w:val="24"/>
              </w:rPr>
              <w:instrText xml:space="preserve"> PAGEREF _Toc241246266 \h </w:instrText>
            </w:r>
            <w:r w:rsidR="00F37EC0" w:rsidRPr="00FA2D6F">
              <w:rPr>
                <w:rFonts w:cs="Arial"/>
                <w:noProof/>
                <w:webHidden/>
                <w:sz w:val="24"/>
                <w:szCs w:val="24"/>
              </w:rPr>
            </w:r>
            <w:r w:rsidR="00F37EC0" w:rsidRPr="00FA2D6F">
              <w:rPr>
                <w:rFonts w:cs="Arial"/>
                <w:noProof/>
                <w:webHidden/>
                <w:sz w:val="24"/>
                <w:szCs w:val="24"/>
              </w:rPr>
              <w:fldChar w:fldCharType="separate"/>
            </w:r>
            <w:r w:rsidR="00F37EC0" w:rsidRPr="00FA2D6F">
              <w:rPr>
                <w:rFonts w:cs="Arial"/>
                <w:noProof/>
                <w:webHidden/>
                <w:sz w:val="24"/>
                <w:szCs w:val="24"/>
              </w:rPr>
              <w:t>9</w:t>
            </w:r>
            <w:r w:rsidR="00F37EC0" w:rsidRPr="00FA2D6F">
              <w:rPr>
                <w:rFonts w:cs="Arial"/>
                <w:noProof/>
                <w:webHidden/>
                <w:sz w:val="24"/>
                <w:szCs w:val="24"/>
              </w:rPr>
              <w:fldChar w:fldCharType="end"/>
            </w:r>
          </w:hyperlink>
        </w:p>
        <w:p w14:paraId="48151E7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7" w:history="1">
            <w:r w:rsidRPr="00FA2D6F">
              <w:rPr>
                <w:rStyle w:val="Hyperlink"/>
                <w:rFonts w:cs="Arial"/>
                <w:noProof/>
                <w:sz w:val="24"/>
                <w:szCs w:val="24"/>
              </w:rPr>
              <w:t>1.1</w:t>
            </w:r>
            <w:r w:rsidRPr="00FA2D6F">
              <w:rPr>
                <w:rFonts w:cs="Arial"/>
                <w:noProof/>
                <w:kern w:val="0"/>
                <w:sz w:val="24"/>
                <w:szCs w:val="24"/>
                <w:lang w:val="en-US" w:eastAsia="en-US"/>
                <w14:ligatures w14:val="none"/>
              </w:rPr>
              <w:tab/>
            </w:r>
            <w:r w:rsidRPr="00FA2D6F">
              <w:rPr>
                <w:rStyle w:val="Hyperlink"/>
                <w:rFonts w:cs="Arial"/>
                <w:noProof/>
                <w:sz w:val="24"/>
                <w:szCs w:val="24"/>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10</w:t>
            </w:r>
            <w:r w:rsidRPr="00FA2D6F">
              <w:rPr>
                <w:rFonts w:cs="Arial"/>
                <w:noProof/>
                <w:webHidden/>
                <w:sz w:val="24"/>
                <w:szCs w:val="24"/>
              </w:rPr>
              <w:fldChar w:fldCharType="end"/>
            </w:r>
          </w:hyperlink>
        </w:p>
        <w:p w14:paraId="6D3F8A28"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8" w:history="1">
            <w:r w:rsidRPr="00FA2D6F">
              <w:rPr>
                <w:rStyle w:val="Hyperlink"/>
                <w:rFonts w:cs="Arial"/>
                <w:noProof/>
                <w:sz w:val="24"/>
                <w:szCs w:val="24"/>
              </w:rPr>
              <w:t>1.2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Definitions and Terminology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10</w:t>
            </w:r>
            <w:r w:rsidRPr="00FA2D6F">
              <w:rPr>
                <w:rFonts w:cs="Arial"/>
                <w:noProof/>
                <w:webHidden/>
                <w:sz w:val="24"/>
                <w:szCs w:val="24"/>
              </w:rPr>
              <w:fldChar w:fldCharType="end"/>
            </w:r>
          </w:hyperlink>
        </w:p>
        <w:p w14:paraId="39A41E3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69" w:history="1">
            <w:r w:rsidRPr="00FA2D6F">
              <w:rPr>
                <w:rStyle w:val="Hyperlink"/>
                <w:rFonts w:cs="Arial"/>
                <w:noProof/>
                <w:sz w:val="24"/>
                <w:szCs w:val="24"/>
              </w:rPr>
              <w:t>1.3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Rationale and Research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_Toc241246269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11</w:t>
            </w:r>
            <w:r w:rsidRPr="00FA2D6F">
              <w:rPr>
                <w:rFonts w:cs="Arial"/>
                <w:noProof/>
                <w:webHidden/>
                <w:sz w:val="24"/>
                <w:szCs w:val="24"/>
              </w:rPr>
              <w:fldChar w:fldCharType="end"/>
            </w:r>
          </w:hyperlink>
        </w:p>
        <w:p w14:paraId="6826E27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0" w:history="1">
            <w:r w:rsidRPr="00FA2D6F">
              <w:rPr>
                <w:rStyle w:val="Hyperlink"/>
                <w:rFonts w:cs="Arial"/>
                <w:noProof/>
                <w:sz w:val="24"/>
                <w:szCs w:val="24"/>
              </w:rPr>
              <w:t>1.3.1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What is already known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11</w:t>
            </w:r>
            <w:r w:rsidRPr="00FA2D6F">
              <w:rPr>
                <w:rFonts w:cs="Arial"/>
                <w:noProof/>
                <w:webHidden/>
                <w:sz w:val="24"/>
                <w:szCs w:val="24"/>
              </w:rPr>
              <w:fldChar w:fldCharType="end"/>
            </w:r>
          </w:hyperlink>
        </w:p>
        <w:p w14:paraId="36C9DC1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1" w:history="1">
            <w:r w:rsidRPr="00FA2D6F">
              <w:rPr>
                <w:rStyle w:val="Hyperlink"/>
                <w:rFonts w:cs="Arial"/>
                <w:noProof/>
                <w:sz w:val="24"/>
                <w:szCs w:val="24"/>
              </w:rPr>
              <w:t>1.3.2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Policy/practice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12</w:t>
            </w:r>
            <w:r w:rsidRPr="00FA2D6F">
              <w:rPr>
                <w:rFonts w:cs="Arial"/>
                <w:noProof/>
                <w:webHidden/>
                <w:sz w:val="24"/>
                <w:szCs w:val="24"/>
              </w:rPr>
              <w:fldChar w:fldCharType="end"/>
            </w:r>
          </w:hyperlink>
        </w:p>
        <w:p w14:paraId="790C8244"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2" w:history="1">
            <w:r w:rsidRPr="00FA2D6F">
              <w:rPr>
                <w:rStyle w:val="Hyperlink"/>
                <w:rFonts w:cs="Arial"/>
                <w:noProof/>
                <w:sz w:val="24"/>
                <w:szCs w:val="24"/>
              </w:rPr>
              <w:t>1.3.3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Why this dissertation is needed</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12</w:t>
            </w:r>
            <w:r w:rsidRPr="00FA2D6F">
              <w:rPr>
                <w:rFonts w:cs="Arial"/>
                <w:noProof/>
                <w:webHidden/>
                <w:sz w:val="24"/>
                <w:szCs w:val="24"/>
              </w:rPr>
              <w:fldChar w:fldCharType="end"/>
            </w:r>
          </w:hyperlink>
        </w:p>
        <w:p w14:paraId="6FEE61D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3" w:history="1">
            <w:r w:rsidRPr="00FA2D6F">
              <w:rPr>
                <w:rStyle w:val="Hyperlink"/>
                <w:rFonts w:cs="Arial"/>
                <w:noProof/>
                <w:sz w:val="24"/>
                <w:szCs w:val="24"/>
              </w:rPr>
              <w:t>1.4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Research Aim and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272C47C1"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4" w:history="1">
            <w:r w:rsidRPr="00FA2D6F">
              <w:rPr>
                <w:rStyle w:val="Hyperlink"/>
                <w:rFonts w:cs="Arial"/>
                <w:noProof/>
                <w:sz w:val="24"/>
                <w:szCs w:val="24"/>
              </w:rPr>
              <w:t>1.5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Research Question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68C9781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5" w:history="1">
            <w:r w:rsidRPr="00FA2D6F">
              <w:rPr>
                <w:rStyle w:val="Hyperlink"/>
                <w:rFonts w:cs="Arial"/>
                <w:noProof/>
                <w:sz w:val="24"/>
                <w:szCs w:val="24"/>
              </w:rPr>
              <w:t>1.6</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14105D40"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276" w:history="1">
            <w:r w:rsidRPr="00FA2D6F">
              <w:rPr>
                <w:rStyle w:val="Hyperlink"/>
                <w:rFonts w:cs="Arial"/>
                <w:noProof/>
                <w:sz w:val="24"/>
                <w:szCs w:val="24"/>
                <w:lang w:bidi="en-GB"/>
              </w:rPr>
              <w:t>2</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2 – Background Information and Analysis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13</w:t>
            </w:r>
            <w:r w:rsidRPr="00FA2D6F">
              <w:rPr>
                <w:rFonts w:cs="Arial"/>
                <w:noProof/>
                <w:webHidden/>
                <w:sz w:val="24"/>
                <w:szCs w:val="24"/>
              </w:rPr>
              <w:fldChar w:fldCharType="end"/>
            </w:r>
          </w:hyperlink>
        </w:p>
        <w:p w14:paraId="52D62CC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7" w:history="1">
            <w:r w:rsidRPr="00FA2D6F">
              <w:rPr>
                <w:rStyle w:val="Hyperlink"/>
                <w:rFonts w:cs="Arial"/>
                <w:noProof/>
                <w:sz w:val="24"/>
                <w:szCs w:val="24"/>
              </w:rPr>
              <w:t>2.1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7D7FAD0B"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78" w:history="1">
            <w:r w:rsidRPr="00FA2D6F">
              <w:rPr>
                <w:rStyle w:val="Hyperlink"/>
                <w:rFonts w:cs="Arial"/>
                <w:noProof/>
                <w:sz w:val="24"/>
                <w:szCs w:val="24"/>
              </w:rPr>
              <w:t>2.2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Historical Background</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261E8365"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79" w:history="1">
            <w:r w:rsidRPr="00FA2D6F">
              <w:rPr>
                <w:rStyle w:val="Hyperlink"/>
                <w:rFonts w:cs="Arial"/>
                <w:noProof/>
                <w:sz w:val="24"/>
                <w:szCs w:val="24"/>
              </w:rPr>
              <w:t>2.2.1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Development of UK healthcare provision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_Toc241246279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7BA3920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0" w:history="1">
            <w:r w:rsidRPr="00FA2D6F">
              <w:rPr>
                <w:rStyle w:val="Hyperlink"/>
                <w:rFonts w:cs="Arial"/>
                <w:noProof/>
                <w:sz w:val="24"/>
                <w:szCs w:val="24"/>
              </w:rPr>
              <w:t>2.2.2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Changing needs of an ageing population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14</w:t>
            </w:r>
            <w:r w:rsidRPr="00FA2D6F">
              <w:rPr>
                <w:rFonts w:cs="Arial"/>
                <w:noProof/>
                <w:webHidden/>
                <w:sz w:val="24"/>
                <w:szCs w:val="24"/>
              </w:rPr>
              <w:fldChar w:fldCharType="end"/>
            </w:r>
          </w:hyperlink>
        </w:p>
        <w:p w14:paraId="4D261CA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1" w:history="1">
            <w:r w:rsidRPr="00FA2D6F">
              <w:rPr>
                <w:rStyle w:val="Hyperlink"/>
                <w:rFonts w:cs="Arial"/>
                <w:noProof/>
                <w:sz w:val="24"/>
                <w:szCs w:val="24"/>
              </w:rPr>
              <w:t>2.2.3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Development toward integrated and digital healthcare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15</w:t>
            </w:r>
            <w:r w:rsidRPr="00FA2D6F">
              <w:rPr>
                <w:rFonts w:cs="Arial"/>
                <w:noProof/>
                <w:webHidden/>
                <w:sz w:val="24"/>
                <w:szCs w:val="24"/>
              </w:rPr>
              <w:fldChar w:fldCharType="end"/>
            </w:r>
          </w:hyperlink>
        </w:p>
        <w:p w14:paraId="4A2684F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2" w:history="1">
            <w:r w:rsidRPr="00FA2D6F">
              <w:rPr>
                <w:rStyle w:val="Hyperlink"/>
                <w:rFonts w:cs="Arial"/>
                <w:noProof/>
                <w:sz w:val="24"/>
                <w:szCs w:val="24"/>
              </w:rPr>
              <w:t>2.3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Theoretical Integration and Critique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15</w:t>
            </w:r>
            <w:r w:rsidRPr="00FA2D6F">
              <w:rPr>
                <w:rFonts w:cs="Arial"/>
                <w:noProof/>
                <w:webHidden/>
                <w:sz w:val="24"/>
                <w:szCs w:val="24"/>
              </w:rPr>
              <w:fldChar w:fldCharType="end"/>
            </w:r>
          </w:hyperlink>
        </w:p>
        <w:p w14:paraId="42C8D8F1"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3" w:history="1">
            <w:r w:rsidRPr="00FA2D6F">
              <w:rPr>
                <w:rStyle w:val="Hyperlink"/>
                <w:rFonts w:cs="Arial"/>
                <w:noProof/>
                <w:sz w:val="24"/>
                <w:szCs w:val="24"/>
              </w:rPr>
              <w:t>2.4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International Context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2E37792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4" w:history="1">
            <w:r w:rsidRPr="00FA2D6F">
              <w:rPr>
                <w:rStyle w:val="Hyperlink"/>
                <w:rFonts w:cs="Arial"/>
                <w:noProof/>
                <w:sz w:val="24"/>
                <w:szCs w:val="24"/>
              </w:rPr>
              <w:t>2.4.1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International approaches to older adult healthcare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212ED031"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5" w:history="1">
            <w:r w:rsidRPr="00FA2D6F">
              <w:rPr>
                <w:rStyle w:val="Hyperlink"/>
                <w:rFonts w:cs="Arial"/>
                <w:noProof/>
                <w:sz w:val="24"/>
                <w:szCs w:val="24"/>
              </w:rPr>
              <w:t>2.4.2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Country comparison: UK, Sweden, and Japan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16</w:t>
            </w:r>
            <w:r w:rsidRPr="00FA2D6F">
              <w:rPr>
                <w:rFonts w:cs="Arial"/>
                <w:noProof/>
                <w:webHidden/>
                <w:sz w:val="24"/>
                <w:szCs w:val="24"/>
              </w:rPr>
              <w:fldChar w:fldCharType="end"/>
            </w:r>
          </w:hyperlink>
        </w:p>
        <w:p w14:paraId="1BF59C2E"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6" w:history="1">
            <w:r w:rsidRPr="00FA2D6F">
              <w:rPr>
                <w:rStyle w:val="Hyperlink"/>
                <w:rFonts w:cs="Arial"/>
                <w:noProof/>
                <w:sz w:val="24"/>
                <w:szCs w:val="24"/>
              </w:rPr>
              <w:t>2.4.3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Lessons for the UK</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387542EA"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87" w:history="1">
            <w:r w:rsidRPr="00FA2D6F">
              <w:rPr>
                <w:rStyle w:val="Hyperlink"/>
                <w:rFonts w:cs="Arial"/>
                <w:noProof/>
                <w:sz w:val="24"/>
                <w:szCs w:val="24"/>
              </w:rPr>
              <w:t>2.5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National/Local UK Context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0594D95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8" w:history="1">
            <w:r w:rsidRPr="00FA2D6F">
              <w:rPr>
                <w:rStyle w:val="Hyperlink"/>
                <w:rFonts w:cs="Arial"/>
                <w:noProof/>
                <w:sz w:val="24"/>
                <w:szCs w:val="24"/>
              </w:rPr>
              <w:t>2.5.1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NHS healthcare provision for ethnic minority adults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3A617E6C"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89" w:history="1">
            <w:r w:rsidRPr="00FA2D6F">
              <w:rPr>
                <w:rStyle w:val="Hyperlink"/>
                <w:rFonts w:cs="Arial"/>
                <w:noProof/>
                <w:sz w:val="24"/>
                <w:szCs w:val="24"/>
              </w:rPr>
              <w:t>2.5.2</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NHS Long Term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_Toc241246289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17</w:t>
            </w:r>
            <w:r w:rsidRPr="00FA2D6F">
              <w:rPr>
                <w:rFonts w:cs="Arial"/>
                <w:noProof/>
                <w:webHidden/>
                <w:sz w:val="24"/>
                <w:szCs w:val="24"/>
              </w:rPr>
              <w:fldChar w:fldCharType="end"/>
            </w:r>
          </w:hyperlink>
        </w:p>
        <w:p w14:paraId="493BBD1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0" w:history="1">
            <w:r w:rsidRPr="00FA2D6F">
              <w:rPr>
                <w:rStyle w:val="Hyperlink"/>
                <w:rFonts w:cs="Arial"/>
                <w:noProof/>
                <w:sz w:val="24"/>
                <w:szCs w:val="24"/>
              </w:rPr>
              <w:t>2.5.3</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Ageing Well Programme and demographic misrepresentation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13D1FC9E"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1" w:history="1">
            <w:r w:rsidRPr="00FA2D6F">
              <w:rPr>
                <w:rStyle w:val="Hyperlink"/>
                <w:rFonts w:cs="Arial"/>
                <w:noProof/>
                <w:sz w:val="24"/>
                <w:szCs w:val="24"/>
              </w:rPr>
              <w:t>2.5.4</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Digital transformation and legislation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79D4E408"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292" w:history="1">
            <w:r w:rsidRPr="00FA2D6F">
              <w:rPr>
                <w:rStyle w:val="Hyperlink"/>
                <w:rFonts w:cs="Arial"/>
                <w:noProof/>
                <w:sz w:val="24"/>
                <w:szCs w:val="24"/>
              </w:rPr>
              <w:t>2.5.5</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UK implementation challenges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18</w:t>
            </w:r>
            <w:r w:rsidRPr="00FA2D6F">
              <w:rPr>
                <w:rFonts w:cs="Arial"/>
                <w:noProof/>
                <w:webHidden/>
                <w:sz w:val="24"/>
                <w:szCs w:val="24"/>
              </w:rPr>
              <w:fldChar w:fldCharType="end"/>
            </w:r>
          </w:hyperlink>
        </w:p>
        <w:p w14:paraId="773CEE4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3" w:history="1">
            <w:r w:rsidRPr="00FA2D6F">
              <w:rPr>
                <w:rStyle w:val="Hyperlink"/>
                <w:rFonts w:cs="Arial"/>
                <w:noProof/>
                <w:sz w:val="24"/>
                <w:szCs w:val="24"/>
              </w:rPr>
              <w:t>2.6</w:t>
            </w:r>
            <w:r w:rsidRPr="00FA2D6F">
              <w:rPr>
                <w:rFonts w:cs="Arial"/>
                <w:noProof/>
                <w:kern w:val="0"/>
                <w:sz w:val="24"/>
                <w:szCs w:val="24"/>
                <w:lang w:val="en-US" w:eastAsia="en-US"/>
                <w14:ligatures w14:val="none"/>
              </w:rPr>
              <w:tab/>
            </w:r>
            <w:r w:rsidRPr="00FA2D6F">
              <w:rPr>
                <w:rStyle w:val="Hyperlink"/>
                <w:rFonts w:cs="Arial"/>
                <w:noProof/>
                <w:sz w:val="24"/>
                <w:szCs w:val="24"/>
              </w:rPr>
              <w:t>Critical Limitations of the Existing Literature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19</w:t>
            </w:r>
            <w:r w:rsidRPr="00FA2D6F">
              <w:rPr>
                <w:rFonts w:cs="Arial"/>
                <w:noProof/>
                <w:webHidden/>
                <w:sz w:val="24"/>
                <w:szCs w:val="24"/>
              </w:rPr>
              <w:fldChar w:fldCharType="end"/>
            </w:r>
          </w:hyperlink>
        </w:p>
        <w:p w14:paraId="778F19A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4" w:history="1">
            <w:r w:rsidRPr="00FA2D6F">
              <w:rPr>
                <w:rStyle w:val="Hyperlink"/>
                <w:rFonts w:cs="Arial"/>
                <w:noProof/>
                <w:sz w:val="24"/>
                <w:szCs w:val="24"/>
              </w:rPr>
              <w:t>2.7</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19</w:t>
            </w:r>
            <w:r w:rsidRPr="00FA2D6F">
              <w:rPr>
                <w:rFonts w:cs="Arial"/>
                <w:noProof/>
                <w:webHidden/>
                <w:sz w:val="24"/>
                <w:szCs w:val="24"/>
              </w:rPr>
              <w:fldChar w:fldCharType="end"/>
            </w:r>
          </w:hyperlink>
        </w:p>
        <w:p w14:paraId="47D7E420"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295" w:history="1">
            <w:r w:rsidRPr="00FA2D6F">
              <w:rPr>
                <w:rStyle w:val="Hyperlink"/>
                <w:rFonts w:cs="Arial"/>
                <w:noProof/>
                <w:sz w:val="24"/>
                <w:szCs w:val="24"/>
                <w:lang w:bidi="en-GB"/>
              </w:rPr>
              <w:t>3</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3 – Methodology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40576BFA"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6" w:history="1">
            <w:r w:rsidRPr="00FA2D6F">
              <w:rPr>
                <w:rStyle w:val="Hyperlink"/>
                <w:rFonts w:cs="Arial"/>
                <w:noProof/>
                <w:sz w:val="24"/>
                <w:szCs w:val="24"/>
              </w:rPr>
              <w:t>3.1</w:t>
            </w:r>
            <w:r w:rsidRPr="00FA2D6F">
              <w:rPr>
                <w:rFonts w:cs="Arial"/>
                <w:noProof/>
                <w:kern w:val="0"/>
                <w:sz w:val="24"/>
                <w:szCs w:val="24"/>
                <w:lang w:val="en-US" w:eastAsia="en-US"/>
                <w14:ligatures w14:val="none"/>
              </w:rPr>
              <w:tab/>
            </w:r>
            <w:r w:rsidRPr="00FA2D6F">
              <w:rPr>
                <w:rStyle w:val="Hyperlink"/>
                <w:rFonts w:cs="Arial"/>
                <w:noProof/>
                <w:sz w:val="24"/>
                <w:szCs w:val="24"/>
                <w:bdr w:val="none" w:sz="0" w:space="0" w:color="auto" w:frame="1"/>
              </w:rPr>
              <w:t>Introduction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74D6332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7" w:history="1">
            <w:r w:rsidRPr="00FA2D6F">
              <w:rPr>
                <w:rStyle w:val="Hyperlink"/>
                <w:rFonts w:cs="Arial"/>
                <w:noProof/>
                <w:sz w:val="24"/>
                <w:szCs w:val="24"/>
              </w:rPr>
              <w:t>3.2</w:t>
            </w:r>
            <w:r w:rsidRPr="00FA2D6F">
              <w:rPr>
                <w:rFonts w:cs="Arial"/>
                <w:noProof/>
                <w:kern w:val="0"/>
                <w:sz w:val="24"/>
                <w:szCs w:val="24"/>
                <w:lang w:val="en-US" w:eastAsia="en-US"/>
                <w14:ligatures w14:val="none"/>
              </w:rPr>
              <w:tab/>
            </w:r>
            <w:r w:rsidRPr="00FA2D6F">
              <w:rPr>
                <w:rStyle w:val="Hyperlink"/>
                <w:rFonts w:cs="Arial"/>
                <w:noProof/>
                <w:sz w:val="24"/>
                <w:szCs w:val="24"/>
              </w:rPr>
              <w:t>Research Approach and Design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587651F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8" w:history="1">
            <w:r w:rsidRPr="00FA2D6F">
              <w:rPr>
                <w:rStyle w:val="Hyperlink"/>
                <w:rFonts w:cs="Arial"/>
                <w:noProof/>
                <w:sz w:val="24"/>
                <w:szCs w:val="24"/>
              </w:rPr>
              <w:t>3.3</w:t>
            </w:r>
            <w:r w:rsidRPr="00FA2D6F">
              <w:rPr>
                <w:rFonts w:cs="Arial"/>
                <w:noProof/>
                <w:kern w:val="0"/>
                <w:sz w:val="24"/>
                <w:szCs w:val="24"/>
                <w:lang w:val="en-US" w:eastAsia="en-US"/>
                <w14:ligatures w14:val="none"/>
              </w:rPr>
              <w:tab/>
            </w:r>
            <w:r w:rsidRPr="00FA2D6F">
              <w:rPr>
                <w:rStyle w:val="Hyperlink"/>
                <w:rFonts w:cs="Arial"/>
                <w:noProof/>
                <w:sz w:val="24"/>
                <w:szCs w:val="24"/>
              </w:rPr>
              <w:t>Search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20</w:t>
            </w:r>
            <w:r w:rsidRPr="00FA2D6F">
              <w:rPr>
                <w:rFonts w:cs="Arial"/>
                <w:noProof/>
                <w:webHidden/>
                <w:sz w:val="24"/>
                <w:szCs w:val="24"/>
              </w:rPr>
              <w:fldChar w:fldCharType="end"/>
            </w:r>
          </w:hyperlink>
        </w:p>
        <w:p w14:paraId="4E342E8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299" w:history="1">
            <w:r w:rsidRPr="00FA2D6F">
              <w:rPr>
                <w:rStyle w:val="Hyperlink"/>
                <w:rFonts w:cs="Arial"/>
                <w:noProof/>
                <w:sz w:val="24"/>
                <w:szCs w:val="24"/>
              </w:rPr>
              <w:t>3.4</w:t>
            </w:r>
            <w:r w:rsidRPr="00FA2D6F">
              <w:rPr>
                <w:rFonts w:cs="Arial"/>
                <w:noProof/>
                <w:kern w:val="0"/>
                <w:sz w:val="24"/>
                <w:szCs w:val="24"/>
                <w:lang w:val="en-US" w:eastAsia="en-US"/>
                <w14:ligatures w14:val="none"/>
              </w:rPr>
              <w:tab/>
            </w:r>
            <w:r w:rsidRPr="00FA2D6F">
              <w:rPr>
                <w:rStyle w:val="Hyperlink"/>
                <w:rFonts w:cs="Arial"/>
                <w:noProof/>
                <w:sz w:val="24"/>
                <w:szCs w:val="24"/>
              </w:rPr>
              <w:t>Searching for Information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_Toc241246299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42E8CB4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0" w:history="1">
            <w:r w:rsidRPr="00FA2D6F">
              <w:rPr>
                <w:rStyle w:val="Hyperlink"/>
                <w:rFonts w:cs="Arial"/>
                <w:noProof/>
                <w:sz w:val="24"/>
                <w:szCs w:val="24"/>
              </w:rPr>
              <w:t>3.5</w:t>
            </w:r>
            <w:r w:rsidRPr="00FA2D6F">
              <w:rPr>
                <w:rFonts w:cs="Arial"/>
                <w:noProof/>
                <w:kern w:val="0"/>
                <w:sz w:val="24"/>
                <w:szCs w:val="24"/>
                <w:lang w:val="en-US" w:eastAsia="en-US"/>
                <w14:ligatures w14:val="none"/>
              </w:rPr>
              <w:tab/>
            </w:r>
            <w:r w:rsidRPr="00FA2D6F">
              <w:rPr>
                <w:rStyle w:val="Hyperlink"/>
                <w:rFonts w:cs="Arial"/>
                <w:noProof/>
                <w:sz w:val="24"/>
                <w:szCs w:val="24"/>
              </w:rPr>
              <w:t>Research Validation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77CC2AE7"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1" w:history="1">
            <w:r w:rsidRPr="00FA2D6F">
              <w:rPr>
                <w:rStyle w:val="Hyperlink"/>
                <w:rFonts w:cs="Arial"/>
                <w:noProof/>
                <w:sz w:val="24"/>
                <w:szCs w:val="24"/>
              </w:rPr>
              <w:t>3.6</w:t>
            </w:r>
            <w:r w:rsidRPr="00FA2D6F">
              <w:rPr>
                <w:rFonts w:cs="Arial"/>
                <w:noProof/>
                <w:kern w:val="0"/>
                <w:sz w:val="24"/>
                <w:szCs w:val="24"/>
                <w:lang w:val="en-US" w:eastAsia="en-US"/>
                <w14:ligatures w14:val="none"/>
              </w:rPr>
              <w:tab/>
            </w:r>
            <w:r w:rsidRPr="00FA2D6F">
              <w:rPr>
                <w:rStyle w:val="Hyperlink"/>
                <w:rFonts w:cs="Arial"/>
                <w:noProof/>
                <w:sz w:val="24"/>
                <w:szCs w:val="24"/>
              </w:rPr>
              <w:t>Inclusion and Exclusion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21</w:t>
            </w:r>
            <w:r w:rsidRPr="00FA2D6F">
              <w:rPr>
                <w:rFonts w:cs="Arial"/>
                <w:noProof/>
                <w:webHidden/>
                <w:sz w:val="24"/>
                <w:szCs w:val="24"/>
              </w:rPr>
              <w:fldChar w:fldCharType="end"/>
            </w:r>
          </w:hyperlink>
        </w:p>
        <w:p w14:paraId="6E96C944"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2" w:history="1">
            <w:r w:rsidRPr="00FA2D6F">
              <w:rPr>
                <w:rStyle w:val="Hyperlink"/>
                <w:rFonts w:cs="Arial"/>
                <w:noProof/>
                <w:sz w:val="24"/>
                <w:szCs w:val="24"/>
              </w:rPr>
              <w:t>3.7</w:t>
            </w:r>
            <w:r w:rsidRPr="00FA2D6F">
              <w:rPr>
                <w:rFonts w:cs="Arial"/>
                <w:noProof/>
                <w:kern w:val="0"/>
                <w:sz w:val="24"/>
                <w:szCs w:val="24"/>
                <w:lang w:val="en-US" w:eastAsia="en-US"/>
                <w14:ligatures w14:val="none"/>
              </w:rPr>
              <w:tab/>
            </w:r>
            <w:r w:rsidRPr="00FA2D6F">
              <w:rPr>
                <w:rStyle w:val="Hyperlink"/>
                <w:rFonts w:cs="Arial"/>
                <w:noProof/>
                <w:sz w:val="24"/>
                <w:szCs w:val="24"/>
              </w:rPr>
              <w:t>Data/Thematic Analysis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22</w:t>
            </w:r>
            <w:r w:rsidRPr="00FA2D6F">
              <w:rPr>
                <w:rFonts w:cs="Arial"/>
                <w:noProof/>
                <w:webHidden/>
                <w:sz w:val="24"/>
                <w:szCs w:val="24"/>
              </w:rPr>
              <w:fldChar w:fldCharType="end"/>
            </w:r>
          </w:hyperlink>
        </w:p>
        <w:p w14:paraId="29B41E88"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3" w:history="1">
            <w:r w:rsidRPr="00FA2D6F">
              <w:rPr>
                <w:rStyle w:val="Hyperlink"/>
                <w:rFonts w:cs="Arial"/>
                <w:noProof/>
                <w:sz w:val="24"/>
                <w:szCs w:val="24"/>
              </w:rPr>
              <w:t>3.8</w:t>
            </w:r>
            <w:r w:rsidRPr="00FA2D6F">
              <w:rPr>
                <w:rFonts w:cs="Arial"/>
                <w:noProof/>
                <w:kern w:val="0"/>
                <w:sz w:val="24"/>
                <w:szCs w:val="24"/>
                <w:lang w:val="en-US" w:eastAsia="en-US"/>
                <w14:ligatures w14:val="none"/>
              </w:rPr>
              <w:tab/>
            </w:r>
            <w:r w:rsidRPr="00FA2D6F">
              <w:rPr>
                <w:rStyle w:val="Hyperlink"/>
                <w:rFonts w:cs="Arial"/>
                <w:noProof/>
                <w:sz w:val="24"/>
                <w:szCs w:val="24"/>
              </w:rPr>
              <w:t>Ethical Considerations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7E03FF6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4" w:history="1">
            <w:r w:rsidRPr="00FA2D6F">
              <w:rPr>
                <w:rStyle w:val="Hyperlink"/>
                <w:rFonts w:cs="Arial"/>
                <w:noProof/>
                <w:sz w:val="24"/>
                <w:szCs w:val="24"/>
              </w:rPr>
              <w:t>3.9</w:t>
            </w:r>
            <w:r w:rsidRPr="00FA2D6F">
              <w:rPr>
                <w:rFonts w:cs="Arial"/>
                <w:noProof/>
                <w:kern w:val="0"/>
                <w:sz w:val="24"/>
                <w:szCs w:val="24"/>
                <w:lang w:val="en-US" w:eastAsia="en-US"/>
                <w14:ligatures w14:val="none"/>
              </w:rPr>
              <w:tab/>
            </w:r>
            <w:r w:rsidRPr="00FA2D6F">
              <w:rPr>
                <w:rStyle w:val="Hyperlink"/>
                <w:rFonts w:cs="Arial"/>
                <w:noProof/>
                <w:sz w:val="24"/>
                <w:szCs w:val="24"/>
              </w:rPr>
              <w:t>Methodological Limitations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7A68FA0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5" w:history="1">
            <w:r w:rsidRPr="00FA2D6F">
              <w:rPr>
                <w:rStyle w:val="Hyperlink"/>
                <w:rFonts w:cs="Arial"/>
                <w:noProof/>
                <w:sz w:val="24"/>
                <w:szCs w:val="24"/>
              </w:rPr>
              <w:t>3.10</w:t>
            </w:r>
            <w:r w:rsidRPr="00FA2D6F">
              <w:rPr>
                <w:rFonts w:cs="Arial"/>
                <w:noProof/>
                <w:kern w:val="0"/>
                <w:sz w:val="24"/>
                <w:szCs w:val="24"/>
                <w:lang w:val="en-US" w:eastAsia="en-US"/>
                <w14:ligatures w14:val="none"/>
              </w:rPr>
              <w:tab/>
            </w:r>
            <w:r w:rsidRPr="00FA2D6F">
              <w:rPr>
                <w:rStyle w:val="Hyperlink"/>
                <w:rFonts w:cs="Arial"/>
                <w:noProof/>
                <w:sz w:val="24"/>
                <w:szCs w:val="24"/>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23</w:t>
            </w:r>
            <w:r w:rsidRPr="00FA2D6F">
              <w:rPr>
                <w:rFonts w:cs="Arial"/>
                <w:noProof/>
                <w:webHidden/>
                <w:sz w:val="24"/>
                <w:szCs w:val="24"/>
              </w:rPr>
              <w:fldChar w:fldCharType="end"/>
            </w:r>
          </w:hyperlink>
        </w:p>
        <w:p w14:paraId="284C33E9"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06" w:history="1">
            <w:r w:rsidRPr="00FA2D6F">
              <w:rPr>
                <w:rStyle w:val="Hyperlink"/>
                <w:rFonts w:cs="Arial"/>
                <w:noProof/>
                <w:sz w:val="24"/>
                <w:szCs w:val="24"/>
                <w:lang w:bidi="en-GB"/>
              </w:rPr>
              <w:t>4</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4 – Findings and Discussion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0E703E0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7" w:history="1">
            <w:r w:rsidRPr="00FA2D6F">
              <w:rPr>
                <w:rStyle w:val="Hyperlink"/>
                <w:rFonts w:cs="Arial"/>
                <w:noProof/>
                <w:sz w:val="24"/>
                <w:szCs w:val="24"/>
                <w:lang w:val="en-US"/>
              </w:rPr>
              <w:t>4.1</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Introduction to Findings and Discussion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03073D0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08" w:history="1">
            <w:r w:rsidRPr="00FA2D6F">
              <w:rPr>
                <w:rStyle w:val="Hyperlink"/>
                <w:rFonts w:cs="Arial"/>
                <w:noProof/>
                <w:sz w:val="24"/>
                <w:szCs w:val="24"/>
                <w:lang w:val="en-US"/>
              </w:rPr>
              <w:t>4.2</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1: Structural Healthcare Barriers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25</w:t>
            </w:r>
            <w:r w:rsidRPr="00FA2D6F">
              <w:rPr>
                <w:rFonts w:cs="Arial"/>
                <w:noProof/>
                <w:webHidden/>
                <w:sz w:val="24"/>
                <w:szCs w:val="24"/>
              </w:rPr>
              <w:fldChar w:fldCharType="end"/>
            </w:r>
          </w:hyperlink>
        </w:p>
        <w:p w14:paraId="47BBE8E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09" w:history="1">
            <w:r w:rsidRPr="00FA2D6F">
              <w:rPr>
                <w:rStyle w:val="Hyperlink"/>
                <w:rFonts w:cs="Arial"/>
                <w:noProof/>
                <w:sz w:val="24"/>
                <w:szCs w:val="24"/>
                <w:lang w:val="en-US"/>
              </w:rPr>
              <w:t>4.2.1</w:t>
            </w:r>
            <w:r w:rsidRPr="00FA2D6F">
              <w:rPr>
                <w:rFonts w:cs="Arial"/>
                <w:noProof/>
                <w:kern w:val="0"/>
                <w:sz w:val="24"/>
                <w:szCs w:val="24"/>
                <w:lang w:val="en-US" w:eastAsia="en-US"/>
                <w14:ligatures w14:val="none"/>
              </w:rPr>
              <w:tab/>
            </w:r>
            <w:r w:rsidRPr="00FA2D6F">
              <w:rPr>
                <w:rStyle w:val="Hyperlink"/>
                <w:rFonts w:cs="Arial"/>
                <w:noProof/>
                <w:sz w:val="24"/>
                <w:szCs w:val="24"/>
                <w:lang w:val="en-US"/>
              </w:rPr>
              <w:t>Fragmented Healthcare Services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_Toc241246309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26</w:t>
            </w:r>
            <w:r w:rsidRPr="00FA2D6F">
              <w:rPr>
                <w:rFonts w:cs="Arial"/>
                <w:noProof/>
                <w:webHidden/>
                <w:sz w:val="24"/>
                <w:szCs w:val="24"/>
              </w:rPr>
              <w:fldChar w:fldCharType="end"/>
            </w:r>
          </w:hyperlink>
        </w:p>
        <w:p w14:paraId="0EE33088"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0" w:history="1">
            <w:r w:rsidRPr="00FA2D6F">
              <w:rPr>
                <w:rStyle w:val="Hyperlink"/>
                <w:rFonts w:cs="Arial"/>
                <w:noProof/>
                <w:sz w:val="24"/>
                <w:szCs w:val="24"/>
                <w:lang w:val="en-US"/>
              </w:rPr>
              <w:t>4.2.2</w:t>
            </w:r>
            <w:r w:rsidRPr="00FA2D6F">
              <w:rPr>
                <w:rFonts w:cs="Arial"/>
                <w:noProof/>
                <w:kern w:val="0"/>
                <w:sz w:val="24"/>
                <w:szCs w:val="24"/>
                <w:lang w:val="en-US" w:eastAsia="en-US"/>
                <w14:ligatures w14:val="none"/>
              </w:rPr>
              <w:tab/>
            </w:r>
            <w:r w:rsidRPr="00FA2D6F">
              <w:rPr>
                <w:rStyle w:val="Hyperlink"/>
                <w:rFonts w:cs="Arial"/>
                <w:noProof/>
                <w:sz w:val="24"/>
                <w:szCs w:val="24"/>
                <w:lang w:val="en-US"/>
              </w:rPr>
              <w:t>Workforce Shortages and Service Capacity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27</w:t>
            </w:r>
            <w:r w:rsidRPr="00FA2D6F">
              <w:rPr>
                <w:rFonts w:cs="Arial"/>
                <w:noProof/>
                <w:webHidden/>
                <w:sz w:val="24"/>
                <w:szCs w:val="24"/>
              </w:rPr>
              <w:fldChar w:fldCharType="end"/>
            </w:r>
          </w:hyperlink>
        </w:p>
        <w:p w14:paraId="3CC97B84"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1" w:history="1">
            <w:r w:rsidRPr="00FA2D6F">
              <w:rPr>
                <w:rStyle w:val="Hyperlink"/>
                <w:rFonts w:cs="Arial"/>
                <w:noProof/>
                <w:sz w:val="24"/>
                <w:szCs w:val="24"/>
                <w:lang w:val="en-US"/>
              </w:rPr>
              <w:t>4.2.3</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Theoretical Interpretation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28</w:t>
            </w:r>
            <w:r w:rsidRPr="00FA2D6F">
              <w:rPr>
                <w:rFonts w:cs="Arial"/>
                <w:noProof/>
                <w:webHidden/>
                <w:sz w:val="24"/>
                <w:szCs w:val="24"/>
              </w:rPr>
              <w:fldChar w:fldCharType="end"/>
            </w:r>
          </w:hyperlink>
        </w:p>
        <w:p w14:paraId="189453F1"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2" w:history="1">
            <w:r w:rsidRPr="00FA2D6F">
              <w:rPr>
                <w:rStyle w:val="Hyperlink"/>
                <w:rFonts w:cs="Arial"/>
                <w:noProof/>
                <w:sz w:val="24"/>
                <w:szCs w:val="24"/>
                <w:lang w:val="en-US"/>
              </w:rPr>
              <w:t>4.2.4</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28</w:t>
            </w:r>
            <w:r w:rsidRPr="00FA2D6F">
              <w:rPr>
                <w:rFonts w:cs="Arial"/>
                <w:noProof/>
                <w:webHidden/>
                <w:sz w:val="24"/>
                <w:szCs w:val="24"/>
              </w:rPr>
              <w:fldChar w:fldCharType="end"/>
            </w:r>
          </w:hyperlink>
        </w:p>
        <w:p w14:paraId="0D6507F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13" w:history="1">
            <w:r w:rsidRPr="00FA2D6F">
              <w:rPr>
                <w:rStyle w:val="Hyperlink"/>
                <w:rFonts w:cs="Arial"/>
                <w:noProof/>
                <w:sz w:val="24"/>
                <w:szCs w:val="24"/>
                <w:lang w:val="en-US"/>
              </w:rPr>
              <w:t>4.3</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2: Socioeconomic and Cultural Healthcare Access Inequalities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29</w:t>
            </w:r>
            <w:r w:rsidRPr="00FA2D6F">
              <w:rPr>
                <w:rFonts w:cs="Arial"/>
                <w:noProof/>
                <w:webHidden/>
                <w:sz w:val="24"/>
                <w:szCs w:val="24"/>
              </w:rPr>
              <w:fldChar w:fldCharType="end"/>
            </w:r>
          </w:hyperlink>
        </w:p>
        <w:p w14:paraId="77F03AA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4" w:history="1">
            <w:r w:rsidRPr="00FA2D6F">
              <w:rPr>
                <w:rStyle w:val="Hyperlink"/>
                <w:rFonts w:cs="Arial"/>
                <w:noProof/>
                <w:sz w:val="24"/>
                <w:szCs w:val="24"/>
                <w:lang w:val="en-US"/>
              </w:rPr>
              <w:t>4.3.1</w:t>
            </w:r>
            <w:r w:rsidRPr="00FA2D6F">
              <w:rPr>
                <w:rFonts w:cs="Arial"/>
                <w:noProof/>
                <w:kern w:val="0"/>
                <w:sz w:val="24"/>
                <w:szCs w:val="24"/>
                <w:lang w:val="en-US" w:eastAsia="en-US"/>
                <w14:ligatures w14:val="none"/>
              </w:rPr>
              <w:tab/>
            </w:r>
            <w:r w:rsidRPr="00FA2D6F">
              <w:rPr>
                <w:rStyle w:val="Hyperlink"/>
                <w:rFonts w:cs="Arial"/>
                <w:noProof/>
                <w:sz w:val="24"/>
                <w:szCs w:val="24"/>
                <w:lang w:val="en-US"/>
              </w:rPr>
              <w:t>Transport, Mobility and Geographic Access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29</w:t>
            </w:r>
            <w:r w:rsidRPr="00FA2D6F">
              <w:rPr>
                <w:rFonts w:cs="Arial"/>
                <w:noProof/>
                <w:webHidden/>
                <w:sz w:val="24"/>
                <w:szCs w:val="24"/>
              </w:rPr>
              <w:fldChar w:fldCharType="end"/>
            </w:r>
          </w:hyperlink>
        </w:p>
        <w:p w14:paraId="56079015"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5" w:history="1">
            <w:r w:rsidRPr="00FA2D6F">
              <w:rPr>
                <w:rStyle w:val="Hyperlink"/>
                <w:rFonts w:cs="Arial"/>
                <w:noProof/>
                <w:sz w:val="24"/>
                <w:szCs w:val="24"/>
                <w:lang w:val="en-US"/>
              </w:rPr>
              <w:t>4.3.2</w:t>
            </w:r>
            <w:r w:rsidRPr="00FA2D6F">
              <w:rPr>
                <w:rFonts w:cs="Arial"/>
                <w:noProof/>
                <w:kern w:val="0"/>
                <w:sz w:val="24"/>
                <w:szCs w:val="24"/>
                <w:lang w:val="en-US" w:eastAsia="en-US"/>
                <w14:ligatures w14:val="none"/>
              </w:rPr>
              <w:tab/>
            </w:r>
            <w:r w:rsidRPr="00FA2D6F">
              <w:rPr>
                <w:rStyle w:val="Hyperlink"/>
                <w:rFonts w:cs="Arial"/>
                <w:noProof/>
                <w:sz w:val="24"/>
                <w:szCs w:val="24"/>
                <w:lang w:val="en-US"/>
              </w:rPr>
              <w:t>Cultural and Communication Barriers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30</w:t>
            </w:r>
            <w:r w:rsidRPr="00FA2D6F">
              <w:rPr>
                <w:rFonts w:cs="Arial"/>
                <w:noProof/>
                <w:webHidden/>
                <w:sz w:val="24"/>
                <w:szCs w:val="24"/>
              </w:rPr>
              <w:fldChar w:fldCharType="end"/>
            </w:r>
          </w:hyperlink>
        </w:p>
        <w:p w14:paraId="7B2F4713"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6" w:history="1">
            <w:r w:rsidRPr="00FA2D6F">
              <w:rPr>
                <w:rStyle w:val="Hyperlink"/>
                <w:rFonts w:cs="Arial"/>
                <w:noProof/>
                <w:sz w:val="24"/>
                <w:szCs w:val="24"/>
                <w:lang w:val="en-US"/>
              </w:rPr>
              <w:t>4.3.3</w:t>
            </w:r>
            <w:r w:rsidRPr="00FA2D6F">
              <w:rPr>
                <w:rFonts w:cs="Arial"/>
                <w:noProof/>
                <w:kern w:val="0"/>
                <w:sz w:val="24"/>
                <w:szCs w:val="24"/>
                <w:lang w:val="en-US" w:eastAsia="en-US"/>
                <w14:ligatures w14:val="none"/>
              </w:rPr>
              <w:tab/>
            </w:r>
            <w:r w:rsidRPr="00FA2D6F">
              <w:rPr>
                <w:rStyle w:val="Hyperlink"/>
                <w:rFonts w:cs="Arial"/>
                <w:noProof/>
                <w:sz w:val="24"/>
                <w:szCs w:val="24"/>
                <w:lang w:val="en-US"/>
              </w:rPr>
              <w:t>Social Isolation and Support Networks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30</w:t>
            </w:r>
            <w:r w:rsidRPr="00FA2D6F">
              <w:rPr>
                <w:rFonts w:cs="Arial"/>
                <w:noProof/>
                <w:webHidden/>
                <w:sz w:val="24"/>
                <w:szCs w:val="24"/>
              </w:rPr>
              <w:fldChar w:fldCharType="end"/>
            </w:r>
          </w:hyperlink>
        </w:p>
        <w:p w14:paraId="5FC68EC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7" w:history="1">
            <w:r w:rsidRPr="00FA2D6F">
              <w:rPr>
                <w:rStyle w:val="Hyperlink"/>
                <w:rFonts w:cs="Arial"/>
                <w:noProof/>
                <w:sz w:val="24"/>
                <w:szCs w:val="24"/>
                <w:lang w:val="en-US"/>
              </w:rPr>
              <w:t>4.3.4</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Intersection with Theme 1</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5F5F367D"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8" w:history="1">
            <w:r w:rsidRPr="00FA2D6F">
              <w:rPr>
                <w:rStyle w:val="Hyperlink"/>
                <w:rFonts w:cs="Arial"/>
                <w:noProof/>
                <w:sz w:val="24"/>
                <w:szCs w:val="24"/>
                <w:lang w:val="en-US"/>
              </w:rPr>
              <w:t>4.3.5</w:t>
            </w:r>
            <w:r w:rsidRPr="00FA2D6F">
              <w:rPr>
                <w:rFonts w:cs="Arial"/>
                <w:noProof/>
                <w:kern w:val="0"/>
                <w:sz w:val="24"/>
                <w:szCs w:val="24"/>
                <w:lang w:val="en-US" w:eastAsia="en-US"/>
                <w14:ligatures w14:val="none"/>
              </w:rPr>
              <w:tab/>
            </w:r>
            <w:r w:rsidRPr="00FA2D6F">
              <w:rPr>
                <w:rStyle w:val="Hyperlink"/>
                <w:rFonts w:cs="Arial"/>
                <w:noProof/>
                <w:sz w:val="24"/>
                <w:szCs w:val="24"/>
                <w:lang w:val="en-US"/>
              </w:rPr>
              <w:t>Critical Theoretical Interpretation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62BA31F9"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19" w:history="1">
            <w:r w:rsidRPr="00FA2D6F">
              <w:rPr>
                <w:rStyle w:val="Hyperlink"/>
                <w:rFonts w:cs="Arial"/>
                <w:noProof/>
                <w:sz w:val="24"/>
                <w:szCs w:val="24"/>
                <w:lang w:val="en-US"/>
              </w:rPr>
              <w:t>4.3.6</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_Toc241246319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1C1C121F"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0" w:history="1">
            <w:r w:rsidRPr="00FA2D6F">
              <w:rPr>
                <w:rStyle w:val="Hyperlink"/>
                <w:rFonts w:cs="Arial"/>
                <w:noProof/>
                <w:sz w:val="24"/>
                <w:szCs w:val="24"/>
                <w:lang w:val="en-US"/>
              </w:rPr>
              <w:t>4.4</w:t>
            </w:r>
            <w:r w:rsidRPr="00FA2D6F">
              <w:rPr>
                <w:rFonts w:cs="Arial"/>
                <w:noProof/>
                <w:kern w:val="0"/>
                <w:sz w:val="24"/>
                <w:szCs w:val="24"/>
                <w:lang w:val="en-US" w:eastAsia="en-US"/>
                <w14:ligatures w14:val="none"/>
              </w:rPr>
              <w:tab/>
            </w:r>
            <w:r w:rsidRPr="00FA2D6F">
              <w:rPr>
                <w:rStyle w:val="Hyperlink"/>
                <w:rFonts w:cs="Arial"/>
                <w:noProof/>
                <w:sz w:val="24"/>
                <w:szCs w:val="24"/>
                <w:lang w:val="en-US"/>
              </w:rPr>
              <w:t>Theme 3: Policy Effectiveness and Intervention Strategies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31</w:t>
            </w:r>
            <w:r w:rsidRPr="00FA2D6F">
              <w:rPr>
                <w:rFonts w:cs="Arial"/>
                <w:noProof/>
                <w:webHidden/>
                <w:sz w:val="24"/>
                <w:szCs w:val="24"/>
              </w:rPr>
              <w:fldChar w:fldCharType="end"/>
            </w:r>
          </w:hyperlink>
        </w:p>
        <w:p w14:paraId="7BF001FB"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1" w:history="1">
            <w:r w:rsidRPr="00FA2D6F">
              <w:rPr>
                <w:rStyle w:val="Hyperlink"/>
                <w:rFonts w:cs="Arial"/>
                <w:noProof/>
                <w:sz w:val="24"/>
                <w:szCs w:val="24"/>
                <w:lang w:val="en-US"/>
              </w:rPr>
              <w:t>4.4.1</w:t>
            </w:r>
            <w:r w:rsidRPr="00FA2D6F">
              <w:rPr>
                <w:rFonts w:cs="Arial"/>
                <w:noProof/>
                <w:kern w:val="0"/>
                <w:sz w:val="24"/>
                <w:szCs w:val="24"/>
                <w:lang w:val="en-US" w:eastAsia="en-US"/>
                <w14:ligatures w14:val="none"/>
              </w:rPr>
              <w:tab/>
            </w:r>
            <w:r w:rsidRPr="00FA2D6F">
              <w:rPr>
                <w:rStyle w:val="Hyperlink"/>
                <w:rFonts w:cs="Arial"/>
                <w:noProof/>
                <w:sz w:val="24"/>
                <w:szCs w:val="24"/>
                <w:lang w:val="en-US"/>
              </w:rPr>
              <w:t>NHS Long Term Plan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4188E86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2" w:history="1">
            <w:r w:rsidRPr="00FA2D6F">
              <w:rPr>
                <w:rStyle w:val="Hyperlink"/>
                <w:rFonts w:cs="Arial"/>
                <w:noProof/>
                <w:sz w:val="24"/>
                <w:szCs w:val="24"/>
                <w:lang w:val="en-US"/>
              </w:rPr>
              <w:t>4.4.2</w:t>
            </w:r>
            <w:r w:rsidRPr="00FA2D6F">
              <w:rPr>
                <w:rFonts w:cs="Arial"/>
                <w:noProof/>
                <w:kern w:val="0"/>
                <w:sz w:val="24"/>
                <w:szCs w:val="24"/>
                <w:lang w:val="en-US" w:eastAsia="en-US"/>
                <w14:ligatures w14:val="none"/>
              </w:rPr>
              <w:tab/>
            </w:r>
            <w:r w:rsidRPr="00FA2D6F">
              <w:rPr>
                <w:rStyle w:val="Hyperlink"/>
                <w:rFonts w:cs="Arial"/>
                <w:noProof/>
                <w:sz w:val="24"/>
                <w:szCs w:val="24"/>
                <w:lang w:val="en-US"/>
              </w:rPr>
              <w:t>Ageing Well Programme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3C4898C0"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3" w:history="1">
            <w:r w:rsidRPr="00FA2D6F">
              <w:rPr>
                <w:rStyle w:val="Hyperlink"/>
                <w:rFonts w:cs="Arial"/>
                <w:noProof/>
                <w:sz w:val="24"/>
                <w:szCs w:val="24"/>
                <w:lang w:val="en-US"/>
              </w:rPr>
              <w:t>4.4.3</w:t>
            </w:r>
            <w:r w:rsidRPr="00FA2D6F">
              <w:rPr>
                <w:rFonts w:cs="Arial"/>
                <w:noProof/>
                <w:kern w:val="0"/>
                <w:sz w:val="24"/>
                <w:szCs w:val="24"/>
                <w:lang w:val="en-US" w:eastAsia="en-US"/>
                <w14:ligatures w14:val="none"/>
              </w:rPr>
              <w:tab/>
            </w:r>
            <w:r w:rsidRPr="00FA2D6F">
              <w:rPr>
                <w:rStyle w:val="Hyperlink"/>
                <w:rFonts w:cs="Arial"/>
                <w:noProof/>
                <w:sz w:val="24"/>
                <w:szCs w:val="24"/>
                <w:lang w:val="en-US"/>
              </w:rPr>
              <w:t>Digital Inclusion Interventions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32</w:t>
            </w:r>
            <w:r w:rsidRPr="00FA2D6F">
              <w:rPr>
                <w:rFonts w:cs="Arial"/>
                <w:noProof/>
                <w:webHidden/>
                <w:sz w:val="24"/>
                <w:szCs w:val="24"/>
              </w:rPr>
              <w:fldChar w:fldCharType="end"/>
            </w:r>
          </w:hyperlink>
        </w:p>
        <w:p w14:paraId="4818D5B7"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4" w:history="1">
            <w:r w:rsidRPr="00FA2D6F">
              <w:rPr>
                <w:rStyle w:val="Hyperlink"/>
                <w:rFonts w:cs="Arial"/>
                <w:noProof/>
                <w:sz w:val="24"/>
                <w:szCs w:val="24"/>
                <w:lang w:val="en-US"/>
              </w:rPr>
              <w:t>4.4.4</w:t>
            </w:r>
            <w:r w:rsidRPr="00FA2D6F">
              <w:rPr>
                <w:rFonts w:cs="Arial"/>
                <w:noProof/>
                <w:kern w:val="0"/>
                <w:sz w:val="24"/>
                <w:szCs w:val="24"/>
                <w:lang w:val="en-US" w:eastAsia="en-US"/>
                <w14:ligatures w14:val="none"/>
              </w:rPr>
              <w:tab/>
            </w:r>
            <w:r w:rsidRPr="00FA2D6F">
              <w:rPr>
                <w:rStyle w:val="Hyperlink"/>
                <w:rFonts w:cs="Arial"/>
                <w:noProof/>
                <w:sz w:val="24"/>
                <w:szCs w:val="24"/>
                <w:lang w:val="en-US"/>
              </w:rPr>
              <w:t>Integrated and Multidisciplinary Care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7BCBB0C2"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5" w:history="1">
            <w:r w:rsidRPr="00FA2D6F">
              <w:rPr>
                <w:rStyle w:val="Hyperlink"/>
                <w:rFonts w:cs="Arial"/>
                <w:noProof/>
                <w:sz w:val="24"/>
                <w:szCs w:val="24"/>
                <w:lang w:val="en-US"/>
              </w:rPr>
              <w:t>4.4.5</w:t>
            </w:r>
            <w:r w:rsidRPr="00FA2D6F">
              <w:rPr>
                <w:rFonts w:cs="Arial"/>
                <w:noProof/>
                <w:kern w:val="0"/>
                <w:sz w:val="24"/>
                <w:szCs w:val="24"/>
                <w:lang w:val="en-US" w:eastAsia="en-US"/>
                <w14:ligatures w14:val="none"/>
              </w:rPr>
              <w:tab/>
            </w:r>
            <w:r w:rsidRPr="00FA2D6F">
              <w:rPr>
                <w:rStyle w:val="Hyperlink"/>
                <w:rFonts w:cs="Arial"/>
                <w:noProof/>
                <w:sz w:val="24"/>
                <w:szCs w:val="24"/>
                <w:lang w:val="en-US"/>
              </w:rPr>
              <w:t>Socioeconomic Screening and Targeted Support</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5048F62A"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6" w:history="1">
            <w:r w:rsidRPr="00FA2D6F">
              <w:rPr>
                <w:rStyle w:val="Hyperlink"/>
                <w:rFonts w:cs="Arial"/>
                <w:noProof/>
                <w:sz w:val="24"/>
                <w:szCs w:val="24"/>
                <w:lang w:val="en-US"/>
              </w:rPr>
              <w:t>4.4.6</w:t>
            </w:r>
            <w:r w:rsidRPr="00FA2D6F">
              <w:rPr>
                <w:rFonts w:cs="Arial"/>
                <w:noProof/>
                <w:kern w:val="0"/>
                <w:sz w:val="24"/>
                <w:szCs w:val="24"/>
                <w:lang w:val="en-US" w:eastAsia="en-US"/>
                <w14:ligatures w14:val="none"/>
              </w:rPr>
              <w:tab/>
            </w:r>
            <w:r w:rsidRPr="00FA2D6F">
              <w:rPr>
                <w:rStyle w:val="Hyperlink"/>
                <w:rFonts w:cs="Arial"/>
                <w:noProof/>
                <w:sz w:val="24"/>
                <w:szCs w:val="24"/>
                <w:lang w:val="en-US"/>
              </w:rPr>
              <w:t>Policy Implementation Gap</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33</w:t>
            </w:r>
            <w:r w:rsidRPr="00FA2D6F">
              <w:rPr>
                <w:rFonts w:cs="Arial"/>
                <w:noProof/>
                <w:webHidden/>
                <w:sz w:val="24"/>
                <w:szCs w:val="24"/>
              </w:rPr>
              <w:fldChar w:fldCharType="end"/>
            </w:r>
          </w:hyperlink>
        </w:p>
        <w:p w14:paraId="1A18947C" w14:textId="77777777" w:rsidR="00F37EC0" w:rsidRPr="00FA2D6F" w:rsidRDefault="00F37EC0" w:rsidP="00750D5B">
          <w:pPr>
            <w:pStyle w:val="TOC3"/>
            <w:tabs>
              <w:tab w:val="left" w:pos="1320"/>
              <w:tab w:val="right" w:leader="dot" w:pos="9016"/>
            </w:tabs>
            <w:rPr>
              <w:rFonts w:cs="Arial"/>
              <w:noProof/>
              <w:kern w:val="0"/>
              <w:sz w:val="24"/>
              <w:szCs w:val="24"/>
              <w:lang w:val="en-US" w:eastAsia="en-US"/>
              <w14:ligatures w14:val="none"/>
            </w:rPr>
          </w:pPr>
          <w:hyperlink w:anchor="_Toc241246327" w:history="1">
            <w:r w:rsidRPr="00FA2D6F">
              <w:rPr>
                <w:rStyle w:val="Hyperlink"/>
                <w:rFonts w:cs="Arial"/>
                <w:noProof/>
                <w:sz w:val="24"/>
                <w:szCs w:val="24"/>
                <w:lang w:val="en-US"/>
              </w:rPr>
              <w:t>4.4.7</w:t>
            </w:r>
            <w:r w:rsidRPr="00FA2D6F">
              <w:rPr>
                <w:rFonts w:cs="Arial"/>
                <w:noProof/>
                <w:kern w:val="0"/>
                <w:sz w:val="24"/>
                <w:szCs w:val="24"/>
                <w:lang w:val="en-US" w:eastAsia="en-US"/>
                <w14:ligatures w14:val="none"/>
              </w:rPr>
              <w:tab/>
            </w:r>
            <w:r w:rsidRPr="00FA2D6F">
              <w:rPr>
                <w:rStyle w:val="Hyperlink"/>
                <w:rFonts w:cs="Arial"/>
                <w:noProof/>
                <w:sz w:val="24"/>
                <w:szCs w:val="24"/>
                <w:lang w:val="en-US"/>
              </w:rPr>
              <w:t>Connection to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34</w:t>
            </w:r>
            <w:r w:rsidRPr="00FA2D6F">
              <w:rPr>
                <w:rFonts w:cs="Arial"/>
                <w:noProof/>
                <w:webHidden/>
                <w:sz w:val="24"/>
                <w:szCs w:val="24"/>
              </w:rPr>
              <w:fldChar w:fldCharType="end"/>
            </w:r>
          </w:hyperlink>
        </w:p>
        <w:p w14:paraId="3C0509C0"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8" w:history="1">
            <w:r w:rsidRPr="00FA2D6F">
              <w:rPr>
                <w:rStyle w:val="Hyperlink"/>
                <w:rFonts w:cs="Arial"/>
                <w:noProof/>
                <w:sz w:val="24"/>
                <w:szCs w:val="24"/>
                <w:lang w:val="en-US"/>
              </w:rPr>
              <w:t>4.5</w:t>
            </w:r>
            <w:r w:rsidRPr="00FA2D6F">
              <w:rPr>
                <w:rFonts w:cs="Arial"/>
                <w:noProof/>
                <w:kern w:val="0"/>
                <w:sz w:val="24"/>
                <w:szCs w:val="24"/>
                <w:lang w:val="en-US" w:eastAsia="en-US"/>
                <w14:ligatures w14:val="none"/>
              </w:rPr>
              <w:tab/>
            </w:r>
            <w:r w:rsidRPr="00FA2D6F">
              <w:rPr>
                <w:rStyle w:val="Hyperlink"/>
                <w:rFonts w:cs="Arial"/>
                <w:noProof/>
                <w:sz w:val="24"/>
                <w:szCs w:val="24"/>
                <w:lang w:val="en-US"/>
              </w:rPr>
              <w:t>Cross-Theme Synthesis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34</w:t>
            </w:r>
            <w:r w:rsidRPr="00FA2D6F">
              <w:rPr>
                <w:rFonts w:cs="Arial"/>
                <w:noProof/>
                <w:webHidden/>
                <w:sz w:val="24"/>
                <w:szCs w:val="24"/>
              </w:rPr>
              <w:fldChar w:fldCharType="end"/>
            </w:r>
          </w:hyperlink>
        </w:p>
        <w:p w14:paraId="2853E723"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29" w:history="1">
            <w:r w:rsidRPr="00FA2D6F">
              <w:rPr>
                <w:rStyle w:val="Hyperlink"/>
                <w:rFonts w:cs="Arial"/>
                <w:noProof/>
                <w:sz w:val="24"/>
                <w:szCs w:val="24"/>
                <w:lang w:val="en-US"/>
              </w:rPr>
              <w:t>4.6</w:t>
            </w:r>
            <w:r w:rsidRPr="00FA2D6F">
              <w:rPr>
                <w:rFonts w:cs="Arial"/>
                <w:noProof/>
                <w:kern w:val="0"/>
                <w:sz w:val="24"/>
                <w:szCs w:val="24"/>
                <w:lang w:val="en-US" w:eastAsia="en-US"/>
                <w14:ligatures w14:val="none"/>
              </w:rPr>
              <w:tab/>
            </w:r>
            <w:r w:rsidRPr="00FA2D6F">
              <w:rPr>
                <w:rStyle w:val="Hyperlink"/>
                <w:rFonts w:cs="Arial"/>
                <w:noProof/>
                <w:sz w:val="24"/>
                <w:szCs w:val="24"/>
                <w:lang w:val="en-US"/>
              </w:rPr>
              <w:t>Findings Against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_Toc241246329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35</w:t>
            </w:r>
            <w:r w:rsidRPr="00FA2D6F">
              <w:rPr>
                <w:rFonts w:cs="Arial"/>
                <w:noProof/>
                <w:webHidden/>
                <w:sz w:val="24"/>
                <w:szCs w:val="24"/>
              </w:rPr>
              <w:fldChar w:fldCharType="end"/>
            </w:r>
          </w:hyperlink>
        </w:p>
        <w:p w14:paraId="35D70222"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0" w:history="1">
            <w:r w:rsidRPr="00FA2D6F">
              <w:rPr>
                <w:rStyle w:val="Hyperlink"/>
                <w:rFonts w:cs="Arial"/>
                <w:noProof/>
                <w:sz w:val="24"/>
                <w:szCs w:val="24"/>
                <w:lang w:val="en-US"/>
              </w:rPr>
              <w:t>4.7</w:t>
            </w:r>
            <w:r w:rsidRPr="00FA2D6F">
              <w:rPr>
                <w:rFonts w:cs="Arial"/>
                <w:noProof/>
                <w:kern w:val="0"/>
                <w:sz w:val="24"/>
                <w:szCs w:val="24"/>
                <w:lang w:val="en-US" w:eastAsia="en-US"/>
                <w14:ligatures w14:val="none"/>
              </w:rPr>
              <w:tab/>
            </w:r>
            <w:r w:rsidRPr="00FA2D6F">
              <w:rPr>
                <w:rStyle w:val="Hyperlink"/>
                <w:rFonts w:cs="Arial"/>
                <w:noProof/>
                <w:sz w:val="24"/>
                <w:szCs w:val="24"/>
                <w:lang w:val="en-US"/>
              </w:rPr>
              <w:t>Chapter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36</w:t>
            </w:r>
            <w:r w:rsidRPr="00FA2D6F">
              <w:rPr>
                <w:rFonts w:cs="Arial"/>
                <w:noProof/>
                <w:webHidden/>
                <w:sz w:val="24"/>
                <w:szCs w:val="24"/>
              </w:rPr>
              <w:fldChar w:fldCharType="end"/>
            </w:r>
          </w:hyperlink>
        </w:p>
        <w:p w14:paraId="147992B8"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31" w:history="1">
            <w:r w:rsidRPr="00FA2D6F">
              <w:rPr>
                <w:rStyle w:val="Hyperlink"/>
                <w:rFonts w:cs="Arial"/>
                <w:noProof/>
                <w:sz w:val="24"/>
                <w:szCs w:val="24"/>
                <w:lang w:bidi="en-GB"/>
              </w:rPr>
              <w:t>5</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5 – Conclusion and Recommendations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16FE5172"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2" w:history="1">
            <w:r w:rsidRPr="00FA2D6F">
              <w:rPr>
                <w:rStyle w:val="Hyperlink"/>
                <w:rFonts w:cs="Arial"/>
                <w:noProof/>
                <w:sz w:val="24"/>
                <w:szCs w:val="24"/>
              </w:rPr>
              <w:t>5.1</w:t>
            </w:r>
            <w:r w:rsidRPr="00FA2D6F">
              <w:rPr>
                <w:rFonts w:cs="Arial"/>
                <w:noProof/>
                <w:kern w:val="0"/>
                <w:sz w:val="24"/>
                <w:szCs w:val="24"/>
                <w:lang w:val="en-US" w:eastAsia="en-US"/>
                <w14:ligatures w14:val="none"/>
              </w:rPr>
              <w:tab/>
            </w:r>
            <w:r w:rsidRPr="00FA2D6F">
              <w:rPr>
                <w:rStyle w:val="Hyperlink"/>
                <w:rFonts w:cs="Arial"/>
                <w:noProof/>
                <w:sz w:val="24"/>
                <w:szCs w:val="24"/>
              </w:rPr>
              <w:t>Overall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_Toc241246332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35874986"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3" w:history="1">
            <w:r w:rsidRPr="00FA2D6F">
              <w:rPr>
                <w:rStyle w:val="Hyperlink"/>
                <w:rFonts w:cs="Arial"/>
                <w:noProof/>
                <w:sz w:val="24"/>
                <w:szCs w:val="24"/>
              </w:rPr>
              <w:t>5.2</w:t>
            </w:r>
            <w:r w:rsidRPr="00FA2D6F">
              <w:rPr>
                <w:rFonts w:cs="Arial"/>
                <w:noProof/>
                <w:kern w:val="0"/>
                <w:sz w:val="24"/>
                <w:szCs w:val="24"/>
                <w:lang w:val="en-US" w:eastAsia="en-US"/>
                <w14:ligatures w14:val="none"/>
              </w:rPr>
              <w:tab/>
            </w:r>
            <w:r w:rsidRPr="00FA2D6F">
              <w:rPr>
                <w:rStyle w:val="Hyperlink"/>
                <w:rFonts w:cs="Arial"/>
                <w:noProof/>
                <w:sz w:val="24"/>
                <w:szCs w:val="24"/>
              </w:rPr>
              <w:t>Findings Against Research Objectives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_Toc241246333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37</w:t>
            </w:r>
            <w:r w:rsidRPr="00FA2D6F">
              <w:rPr>
                <w:rFonts w:cs="Arial"/>
                <w:noProof/>
                <w:webHidden/>
                <w:sz w:val="24"/>
                <w:szCs w:val="24"/>
              </w:rPr>
              <w:fldChar w:fldCharType="end"/>
            </w:r>
          </w:hyperlink>
        </w:p>
        <w:p w14:paraId="221C5B9E"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4" w:history="1">
            <w:r w:rsidRPr="00FA2D6F">
              <w:rPr>
                <w:rStyle w:val="Hyperlink"/>
                <w:rFonts w:cs="Arial"/>
                <w:noProof/>
                <w:sz w:val="24"/>
                <w:szCs w:val="24"/>
                <w:lang w:val="en-US"/>
              </w:rPr>
              <w:t>5.3</w:t>
            </w:r>
            <w:r w:rsidRPr="00FA2D6F">
              <w:rPr>
                <w:rFonts w:cs="Arial"/>
                <w:noProof/>
                <w:kern w:val="0"/>
                <w:sz w:val="24"/>
                <w:szCs w:val="24"/>
                <w:lang w:val="en-US" w:eastAsia="en-US"/>
                <w14:ligatures w14:val="none"/>
              </w:rPr>
              <w:tab/>
            </w:r>
            <w:r w:rsidRPr="00FA2D6F">
              <w:rPr>
                <w:rStyle w:val="Hyperlink"/>
                <w:rFonts w:cs="Arial"/>
                <w:noProof/>
                <w:sz w:val="24"/>
                <w:szCs w:val="24"/>
                <w:lang w:val="en-US"/>
              </w:rPr>
              <w:t>Recommendations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_Toc241246334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38</w:t>
            </w:r>
            <w:r w:rsidRPr="00FA2D6F">
              <w:rPr>
                <w:rFonts w:cs="Arial"/>
                <w:noProof/>
                <w:webHidden/>
                <w:sz w:val="24"/>
                <w:szCs w:val="24"/>
              </w:rPr>
              <w:fldChar w:fldCharType="end"/>
            </w:r>
          </w:hyperlink>
        </w:p>
        <w:p w14:paraId="34F3903F"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5" w:history="1">
            <w:r w:rsidRPr="00FA2D6F">
              <w:rPr>
                <w:rStyle w:val="Hyperlink"/>
                <w:rFonts w:cs="Arial"/>
                <w:noProof/>
                <w:sz w:val="24"/>
                <w:szCs w:val="24"/>
              </w:rPr>
              <w:t>5.4</w:t>
            </w:r>
            <w:r w:rsidRPr="00FA2D6F">
              <w:rPr>
                <w:rFonts w:cs="Arial"/>
                <w:noProof/>
                <w:kern w:val="0"/>
                <w:sz w:val="24"/>
                <w:szCs w:val="24"/>
                <w:lang w:val="en-US" w:eastAsia="en-US"/>
                <w14:ligatures w14:val="none"/>
              </w:rPr>
              <w:tab/>
            </w:r>
            <w:r w:rsidRPr="00FA2D6F">
              <w:rPr>
                <w:rStyle w:val="Hyperlink"/>
                <w:rFonts w:cs="Arial"/>
                <w:noProof/>
                <w:sz w:val="24"/>
                <w:szCs w:val="24"/>
              </w:rPr>
              <w:t>Limitations of the Study</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_Toc241246335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7EF17E2D"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6" w:history="1">
            <w:r w:rsidRPr="00FA2D6F">
              <w:rPr>
                <w:rStyle w:val="Hyperlink"/>
                <w:rFonts w:cs="Arial"/>
                <w:noProof/>
                <w:sz w:val="24"/>
                <w:szCs w:val="24"/>
              </w:rPr>
              <w:t>5.5</w:t>
            </w:r>
            <w:r w:rsidRPr="00FA2D6F">
              <w:rPr>
                <w:rFonts w:cs="Arial"/>
                <w:noProof/>
                <w:kern w:val="0"/>
                <w:sz w:val="24"/>
                <w:szCs w:val="24"/>
                <w:lang w:val="en-US" w:eastAsia="en-US"/>
                <w14:ligatures w14:val="none"/>
              </w:rPr>
              <w:tab/>
            </w:r>
            <w:r w:rsidRPr="00FA2D6F">
              <w:rPr>
                <w:rStyle w:val="Hyperlink"/>
                <w:rFonts w:cs="Arial"/>
                <w:noProof/>
                <w:sz w:val="24"/>
                <w:szCs w:val="24"/>
              </w:rPr>
              <w:t>Future Research</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_Toc241246336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11827485"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7" w:history="1">
            <w:r w:rsidRPr="00FA2D6F">
              <w:rPr>
                <w:rStyle w:val="Hyperlink"/>
                <w:rFonts w:cs="Arial"/>
                <w:noProof/>
                <w:sz w:val="24"/>
                <w:szCs w:val="24"/>
              </w:rPr>
              <w:t>5.6</w:t>
            </w:r>
            <w:r w:rsidRPr="00FA2D6F">
              <w:rPr>
                <w:rFonts w:cs="Arial"/>
                <w:noProof/>
                <w:kern w:val="0"/>
                <w:sz w:val="24"/>
                <w:szCs w:val="24"/>
                <w:lang w:val="en-US" w:eastAsia="en-US"/>
                <w14:ligatures w14:val="none"/>
              </w:rPr>
              <w:tab/>
            </w:r>
            <w:r w:rsidRPr="00FA2D6F">
              <w:rPr>
                <w:rStyle w:val="Hyperlink"/>
                <w:rFonts w:cs="Arial"/>
                <w:noProof/>
                <w:sz w:val="24"/>
                <w:szCs w:val="24"/>
              </w:rPr>
              <w:t>Final Conclusion</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_Toc241246337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39</w:t>
            </w:r>
            <w:r w:rsidRPr="00FA2D6F">
              <w:rPr>
                <w:rFonts w:cs="Arial"/>
                <w:noProof/>
                <w:webHidden/>
                <w:sz w:val="24"/>
                <w:szCs w:val="24"/>
              </w:rPr>
              <w:fldChar w:fldCharType="end"/>
            </w:r>
          </w:hyperlink>
        </w:p>
        <w:p w14:paraId="54BCC2A5" w14:textId="77777777" w:rsidR="00F37EC0" w:rsidRPr="00FA2D6F" w:rsidRDefault="00F37EC0" w:rsidP="00750D5B">
          <w:pPr>
            <w:pStyle w:val="TOC1"/>
            <w:tabs>
              <w:tab w:val="left" w:pos="440"/>
              <w:tab w:val="right" w:leader="dot" w:pos="9016"/>
            </w:tabs>
            <w:rPr>
              <w:rFonts w:cs="Arial"/>
              <w:noProof/>
              <w:kern w:val="0"/>
              <w:sz w:val="24"/>
              <w:szCs w:val="24"/>
              <w:lang w:val="en-US" w:eastAsia="en-US"/>
              <w14:ligatures w14:val="none"/>
            </w:rPr>
          </w:pPr>
          <w:hyperlink w:anchor="_Toc241246338" w:history="1">
            <w:r w:rsidRPr="00FA2D6F">
              <w:rPr>
                <w:rStyle w:val="Hyperlink"/>
                <w:rFonts w:cs="Arial"/>
                <w:noProof/>
                <w:sz w:val="24"/>
                <w:szCs w:val="24"/>
                <w:lang w:bidi="en-GB"/>
              </w:rPr>
              <w:t>6</w:t>
            </w:r>
            <w:r w:rsidRPr="00FA2D6F">
              <w:rPr>
                <w:rFonts w:cs="Arial"/>
                <w:noProof/>
                <w:kern w:val="0"/>
                <w:sz w:val="24"/>
                <w:szCs w:val="24"/>
                <w:lang w:val="en-US" w:eastAsia="en-US"/>
                <w14:ligatures w14:val="none"/>
              </w:rPr>
              <w:tab/>
            </w:r>
            <w:r w:rsidRPr="00FA2D6F">
              <w:rPr>
                <w:rStyle w:val="Hyperlink"/>
                <w:rFonts w:cs="Arial"/>
                <w:noProof/>
                <w:sz w:val="24"/>
                <w:szCs w:val="24"/>
                <w:lang w:bidi="en-GB"/>
              </w:rPr>
              <w:t>CHAPTER 6 – References and Appendices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_Toc241246338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41</w:t>
            </w:r>
            <w:r w:rsidRPr="00FA2D6F">
              <w:rPr>
                <w:rFonts w:cs="Arial"/>
                <w:noProof/>
                <w:webHidden/>
                <w:sz w:val="24"/>
                <w:szCs w:val="24"/>
              </w:rPr>
              <w:fldChar w:fldCharType="end"/>
            </w:r>
          </w:hyperlink>
        </w:p>
        <w:p w14:paraId="688413D9"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39" w:history="1">
            <w:r w:rsidRPr="00FA2D6F">
              <w:rPr>
                <w:rStyle w:val="Hyperlink"/>
                <w:rFonts w:cs="Arial"/>
                <w:noProof/>
                <w:sz w:val="24"/>
                <w:szCs w:val="24"/>
              </w:rPr>
              <w:t>6.1</w:t>
            </w:r>
            <w:r w:rsidRPr="00FA2D6F">
              <w:rPr>
                <w:rFonts w:cs="Arial"/>
                <w:noProof/>
                <w:kern w:val="0"/>
                <w:sz w:val="24"/>
                <w:szCs w:val="24"/>
                <w:lang w:val="en-US" w:eastAsia="en-US"/>
                <w14:ligatures w14:val="none"/>
              </w:rPr>
              <w:tab/>
            </w:r>
            <w:r w:rsidRPr="00FA2D6F">
              <w:rPr>
                <w:rStyle w:val="Hyperlink"/>
                <w:rFonts w:cs="Arial"/>
                <w:noProof/>
                <w:sz w:val="24"/>
                <w:szCs w:val="24"/>
              </w:rPr>
              <w:t>References</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_Toc241246339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41</w:t>
            </w:r>
            <w:r w:rsidRPr="00FA2D6F">
              <w:rPr>
                <w:rFonts w:cs="Arial"/>
                <w:noProof/>
                <w:webHidden/>
                <w:sz w:val="24"/>
                <w:szCs w:val="24"/>
              </w:rPr>
              <w:fldChar w:fldCharType="end"/>
            </w:r>
          </w:hyperlink>
        </w:p>
        <w:p w14:paraId="2DFA58DB"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40" w:history="1">
            <w:r w:rsidRPr="00FA2D6F">
              <w:rPr>
                <w:rStyle w:val="Hyperlink"/>
                <w:rFonts w:cs="Arial"/>
                <w:noProof/>
                <w:sz w:val="24"/>
                <w:szCs w:val="24"/>
              </w:rPr>
              <w:t>6.2</w:t>
            </w:r>
            <w:r w:rsidRPr="00FA2D6F">
              <w:rPr>
                <w:rFonts w:cs="Arial"/>
                <w:noProof/>
                <w:kern w:val="0"/>
                <w:sz w:val="24"/>
                <w:szCs w:val="24"/>
                <w:lang w:val="en-US" w:eastAsia="en-US"/>
                <w14:ligatures w14:val="none"/>
              </w:rPr>
              <w:tab/>
            </w:r>
            <w:r w:rsidRPr="00FA2D6F">
              <w:rPr>
                <w:rStyle w:val="Hyperlink"/>
                <w:rFonts w:cs="Arial"/>
                <w:noProof/>
                <w:sz w:val="24"/>
                <w:szCs w:val="24"/>
              </w:rPr>
              <w:t>Appendix  A: Independent Project Source Tracking Table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_Toc241246340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48</w:t>
            </w:r>
            <w:r w:rsidRPr="00FA2D6F">
              <w:rPr>
                <w:rFonts w:cs="Arial"/>
                <w:noProof/>
                <w:webHidden/>
                <w:sz w:val="24"/>
                <w:szCs w:val="24"/>
              </w:rPr>
              <w:fldChar w:fldCharType="end"/>
            </w:r>
          </w:hyperlink>
        </w:p>
        <w:p w14:paraId="782F880C" w14:textId="77777777" w:rsidR="00F37EC0" w:rsidRPr="00FA2D6F" w:rsidRDefault="00F37EC0" w:rsidP="00750D5B">
          <w:pPr>
            <w:pStyle w:val="TOC2"/>
            <w:tabs>
              <w:tab w:val="left" w:pos="880"/>
              <w:tab w:val="right" w:leader="dot" w:pos="9016"/>
            </w:tabs>
            <w:rPr>
              <w:rFonts w:cs="Arial"/>
              <w:noProof/>
              <w:kern w:val="0"/>
              <w:sz w:val="24"/>
              <w:szCs w:val="24"/>
              <w:lang w:val="en-US" w:eastAsia="en-US"/>
              <w14:ligatures w14:val="none"/>
            </w:rPr>
          </w:pPr>
          <w:hyperlink w:anchor="_Toc241246341" w:history="1">
            <w:r w:rsidRPr="00FA2D6F">
              <w:rPr>
                <w:rStyle w:val="Hyperlink"/>
                <w:rFonts w:cs="Arial"/>
                <w:noProof/>
                <w:sz w:val="24"/>
                <w:szCs w:val="24"/>
              </w:rPr>
              <w:t>6.3</w:t>
            </w:r>
            <w:r w:rsidRPr="00FA2D6F">
              <w:rPr>
                <w:rFonts w:cs="Arial"/>
                <w:noProof/>
                <w:kern w:val="0"/>
                <w:sz w:val="24"/>
                <w:szCs w:val="24"/>
                <w:lang w:val="en-US" w:eastAsia="en-US"/>
                <w14:ligatures w14:val="none"/>
              </w:rPr>
              <w:tab/>
            </w:r>
            <w:r w:rsidRPr="00FA2D6F">
              <w:rPr>
                <w:rStyle w:val="Hyperlink"/>
                <w:rFonts w:cs="Arial"/>
                <w:noProof/>
                <w:sz w:val="24"/>
                <w:szCs w:val="24"/>
              </w:rPr>
              <w:t>Appendix B: BMHP6020 Independent Project Results Summary Table</w:t>
            </w:r>
            <w:r w:rsidRPr="00FA2D6F">
              <w:rPr>
                <w:rFonts w:cs="Arial"/>
                <w:noProof/>
                <w:webHidden/>
                <w:sz w:val="24"/>
                <w:szCs w:val="24"/>
              </w:rPr>
              <w:tab/>
            </w:r>
            <w:r w:rsidRPr="00FA2D6F">
              <w:rPr>
                <w:rFonts w:cs="Arial"/>
                <w:noProof/>
                <w:webHidden/>
                <w:sz w:val="24"/>
                <w:szCs w:val="24"/>
              </w:rPr>
              <w:fldChar w:fldCharType="begin"/>
            </w:r>
            <w:r w:rsidRPr="00FA2D6F">
              <w:rPr>
                <w:rFonts w:cs="Arial"/>
                <w:noProof/>
                <w:webHidden/>
                <w:sz w:val="24"/>
                <w:szCs w:val="24"/>
              </w:rPr>
              <w:instrText xml:space="preserve"> PAGEREF _Toc241246341 \h </w:instrText>
            </w:r>
            <w:r w:rsidRPr="00FA2D6F">
              <w:rPr>
                <w:rFonts w:cs="Arial"/>
                <w:noProof/>
                <w:webHidden/>
                <w:sz w:val="24"/>
                <w:szCs w:val="24"/>
              </w:rPr>
            </w:r>
            <w:r w:rsidRPr="00FA2D6F">
              <w:rPr>
                <w:rFonts w:cs="Arial"/>
                <w:noProof/>
                <w:webHidden/>
                <w:sz w:val="24"/>
                <w:szCs w:val="24"/>
              </w:rPr>
              <w:fldChar w:fldCharType="separate"/>
            </w:r>
            <w:r w:rsidRPr="00FA2D6F">
              <w:rPr>
                <w:rFonts w:cs="Arial"/>
                <w:noProof/>
                <w:webHidden/>
                <w:sz w:val="24"/>
                <w:szCs w:val="24"/>
              </w:rPr>
              <w:t>52</w:t>
            </w:r>
            <w:r w:rsidRPr="00FA2D6F">
              <w:rPr>
                <w:rFonts w:cs="Arial"/>
                <w:noProof/>
                <w:webHidden/>
                <w:sz w:val="24"/>
                <w:szCs w:val="24"/>
              </w:rPr>
              <w:fldChar w:fldCharType="end"/>
            </w:r>
          </w:hyperlink>
        </w:p>
        <w:p w14:paraId="11C69D3B" w14:textId="5704BCD4" w:rsidR="007C1E6D" w:rsidRPr="00FA2D6F" w:rsidRDefault="007C1E6D" w:rsidP="00750D5B">
          <w:pPr>
            <w:rPr>
              <w:rFonts w:cs="Arial"/>
              <w:sz w:val="24"/>
              <w:szCs w:val="24"/>
            </w:rPr>
          </w:pPr>
          <w:r w:rsidRPr="00FA2D6F">
            <w:rPr>
              <w:rFonts w:cs="Arial"/>
              <w:b/>
              <w:bCs/>
              <w:noProof/>
              <w:sz w:val="24"/>
              <w:szCs w:val="24"/>
            </w:rPr>
            <w:fldChar w:fldCharType="end"/>
          </w:r>
        </w:p>
      </w:sdtContent>
    </w:sdt>
    <w:p w14:paraId="0CDBC589" w14:textId="77777777" w:rsidR="007C1E6D" w:rsidRPr="00FA2D6F" w:rsidRDefault="007C1E6D" w:rsidP="00750D5B">
      <w:pPr>
        <w:rPr>
          <w:rFonts w:eastAsia="Calibri Light" w:cs="Arial"/>
          <w:b/>
          <w:kern w:val="0"/>
          <w:sz w:val="24"/>
          <w:szCs w:val="24"/>
          <w:lang w:eastAsia="en-GB" w:bidi="en-GB"/>
          <w14:ligatures w14:val="none"/>
        </w:rPr>
      </w:pPr>
    </w:p>
    <w:p w14:paraId="19556EF2" w14:textId="77777777" w:rsidR="00804B94" w:rsidRPr="00FA2D6F" w:rsidRDefault="00804B94" w:rsidP="00750D5B">
      <w:pPr>
        <w:rPr>
          <w:rFonts w:cs="Arial"/>
          <w:sz w:val="24"/>
          <w:szCs w:val="24"/>
        </w:rPr>
      </w:pPr>
    </w:p>
    <w:p w14:paraId="4CA19B6B" w14:textId="77777777" w:rsidR="00804B94" w:rsidRPr="00FA2D6F" w:rsidRDefault="00804B94" w:rsidP="00750D5B">
      <w:pPr>
        <w:rPr>
          <w:rFonts w:cs="Arial"/>
          <w:sz w:val="24"/>
          <w:szCs w:val="24"/>
        </w:rPr>
      </w:pPr>
    </w:p>
    <w:p w14:paraId="5C4D72C1" w14:textId="77777777" w:rsidR="00804B94" w:rsidRPr="00FA2D6F" w:rsidRDefault="00804B94" w:rsidP="00750D5B">
      <w:pPr>
        <w:rPr>
          <w:rFonts w:cs="Arial"/>
          <w:sz w:val="24"/>
          <w:szCs w:val="24"/>
        </w:rPr>
      </w:pPr>
    </w:p>
    <w:p w14:paraId="2FF5C10C" w14:textId="77777777" w:rsidR="00804B94" w:rsidRPr="00FA2D6F" w:rsidRDefault="00804B94" w:rsidP="00750D5B">
      <w:pPr>
        <w:rPr>
          <w:rFonts w:cs="Arial"/>
          <w:sz w:val="24"/>
          <w:szCs w:val="24"/>
        </w:rPr>
      </w:pPr>
    </w:p>
    <w:p w14:paraId="60CAA883" w14:textId="77777777" w:rsidR="000C3913" w:rsidRPr="00FA2D6F" w:rsidRDefault="000C3913" w:rsidP="00750D5B">
      <w:pPr>
        <w:rPr>
          <w:rFonts w:cs="Arial"/>
          <w:sz w:val="24"/>
          <w:szCs w:val="24"/>
        </w:rPr>
      </w:pPr>
    </w:p>
    <w:p w14:paraId="59AF9AF5" w14:textId="77777777" w:rsidR="000C3913" w:rsidRPr="00FA2D6F" w:rsidRDefault="000C3913" w:rsidP="00750D5B">
      <w:pPr>
        <w:rPr>
          <w:rFonts w:cs="Arial"/>
          <w:sz w:val="24"/>
          <w:szCs w:val="24"/>
        </w:rPr>
      </w:pPr>
    </w:p>
    <w:p w14:paraId="58452D18" w14:textId="36373658" w:rsidR="00730C3C" w:rsidRPr="00FA2D6F" w:rsidRDefault="00730C3C" w:rsidP="00750D5B">
      <w:pPr>
        <w:pStyle w:val="Heading1"/>
        <w:spacing w:line="360" w:lineRule="auto"/>
        <w:jc w:val="both"/>
        <w:rPr>
          <w:rFonts w:cs="Arial"/>
          <w:sz w:val="24"/>
          <w:szCs w:val="24"/>
        </w:rPr>
      </w:pPr>
      <w:bookmarkStart w:id="1" w:name="_Toc241246266"/>
      <w:r w:rsidRPr="00FA2D6F">
        <w:rPr>
          <w:rFonts w:cs="Arial"/>
          <w:sz w:val="24"/>
          <w:szCs w:val="24"/>
        </w:rPr>
        <w:t>CHAPTER 1: Introduction</w:t>
      </w:r>
      <w:bookmarkEnd w:id="1"/>
      <w:r w:rsidRPr="00FA2D6F">
        <w:rPr>
          <w:rFonts w:cs="Arial"/>
          <w:sz w:val="24"/>
          <w:szCs w:val="24"/>
        </w:rPr>
        <w:t xml:space="preserve"> </w:t>
      </w:r>
    </w:p>
    <w:p w14:paraId="0EF1D150" w14:textId="77777777" w:rsidR="002D777D" w:rsidRPr="00FA2D6F" w:rsidRDefault="002D777D" w:rsidP="00750D5B">
      <w:pPr>
        <w:pStyle w:val="Heading2"/>
        <w:rPr>
          <w:rFonts w:cs="Arial"/>
          <w:szCs w:val="24"/>
        </w:rPr>
      </w:pPr>
      <w:bookmarkStart w:id="2" w:name="_Toc241069933"/>
      <w:bookmarkStart w:id="3" w:name="_Toc241246267"/>
      <w:r w:rsidRPr="00FA2D6F">
        <w:rPr>
          <w:rFonts w:cs="Arial"/>
          <w:szCs w:val="24"/>
        </w:rPr>
        <w:t>Introduction</w:t>
      </w:r>
      <w:bookmarkEnd w:id="2"/>
      <w:bookmarkEnd w:id="3"/>
      <w:r w:rsidRPr="00FA2D6F">
        <w:rPr>
          <w:rFonts w:cs="Arial"/>
          <w:szCs w:val="24"/>
        </w:rPr>
        <w:t xml:space="preserve"> </w:t>
      </w:r>
    </w:p>
    <w:p w14:paraId="6DF7967E" w14:textId="2D8CEF0F" w:rsidR="002D777D" w:rsidRPr="00FA2D6F" w:rsidRDefault="002D777D" w:rsidP="00750D5B">
      <w:pPr>
        <w:rPr>
          <w:rFonts w:cs="Arial"/>
          <w:sz w:val="24"/>
          <w:szCs w:val="24"/>
        </w:rPr>
      </w:pPr>
      <w:r w:rsidRPr="00FA2D6F">
        <w:rPr>
          <w:rStyle w:val="cursor-pointer"/>
          <w:rFonts w:cs="Arial"/>
          <w:sz w:val="24"/>
          <w:szCs w:val="24"/>
        </w:rPr>
        <w:t>The United Kingdom is an aging society with significant changes in healthcare needs.</w:t>
      </w:r>
      <w:r w:rsidRPr="00FA2D6F">
        <w:rPr>
          <w:rFonts w:cs="Arial"/>
          <w:sz w:val="24"/>
          <w:szCs w:val="24"/>
        </w:rPr>
        <w:t xml:space="preserve"> </w:t>
      </w:r>
      <w:r w:rsidRPr="00FA2D6F">
        <w:rPr>
          <w:rStyle w:val="cursor-pointer"/>
          <w:rFonts w:cs="Arial"/>
          <w:sz w:val="24"/>
          <w:szCs w:val="24"/>
        </w:rPr>
        <w:t xml:space="preserve">At the </w:t>
      </w:r>
      <w:r w:rsidR="00715336" w:rsidRPr="00FA2D6F">
        <w:rPr>
          <w:rStyle w:val="cursor-pointer"/>
          <w:rFonts w:cs="Arial"/>
          <w:sz w:val="24"/>
          <w:szCs w:val="24"/>
        </w:rPr>
        <w:t>intersections</w:t>
      </w:r>
      <w:r w:rsidRPr="00FA2D6F">
        <w:rPr>
          <w:rStyle w:val="cursor-pointer"/>
          <w:rFonts w:cs="Arial"/>
          <w:sz w:val="24"/>
          <w:szCs w:val="24"/>
        </w:rPr>
        <w:t xml:space="preserve"> of this overall conclusion-the demographic shift-ageing ethnic minority groups will play an increasingly important role (22.8%), creating specific issues in healthcare presentation</w:t>
      </w:r>
      <w:r w:rsidR="00903A58" w:rsidRPr="00FA2D6F">
        <w:rPr>
          <w:rStyle w:val="cursor-pointer"/>
          <w:rFonts w:cs="Arial"/>
          <w:sz w:val="24"/>
          <w:szCs w:val="24"/>
        </w:rPr>
        <w:t xml:space="preserve"> </w:t>
      </w:r>
      <w:r w:rsidR="00903A58" w:rsidRPr="00FA2D6F">
        <w:rPr>
          <w:color w:val="000000"/>
          <w:sz w:val="24"/>
          <w:szCs w:val="24"/>
          <w:shd w:val="clear" w:color="auto" w:fill="FFFFFF"/>
        </w:rPr>
        <w:t>(McKee et al., 2021)</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No doubt there is a natural relationship between ageing and the demand for health care interventions, but this does not mean that health care via the National Health Service (NHS) is necessarily the same for all age groups.</w:t>
      </w:r>
      <w:r w:rsidRPr="00FA2D6F">
        <w:rPr>
          <w:rFonts w:cs="Arial"/>
          <w:sz w:val="24"/>
          <w:szCs w:val="24"/>
        </w:rPr>
        <w:t xml:space="preserve"> </w:t>
      </w:r>
      <w:r w:rsidRPr="00FA2D6F">
        <w:rPr>
          <w:rStyle w:val="cursor-pointer"/>
          <w:rFonts w:cs="Arial"/>
          <w:sz w:val="24"/>
          <w:szCs w:val="24"/>
        </w:rPr>
        <w:t>Marginalised populations continue to be constrained in using available services and are facing systemic, socioeconomic and cultural obstacles</w:t>
      </w:r>
      <w:r w:rsidR="00B61086">
        <w:rPr>
          <w:rStyle w:val="cursor-pointer"/>
          <w:rFonts w:cs="Arial"/>
          <w:sz w:val="24"/>
          <w:szCs w:val="24"/>
        </w:rPr>
        <w:t xml:space="preserve"> (</w:t>
      </w:r>
      <w:r w:rsidR="005E0E06">
        <w:t>Cheraghi-Sohi</w:t>
      </w:r>
      <w:r w:rsidR="005E0E06">
        <w:rPr>
          <w:rStyle w:val="cursor-pointer"/>
          <w:rFonts w:cs="Arial"/>
          <w:sz w:val="24"/>
          <w:szCs w:val="24"/>
        </w:rPr>
        <w:t xml:space="preserve"> </w:t>
      </w:r>
      <w:r w:rsidR="00971BF9">
        <w:rPr>
          <w:rStyle w:val="cursor-pointer"/>
          <w:rFonts w:cs="Arial"/>
          <w:sz w:val="24"/>
          <w:szCs w:val="24"/>
        </w:rPr>
        <w:t>et al., 2020</w:t>
      </w:r>
      <w:r w:rsidR="00B61086">
        <w:rPr>
          <w:rStyle w:val="cursor-pointer"/>
          <w:rFonts w:cs="Arial"/>
          <w:sz w:val="24"/>
          <w:szCs w:val="24"/>
        </w:rPr>
        <w:t>)</w:t>
      </w:r>
      <w:r w:rsidRPr="00FA2D6F">
        <w:rPr>
          <w:rStyle w:val="cursor-pointer"/>
          <w:rFonts w:cs="Arial"/>
          <w:sz w:val="24"/>
          <w:szCs w:val="24"/>
        </w:rPr>
        <w:t>.</w:t>
      </w:r>
      <w:r w:rsidRPr="00FA2D6F">
        <w:rPr>
          <w:rFonts w:cs="Arial"/>
          <w:sz w:val="24"/>
          <w:szCs w:val="24"/>
        </w:rPr>
        <w:t xml:space="preserve"> </w:t>
      </w:r>
    </w:p>
    <w:p w14:paraId="4E5554F6" w14:textId="29506E4A" w:rsidR="002D777D" w:rsidRPr="00FA2D6F" w:rsidRDefault="002D777D" w:rsidP="00750D5B">
      <w:pPr>
        <w:rPr>
          <w:rFonts w:cs="Arial"/>
          <w:sz w:val="24"/>
          <w:szCs w:val="24"/>
        </w:rPr>
      </w:pPr>
      <w:r w:rsidRPr="00FA2D6F">
        <w:rPr>
          <w:rStyle w:val="cursor-pointer"/>
          <w:rFonts w:cs="Arial"/>
          <w:sz w:val="24"/>
          <w:szCs w:val="24"/>
        </w:rPr>
        <w:t xml:space="preserve">Previous studies on health care inequalities have focused on older people or ethnic minority </w:t>
      </w:r>
      <w:r w:rsidR="00715336" w:rsidRPr="00FA2D6F">
        <w:rPr>
          <w:rStyle w:val="cursor-pointer"/>
          <w:rFonts w:cs="Arial"/>
          <w:sz w:val="24"/>
          <w:szCs w:val="24"/>
        </w:rPr>
        <w:t>groups</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But the study of the in-depth adult population for people 72-80 years-old requires attention</w:t>
      </w:r>
      <w:r w:rsidR="00B61086">
        <w:rPr>
          <w:rStyle w:val="cursor-pointer"/>
          <w:rFonts w:cs="Arial"/>
          <w:sz w:val="24"/>
          <w:szCs w:val="24"/>
        </w:rPr>
        <w:t xml:space="preserve"> (Comolli et al.,2021)</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This group is a pivotal time of heightened physical fragility and often complex </w:t>
      </w:r>
      <w:r w:rsidR="00715336" w:rsidRPr="00FA2D6F">
        <w:rPr>
          <w:rStyle w:val="cursor-pointer"/>
          <w:rFonts w:cs="Arial"/>
          <w:sz w:val="24"/>
          <w:szCs w:val="24"/>
        </w:rPr>
        <w:t>multipath ologies</w:t>
      </w:r>
      <w:r w:rsidRPr="00FA2D6F">
        <w:rPr>
          <w:rStyle w:val="cursor-pointer"/>
          <w:rFonts w:cs="Arial"/>
          <w:sz w:val="24"/>
          <w:szCs w:val="24"/>
        </w:rPr>
        <w:t xml:space="preserve"> and is characterized by unique generational, linguistic and structural challenges that are different than that of younger minority populations</w:t>
      </w:r>
      <w:r w:rsidR="00971BF9">
        <w:rPr>
          <w:rStyle w:val="cursor-pointer"/>
          <w:rFonts w:cs="Arial"/>
          <w:sz w:val="24"/>
          <w:szCs w:val="24"/>
        </w:rPr>
        <w:t xml:space="preserve"> (</w:t>
      </w:r>
      <w:proofErr w:type="spellStart"/>
      <w:r w:rsidR="00971BF9">
        <w:rPr>
          <w:rStyle w:val="cursor-pointer"/>
          <w:rFonts w:cs="Arial"/>
          <w:sz w:val="24"/>
          <w:szCs w:val="24"/>
        </w:rPr>
        <w:t>Faitna</w:t>
      </w:r>
      <w:proofErr w:type="spellEnd"/>
      <w:r w:rsidR="00971BF9">
        <w:rPr>
          <w:rStyle w:val="cursor-pointer"/>
          <w:rFonts w:cs="Arial"/>
          <w:sz w:val="24"/>
          <w:szCs w:val="24"/>
        </w:rPr>
        <w:t xml:space="preserve"> et al., 2024)</w:t>
      </w:r>
      <w:r w:rsidRPr="00FA2D6F">
        <w:rPr>
          <w:rStyle w:val="cursor-pointer"/>
          <w:rFonts w:cs="Arial"/>
          <w:sz w:val="24"/>
          <w:szCs w:val="24"/>
        </w:rPr>
        <w:t>.</w:t>
      </w:r>
      <w:r w:rsidRPr="00FA2D6F">
        <w:rPr>
          <w:rFonts w:cs="Arial"/>
          <w:sz w:val="24"/>
          <w:szCs w:val="24"/>
        </w:rPr>
        <w:t xml:space="preserve"> </w:t>
      </w:r>
      <w:r w:rsidR="00903A58" w:rsidRPr="00FA2D6F">
        <w:rPr>
          <w:rStyle w:val="cursor-pointer"/>
          <w:rFonts w:cs="Arial"/>
          <w:sz w:val="24"/>
          <w:szCs w:val="24"/>
        </w:rPr>
        <w:t>However,</w:t>
      </w:r>
      <w:r w:rsidRPr="00FA2D6F">
        <w:rPr>
          <w:rStyle w:val="cursor-pointer"/>
          <w:rFonts w:cs="Arial"/>
          <w:sz w:val="24"/>
          <w:szCs w:val="24"/>
        </w:rPr>
        <w:t xml:space="preserve"> as </w:t>
      </w:r>
      <w:proofErr w:type="spellStart"/>
      <w:r w:rsidRPr="00FA2D6F">
        <w:rPr>
          <w:rStyle w:val="cursor-pointer"/>
          <w:rFonts w:cs="Arial"/>
          <w:sz w:val="24"/>
          <w:szCs w:val="24"/>
        </w:rPr>
        <w:t>Evandrou</w:t>
      </w:r>
      <w:proofErr w:type="spellEnd"/>
      <w:r w:rsidRPr="00FA2D6F">
        <w:rPr>
          <w:rStyle w:val="cursor-pointer"/>
          <w:rFonts w:cs="Arial"/>
          <w:sz w:val="24"/>
          <w:szCs w:val="24"/>
        </w:rPr>
        <w:t xml:space="preserve"> et al. (2021) note, life course cumulative disadvantages are an important compounding factor that worsens health problems at older ages for these communities.</w:t>
      </w:r>
      <w:r w:rsidRPr="00FA2D6F">
        <w:rPr>
          <w:rFonts w:cs="Arial"/>
          <w:sz w:val="24"/>
          <w:szCs w:val="24"/>
        </w:rPr>
        <w:t xml:space="preserve"> </w:t>
      </w:r>
    </w:p>
    <w:p w14:paraId="3AA93E81" w14:textId="601FA3AF" w:rsidR="002D777D" w:rsidRPr="00D64727" w:rsidRDefault="002D777D" w:rsidP="00750D5B">
      <w:pPr>
        <w:rPr>
          <w:rFonts w:eastAsia="Times New Roman" w:cs="Arial"/>
          <w:b/>
          <w:kern w:val="0"/>
          <w:sz w:val="24"/>
          <w:szCs w:val="24"/>
          <w:lang w:val="en-US" w:eastAsia="en-US"/>
          <w14:ligatures w14:val="none"/>
        </w:rPr>
      </w:pPr>
      <w:r w:rsidRPr="00FA2D6F">
        <w:rPr>
          <w:rStyle w:val="cursor-pointer"/>
          <w:rFonts w:cs="Arial"/>
          <w:sz w:val="24"/>
          <w:szCs w:val="24"/>
        </w:rPr>
        <w:t>Although policies to advance health equity have been developed to support or further the developed goal, there is a research gap with regards to the support of those universal delivery frameworks for this intersectional group because they do not typically consider the multiple structural challenges that this cohort faces.</w:t>
      </w:r>
      <w:r w:rsidRPr="00FA2D6F">
        <w:rPr>
          <w:rFonts w:cs="Arial"/>
          <w:sz w:val="24"/>
          <w:szCs w:val="24"/>
        </w:rPr>
        <w:t xml:space="preserve"> </w:t>
      </w:r>
      <w:r w:rsidRPr="00FA2D6F">
        <w:rPr>
          <w:rStyle w:val="cursor-pointer"/>
          <w:rFonts w:cs="Arial"/>
          <w:sz w:val="24"/>
          <w:szCs w:val="24"/>
        </w:rPr>
        <w:t xml:space="preserve">Like other groups, there remains a gap in understanding about the exact mechanisms through which access is limited for </w:t>
      </w:r>
      <w:r w:rsidR="00715336" w:rsidRPr="00FA2D6F">
        <w:rPr>
          <w:rStyle w:val="cursor-pointer"/>
          <w:rFonts w:cs="Arial"/>
          <w:sz w:val="24"/>
          <w:szCs w:val="24"/>
        </w:rPr>
        <w:t>72–80-year-old</w:t>
      </w:r>
      <w:r w:rsidRPr="00FA2D6F">
        <w:rPr>
          <w:rStyle w:val="cursor-pointer"/>
          <w:rFonts w:cs="Arial"/>
          <w:sz w:val="24"/>
          <w:szCs w:val="24"/>
        </w:rPr>
        <w:t xml:space="preserve"> adults</w:t>
      </w:r>
      <w:r w:rsidR="00971BF9">
        <w:rPr>
          <w:rStyle w:val="cursor-pointer"/>
          <w:rFonts w:cs="Arial"/>
          <w:sz w:val="24"/>
          <w:szCs w:val="24"/>
        </w:rPr>
        <w:t xml:space="preserve"> (</w:t>
      </w:r>
      <w:r w:rsidR="00971BF9">
        <w:t>Cooper-Moss et al., 2024)</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This study, therefore, moves straight into tackling this shortfall by analysing the reasons </w:t>
      </w:r>
      <w:r w:rsidRPr="00FA2D6F">
        <w:rPr>
          <w:rStyle w:val="cursor-pointer"/>
          <w:rFonts w:cs="Arial"/>
          <w:sz w:val="24"/>
          <w:szCs w:val="24"/>
        </w:rPr>
        <w:lastRenderedPageBreak/>
        <w:t>for the lack of equity in access to healthcare by this group, and what policy interventions can do to optimise the situation</w:t>
      </w:r>
      <w:r w:rsidR="007741A3" w:rsidRPr="00FA2D6F">
        <w:rPr>
          <w:rStyle w:val="cursor-pointer"/>
          <w:rFonts w:cs="Arial"/>
          <w:sz w:val="24"/>
          <w:szCs w:val="24"/>
        </w:rPr>
        <w:t xml:space="preserve"> </w:t>
      </w:r>
      <w:r w:rsidR="00D64727">
        <w:rPr>
          <w:rFonts w:cs="Arial"/>
          <w:sz w:val="24"/>
          <w:szCs w:val="24"/>
          <w:bdr w:val="none" w:sz="0" w:space="0" w:color="auto" w:frame="1"/>
        </w:rPr>
        <w:t>(Sundareswaran et al., 2024)</w:t>
      </w:r>
      <w:r w:rsidR="00D64727" w:rsidRPr="00FA2D6F">
        <w:rPr>
          <w:rFonts w:cs="Arial"/>
          <w:sz w:val="24"/>
          <w:szCs w:val="24"/>
          <w:bdr w:val="none" w:sz="0" w:space="0" w:color="auto" w:frame="1"/>
        </w:rPr>
        <w:t>.</w:t>
      </w:r>
    </w:p>
    <w:p w14:paraId="09CFAC3D" w14:textId="77777777" w:rsidR="002D777D" w:rsidRPr="00FA2D6F" w:rsidRDefault="002D777D" w:rsidP="00750D5B">
      <w:pPr>
        <w:pStyle w:val="Heading2"/>
        <w:rPr>
          <w:rFonts w:cs="Arial"/>
          <w:szCs w:val="24"/>
        </w:rPr>
      </w:pPr>
      <w:bookmarkStart w:id="4" w:name="_Toc241069934"/>
      <w:bookmarkStart w:id="5" w:name="_Toc241246268"/>
      <w:r w:rsidRPr="00FA2D6F">
        <w:rPr>
          <w:rFonts w:cs="Arial"/>
          <w:szCs w:val="24"/>
          <w:bdr w:val="none" w:sz="0" w:space="0" w:color="auto" w:frame="1"/>
        </w:rPr>
        <w:t>Definitions and Terminology</w:t>
      </w:r>
      <w:bookmarkEnd w:id="4"/>
      <w:bookmarkEnd w:id="5"/>
    </w:p>
    <w:p w14:paraId="41EF8C27" w14:textId="3DC23CA1" w:rsidR="002D777D" w:rsidRPr="00FA2D6F" w:rsidRDefault="002D777D" w:rsidP="00750D5B">
      <w:pPr>
        <w:pStyle w:val="Caption"/>
        <w:keepNext/>
        <w:spacing w:line="360" w:lineRule="auto"/>
        <w:rPr>
          <w:rFonts w:cs="Arial"/>
          <w:b/>
          <w:color w:val="000000" w:themeColor="text1"/>
          <w:sz w:val="24"/>
          <w:szCs w:val="24"/>
        </w:rPr>
      </w:pPr>
      <w:r w:rsidRPr="00FA2D6F">
        <w:rPr>
          <w:rFonts w:cs="Arial"/>
          <w:b/>
          <w:color w:val="000000" w:themeColor="text1"/>
          <w:sz w:val="24"/>
          <w:szCs w:val="24"/>
        </w:rPr>
        <w:t xml:space="preserve">Table </w:t>
      </w:r>
      <w:r w:rsidR="002B0D97" w:rsidRPr="00FA2D6F">
        <w:rPr>
          <w:rFonts w:cs="Arial"/>
          <w:b/>
          <w:color w:val="000000" w:themeColor="text1"/>
          <w:sz w:val="24"/>
          <w:szCs w:val="24"/>
        </w:rPr>
        <w:fldChar w:fldCharType="begin"/>
      </w:r>
      <w:r w:rsidR="002B0D97" w:rsidRPr="00FA2D6F">
        <w:rPr>
          <w:rFonts w:cs="Arial"/>
          <w:b/>
          <w:color w:val="000000" w:themeColor="text1"/>
          <w:sz w:val="24"/>
          <w:szCs w:val="24"/>
        </w:rPr>
        <w:instrText xml:space="preserve"> SEQ Table \* ARABIC </w:instrText>
      </w:r>
      <w:r w:rsidR="002B0D97" w:rsidRPr="00FA2D6F">
        <w:rPr>
          <w:rFonts w:cs="Arial"/>
          <w:b/>
          <w:color w:val="000000" w:themeColor="text1"/>
          <w:sz w:val="24"/>
          <w:szCs w:val="24"/>
        </w:rPr>
        <w:fldChar w:fldCharType="separate"/>
      </w:r>
      <w:r w:rsidR="002B0D97" w:rsidRPr="00FA2D6F">
        <w:rPr>
          <w:rFonts w:cs="Arial"/>
          <w:b/>
          <w:noProof/>
          <w:color w:val="000000" w:themeColor="text1"/>
          <w:sz w:val="24"/>
          <w:szCs w:val="24"/>
        </w:rPr>
        <w:t>1</w:t>
      </w:r>
      <w:r w:rsidR="002B0D97" w:rsidRPr="00FA2D6F">
        <w:rPr>
          <w:rFonts w:cs="Arial"/>
          <w:b/>
          <w:noProof/>
          <w:color w:val="000000" w:themeColor="text1"/>
          <w:sz w:val="24"/>
          <w:szCs w:val="24"/>
        </w:rPr>
        <w:fldChar w:fldCharType="end"/>
      </w:r>
      <w:r w:rsidRPr="00FA2D6F">
        <w:rPr>
          <w:rFonts w:cs="Arial"/>
          <w:b/>
          <w:color w:val="000000" w:themeColor="text1"/>
          <w:sz w:val="24"/>
          <w:szCs w:val="24"/>
        </w:rPr>
        <w:t xml:space="preserve"> Definitions and Terminology</w:t>
      </w:r>
    </w:p>
    <w:tbl>
      <w:tblPr>
        <w:tblStyle w:val="TableGrid"/>
        <w:tblW w:w="0" w:type="auto"/>
        <w:tblLook w:val="04A0" w:firstRow="1" w:lastRow="0" w:firstColumn="1" w:lastColumn="0" w:noHBand="0" w:noVBand="1"/>
      </w:tblPr>
      <w:tblGrid>
        <w:gridCol w:w="1776"/>
        <w:gridCol w:w="7466"/>
      </w:tblGrid>
      <w:tr w:rsidR="002D777D" w:rsidRPr="00FA2D6F" w14:paraId="181C30F5" w14:textId="77777777" w:rsidTr="00546071">
        <w:tc>
          <w:tcPr>
            <w:tcW w:w="0" w:type="auto"/>
            <w:hideMark/>
          </w:tcPr>
          <w:p w14:paraId="0B89948F"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Term</w:t>
            </w:r>
          </w:p>
        </w:tc>
        <w:tc>
          <w:tcPr>
            <w:tcW w:w="0" w:type="auto"/>
            <w:hideMark/>
          </w:tcPr>
          <w:p w14:paraId="3814FC34"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Definition</w:t>
            </w:r>
          </w:p>
        </w:tc>
      </w:tr>
      <w:tr w:rsidR="002D777D" w:rsidRPr="00FA2D6F" w14:paraId="4CD237DC" w14:textId="77777777" w:rsidTr="00546071">
        <w:tc>
          <w:tcPr>
            <w:tcW w:w="0" w:type="auto"/>
            <w:hideMark/>
          </w:tcPr>
          <w:p w14:paraId="0C8EE739" w14:textId="77777777" w:rsidR="002D777D" w:rsidRPr="00FA2D6F" w:rsidRDefault="002D777D" w:rsidP="00750D5B">
            <w:pPr>
              <w:rPr>
                <w:rFonts w:cs="Arial"/>
                <w:sz w:val="24"/>
                <w:szCs w:val="24"/>
              </w:rPr>
            </w:pPr>
            <w:r w:rsidRPr="00FA2D6F">
              <w:rPr>
                <w:rFonts w:cs="Arial"/>
                <w:b/>
                <w:bCs/>
                <w:sz w:val="24"/>
                <w:szCs w:val="24"/>
                <w:bdr w:val="none" w:sz="0" w:space="0" w:color="auto" w:frame="1"/>
              </w:rPr>
              <w:t>Healthcare Access</w:t>
            </w:r>
          </w:p>
        </w:tc>
        <w:tc>
          <w:tcPr>
            <w:tcW w:w="0" w:type="auto"/>
            <w:hideMark/>
          </w:tcPr>
          <w:p w14:paraId="61491C5E" w14:textId="02442092" w:rsidR="002D777D" w:rsidRPr="00FA2D6F" w:rsidRDefault="002D777D" w:rsidP="00750D5B">
            <w:pPr>
              <w:rPr>
                <w:rFonts w:cs="Arial"/>
                <w:sz w:val="24"/>
                <w:szCs w:val="24"/>
              </w:rPr>
            </w:pPr>
            <w:r w:rsidRPr="00FA2D6F">
              <w:rPr>
                <w:rFonts w:cs="Arial"/>
                <w:sz w:val="24"/>
                <w:szCs w:val="24"/>
                <w:bdr w:val="none" w:sz="0" w:space="0" w:color="auto" w:frame="1"/>
              </w:rPr>
              <w:t>Extends beyond the mere existence of a service and is operationalised through five interdependent dimensions: availability (adequate volume), accessibility (geographic and physical reachability), affordability (direct and indirect financial costs), acceptability (cultural and social alignment), and appropriateness (meeting specific health needs)</w:t>
            </w:r>
            <w:r w:rsidR="00971BF9">
              <w:rPr>
                <w:rFonts w:cs="Arial"/>
                <w:sz w:val="24"/>
                <w:szCs w:val="24"/>
                <w:bdr w:val="none" w:sz="0" w:space="0" w:color="auto" w:frame="1"/>
              </w:rPr>
              <w:t xml:space="preserve"> (Sundareswaran et al., 2024)</w:t>
            </w:r>
            <w:r w:rsidRPr="00FA2D6F">
              <w:rPr>
                <w:rFonts w:cs="Arial"/>
                <w:sz w:val="24"/>
                <w:szCs w:val="24"/>
                <w:bdr w:val="none" w:sz="0" w:space="0" w:color="auto" w:frame="1"/>
              </w:rPr>
              <w:t>.</w:t>
            </w:r>
          </w:p>
        </w:tc>
      </w:tr>
      <w:tr w:rsidR="002D777D" w:rsidRPr="00FA2D6F" w14:paraId="3490FAF9" w14:textId="77777777" w:rsidTr="00546071">
        <w:tc>
          <w:tcPr>
            <w:tcW w:w="0" w:type="auto"/>
            <w:hideMark/>
          </w:tcPr>
          <w:p w14:paraId="37B5DA79" w14:textId="77777777" w:rsidR="002D777D" w:rsidRPr="00FA2D6F" w:rsidRDefault="002D777D" w:rsidP="00750D5B">
            <w:pPr>
              <w:rPr>
                <w:rFonts w:cs="Arial"/>
                <w:sz w:val="24"/>
                <w:szCs w:val="24"/>
              </w:rPr>
            </w:pPr>
            <w:r w:rsidRPr="00FA2D6F">
              <w:rPr>
                <w:rFonts w:cs="Arial"/>
                <w:b/>
                <w:bCs/>
                <w:sz w:val="24"/>
                <w:szCs w:val="24"/>
                <w:bdr w:val="none" w:sz="0" w:space="0" w:color="auto" w:frame="1"/>
              </w:rPr>
              <w:t>Healthcare Inequalities</w:t>
            </w:r>
          </w:p>
        </w:tc>
        <w:tc>
          <w:tcPr>
            <w:tcW w:w="0" w:type="auto"/>
            <w:hideMark/>
          </w:tcPr>
          <w:p w14:paraId="568B2ED8" w14:textId="7A055658" w:rsidR="002D777D" w:rsidRPr="00FA2D6F" w:rsidRDefault="002D777D" w:rsidP="00750D5B">
            <w:pPr>
              <w:rPr>
                <w:rFonts w:cs="Arial"/>
                <w:sz w:val="24"/>
                <w:szCs w:val="24"/>
              </w:rPr>
            </w:pPr>
            <w:r w:rsidRPr="00FA2D6F">
              <w:rPr>
                <w:rFonts w:cs="Arial"/>
                <w:sz w:val="24"/>
                <w:szCs w:val="24"/>
                <w:bdr w:val="none" w:sz="0" w:space="0" w:color="auto" w:frame="1"/>
              </w:rPr>
              <w:t>Observable, measurable differences in health status or access between population groups. This is distinct from healthcare inequity (</w:t>
            </w:r>
            <w:r w:rsidR="00AF7C71" w:rsidRPr="00FA2D6F">
              <w:rPr>
                <w:rFonts w:cs="Arial"/>
                <w:sz w:val="24"/>
                <w:szCs w:val="24"/>
                <w:bdr w:val="none" w:sz="0" w:space="0" w:color="auto" w:frame="1"/>
              </w:rPr>
              <w:t>carefully</w:t>
            </w:r>
            <w:r w:rsidRPr="00FA2D6F">
              <w:rPr>
                <w:rFonts w:cs="Arial"/>
                <w:sz w:val="24"/>
                <w:szCs w:val="24"/>
                <w:bdr w:val="none" w:sz="0" w:space="0" w:color="auto" w:frame="1"/>
              </w:rPr>
              <w:t xml:space="preserve"> embedded, avoidable, and inherently unjust inequalities), unequal access (barriers to obtaining care), and unequal outcomes (disparities in clinical results)</w:t>
            </w:r>
            <w:r w:rsidR="00186D23">
              <w:rPr>
                <w:rFonts w:cs="Arial"/>
                <w:sz w:val="24"/>
                <w:szCs w:val="24"/>
                <w:bdr w:val="none" w:sz="0" w:space="0" w:color="auto" w:frame="1"/>
              </w:rPr>
              <w:t xml:space="preserve"> (Jain et al., 2024)</w:t>
            </w:r>
            <w:r w:rsidRPr="00FA2D6F">
              <w:rPr>
                <w:rFonts w:cs="Arial"/>
                <w:sz w:val="24"/>
                <w:szCs w:val="24"/>
                <w:bdr w:val="none" w:sz="0" w:space="0" w:color="auto" w:frame="1"/>
              </w:rPr>
              <w:t>.</w:t>
            </w:r>
          </w:p>
        </w:tc>
      </w:tr>
      <w:tr w:rsidR="002D777D" w:rsidRPr="00FA2D6F" w14:paraId="63AD8D69" w14:textId="77777777" w:rsidTr="00546071">
        <w:tc>
          <w:tcPr>
            <w:tcW w:w="0" w:type="auto"/>
            <w:hideMark/>
          </w:tcPr>
          <w:p w14:paraId="38F8E884" w14:textId="5F382C17" w:rsidR="002D777D" w:rsidRPr="00FA2D6F" w:rsidRDefault="00332080" w:rsidP="00750D5B">
            <w:pPr>
              <w:rPr>
                <w:rFonts w:cs="Arial"/>
                <w:sz w:val="24"/>
                <w:szCs w:val="24"/>
              </w:rPr>
            </w:pPr>
            <w:r w:rsidRPr="00FA2D6F">
              <w:rPr>
                <w:rFonts w:cs="Arial"/>
                <w:b/>
                <w:bCs/>
                <w:sz w:val="24"/>
                <w:szCs w:val="24"/>
                <w:bdr w:val="none" w:sz="0" w:space="0" w:color="auto" w:frame="1"/>
              </w:rPr>
              <w:t>Ethnic</w:t>
            </w:r>
            <w:r w:rsidR="0082073D" w:rsidRPr="00FA2D6F">
              <w:rPr>
                <w:rFonts w:cs="Arial"/>
                <w:b/>
                <w:bCs/>
                <w:sz w:val="24"/>
                <w:szCs w:val="24"/>
                <w:bdr w:val="none" w:sz="0" w:space="0" w:color="auto" w:frame="1"/>
              </w:rPr>
              <w:t xml:space="preserve"> </w:t>
            </w:r>
            <w:r w:rsidRPr="00FA2D6F">
              <w:rPr>
                <w:rFonts w:cs="Arial"/>
                <w:b/>
                <w:bCs/>
                <w:sz w:val="24"/>
                <w:szCs w:val="24"/>
                <w:bdr w:val="none" w:sz="0" w:space="0" w:color="auto" w:frame="1"/>
              </w:rPr>
              <w:t>minority</w:t>
            </w:r>
            <w:r w:rsidR="0082073D" w:rsidRPr="00FA2D6F">
              <w:rPr>
                <w:rFonts w:cs="Arial"/>
                <w:b/>
                <w:bCs/>
                <w:sz w:val="24"/>
                <w:szCs w:val="24"/>
                <w:bdr w:val="none" w:sz="0" w:space="0" w:color="auto" w:frame="1"/>
              </w:rPr>
              <w:t xml:space="preserve"> adults</w:t>
            </w:r>
          </w:p>
        </w:tc>
        <w:tc>
          <w:tcPr>
            <w:tcW w:w="0" w:type="auto"/>
            <w:hideMark/>
          </w:tcPr>
          <w:p w14:paraId="3FFCE36C" w14:textId="268BE868" w:rsidR="002D777D" w:rsidRPr="00FA2D6F" w:rsidRDefault="002D777D" w:rsidP="00186D23">
            <w:pPr>
              <w:rPr>
                <w:rFonts w:cs="Arial"/>
                <w:sz w:val="24"/>
                <w:szCs w:val="24"/>
              </w:rPr>
            </w:pPr>
            <w:r w:rsidRPr="00FA2D6F">
              <w:rPr>
                <w:rFonts w:cs="Arial"/>
                <w:sz w:val="24"/>
                <w:szCs w:val="24"/>
                <w:bdr w:val="none" w:sz="0" w:space="0" w:color="auto" w:frame="1"/>
              </w:rPr>
              <w:t>Strictly defined for this research as adults aged 72–80 years residing in the UK, isolating a specific generational cohort with shared sociocultural histories and comparable physiological healthcare dependencies</w:t>
            </w:r>
            <w:r w:rsidR="00B61086">
              <w:rPr>
                <w:rFonts w:cs="Arial"/>
                <w:sz w:val="24"/>
                <w:szCs w:val="24"/>
                <w:bdr w:val="none" w:sz="0" w:space="0" w:color="auto" w:frame="1"/>
              </w:rPr>
              <w:t xml:space="preserve"> (</w:t>
            </w:r>
            <w:r w:rsidR="00186D23">
              <w:rPr>
                <w:rFonts w:cs="Arial"/>
                <w:sz w:val="24"/>
                <w:szCs w:val="24"/>
                <w:bdr w:val="none" w:sz="0" w:space="0" w:color="auto" w:frame="1"/>
              </w:rPr>
              <w:t>Age UK</w:t>
            </w:r>
            <w:r w:rsidR="00B61086">
              <w:rPr>
                <w:rFonts w:cs="Arial"/>
                <w:sz w:val="24"/>
                <w:szCs w:val="24"/>
                <w:bdr w:val="none" w:sz="0" w:space="0" w:color="auto" w:frame="1"/>
              </w:rPr>
              <w:t>., 2024)</w:t>
            </w:r>
            <w:r w:rsidRPr="00FA2D6F">
              <w:rPr>
                <w:rFonts w:cs="Arial"/>
                <w:sz w:val="24"/>
                <w:szCs w:val="24"/>
                <w:bdr w:val="none" w:sz="0" w:space="0" w:color="auto" w:frame="1"/>
              </w:rPr>
              <w:t>.</w:t>
            </w:r>
          </w:p>
        </w:tc>
      </w:tr>
      <w:tr w:rsidR="002D777D" w:rsidRPr="00FA2D6F" w14:paraId="13585811" w14:textId="77777777" w:rsidTr="00546071">
        <w:tc>
          <w:tcPr>
            <w:tcW w:w="0" w:type="auto"/>
            <w:hideMark/>
          </w:tcPr>
          <w:p w14:paraId="1416D38F" w14:textId="77777777" w:rsidR="002D777D" w:rsidRPr="00FA2D6F" w:rsidRDefault="002D777D" w:rsidP="00750D5B">
            <w:pPr>
              <w:rPr>
                <w:rFonts w:cs="Arial"/>
                <w:sz w:val="24"/>
                <w:szCs w:val="24"/>
              </w:rPr>
            </w:pPr>
            <w:r w:rsidRPr="00FA2D6F">
              <w:rPr>
                <w:rFonts w:cs="Arial"/>
                <w:b/>
                <w:bCs/>
                <w:sz w:val="24"/>
                <w:szCs w:val="24"/>
                <w:bdr w:val="none" w:sz="0" w:space="0" w:color="auto" w:frame="1"/>
              </w:rPr>
              <w:t>Digital Exclusion</w:t>
            </w:r>
          </w:p>
        </w:tc>
        <w:tc>
          <w:tcPr>
            <w:tcW w:w="0" w:type="auto"/>
            <w:hideMark/>
          </w:tcPr>
          <w:p w14:paraId="4ABEC354" w14:textId="733FDFC9" w:rsidR="002D777D" w:rsidRPr="00FA2D6F" w:rsidRDefault="002D777D" w:rsidP="00750D5B">
            <w:pPr>
              <w:rPr>
                <w:rFonts w:cs="Arial"/>
                <w:sz w:val="24"/>
                <w:szCs w:val="24"/>
              </w:rPr>
            </w:pPr>
            <w:r w:rsidRPr="00FA2D6F">
              <w:rPr>
                <w:rFonts w:cs="Arial"/>
                <w:sz w:val="24"/>
                <w:szCs w:val="24"/>
                <w:bdr w:val="none" w:sz="0" w:space="0" w:color="auto" w:frame="1"/>
              </w:rPr>
              <w:t>The inability to access or utilise digital health services (e.g., telemedicine, online booking systems) due to a lack of digital literacy, language barriers, unaffordability of technology, or systemic design that fails to accommodate the specific needs of older users.</w:t>
            </w:r>
          </w:p>
        </w:tc>
      </w:tr>
    </w:tbl>
    <w:p w14:paraId="3F3742E4" w14:textId="77777777" w:rsidR="002D777D" w:rsidRPr="00FA2D6F" w:rsidRDefault="002D777D" w:rsidP="00750D5B">
      <w:pPr>
        <w:spacing w:after="0"/>
        <w:rPr>
          <w:rFonts w:eastAsia="Times New Roman" w:cs="Arial"/>
          <w:b/>
          <w:kern w:val="0"/>
          <w:sz w:val="24"/>
          <w:szCs w:val="24"/>
          <w:lang w:val="en-US" w:eastAsia="en-US"/>
          <w14:ligatures w14:val="none"/>
        </w:rPr>
      </w:pPr>
      <w:r w:rsidRPr="00FA2D6F">
        <w:rPr>
          <w:rFonts w:eastAsia="Times New Roman" w:cs="Arial"/>
          <w:b/>
          <w:kern w:val="0"/>
          <w:sz w:val="24"/>
          <w:szCs w:val="24"/>
          <w:lang w:val="en-US" w:eastAsia="en-US"/>
          <w14:ligatures w14:val="none"/>
        </w:rPr>
        <w:t>Source: (Own Illustration)</w:t>
      </w:r>
    </w:p>
    <w:p w14:paraId="681F5F0D" w14:textId="77777777" w:rsidR="002D777D" w:rsidRPr="00FA2D6F" w:rsidRDefault="002D777D" w:rsidP="00750D5B">
      <w:pPr>
        <w:spacing w:after="0"/>
        <w:rPr>
          <w:rFonts w:eastAsia="Times New Roman" w:cs="Arial"/>
          <w:b/>
          <w:kern w:val="0"/>
          <w:sz w:val="24"/>
          <w:szCs w:val="24"/>
          <w:lang w:val="en-US" w:eastAsia="en-US"/>
          <w14:ligatures w14:val="none"/>
        </w:rPr>
      </w:pPr>
    </w:p>
    <w:p w14:paraId="717BCC0B" w14:textId="17D663B9" w:rsidR="002D777D" w:rsidRPr="00B61086" w:rsidRDefault="002D777D" w:rsidP="00750D5B">
      <w:pPr>
        <w:pStyle w:val="Caption"/>
        <w:keepNext/>
        <w:spacing w:line="360" w:lineRule="auto"/>
        <w:rPr>
          <w:rFonts w:cs="Arial"/>
          <w:b/>
          <w:color w:val="000000" w:themeColor="text1"/>
          <w:sz w:val="24"/>
          <w:szCs w:val="24"/>
        </w:rPr>
      </w:pPr>
      <w:r w:rsidRPr="00B61086">
        <w:rPr>
          <w:rFonts w:cs="Arial"/>
          <w:b/>
          <w:color w:val="000000" w:themeColor="text1"/>
          <w:sz w:val="24"/>
          <w:szCs w:val="24"/>
        </w:rPr>
        <w:t xml:space="preserve">Table </w:t>
      </w:r>
      <w:r w:rsidR="002B0D97" w:rsidRPr="00B61086">
        <w:rPr>
          <w:rFonts w:cs="Arial"/>
          <w:b/>
          <w:color w:val="000000" w:themeColor="text1"/>
          <w:sz w:val="24"/>
          <w:szCs w:val="24"/>
        </w:rPr>
        <w:fldChar w:fldCharType="begin"/>
      </w:r>
      <w:r w:rsidR="002B0D97" w:rsidRPr="00B61086">
        <w:rPr>
          <w:rFonts w:cs="Arial"/>
          <w:b/>
          <w:color w:val="000000" w:themeColor="text1"/>
          <w:sz w:val="24"/>
          <w:szCs w:val="24"/>
        </w:rPr>
        <w:instrText xml:space="preserve"> SEQ Table \* ARABIC </w:instrText>
      </w:r>
      <w:r w:rsidR="002B0D97" w:rsidRPr="00B61086">
        <w:rPr>
          <w:rFonts w:cs="Arial"/>
          <w:b/>
          <w:color w:val="000000" w:themeColor="text1"/>
          <w:sz w:val="24"/>
          <w:szCs w:val="24"/>
        </w:rPr>
        <w:fldChar w:fldCharType="separate"/>
      </w:r>
      <w:r w:rsidR="002B0D97" w:rsidRPr="00B61086">
        <w:rPr>
          <w:rFonts w:cs="Arial"/>
          <w:b/>
          <w:noProof/>
          <w:color w:val="000000" w:themeColor="text1"/>
          <w:sz w:val="24"/>
          <w:szCs w:val="24"/>
        </w:rPr>
        <w:t>2</w:t>
      </w:r>
      <w:r w:rsidR="002B0D97" w:rsidRPr="00B61086">
        <w:rPr>
          <w:rFonts w:cs="Arial"/>
          <w:b/>
          <w:noProof/>
          <w:color w:val="000000" w:themeColor="text1"/>
          <w:sz w:val="24"/>
          <w:szCs w:val="24"/>
        </w:rPr>
        <w:fldChar w:fldCharType="end"/>
      </w:r>
      <w:r w:rsidRPr="00B61086">
        <w:rPr>
          <w:rFonts w:cs="Arial"/>
          <w:b/>
          <w:color w:val="000000" w:themeColor="text1"/>
          <w:sz w:val="24"/>
          <w:szCs w:val="24"/>
        </w:rPr>
        <w:t xml:space="preserve"> List of Abbreviations</w:t>
      </w:r>
    </w:p>
    <w:tbl>
      <w:tblPr>
        <w:tblStyle w:val="TableGrid"/>
        <w:tblW w:w="0" w:type="auto"/>
        <w:tblLook w:val="04A0" w:firstRow="1" w:lastRow="0" w:firstColumn="1" w:lastColumn="0" w:noHBand="0" w:noVBand="1"/>
      </w:tblPr>
      <w:tblGrid>
        <w:gridCol w:w="1683"/>
        <w:gridCol w:w="5393"/>
      </w:tblGrid>
      <w:tr w:rsidR="002D777D" w:rsidRPr="00FA2D6F" w14:paraId="466B2063" w14:textId="77777777" w:rsidTr="002D777D">
        <w:tc>
          <w:tcPr>
            <w:tcW w:w="0" w:type="auto"/>
            <w:hideMark/>
          </w:tcPr>
          <w:p w14:paraId="22209599"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Abbreviation</w:t>
            </w:r>
          </w:p>
        </w:tc>
        <w:tc>
          <w:tcPr>
            <w:tcW w:w="0" w:type="auto"/>
            <w:hideMark/>
          </w:tcPr>
          <w:p w14:paraId="5717C847" w14:textId="77777777" w:rsidR="002D777D" w:rsidRPr="00FA2D6F" w:rsidRDefault="002D777D" w:rsidP="00750D5B">
            <w:pPr>
              <w:rPr>
                <w:rFonts w:cs="Arial"/>
                <w:sz w:val="24"/>
                <w:szCs w:val="24"/>
              </w:rPr>
            </w:pPr>
            <w:r w:rsidRPr="00FA2D6F">
              <w:rPr>
                <w:rStyle w:val="Strong"/>
                <w:rFonts w:cs="Arial"/>
                <w:sz w:val="24"/>
                <w:szCs w:val="24"/>
                <w:bdr w:val="none" w:sz="0" w:space="0" w:color="auto" w:frame="1"/>
              </w:rPr>
              <w:t>Full Form</w:t>
            </w:r>
          </w:p>
        </w:tc>
      </w:tr>
      <w:tr w:rsidR="002D777D" w:rsidRPr="00FA2D6F" w14:paraId="21539993" w14:textId="77777777" w:rsidTr="002D777D">
        <w:tc>
          <w:tcPr>
            <w:tcW w:w="0" w:type="auto"/>
            <w:hideMark/>
          </w:tcPr>
          <w:p w14:paraId="16C65294" w14:textId="77777777" w:rsidR="002D777D" w:rsidRPr="00FA2D6F" w:rsidRDefault="002D777D" w:rsidP="00750D5B">
            <w:pPr>
              <w:rPr>
                <w:rFonts w:cs="Arial"/>
                <w:sz w:val="24"/>
                <w:szCs w:val="24"/>
              </w:rPr>
            </w:pPr>
            <w:r w:rsidRPr="00FA2D6F">
              <w:rPr>
                <w:rFonts w:cs="Arial"/>
                <w:b/>
                <w:bCs/>
                <w:sz w:val="24"/>
                <w:szCs w:val="24"/>
                <w:bdr w:val="none" w:sz="0" w:space="0" w:color="auto" w:frame="1"/>
              </w:rPr>
              <w:t>NHS</w:t>
            </w:r>
          </w:p>
        </w:tc>
        <w:tc>
          <w:tcPr>
            <w:tcW w:w="0" w:type="auto"/>
            <w:hideMark/>
          </w:tcPr>
          <w:p w14:paraId="515ABEB9" w14:textId="77777777" w:rsidR="002D777D" w:rsidRPr="00FA2D6F" w:rsidRDefault="002D777D" w:rsidP="00750D5B">
            <w:pPr>
              <w:rPr>
                <w:rFonts w:cs="Arial"/>
                <w:sz w:val="24"/>
                <w:szCs w:val="24"/>
              </w:rPr>
            </w:pPr>
            <w:r w:rsidRPr="00FA2D6F">
              <w:rPr>
                <w:rFonts w:cs="Arial"/>
                <w:sz w:val="24"/>
                <w:szCs w:val="24"/>
                <w:bdr w:val="none" w:sz="0" w:space="0" w:color="auto" w:frame="1"/>
              </w:rPr>
              <w:t>National Health Service</w:t>
            </w:r>
          </w:p>
        </w:tc>
      </w:tr>
      <w:tr w:rsidR="002D777D" w:rsidRPr="00FA2D6F" w14:paraId="185ACA42" w14:textId="77777777" w:rsidTr="002D777D">
        <w:tc>
          <w:tcPr>
            <w:tcW w:w="0" w:type="auto"/>
            <w:hideMark/>
          </w:tcPr>
          <w:p w14:paraId="1F375221" w14:textId="77777777" w:rsidR="002D777D" w:rsidRPr="00FA2D6F" w:rsidRDefault="002D777D" w:rsidP="00750D5B">
            <w:pPr>
              <w:rPr>
                <w:rFonts w:cs="Arial"/>
                <w:sz w:val="24"/>
                <w:szCs w:val="24"/>
              </w:rPr>
            </w:pPr>
            <w:r w:rsidRPr="00FA2D6F">
              <w:rPr>
                <w:rFonts w:cs="Arial"/>
                <w:b/>
                <w:bCs/>
                <w:sz w:val="24"/>
                <w:szCs w:val="24"/>
                <w:bdr w:val="none" w:sz="0" w:space="0" w:color="auto" w:frame="1"/>
              </w:rPr>
              <w:t>NICE</w:t>
            </w:r>
          </w:p>
        </w:tc>
        <w:tc>
          <w:tcPr>
            <w:tcW w:w="0" w:type="auto"/>
            <w:hideMark/>
          </w:tcPr>
          <w:p w14:paraId="28567888" w14:textId="77777777" w:rsidR="002D777D" w:rsidRPr="00FA2D6F" w:rsidRDefault="002D777D" w:rsidP="00750D5B">
            <w:pPr>
              <w:rPr>
                <w:rFonts w:cs="Arial"/>
                <w:sz w:val="24"/>
                <w:szCs w:val="24"/>
              </w:rPr>
            </w:pPr>
            <w:r w:rsidRPr="00FA2D6F">
              <w:rPr>
                <w:rFonts w:cs="Arial"/>
                <w:sz w:val="24"/>
                <w:szCs w:val="24"/>
                <w:bdr w:val="none" w:sz="0" w:space="0" w:color="auto" w:frame="1"/>
              </w:rPr>
              <w:t>National Institute for Health and Care Excellence</w:t>
            </w:r>
          </w:p>
        </w:tc>
      </w:tr>
      <w:tr w:rsidR="002D777D" w:rsidRPr="00FA2D6F" w14:paraId="4A23FB93" w14:textId="77777777" w:rsidTr="002D777D">
        <w:tc>
          <w:tcPr>
            <w:tcW w:w="0" w:type="auto"/>
            <w:hideMark/>
          </w:tcPr>
          <w:p w14:paraId="6E0DF913" w14:textId="77777777" w:rsidR="002D777D" w:rsidRPr="00FA2D6F" w:rsidRDefault="002D777D" w:rsidP="00750D5B">
            <w:pPr>
              <w:rPr>
                <w:rFonts w:cs="Arial"/>
                <w:sz w:val="24"/>
                <w:szCs w:val="24"/>
              </w:rPr>
            </w:pPr>
            <w:r w:rsidRPr="00FA2D6F">
              <w:rPr>
                <w:rFonts w:cs="Arial"/>
                <w:b/>
                <w:bCs/>
                <w:sz w:val="24"/>
                <w:szCs w:val="24"/>
                <w:bdr w:val="none" w:sz="0" w:space="0" w:color="auto" w:frame="1"/>
              </w:rPr>
              <w:t>WHO</w:t>
            </w:r>
          </w:p>
        </w:tc>
        <w:tc>
          <w:tcPr>
            <w:tcW w:w="0" w:type="auto"/>
            <w:hideMark/>
          </w:tcPr>
          <w:p w14:paraId="29194976" w14:textId="77777777" w:rsidR="002D777D" w:rsidRPr="00FA2D6F" w:rsidRDefault="002D777D" w:rsidP="00750D5B">
            <w:pPr>
              <w:rPr>
                <w:rFonts w:cs="Arial"/>
                <w:sz w:val="24"/>
                <w:szCs w:val="24"/>
              </w:rPr>
            </w:pPr>
            <w:r w:rsidRPr="00FA2D6F">
              <w:rPr>
                <w:rFonts w:cs="Arial"/>
                <w:sz w:val="24"/>
                <w:szCs w:val="24"/>
                <w:bdr w:val="none" w:sz="0" w:space="0" w:color="auto" w:frame="1"/>
              </w:rPr>
              <w:t>World Health Organization</w:t>
            </w:r>
          </w:p>
        </w:tc>
      </w:tr>
      <w:tr w:rsidR="002D777D" w:rsidRPr="00FA2D6F" w14:paraId="1DA21711" w14:textId="77777777" w:rsidTr="002D777D">
        <w:tc>
          <w:tcPr>
            <w:tcW w:w="0" w:type="auto"/>
            <w:hideMark/>
          </w:tcPr>
          <w:p w14:paraId="617709B9" w14:textId="77777777" w:rsidR="002D777D" w:rsidRPr="00FA2D6F" w:rsidRDefault="002D777D" w:rsidP="00750D5B">
            <w:pPr>
              <w:rPr>
                <w:rFonts w:cs="Arial"/>
                <w:sz w:val="24"/>
                <w:szCs w:val="24"/>
              </w:rPr>
            </w:pPr>
            <w:r w:rsidRPr="00FA2D6F">
              <w:rPr>
                <w:rFonts w:cs="Arial"/>
                <w:b/>
                <w:bCs/>
                <w:sz w:val="24"/>
                <w:szCs w:val="24"/>
                <w:bdr w:val="none" w:sz="0" w:space="0" w:color="auto" w:frame="1"/>
              </w:rPr>
              <w:t>SDH</w:t>
            </w:r>
          </w:p>
        </w:tc>
        <w:tc>
          <w:tcPr>
            <w:tcW w:w="0" w:type="auto"/>
            <w:hideMark/>
          </w:tcPr>
          <w:p w14:paraId="2EBCD773" w14:textId="77777777" w:rsidR="002D777D" w:rsidRPr="00FA2D6F" w:rsidRDefault="002D777D" w:rsidP="00750D5B">
            <w:pPr>
              <w:rPr>
                <w:rFonts w:cs="Arial"/>
                <w:sz w:val="24"/>
                <w:szCs w:val="24"/>
              </w:rPr>
            </w:pPr>
            <w:r w:rsidRPr="00FA2D6F">
              <w:rPr>
                <w:rFonts w:cs="Arial"/>
                <w:sz w:val="24"/>
                <w:szCs w:val="24"/>
                <w:bdr w:val="none" w:sz="0" w:space="0" w:color="auto" w:frame="1"/>
              </w:rPr>
              <w:t>Social Determinants of Health</w:t>
            </w:r>
          </w:p>
        </w:tc>
      </w:tr>
    </w:tbl>
    <w:p w14:paraId="6E5BBB2B" w14:textId="77777777" w:rsidR="002D777D" w:rsidRPr="00FA2D6F" w:rsidRDefault="002D777D" w:rsidP="00750D5B">
      <w:pPr>
        <w:spacing w:after="0"/>
        <w:rPr>
          <w:rFonts w:eastAsia="Times New Roman" w:cs="Arial"/>
          <w:b/>
          <w:kern w:val="0"/>
          <w:sz w:val="24"/>
          <w:szCs w:val="24"/>
          <w:lang w:val="en-US" w:eastAsia="en-US"/>
          <w14:ligatures w14:val="none"/>
        </w:rPr>
      </w:pPr>
      <w:r w:rsidRPr="00FA2D6F">
        <w:rPr>
          <w:rFonts w:eastAsia="Times New Roman" w:cs="Arial"/>
          <w:b/>
          <w:kern w:val="0"/>
          <w:sz w:val="24"/>
          <w:szCs w:val="24"/>
          <w:lang w:val="en-US" w:eastAsia="en-US"/>
          <w14:ligatures w14:val="none"/>
        </w:rPr>
        <w:lastRenderedPageBreak/>
        <w:t>Source: (Own Illustration)</w:t>
      </w:r>
    </w:p>
    <w:p w14:paraId="2163E02F" w14:textId="77777777" w:rsidR="002D777D" w:rsidRPr="00FA2D6F" w:rsidRDefault="002D777D" w:rsidP="00750D5B">
      <w:pPr>
        <w:spacing w:after="0"/>
        <w:rPr>
          <w:rFonts w:eastAsia="Times New Roman" w:cs="Arial"/>
          <w:kern w:val="0"/>
          <w:sz w:val="24"/>
          <w:szCs w:val="24"/>
          <w:lang w:val="en-US" w:eastAsia="en-US"/>
          <w14:ligatures w14:val="none"/>
        </w:rPr>
      </w:pPr>
    </w:p>
    <w:p w14:paraId="0F9C3315" w14:textId="77777777" w:rsidR="002D777D" w:rsidRPr="00FA2D6F" w:rsidRDefault="002D777D" w:rsidP="00750D5B">
      <w:pPr>
        <w:pStyle w:val="Heading2"/>
        <w:rPr>
          <w:rFonts w:cs="Arial"/>
          <w:szCs w:val="24"/>
        </w:rPr>
      </w:pPr>
      <w:bookmarkStart w:id="6" w:name="_Toc241069937"/>
      <w:bookmarkStart w:id="7" w:name="_Toc241246269"/>
      <w:r w:rsidRPr="00FA2D6F">
        <w:rPr>
          <w:rFonts w:cs="Arial"/>
          <w:szCs w:val="24"/>
          <w:bdr w:val="none" w:sz="0" w:space="0" w:color="auto" w:frame="1"/>
        </w:rPr>
        <w:t>Rationale and Research Gap</w:t>
      </w:r>
      <w:bookmarkEnd w:id="6"/>
      <w:bookmarkEnd w:id="7"/>
    </w:p>
    <w:p w14:paraId="76607575" w14:textId="77777777" w:rsidR="002D777D" w:rsidRPr="00FA2D6F" w:rsidRDefault="002D777D" w:rsidP="00750D5B">
      <w:pPr>
        <w:pStyle w:val="Heading3"/>
        <w:rPr>
          <w:rFonts w:ascii="Arial" w:hAnsi="Arial" w:cs="Arial"/>
        </w:rPr>
      </w:pPr>
      <w:bookmarkStart w:id="8" w:name="_Toc241069938"/>
      <w:bookmarkStart w:id="9" w:name="_Toc241246270"/>
      <w:r w:rsidRPr="00FA2D6F">
        <w:rPr>
          <w:rFonts w:ascii="Arial" w:hAnsi="Arial" w:cs="Arial"/>
          <w:bdr w:val="none" w:sz="0" w:space="0" w:color="auto" w:frame="1"/>
        </w:rPr>
        <w:t>What is already known</w:t>
      </w:r>
      <w:bookmarkEnd w:id="8"/>
      <w:bookmarkEnd w:id="9"/>
    </w:p>
    <w:p w14:paraId="6DFCD3FC" w14:textId="69FED7B0" w:rsidR="002D777D" w:rsidRPr="00FA2D6F" w:rsidRDefault="002D777D" w:rsidP="00903A58">
      <w:pPr>
        <w:rPr>
          <w:rFonts w:cs="Arial"/>
          <w:sz w:val="24"/>
          <w:szCs w:val="24"/>
          <w:lang w:val="en-US"/>
        </w:rPr>
      </w:pPr>
      <w:r w:rsidRPr="00FA2D6F">
        <w:rPr>
          <w:rStyle w:val="cursor-pointer"/>
          <w:rFonts w:cs="Arial"/>
          <w:sz w:val="24"/>
          <w:szCs w:val="24"/>
        </w:rPr>
        <w:t>Extensive literature has already shown that inequalities in health exist and are pervasive in the UK and that they affect ethnic minorities in a disproportionate manner.</w:t>
      </w:r>
      <w:r w:rsidRPr="00FA2D6F">
        <w:rPr>
          <w:rFonts w:cs="Arial"/>
          <w:sz w:val="24"/>
          <w:szCs w:val="24"/>
        </w:rPr>
        <w:t xml:space="preserve"> </w:t>
      </w:r>
      <w:r w:rsidRPr="00FA2D6F">
        <w:rPr>
          <w:rStyle w:val="cursor-pointer"/>
          <w:rFonts w:cs="Arial"/>
          <w:sz w:val="24"/>
          <w:szCs w:val="24"/>
        </w:rPr>
        <w:t>These groups of older people often face significant health care access challenges due to socioeconomic disadvantages that exist, and the cultural contexts and complexities</w:t>
      </w:r>
      <w:r w:rsidR="00971BF9">
        <w:rPr>
          <w:rStyle w:val="cursor-pointer"/>
          <w:rFonts w:cs="Arial"/>
          <w:sz w:val="24"/>
          <w:szCs w:val="24"/>
        </w:rPr>
        <w:t xml:space="preserve"> (Islam et al., 2024)</w:t>
      </w:r>
      <w:r w:rsidRPr="00FA2D6F">
        <w:rPr>
          <w:rStyle w:val="cursor-pointer"/>
          <w:rFonts w:cs="Arial"/>
          <w:sz w:val="24"/>
          <w:szCs w:val="24"/>
        </w:rPr>
        <w:t>.</w:t>
      </w:r>
      <w:r w:rsidRPr="00FA2D6F">
        <w:rPr>
          <w:rFonts w:cs="Arial"/>
          <w:sz w:val="24"/>
          <w:szCs w:val="24"/>
        </w:rPr>
        <w:t xml:space="preserve"> </w:t>
      </w:r>
      <w:r w:rsidR="00471194" w:rsidRPr="00FA2D6F">
        <w:rPr>
          <w:rStyle w:val="cursor-pointer"/>
          <w:rFonts w:cs="Arial"/>
          <w:sz w:val="24"/>
          <w:szCs w:val="24"/>
        </w:rPr>
        <w:t>S</w:t>
      </w:r>
      <w:r w:rsidRPr="00FA2D6F">
        <w:rPr>
          <w:rStyle w:val="cursor-pointer"/>
          <w:rFonts w:cs="Arial"/>
          <w:sz w:val="24"/>
          <w:szCs w:val="24"/>
        </w:rPr>
        <w:t xml:space="preserve">ystemic factors, like structural communication barriers, culturally incongruent systems of service delivery, and fragmentation of the health care workforce, restrain health-seeking </w:t>
      </w:r>
      <w:r w:rsidR="00715336" w:rsidRPr="00FA2D6F">
        <w:rPr>
          <w:rStyle w:val="cursor-pointer"/>
          <w:rFonts w:cs="Arial"/>
          <w:sz w:val="24"/>
          <w:szCs w:val="24"/>
        </w:rPr>
        <w:t>behaviours</w:t>
      </w:r>
      <w:r w:rsidRPr="00FA2D6F">
        <w:rPr>
          <w:rStyle w:val="cursor-pointer"/>
          <w:rFonts w:cs="Arial"/>
          <w:sz w:val="24"/>
          <w:szCs w:val="24"/>
        </w:rPr>
        <w:t xml:space="preserve"> and consequently healthcare access.</w:t>
      </w:r>
      <w:r w:rsidRPr="00FA2D6F">
        <w:rPr>
          <w:rFonts w:cs="Arial"/>
          <w:sz w:val="24"/>
          <w:szCs w:val="24"/>
        </w:rPr>
        <w:t xml:space="preserve"> </w:t>
      </w:r>
      <w:r w:rsidRPr="00FA2D6F">
        <w:rPr>
          <w:rStyle w:val="cursor-pointer"/>
          <w:rFonts w:cs="Arial"/>
          <w:sz w:val="24"/>
          <w:szCs w:val="24"/>
        </w:rPr>
        <w:t xml:space="preserve">Moreover, with the accelerated shift towards digital healthcare delivery, these inequities are being compounded; </w:t>
      </w:r>
      <w:r w:rsidR="00332080" w:rsidRPr="00FA2D6F">
        <w:rPr>
          <w:rStyle w:val="cursor-pointer"/>
          <w:rFonts w:cs="Arial"/>
          <w:sz w:val="24"/>
          <w:szCs w:val="24"/>
        </w:rPr>
        <w:t>eth</w:t>
      </w:r>
      <w:r w:rsidR="0082073D" w:rsidRPr="00FA2D6F">
        <w:rPr>
          <w:rStyle w:val="cursor-pointer"/>
          <w:rFonts w:cs="Arial"/>
          <w:sz w:val="24"/>
          <w:szCs w:val="24"/>
        </w:rPr>
        <w:t>nic adults</w:t>
      </w:r>
      <w:r w:rsidRPr="00FA2D6F">
        <w:rPr>
          <w:rStyle w:val="cursor-pointer"/>
          <w:rFonts w:cs="Arial"/>
          <w:sz w:val="24"/>
          <w:szCs w:val="24"/>
        </w:rPr>
        <w:t xml:space="preserve"> and groups are especially affected by digital exclusion, bringing a new systemic obstacle to</w:t>
      </w:r>
      <w:r w:rsidR="00471194" w:rsidRPr="00FA2D6F">
        <w:rPr>
          <w:rStyle w:val="cursor-pointer"/>
          <w:rFonts w:cs="Arial"/>
          <w:sz w:val="24"/>
          <w:szCs w:val="24"/>
        </w:rPr>
        <w:t xml:space="preserve"> access to essential </w:t>
      </w:r>
      <w:r w:rsidR="00715336" w:rsidRPr="00FA2D6F">
        <w:rPr>
          <w:rStyle w:val="cursor-pointer"/>
          <w:rFonts w:cs="Arial"/>
          <w:sz w:val="24"/>
          <w:szCs w:val="24"/>
        </w:rPr>
        <w:t>healthcare</w:t>
      </w:r>
      <w:r w:rsidR="00715336">
        <w:rPr>
          <w:rStyle w:val="cursor-pointer"/>
          <w:rFonts w:cs="Arial"/>
          <w:sz w:val="24"/>
          <w:szCs w:val="24"/>
        </w:rPr>
        <w:t xml:space="preserve"> (</w:t>
      </w:r>
      <w:r w:rsidR="00186D23">
        <w:t>Woolley et al., 2023)</w:t>
      </w:r>
      <w:r w:rsidR="00471194" w:rsidRPr="00FA2D6F">
        <w:rPr>
          <w:rStyle w:val="cursor-pointer"/>
          <w:rFonts w:cs="Arial"/>
          <w:sz w:val="24"/>
          <w:szCs w:val="24"/>
        </w:rPr>
        <w:t xml:space="preserve">. </w:t>
      </w:r>
      <w:r w:rsidR="00186D23">
        <w:rPr>
          <w:rStyle w:val="cursor-pointer"/>
          <w:rFonts w:cs="Arial"/>
          <w:sz w:val="24"/>
          <w:szCs w:val="24"/>
        </w:rPr>
        <w:t>Therefore</w:t>
      </w:r>
      <w:r w:rsidRPr="00FA2D6F">
        <w:rPr>
          <w:rStyle w:val="cursor-pointer"/>
          <w:rFonts w:cs="Arial"/>
          <w:sz w:val="24"/>
          <w:szCs w:val="24"/>
        </w:rPr>
        <w:t>, successive public health policies have tried to tackle these inequalities, drawing attention to them as a priority for health equity in the country</w:t>
      </w:r>
      <w:r w:rsidR="00903A58" w:rsidRPr="00FA2D6F">
        <w:rPr>
          <w:rStyle w:val="cursor-pointer"/>
          <w:rFonts w:cs="Arial"/>
          <w:sz w:val="24"/>
          <w:szCs w:val="24"/>
        </w:rPr>
        <w:t xml:space="preserve"> </w:t>
      </w:r>
      <w:r w:rsidR="00903A58" w:rsidRPr="00FA2D6F">
        <w:rPr>
          <w:color w:val="000000"/>
          <w:sz w:val="24"/>
          <w:szCs w:val="24"/>
          <w:shd w:val="clear" w:color="auto" w:fill="FFFFFF"/>
        </w:rPr>
        <w:t>(McKee et al., 2021)</w:t>
      </w:r>
      <w:r w:rsidRPr="00FA2D6F">
        <w:rPr>
          <w:rStyle w:val="cursor-pointer"/>
          <w:rFonts w:cs="Arial"/>
          <w:sz w:val="24"/>
          <w:szCs w:val="24"/>
        </w:rPr>
        <w:t>.</w:t>
      </w:r>
    </w:p>
    <w:p w14:paraId="175D5DDD" w14:textId="77777777" w:rsidR="002D777D" w:rsidRPr="00FA2D6F" w:rsidRDefault="002D777D" w:rsidP="00750D5B">
      <w:pPr>
        <w:spacing w:after="0"/>
        <w:rPr>
          <w:rFonts w:eastAsia="Times New Roman" w:cs="Arial"/>
          <w:kern w:val="0"/>
          <w:sz w:val="24"/>
          <w:szCs w:val="24"/>
          <w:lang w:val="en-US" w:eastAsia="en-US"/>
          <w14:ligatures w14:val="none"/>
        </w:rPr>
      </w:pPr>
      <w:r w:rsidRPr="00FA2D6F">
        <w:rPr>
          <w:rFonts w:eastAsia="Times New Roman" w:cs="Arial"/>
          <w:b/>
          <w:bCs/>
          <w:kern w:val="0"/>
          <w:sz w:val="24"/>
          <w:szCs w:val="24"/>
          <w:bdr w:val="none" w:sz="0" w:space="0" w:color="auto" w:frame="1"/>
          <w:lang w:val="en-US" w:eastAsia="en-US"/>
          <w14:ligatures w14:val="none"/>
        </w:rPr>
        <w:t>1.3.2 What remains unclear</w:t>
      </w:r>
    </w:p>
    <w:p w14:paraId="73E6AFBD" w14:textId="367F2EC5" w:rsidR="002D777D" w:rsidRPr="00FA2D6F" w:rsidRDefault="002D777D" w:rsidP="00750D5B">
      <w:pPr>
        <w:rPr>
          <w:rFonts w:cs="Arial"/>
          <w:sz w:val="24"/>
          <w:szCs w:val="24"/>
        </w:rPr>
      </w:pPr>
      <w:r w:rsidRPr="00FA2D6F">
        <w:rPr>
          <w:rStyle w:val="cursor-pointer"/>
          <w:rFonts w:cs="Arial"/>
          <w:sz w:val="24"/>
          <w:szCs w:val="24"/>
        </w:rPr>
        <w:t>Even with this information, there's still a lack of literature about the intersectional aspects of age and ethnicity.</w:t>
      </w:r>
      <w:r w:rsidRPr="00FA2D6F">
        <w:rPr>
          <w:rFonts w:cs="Arial"/>
          <w:sz w:val="24"/>
          <w:szCs w:val="24"/>
        </w:rPr>
        <w:t xml:space="preserve"> </w:t>
      </w:r>
      <w:r w:rsidR="00715336" w:rsidRPr="00FA2D6F">
        <w:rPr>
          <w:rStyle w:val="cursor-pointer"/>
          <w:rFonts w:cs="Arial"/>
          <w:sz w:val="24"/>
          <w:szCs w:val="24"/>
        </w:rPr>
        <w:t>Adult’s</w:t>
      </w:r>
      <w:r w:rsidRPr="00FA2D6F">
        <w:rPr>
          <w:rStyle w:val="cursor-pointer"/>
          <w:rFonts w:cs="Arial"/>
          <w:sz w:val="24"/>
          <w:szCs w:val="24"/>
        </w:rPr>
        <w:t xml:space="preserve"> populations are often explored in existing research, with little evidence of whether and how access barriers namely systemic discrimination, digital marginalisation and language barriers have specific and compounding implications for </w:t>
      </w:r>
      <w:r w:rsidR="0082073D" w:rsidRPr="00FA2D6F">
        <w:rPr>
          <w:rStyle w:val="cursor-pointer"/>
          <w:rFonts w:cs="Arial"/>
          <w:sz w:val="24"/>
          <w:szCs w:val="24"/>
        </w:rPr>
        <w:t>adults</w:t>
      </w:r>
      <w:r w:rsidRPr="00FA2D6F">
        <w:rPr>
          <w:rStyle w:val="cursor-pointer"/>
          <w:rFonts w:cs="Arial"/>
          <w:sz w:val="24"/>
          <w:szCs w:val="24"/>
        </w:rPr>
        <w:t xml:space="preserve"> (aged 72–80)</w:t>
      </w:r>
      <w:r w:rsidR="00971BF9">
        <w:rPr>
          <w:rStyle w:val="cursor-pointer"/>
          <w:rFonts w:cs="Arial"/>
          <w:sz w:val="24"/>
          <w:szCs w:val="24"/>
        </w:rPr>
        <w:t xml:space="preserve"> (Watkinson et al., 2021)</w:t>
      </w:r>
      <w:r w:rsidRPr="00FA2D6F">
        <w:rPr>
          <w:rStyle w:val="cursor-pointer"/>
          <w:rFonts w:cs="Arial"/>
          <w:sz w:val="24"/>
          <w:szCs w:val="24"/>
        </w:rPr>
        <w:t>.</w:t>
      </w:r>
      <w:r w:rsidR="00DF7C2C" w:rsidRPr="00FA2D6F">
        <w:rPr>
          <w:rStyle w:val="cursor-pointer"/>
          <w:rFonts w:cs="Arial"/>
          <w:sz w:val="24"/>
          <w:szCs w:val="24"/>
        </w:rPr>
        <w:t xml:space="preserve"> </w:t>
      </w:r>
      <w:r w:rsidR="00DF7C2C" w:rsidRPr="00FA2D6F">
        <w:rPr>
          <w:rFonts w:cs="Arial"/>
          <w:sz w:val="24"/>
          <w:szCs w:val="24"/>
        </w:rPr>
        <w:t>Evidence from dementia services further illustrates that access difficulties may become particularly important where older adults have co</w:t>
      </w:r>
      <w:r w:rsidR="00471194" w:rsidRPr="00FA2D6F">
        <w:rPr>
          <w:rFonts w:cs="Arial"/>
          <w:sz w:val="24"/>
          <w:szCs w:val="24"/>
        </w:rPr>
        <w:t>mplex or long-term health needs</w:t>
      </w:r>
      <w:r w:rsidR="00B61086">
        <w:rPr>
          <w:rFonts w:cs="Arial"/>
          <w:sz w:val="24"/>
          <w:szCs w:val="24"/>
        </w:rPr>
        <w:t xml:space="preserve"> (</w:t>
      </w:r>
      <w:r w:rsidR="00186D23">
        <w:rPr>
          <w:rFonts w:cs="Arial"/>
          <w:sz w:val="24"/>
          <w:szCs w:val="24"/>
        </w:rPr>
        <w:t>Featherstone et al., 2022</w:t>
      </w:r>
      <w:r w:rsidR="00B61086">
        <w:rPr>
          <w:rFonts w:cs="Arial"/>
          <w:sz w:val="24"/>
          <w:szCs w:val="24"/>
        </w:rPr>
        <w:t>)</w:t>
      </w:r>
      <w:r w:rsidR="00471194" w:rsidRPr="00FA2D6F">
        <w:rPr>
          <w:rFonts w:cs="Arial"/>
          <w:sz w:val="24"/>
          <w:szCs w:val="24"/>
        </w:rPr>
        <w:t>.</w:t>
      </w:r>
    </w:p>
    <w:p w14:paraId="73F0D84C" w14:textId="77777777" w:rsidR="002D777D" w:rsidRPr="00FA2D6F" w:rsidRDefault="002D777D" w:rsidP="00750D5B">
      <w:pPr>
        <w:pStyle w:val="Heading3"/>
        <w:rPr>
          <w:rFonts w:ascii="Arial" w:hAnsi="Arial" w:cs="Arial"/>
        </w:rPr>
      </w:pPr>
      <w:bookmarkStart w:id="10" w:name="_Toc241069939"/>
      <w:bookmarkStart w:id="11" w:name="_Toc241246271"/>
      <w:r w:rsidRPr="00FA2D6F">
        <w:rPr>
          <w:rFonts w:ascii="Arial" w:hAnsi="Arial" w:cs="Arial"/>
          <w:bdr w:val="none" w:sz="0" w:space="0" w:color="auto" w:frame="1"/>
        </w:rPr>
        <w:t>Policy/practice gap</w:t>
      </w:r>
      <w:bookmarkEnd w:id="10"/>
      <w:bookmarkEnd w:id="11"/>
    </w:p>
    <w:p w14:paraId="79A6D883" w14:textId="59AAEC98" w:rsidR="002D777D" w:rsidRPr="00FA2D6F" w:rsidRDefault="002D777D" w:rsidP="00750D5B">
      <w:pPr>
        <w:rPr>
          <w:rFonts w:eastAsia="Times New Roman" w:cs="Arial"/>
          <w:kern w:val="0"/>
          <w:sz w:val="24"/>
          <w:szCs w:val="24"/>
          <w:lang w:val="en-US" w:eastAsia="en-US"/>
          <w14:ligatures w14:val="none"/>
        </w:rPr>
      </w:pPr>
      <w:r w:rsidRPr="00FA2D6F">
        <w:rPr>
          <w:rStyle w:val="cursor-pointer"/>
          <w:rFonts w:cs="Arial"/>
          <w:sz w:val="24"/>
          <w:szCs w:val="24"/>
        </w:rPr>
        <w:t>National health policies often have appropriate objectives with equity which are not consistently followed up at local level, across regions and NHS trusts.</w:t>
      </w:r>
      <w:r w:rsidRPr="00FA2D6F">
        <w:rPr>
          <w:rFonts w:cs="Arial"/>
          <w:sz w:val="24"/>
          <w:szCs w:val="24"/>
        </w:rPr>
        <w:t xml:space="preserve"> </w:t>
      </w:r>
      <w:r w:rsidRPr="00FA2D6F">
        <w:rPr>
          <w:rStyle w:val="cursor-pointer"/>
          <w:rFonts w:cs="Arial"/>
          <w:sz w:val="24"/>
          <w:szCs w:val="24"/>
        </w:rPr>
        <w:t>The provision of culturally appropriate services is often compromised because of limited resources and staff shortages</w:t>
      </w:r>
      <w:r w:rsidR="00B61086">
        <w:rPr>
          <w:rStyle w:val="cursor-pointer"/>
          <w:rFonts w:cs="Arial"/>
          <w:sz w:val="24"/>
          <w:szCs w:val="24"/>
        </w:rPr>
        <w:t xml:space="preserve"> (Duan et al., 2024)</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 xml:space="preserve">Perhaps most importantly, structural exclusion can also be an unintended by-product of the current ongoing transformation in the NHS with all its digital change; most policies often fail to include </w:t>
      </w:r>
      <w:r w:rsidRPr="00FA2D6F">
        <w:rPr>
          <w:rStyle w:val="cursor-pointer"/>
          <w:rFonts w:cs="Arial"/>
          <w:sz w:val="24"/>
          <w:szCs w:val="24"/>
        </w:rPr>
        <w:lastRenderedPageBreak/>
        <w:t>adequate safeguards for older cohort groups who are also at intersecting digital and linguistic risk</w:t>
      </w:r>
      <w:r w:rsidR="00903A58" w:rsidRPr="00FA2D6F">
        <w:rPr>
          <w:rStyle w:val="cursor-pointer"/>
          <w:rFonts w:cs="Arial"/>
          <w:sz w:val="24"/>
          <w:szCs w:val="24"/>
        </w:rPr>
        <w:t xml:space="preserve"> </w:t>
      </w:r>
      <w:r w:rsidR="00903A58" w:rsidRPr="00FA2D6F">
        <w:rPr>
          <w:color w:val="000000"/>
          <w:sz w:val="24"/>
          <w:szCs w:val="24"/>
          <w:shd w:val="clear" w:color="auto" w:fill="FFFFFF"/>
        </w:rPr>
        <w:t xml:space="preserve">(Tamaz </w:t>
      </w:r>
      <w:proofErr w:type="spellStart"/>
      <w:r w:rsidR="00903A58" w:rsidRPr="00FA2D6F">
        <w:rPr>
          <w:color w:val="000000"/>
          <w:sz w:val="24"/>
          <w:szCs w:val="24"/>
          <w:shd w:val="clear" w:color="auto" w:fill="FFFFFF"/>
        </w:rPr>
        <w:t>Zubiashvili</w:t>
      </w:r>
      <w:proofErr w:type="spellEnd"/>
      <w:r w:rsidR="00903A58" w:rsidRPr="00FA2D6F">
        <w:rPr>
          <w:color w:val="000000"/>
          <w:sz w:val="24"/>
          <w:szCs w:val="24"/>
          <w:shd w:val="clear" w:color="auto" w:fill="FFFFFF"/>
        </w:rPr>
        <w:t xml:space="preserve"> and Nino Zubiashvili, 2021)</w:t>
      </w:r>
      <w:r w:rsidRPr="00FA2D6F">
        <w:rPr>
          <w:rStyle w:val="cursor-pointer"/>
          <w:rFonts w:cs="Arial"/>
          <w:sz w:val="24"/>
          <w:szCs w:val="24"/>
        </w:rPr>
        <w:t>.</w:t>
      </w:r>
    </w:p>
    <w:p w14:paraId="10CD1201" w14:textId="77777777" w:rsidR="002D777D" w:rsidRPr="00FA2D6F" w:rsidRDefault="002D777D" w:rsidP="00750D5B">
      <w:pPr>
        <w:pStyle w:val="Heading3"/>
        <w:rPr>
          <w:rFonts w:ascii="Arial" w:hAnsi="Arial" w:cs="Arial"/>
        </w:rPr>
      </w:pPr>
      <w:bookmarkStart w:id="12" w:name="_Toc241069940"/>
      <w:bookmarkStart w:id="13" w:name="_Toc241246272"/>
      <w:r w:rsidRPr="00FA2D6F">
        <w:rPr>
          <w:rFonts w:ascii="Arial" w:hAnsi="Arial" w:cs="Arial"/>
          <w:bdr w:val="none" w:sz="0" w:space="0" w:color="auto" w:frame="1"/>
        </w:rPr>
        <w:t>Why this dissertation is needed</w:t>
      </w:r>
      <w:bookmarkEnd w:id="12"/>
      <w:bookmarkEnd w:id="13"/>
    </w:p>
    <w:p w14:paraId="26385FF2" w14:textId="4221A2D6" w:rsidR="002D777D" w:rsidRPr="00FA2D6F" w:rsidRDefault="002D777D" w:rsidP="00750D5B">
      <w:pPr>
        <w:rPr>
          <w:rFonts w:eastAsia="Times New Roman" w:cs="Arial"/>
          <w:kern w:val="0"/>
          <w:sz w:val="24"/>
          <w:szCs w:val="24"/>
          <w:lang w:val="en-US" w:eastAsia="en-US"/>
          <w14:ligatures w14:val="none"/>
        </w:rPr>
      </w:pPr>
      <w:r w:rsidRPr="00FA2D6F">
        <w:rPr>
          <w:rStyle w:val="cursor-pointer"/>
          <w:rFonts w:cs="Arial"/>
          <w:sz w:val="24"/>
          <w:szCs w:val="24"/>
        </w:rPr>
        <w:t>Limited evidence already confirms that there are harsh access barriers for older members of ethnic minority groups, and it is not until now that the gaps in their operational failures at the age of 72-80 have been adequately explored.</w:t>
      </w:r>
      <w:r w:rsidRPr="00FA2D6F">
        <w:rPr>
          <w:rFonts w:cs="Arial"/>
          <w:sz w:val="24"/>
          <w:szCs w:val="24"/>
        </w:rPr>
        <w:t xml:space="preserve"> </w:t>
      </w:r>
      <w:r w:rsidRPr="00FA2D6F">
        <w:rPr>
          <w:rStyle w:val="cursor-pointer"/>
          <w:rFonts w:cs="Arial"/>
          <w:sz w:val="24"/>
          <w:szCs w:val="24"/>
        </w:rPr>
        <w:t>Because of this "broadband" synthesis, there is insufficient granularity to support the creation of effective and targeted interventions.</w:t>
      </w:r>
      <w:r w:rsidRPr="00FA2D6F">
        <w:rPr>
          <w:rFonts w:cs="Arial"/>
          <w:sz w:val="24"/>
          <w:szCs w:val="24"/>
        </w:rPr>
        <w:t xml:space="preserve"> </w:t>
      </w:r>
      <w:r w:rsidRPr="00FA2D6F">
        <w:rPr>
          <w:rStyle w:val="cursor-pointer"/>
          <w:rFonts w:cs="Arial"/>
          <w:sz w:val="24"/>
          <w:szCs w:val="24"/>
        </w:rPr>
        <w:t xml:space="preserve">This dissertation is thus needed to bridge the gap of hitherto contradictory evidence, fill the uncontextualized intersectional gaps and </w:t>
      </w:r>
      <w:r w:rsidR="00715336" w:rsidRPr="00FA2D6F">
        <w:rPr>
          <w:rStyle w:val="cursor-pointer"/>
          <w:rFonts w:cs="Arial"/>
          <w:sz w:val="24"/>
          <w:szCs w:val="24"/>
        </w:rPr>
        <w:t>analyse</w:t>
      </w:r>
      <w:r w:rsidRPr="00FA2D6F">
        <w:rPr>
          <w:rStyle w:val="cursor-pointer"/>
          <w:rFonts w:cs="Arial"/>
          <w:sz w:val="24"/>
          <w:szCs w:val="24"/>
        </w:rPr>
        <w:t xml:space="preserve"> the changes that are needed in the current policies to assure equitable access to healthcare for this vulnerable group</w:t>
      </w:r>
      <w:r w:rsidR="00971BF9">
        <w:rPr>
          <w:rStyle w:val="cursor-pointer"/>
          <w:rFonts w:cs="Arial"/>
          <w:sz w:val="24"/>
          <w:szCs w:val="24"/>
        </w:rPr>
        <w:t xml:space="preserve"> (Watkinson et al., 2021)</w:t>
      </w:r>
      <w:r w:rsidRPr="00FA2D6F">
        <w:rPr>
          <w:rStyle w:val="cursor-pointer"/>
          <w:rFonts w:cs="Arial"/>
          <w:sz w:val="24"/>
          <w:szCs w:val="24"/>
        </w:rPr>
        <w:t>.</w:t>
      </w:r>
    </w:p>
    <w:p w14:paraId="5BC58780" w14:textId="77777777" w:rsidR="002D777D" w:rsidRPr="00FA2D6F" w:rsidRDefault="002D777D" w:rsidP="00750D5B">
      <w:pPr>
        <w:pStyle w:val="Heading2"/>
        <w:rPr>
          <w:rFonts w:cs="Arial"/>
          <w:szCs w:val="24"/>
        </w:rPr>
      </w:pPr>
      <w:bookmarkStart w:id="14" w:name="_Toc241069941"/>
      <w:bookmarkStart w:id="15" w:name="_Toc241246273"/>
      <w:r w:rsidRPr="00FA2D6F">
        <w:rPr>
          <w:rFonts w:cs="Arial"/>
          <w:szCs w:val="24"/>
          <w:bdr w:val="none" w:sz="0" w:space="0" w:color="auto" w:frame="1"/>
        </w:rPr>
        <w:t>Research Aim and Objectives</w:t>
      </w:r>
      <w:bookmarkEnd w:id="14"/>
      <w:bookmarkEnd w:id="15"/>
    </w:p>
    <w:p w14:paraId="43EC295E" w14:textId="1C3D057F"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 xml:space="preserve">The overarching aim of this dissertation is to critically review healthcare access and inequalities among ethnic minority </w:t>
      </w:r>
      <w:r w:rsidR="0082073D" w:rsidRPr="00FA2D6F">
        <w:rPr>
          <w:rFonts w:eastAsia="Times New Roman" w:cs="Arial"/>
          <w:sz w:val="24"/>
          <w:szCs w:val="24"/>
          <w:lang w:val="en-US" w:eastAsia="en-US"/>
        </w:rPr>
        <w:t>adults</w:t>
      </w:r>
      <w:r w:rsidRPr="00FA2D6F">
        <w:rPr>
          <w:rFonts w:eastAsia="Times New Roman" w:cs="Arial"/>
          <w:sz w:val="24"/>
          <w:szCs w:val="24"/>
          <w:lang w:val="en-US" w:eastAsia="en-US"/>
        </w:rPr>
        <w:t xml:space="preserve"> aged 72–80 in the UK and to develop evidence-based recommendations to enhance healthcare equity.</w:t>
      </w:r>
    </w:p>
    <w:p w14:paraId="55FBDC41" w14:textId="77777777"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To fulfill this aim, the research is guided by the following objectives:</w:t>
      </w:r>
    </w:p>
    <w:p w14:paraId="3A3D930A" w14:textId="77777777"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 1:</w:t>
      </w:r>
      <w:r w:rsidRPr="00FA2D6F">
        <w:rPr>
          <w:rFonts w:eastAsia="Times New Roman" w:cs="Arial"/>
          <w:sz w:val="24"/>
          <w:szCs w:val="24"/>
          <w:lang w:val="en-US" w:eastAsia="en-US"/>
        </w:rPr>
        <w:t xml:space="preserve"> To examine the structure and delivery of healthcare services relevant to ethnic minority adults aged 72–80 in the UK.</w:t>
      </w:r>
    </w:p>
    <w:p w14:paraId="673EAFE9" w14:textId="10A90155"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RO2:</w:t>
      </w:r>
      <w:r w:rsidRPr="00FA2D6F">
        <w:rPr>
          <w:rFonts w:eastAsia="Times New Roman" w:cs="Arial"/>
          <w:sz w:val="24"/>
          <w:szCs w:val="24"/>
          <w:lang w:val="en-US" w:eastAsia="en-US"/>
        </w:rPr>
        <w:t xml:space="preserve"> To critically </w:t>
      </w:r>
      <w:r w:rsidR="00715336" w:rsidRPr="00FA2D6F">
        <w:rPr>
          <w:rFonts w:eastAsia="Times New Roman" w:cs="Arial"/>
          <w:sz w:val="24"/>
          <w:szCs w:val="24"/>
          <w:lang w:val="en-US" w:eastAsia="en-US"/>
        </w:rPr>
        <w:t>analyses</w:t>
      </w:r>
      <w:r w:rsidRPr="00FA2D6F">
        <w:rPr>
          <w:rFonts w:eastAsia="Times New Roman" w:cs="Arial"/>
          <w:sz w:val="24"/>
          <w:szCs w:val="24"/>
          <w:lang w:val="en-US" w:eastAsia="en-US"/>
        </w:rPr>
        <w:t xml:space="preserve"> the structural, systemic, socioeconomic, and cultural barriers affecting healthcare access among ethnic minority adults aged 72–80.</w:t>
      </w:r>
    </w:p>
    <w:p w14:paraId="6AEF7035" w14:textId="77777777" w:rsidR="002D777D" w:rsidRPr="00FA2D6F" w:rsidRDefault="002D777D" w:rsidP="00750D5B">
      <w:pPr>
        <w:rPr>
          <w:rFonts w:eastAsia="Times New Roman" w:cs="Arial"/>
          <w:sz w:val="24"/>
          <w:szCs w:val="24"/>
          <w:lang w:val="en-US" w:eastAsia="en-US"/>
        </w:rPr>
      </w:pPr>
      <w:r w:rsidRPr="00FA2D6F">
        <w:rPr>
          <w:rFonts w:eastAsia="Times New Roman" w:cs="Arial"/>
          <w:b/>
          <w:bCs/>
          <w:sz w:val="24"/>
          <w:szCs w:val="24"/>
          <w:bdr w:val="none" w:sz="0" w:space="0" w:color="auto" w:frame="1"/>
          <w:lang w:val="en-US" w:eastAsia="en-US"/>
        </w:rPr>
        <w:t>RO3:</w:t>
      </w:r>
      <w:r w:rsidRPr="00FA2D6F">
        <w:rPr>
          <w:rFonts w:eastAsia="Times New Roman" w:cs="Arial"/>
          <w:sz w:val="24"/>
          <w:szCs w:val="24"/>
          <w:lang w:val="en-US" w:eastAsia="en-US"/>
        </w:rPr>
        <w:t xml:space="preserve"> To critically evaluate the extent to which relevant UK healthcare policies and interventions effectively address identified inequalities for this demographic.</w:t>
      </w:r>
    </w:p>
    <w:p w14:paraId="7EB0970A" w14:textId="77777777" w:rsidR="002D777D" w:rsidRPr="00FA2D6F" w:rsidRDefault="002D777D" w:rsidP="00750D5B">
      <w:pPr>
        <w:spacing w:after="0"/>
        <w:rPr>
          <w:rFonts w:eastAsia="Times New Roman" w:cs="Arial"/>
          <w:kern w:val="0"/>
          <w:sz w:val="24"/>
          <w:szCs w:val="24"/>
          <w:lang w:val="en-US" w:eastAsia="en-US"/>
          <w14:ligatures w14:val="none"/>
        </w:rPr>
      </w:pPr>
      <w:r w:rsidRPr="00FA2D6F">
        <w:rPr>
          <w:rFonts w:eastAsia="Times New Roman" w:cs="Arial"/>
          <w:b/>
          <w:bCs/>
          <w:kern w:val="0"/>
          <w:sz w:val="24"/>
          <w:szCs w:val="24"/>
          <w:bdr w:val="none" w:sz="0" w:space="0" w:color="auto" w:frame="1"/>
          <w:lang w:val="en-US" w:eastAsia="en-US"/>
          <w14:ligatures w14:val="none"/>
        </w:rPr>
        <w:t>RO4:</w:t>
      </w:r>
      <w:r w:rsidRPr="00FA2D6F">
        <w:rPr>
          <w:rFonts w:eastAsia="Times New Roman" w:cs="Arial"/>
          <w:kern w:val="0"/>
          <w:sz w:val="24"/>
          <w:szCs w:val="24"/>
          <w:lang w:val="en-US" w:eastAsia="en-US"/>
          <w14:ligatures w14:val="none"/>
        </w:rPr>
        <w:t xml:space="preserve"> To develop evidence-based recommendations for improving equitable healthcare access and culturally competent care delivery among ethnic minority adults aged 72–80.</w:t>
      </w:r>
    </w:p>
    <w:p w14:paraId="579F4927" w14:textId="77777777" w:rsidR="002D777D" w:rsidRPr="00FA2D6F" w:rsidRDefault="002D777D" w:rsidP="00750D5B">
      <w:pPr>
        <w:spacing w:after="0"/>
        <w:rPr>
          <w:rFonts w:eastAsia="Times New Roman" w:cs="Arial"/>
          <w:kern w:val="0"/>
          <w:sz w:val="24"/>
          <w:szCs w:val="24"/>
          <w:lang w:val="en-US" w:eastAsia="en-US"/>
          <w14:ligatures w14:val="none"/>
        </w:rPr>
      </w:pPr>
    </w:p>
    <w:p w14:paraId="14C63403" w14:textId="77777777" w:rsidR="002D777D" w:rsidRPr="00FA2D6F" w:rsidRDefault="002D777D" w:rsidP="00750D5B">
      <w:pPr>
        <w:pStyle w:val="Heading2"/>
        <w:rPr>
          <w:rFonts w:cs="Arial"/>
          <w:szCs w:val="24"/>
        </w:rPr>
      </w:pPr>
      <w:bookmarkStart w:id="16" w:name="_Toc241069942"/>
      <w:bookmarkStart w:id="17" w:name="_Toc241246274"/>
      <w:r w:rsidRPr="00FA2D6F">
        <w:rPr>
          <w:rFonts w:cs="Arial"/>
          <w:szCs w:val="24"/>
          <w:bdr w:val="none" w:sz="0" w:space="0" w:color="auto" w:frame="1"/>
        </w:rPr>
        <w:t>Research Question</w:t>
      </w:r>
      <w:bookmarkEnd w:id="16"/>
      <w:bookmarkEnd w:id="17"/>
    </w:p>
    <w:p w14:paraId="12C61E93" w14:textId="6C088C9C"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How do structural, systemic, socioeconomic, and cultural factors influence healthcare access and inequalities among adults aged 72–80 in the UK, and how effectively do existing healthcare policies address these inequalities?</w:t>
      </w:r>
    </w:p>
    <w:p w14:paraId="558FABD1" w14:textId="77777777" w:rsidR="002D777D" w:rsidRPr="00FA2D6F" w:rsidRDefault="002D777D" w:rsidP="00750D5B">
      <w:pPr>
        <w:pStyle w:val="Heading2"/>
        <w:rPr>
          <w:rFonts w:cs="Arial"/>
          <w:szCs w:val="24"/>
        </w:rPr>
      </w:pPr>
      <w:bookmarkStart w:id="18" w:name="_Toc241069943"/>
      <w:bookmarkStart w:id="19" w:name="_Toc241246275"/>
      <w:r w:rsidRPr="00FA2D6F">
        <w:rPr>
          <w:rFonts w:cs="Arial"/>
          <w:szCs w:val="24"/>
          <w:bdr w:val="none" w:sz="0" w:space="0" w:color="auto" w:frame="1"/>
        </w:rPr>
        <w:lastRenderedPageBreak/>
        <w:t>Chapter Conclusion</w:t>
      </w:r>
      <w:bookmarkEnd w:id="18"/>
      <w:bookmarkEnd w:id="19"/>
    </w:p>
    <w:p w14:paraId="4AA57EA0" w14:textId="3E47D619"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This chapter has highlighted the key challenge of healthcare inequalities amongst ethnic minority aged people in the UK. It outlined the shift towards a digital health household and identified barriers to systemic healthcare services and the lack of detailed research on the specific impact these structural and cultural issues have on older (aged 72-80) adults. To overcome this, defined research goals and a research question were created to inform the critical evaluation of NHS policies and access frameworks. In the next chapter (Chapter 2), a full literature review will be conducted and provide critical analysis of existing evidence on these complex barriers and inequities.</w:t>
      </w:r>
    </w:p>
    <w:p w14:paraId="7A60708C" w14:textId="09CDEF84" w:rsidR="003E21B0" w:rsidRPr="00FA2D6F" w:rsidRDefault="003E21B0">
      <w:pPr>
        <w:spacing w:line="259" w:lineRule="auto"/>
        <w:jc w:val="left"/>
        <w:rPr>
          <w:rFonts w:eastAsia="Times New Roman" w:cs="Arial"/>
          <w:sz w:val="24"/>
          <w:szCs w:val="24"/>
          <w:lang w:val="en-US" w:eastAsia="en-US"/>
        </w:rPr>
      </w:pPr>
      <w:r w:rsidRPr="00FA2D6F">
        <w:rPr>
          <w:rFonts w:eastAsia="Times New Roman" w:cs="Arial"/>
          <w:sz w:val="24"/>
          <w:szCs w:val="24"/>
          <w:lang w:val="en-US" w:eastAsia="en-US"/>
        </w:rPr>
        <w:br w:type="page"/>
      </w:r>
    </w:p>
    <w:p w14:paraId="3C6A625D" w14:textId="77777777" w:rsidR="000C3913" w:rsidRPr="00FA2D6F" w:rsidRDefault="000C3913" w:rsidP="00750D5B">
      <w:pPr>
        <w:rPr>
          <w:rFonts w:eastAsia="Times New Roman" w:cs="Arial"/>
          <w:sz w:val="24"/>
          <w:szCs w:val="24"/>
          <w:lang w:val="en-US" w:eastAsia="en-US"/>
        </w:rPr>
      </w:pPr>
    </w:p>
    <w:p w14:paraId="33D4B98F" w14:textId="1F8590C1" w:rsidR="000D0641" w:rsidRPr="00FA2D6F" w:rsidRDefault="000D0641" w:rsidP="00750D5B">
      <w:pPr>
        <w:pStyle w:val="Heading1"/>
        <w:spacing w:line="360" w:lineRule="auto"/>
        <w:ind w:left="0"/>
        <w:jc w:val="both"/>
        <w:rPr>
          <w:rFonts w:cs="Arial"/>
          <w:sz w:val="24"/>
          <w:szCs w:val="24"/>
        </w:rPr>
      </w:pPr>
      <w:bookmarkStart w:id="20" w:name="_Toc241246276"/>
      <w:r w:rsidRPr="00FA2D6F">
        <w:rPr>
          <w:rFonts w:cs="Arial"/>
          <w:sz w:val="24"/>
          <w:szCs w:val="24"/>
        </w:rPr>
        <w:t xml:space="preserve">CHAPTER 2 – </w:t>
      </w:r>
      <w:r w:rsidR="00BD2909" w:rsidRPr="00FA2D6F">
        <w:rPr>
          <w:rFonts w:cs="Arial"/>
          <w:sz w:val="24"/>
          <w:szCs w:val="24"/>
        </w:rPr>
        <w:t xml:space="preserve">Background </w:t>
      </w:r>
      <w:r w:rsidR="00F44833" w:rsidRPr="00FA2D6F">
        <w:rPr>
          <w:rFonts w:cs="Arial"/>
          <w:sz w:val="24"/>
          <w:szCs w:val="24"/>
        </w:rPr>
        <w:t xml:space="preserve">Information and </w:t>
      </w:r>
      <w:r w:rsidR="00BD2909" w:rsidRPr="00FA2D6F">
        <w:rPr>
          <w:rFonts w:cs="Arial"/>
          <w:sz w:val="24"/>
          <w:szCs w:val="24"/>
        </w:rPr>
        <w:t>Analysis</w:t>
      </w:r>
      <w:bookmarkEnd w:id="20"/>
      <w:r w:rsidRPr="00FA2D6F">
        <w:rPr>
          <w:rFonts w:cs="Arial"/>
          <w:sz w:val="24"/>
          <w:szCs w:val="24"/>
        </w:rPr>
        <w:t xml:space="preserve"> </w:t>
      </w:r>
    </w:p>
    <w:p w14:paraId="5A6B56B4" w14:textId="77777777" w:rsidR="002D777D" w:rsidRPr="00FA2D6F" w:rsidRDefault="002D777D" w:rsidP="00750D5B">
      <w:pPr>
        <w:pStyle w:val="Heading2"/>
        <w:rPr>
          <w:rFonts w:cs="Arial"/>
          <w:szCs w:val="24"/>
        </w:rPr>
      </w:pPr>
      <w:bookmarkStart w:id="21" w:name="_Toc241246277"/>
      <w:r w:rsidRPr="00FA2D6F">
        <w:rPr>
          <w:rFonts w:cs="Arial"/>
          <w:szCs w:val="24"/>
          <w:bdr w:val="none" w:sz="0" w:space="0" w:color="auto" w:frame="1"/>
        </w:rPr>
        <w:t>Introduction</w:t>
      </w:r>
      <w:bookmarkEnd w:id="21"/>
    </w:p>
    <w:p w14:paraId="62EA0E61" w14:textId="549A7FE4"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The chapter provides a historical, theoretical and contextual background to understand the ongoing health care disparities experienced by adults aged 72-80 in the UK.</w:t>
      </w:r>
      <w:r w:rsidRPr="00FA2D6F">
        <w:rPr>
          <w:rFonts w:cs="Arial"/>
          <w:sz w:val="24"/>
          <w:szCs w:val="24"/>
        </w:rPr>
        <w:t xml:space="preserve"> </w:t>
      </w:r>
      <w:r w:rsidRPr="00FA2D6F">
        <w:rPr>
          <w:rStyle w:val="cursor-pointer"/>
          <w:rFonts w:cs="Arial"/>
          <w:sz w:val="24"/>
          <w:szCs w:val="24"/>
        </w:rPr>
        <w:t xml:space="preserve">This section does not draw conclusions about the thematic analysis of primary data to be undertaken later in Chapter </w:t>
      </w:r>
      <w:r w:rsidR="00715336" w:rsidRPr="00FA2D6F">
        <w:rPr>
          <w:rStyle w:val="cursor-pointer"/>
          <w:rFonts w:cs="Arial"/>
          <w:sz w:val="24"/>
          <w:szCs w:val="24"/>
        </w:rPr>
        <w:t>4 but</w:t>
      </w:r>
      <w:r w:rsidRPr="00FA2D6F">
        <w:rPr>
          <w:rStyle w:val="cursor-pointer"/>
          <w:rFonts w:cs="Arial"/>
          <w:sz w:val="24"/>
          <w:szCs w:val="24"/>
        </w:rPr>
        <w:t xml:space="preserve"> rather allows for a critical discussion on the evolution of the National Health Service (NHS) and the demands placed by a structurally dive</w:t>
      </w:r>
      <w:r w:rsidR="00AF7C71" w:rsidRPr="00FA2D6F">
        <w:rPr>
          <w:rStyle w:val="cursor-pointer"/>
          <w:rFonts w:cs="Arial"/>
          <w:sz w:val="24"/>
          <w:szCs w:val="24"/>
        </w:rPr>
        <w:t>rse ageing nation</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Last the chapter reviews the policy environment in the UK at national and local level and how wider policy goals often are not reflected in a clear fashion in equity provided for marginalised older groups at point of care through the NHS Long Term Plan.</w:t>
      </w:r>
    </w:p>
    <w:p w14:paraId="48369B05" w14:textId="77777777" w:rsidR="002D777D" w:rsidRPr="00FA2D6F" w:rsidRDefault="002D777D" w:rsidP="00750D5B">
      <w:pPr>
        <w:pStyle w:val="Heading2"/>
        <w:rPr>
          <w:rFonts w:cs="Arial"/>
          <w:szCs w:val="24"/>
        </w:rPr>
      </w:pPr>
      <w:bookmarkStart w:id="22" w:name="_Toc241246278"/>
      <w:r w:rsidRPr="00FA2D6F">
        <w:rPr>
          <w:rFonts w:cs="Arial"/>
          <w:szCs w:val="24"/>
          <w:bdr w:val="none" w:sz="0" w:space="0" w:color="auto" w:frame="1"/>
        </w:rPr>
        <w:t>Historical Background</w:t>
      </w:r>
      <w:bookmarkEnd w:id="22"/>
    </w:p>
    <w:p w14:paraId="71E5EB5A" w14:textId="77777777" w:rsidR="002D777D" w:rsidRPr="00FA2D6F" w:rsidRDefault="002D777D" w:rsidP="00750D5B">
      <w:pPr>
        <w:pStyle w:val="Heading3"/>
        <w:rPr>
          <w:rFonts w:ascii="Arial" w:hAnsi="Arial" w:cs="Arial"/>
        </w:rPr>
      </w:pPr>
      <w:bookmarkStart w:id="23" w:name="_Toc241246279"/>
      <w:r w:rsidRPr="00FA2D6F">
        <w:rPr>
          <w:rFonts w:ascii="Arial" w:hAnsi="Arial" w:cs="Arial"/>
          <w:bdr w:val="none" w:sz="0" w:space="0" w:color="auto" w:frame="1"/>
        </w:rPr>
        <w:t>Development of UK healthcare provision</w:t>
      </w:r>
      <w:bookmarkEnd w:id="23"/>
    </w:p>
    <w:p w14:paraId="6C193B27" w14:textId="27B1680E" w:rsidR="00F37EC0" w:rsidRPr="00FA2D6F" w:rsidRDefault="002D777D" w:rsidP="00750D5B">
      <w:pPr>
        <w:rPr>
          <w:rFonts w:cs="Arial"/>
          <w:sz w:val="24"/>
          <w:szCs w:val="24"/>
        </w:rPr>
      </w:pPr>
      <w:r w:rsidRPr="00FA2D6F">
        <w:rPr>
          <w:rStyle w:val="cursor-pointer"/>
          <w:rFonts w:cs="Arial"/>
          <w:sz w:val="24"/>
          <w:szCs w:val="24"/>
        </w:rPr>
        <w:t>To provide free health care to everyone was the basic principle of the National Health Service at its birth.</w:t>
      </w:r>
      <w:r w:rsidRPr="00FA2D6F">
        <w:rPr>
          <w:rFonts w:cs="Arial"/>
          <w:sz w:val="24"/>
          <w:szCs w:val="24"/>
        </w:rPr>
        <w:t xml:space="preserve"> </w:t>
      </w:r>
      <w:r w:rsidRPr="00FA2D6F">
        <w:rPr>
          <w:rStyle w:val="cursor-pointer"/>
          <w:rFonts w:cs="Arial"/>
          <w:sz w:val="24"/>
          <w:szCs w:val="24"/>
        </w:rPr>
        <w:t>But universal coverage is not universal equity, as demonstrated in studies of the past.</w:t>
      </w:r>
      <w:r w:rsidRPr="00FA2D6F">
        <w:rPr>
          <w:rFonts w:cs="Arial"/>
          <w:sz w:val="24"/>
          <w:szCs w:val="24"/>
        </w:rPr>
        <w:t xml:space="preserve"> </w:t>
      </w:r>
      <w:r w:rsidRPr="00FA2D6F">
        <w:rPr>
          <w:rStyle w:val="cursor-pointer"/>
          <w:rFonts w:cs="Arial"/>
          <w:sz w:val="24"/>
          <w:szCs w:val="24"/>
        </w:rPr>
        <w:t>The history of NHS services over decades has always been marred by difficulties in keeping pace with the increase in the need of a growing population of intersectional needs</w:t>
      </w:r>
      <w:r w:rsidR="00B61086">
        <w:rPr>
          <w:rStyle w:val="cursor-pointer"/>
          <w:rFonts w:cs="Arial"/>
          <w:sz w:val="24"/>
          <w:szCs w:val="24"/>
        </w:rPr>
        <w:t xml:space="preserve"> (</w:t>
      </w:r>
      <w:r w:rsidR="00D74D1B">
        <w:rPr>
          <w:rStyle w:val="cursor-pointer"/>
          <w:rFonts w:cs="Arial"/>
          <w:sz w:val="24"/>
          <w:szCs w:val="24"/>
        </w:rPr>
        <w:t>Victor et al., 2020</w:t>
      </w:r>
      <w:r w:rsidR="00B61086">
        <w:rPr>
          <w:rStyle w:val="cursor-pointer"/>
          <w:rFonts w:cs="Arial"/>
          <w:sz w:val="24"/>
          <w:szCs w:val="24"/>
        </w:rPr>
        <w:t>)</w:t>
      </w:r>
      <w:r w:rsidRPr="00FA2D6F">
        <w:rPr>
          <w:rStyle w:val="cursor-pointer"/>
          <w:rFonts w:cs="Arial"/>
          <w:sz w:val="24"/>
          <w:szCs w:val="24"/>
        </w:rPr>
        <w:t>.</w:t>
      </w:r>
      <w:r w:rsidRPr="00FA2D6F">
        <w:rPr>
          <w:rFonts w:cs="Arial"/>
          <w:sz w:val="24"/>
          <w:szCs w:val="24"/>
        </w:rPr>
        <w:t xml:space="preserve"> </w:t>
      </w:r>
    </w:p>
    <w:p w14:paraId="1C82C20D" w14:textId="2023A82A" w:rsidR="002D777D" w:rsidRPr="00FA2D6F" w:rsidRDefault="002D777D" w:rsidP="00750D5B">
      <w:pPr>
        <w:rPr>
          <w:rFonts w:cs="Arial"/>
          <w:sz w:val="24"/>
          <w:szCs w:val="24"/>
        </w:rPr>
      </w:pPr>
      <w:r w:rsidRPr="00FA2D6F">
        <w:rPr>
          <w:rStyle w:val="cursor-pointer"/>
          <w:rFonts w:cs="Arial"/>
          <w:sz w:val="24"/>
          <w:szCs w:val="24"/>
        </w:rPr>
        <w:t xml:space="preserve">Early designs of medical care focused on acute, </w:t>
      </w:r>
      <w:r w:rsidR="00877B0F" w:rsidRPr="00FA2D6F">
        <w:rPr>
          <w:rStyle w:val="cursor-pointer"/>
          <w:rFonts w:cs="Arial"/>
          <w:sz w:val="24"/>
          <w:szCs w:val="24"/>
        </w:rPr>
        <w:t>hospital-based</w:t>
      </w:r>
      <w:r w:rsidRPr="00FA2D6F">
        <w:rPr>
          <w:rStyle w:val="cursor-pointer"/>
          <w:rFonts w:cs="Arial"/>
          <w:sz w:val="24"/>
          <w:szCs w:val="24"/>
        </w:rPr>
        <w:t xml:space="preserve"> care delivered to a rather uniform population of younger age, but these structures have had very limited success with addressing marginalised populations.</w:t>
      </w:r>
      <w:r w:rsidRPr="00FA2D6F">
        <w:rPr>
          <w:rFonts w:cs="Arial"/>
          <w:sz w:val="24"/>
          <w:szCs w:val="24"/>
        </w:rPr>
        <w:t xml:space="preserve"> </w:t>
      </w:r>
      <w:r w:rsidRPr="00FA2D6F">
        <w:rPr>
          <w:rStyle w:val="cursor-pointer"/>
          <w:rFonts w:cs="Arial"/>
          <w:sz w:val="24"/>
          <w:szCs w:val="24"/>
        </w:rPr>
        <w:t>Racial disparities in health service provision have been persistent issues and Kapadia (2023) identifies that histories of institutional racism have always excluded ethnic minority groups from the needs they express to the NHS; ethnic minorities face specific cultural and linguistic needs that are overlooked and uncompromising by NHS policies.</w:t>
      </w:r>
      <w:r w:rsidRPr="00FA2D6F">
        <w:rPr>
          <w:rFonts w:cs="Arial"/>
          <w:sz w:val="24"/>
          <w:szCs w:val="24"/>
        </w:rPr>
        <w:t xml:space="preserve"> </w:t>
      </w:r>
      <w:r w:rsidR="00BE1DBC" w:rsidRPr="00FA2D6F">
        <w:rPr>
          <w:rFonts w:cs="Arial"/>
          <w:sz w:val="24"/>
          <w:szCs w:val="24"/>
        </w:rPr>
        <w:t>Qualitative synthesis across UK evidence also indicates that experiences of racism, migration and institutional practices can shape access to and experiences of healthcare am</w:t>
      </w:r>
      <w:r w:rsidR="00471194" w:rsidRPr="00FA2D6F">
        <w:rPr>
          <w:rFonts w:cs="Arial"/>
          <w:sz w:val="24"/>
          <w:szCs w:val="24"/>
        </w:rPr>
        <w:t>ong ethnic minority populations</w:t>
      </w:r>
      <w:r w:rsidR="00903A58" w:rsidRPr="00FA2D6F">
        <w:rPr>
          <w:color w:val="000000"/>
          <w:sz w:val="24"/>
          <w:szCs w:val="24"/>
          <w:shd w:val="clear" w:color="auto" w:fill="FFFFFF"/>
        </w:rPr>
        <w:t xml:space="preserve"> (Tamaz </w:t>
      </w:r>
      <w:proofErr w:type="spellStart"/>
      <w:r w:rsidR="00903A58" w:rsidRPr="00FA2D6F">
        <w:rPr>
          <w:color w:val="000000"/>
          <w:sz w:val="24"/>
          <w:szCs w:val="24"/>
          <w:shd w:val="clear" w:color="auto" w:fill="FFFFFF"/>
        </w:rPr>
        <w:t>Zubiashvili</w:t>
      </w:r>
      <w:proofErr w:type="spellEnd"/>
      <w:r w:rsidR="00903A58" w:rsidRPr="00FA2D6F">
        <w:rPr>
          <w:color w:val="000000"/>
          <w:sz w:val="24"/>
          <w:szCs w:val="24"/>
          <w:shd w:val="clear" w:color="auto" w:fill="FFFFFF"/>
        </w:rPr>
        <w:t xml:space="preserve"> and Nino Zubiashvili, 2021)</w:t>
      </w:r>
      <w:r w:rsidR="00471194" w:rsidRPr="00FA2D6F">
        <w:rPr>
          <w:rFonts w:cs="Arial"/>
          <w:sz w:val="24"/>
          <w:szCs w:val="24"/>
        </w:rPr>
        <w:t>.</w:t>
      </w:r>
    </w:p>
    <w:p w14:paraId="5F5B24FE" w14:textId="77777777" w:rsidR="002D777D" w:rsidRPr="00FA2D6F" w:rsidRDefault="002D777D" w:rsidP="00750D5B">
      <w:pPr>
        <w:pStyle w:val="Heading3"/>
        <w:rPr>
          <w:rFonts w:ascii="Arial" w:hAnsi="Arial" w:cs="Arial"/>
        </w:rPr>
      </w:pPr>
      <w:bookmarkStart w:id="24" w:name="_Toc241246280"/>
      <w:r w:rsidRPr="00FA2D6F">
        <w:rPr>
          <w:rFonts w:ascii="Arial" w:hAnsi="Arial" w:cs="Arial"/>
          <w:bdr w:val="none" w:sz="0" w:space="0" w:color="auto" w:frame="1"/>
        </w:rPr>
        <w:t>Changing needs of an ageing population</w:t>
      </w:r>
      <w:bookmarkEnd w:id="24"/>
    </w:p>
    <w:p w14:paraId="1B830A45" w14:textId="305B1703" w:rsidR="0082073D" w:rsidRPr="00FA2D6F" w:rsidRDefault="0082073D" w:rsidP="00750D5B">
      <w:pPr>
        <w:rPr>
          <w:rFonts w:cs="Arial"/>
          <w:sz w:val="24"/>
          <w:szCs w:val="24"/>
        </w:rPr>
      </w:pPr>
      <w:r w:rsidRPr="00FA2D6F">
        <w:rPr>
          <w:rFonts w:cs="Arial"/>
          <w:sz w:val="24"/>
          <w:szCs w:val="24"/>
        </w:rPr>
        <w:t xml:space="preserve">At the same time, the UK has experienced a complete swing in its demographic make- up with a bigger and more aging population, and a higher prevalence for </w:t>
      </w:r>
      <w:r w:rsidRPr="00FA2D6F">
        <w:rPr>
          <w:rFonts w:cs="Arial"/>
          <w:sz w:val="24"/>
          <w:szCs w:val="24"/>
        </w:rPr>
        <w:lastRenderedPageBreak/>
        <w:t>chronic</w:t>
      </w:r>
      <w:r w:rsidR="00471194" w:rsidRPr="00FA2D6F">
        <w:rPr>
          <w:rFonts w:cs="Arial"/>
          <w:sz w:val="24"/>
          <w:szCs w:val="24"/>
        </w:rPr>
        <w:t xml:space="preserve"> conditions and multimorbidity. </w:t>
      </w:r>
      <w:r w:rsidRPr="00FA2D6F">
        <w:rPr>
          <w:rFonts w:cs="Arial"/>
          <w:sz w:val="24"/>
          <w:szCs w:val="24"/>
        </w:rPr>
        <w:t xml:space="preserve">This 72-80 age group is a key age group for adults facing the transition. As found in the study conducted by </w:t>
      </w:r>
      <w:proofErr w:type="spellStart"/>
      <w:r w:rsidRPr="00FA2D6F">
        <w:rPr>
          <w:rFonts w:cs="Arial"/>
          <w:sz w:val="24"/>
          <w:szCs w:val="24"/>
        </w:rPr>
        <w:t>Migéot</w:t>
      </w:r>
      <w:proofErr w:type="spellEnd"/>
      <w:r w:rsidRPr="00FA2D6F">
        <w:rPr>
          <w:rFonts w:cs="Arial"/>
          <w:sz w:val="24"/>
          <w:szCs w:val="24"/>
        </w:rPr>
        <w:t xml:space="preserve"> et al. (2022), there are additional risk factors if an individual is many years old and in social disadvantage, which cannot be easily tackled by the classic clinical models that can be used</w:t>
      </w:r>
      <w:r w:rsidR="003E21B0" w:rsidRPr="00FA2D6F">
        <w:rPr>
          <w:rFonts w:cs="Arial"/>
          <w:sz w:val="24"/>
          <w:szCs w:val="24"/>
        </w:rPr>
        <w:t xml:space="preserve"> </w:t>
      </w:r>
      <w:r w:rsidR="003E21B0" w:rsidRPr="00FA2D6F">
        <w:rPr>
          <w:color w:val="000000"/>
          <w:sz w:val="24"/>
          <w:szCs w:val="24"/>
          <w:shd w:val="clear" w:color="auto" w:fill="FFFFFF"/>
        </w:rPr>
        <w:t>(</w:t>
      </w:r>
      <w:r w:rsidR="005E0E06">
        <w:rPr>
          <w:color w:val="000000"/>
          <w:sz w:val="24"/>
          <w:szCs w:val="24"/>
          <w:shd w:val="clear" w:color="auto" w:fill="FFFFFF"/>
        </w:rPr>
        <w:t>McKee</w:t>
      </w:r>
      <w:r w:rsidR="003E21B0" w:rsidRPr="00FA2D6F">
        <w:rPr>
          <w:color w:val="000000"/>
          <w:sz w:val="24"/>
          <w:szCs w:val="24"/>
          <w:shd w:val="clear" w:color="auto" w:fill="FFFFFF"/>
        </w:rPr>
        <w:t xml:space="preserve"> et al., 2021)</w:t>
      </w:r>
      <w:r w:rsidRPr="00FA2D6F">
        <w:rPr>
          <w:rFonts w:cs="Arial"/>
          <w:sz w:val="24"/>
          <w:szCs w:val="24"/>
        </w:rPr>
        <w:t>.</w:t>
      </w:r>
    </w:p>
    <w:p w14:paraId="11CDF4EC" w14:textId="77777777" w:rsidR="002D777D" w:rsidRPr="00FA2D6F" w:rsidRDefault="002D777D" w:rsidP="00750D5B">
      <w:pPr>
        <w:pStyle w:val="Heading3"/>
        <w:rPr>
          <w:rFonts w:ascii="Arial" w:hAnsi="Arial" w:cs="Arial"/>
        </w:rPr>
      </w:pPr>
      <w:bookmarkStart w:id="25" w:name="_Toc241246281"/>
      <w:r w:rsidRPr="00FA2D6F">
        <w:rPr>
          <w:rFonts w:ascii="Arial" w:hAnsi="Arial" w:cs="Arial"/>
          <w:bdr w:val="none" w:sz="0" w:space="0" w:color="auto" w:frame="1"/>
        </w:rPr>
        <w:t>Development toward integrated and digital healthcare</w:t>
      </w:r>
      <w:bookmarkEnd w:id="25"/>
    </w:p>
    <w:p w14:paraId="755A84E2" w14:textId="039836EF" w:rsidR="00D37424" w:rsidRPr="00FA2D6F" w:rsidRDefault="002D777D" w:rsidP="00750D5B">
      <w:pPr>
        <w:rPr>
          <w:rFonts w:cs="Arial"/>
          <w:sz w:val="24"/>
          <w:szCs w:val="24"/>
        </w:rPr>
      </w:pPr>
      <w:r w:rsidRPr="00FA2D6F">
        <w:rPr>
          <w:rStyle w:val="cursor-pointer"/>
          <w:rFonts w:cs="Arial"/>
          <w:sz w:val="24"/>
          <w:szCs w:val="24"/>
        </w:rPr>
        <w:t>The NHS has tried to shift gears over the past few years to try to respond to these pressures by moving towards more integrated, community-based and increasingly digital models of delivering health care.</w:t>
      </w:r>
      <w:r w:rsidRPr="00FA2D6F">
        <w:rPr>
          <w:rFonts w:cs="Arial"/>
          <w:sz w:val="24"/>
          <w:szCs w:val="24"/>
        </w:rPr>
        <w:t xml:space="preserve"> </w:t>
      </w:r>
      <w:r w:rsidRPr="00FA2D6F">
        <w:rPr>
          <w:rStyle w:val="cursor-pointer"/>
          <w:rFonts w:cs="Arial"/>
          <w:sz w:val="24"/>
          <w:szCs w:val="24"/>
        </w:rPr>
        <w:t>To be offered as an evolutionary development but now with the emergence of new mechanisms of eviction</w:t>
      </w:r>
      <w:r w:rsidR="00B61086">
        <w:rPr>
          <w:rStyle w:val="cursor-pointer"/>
          <w:rFonts w:cs="Arial"/>
          <w:sz w:val="24"/>
          <w:szCs w:val="24"/>
        </w:rPr>
        <w:t xml:space="preserve"> (Chatzi et al., 2023)</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“The number of digital health innovations were designed to complement health care; however, they take for granted basic levels of digital literacy and access that are often lacking in the marg</w:t>
      </w:r>
      <w:r w:rsidR="00AF7C71" w:rsidRPr="00FA2D6F">
        <w:rPr>
          <w:rStyle w:val="cursor-pointer"/>
          <w:rFonts w:cs="Arial"/>
          <w:sz w:val="24"/>
          <w:szCs w:val="24"/>
        </w:rPr>
        <w:t>inalised and older age groups (Mike Torous,</w:t>
      </w:r>
      <w:r w:rsidRPr="00FA2D6F">
        <w:rPr>
          <w:rStyle w:val="cursor-pointer"/>
          <w:rFonts w:cs="Arial"/>
          <w:sz w:val="24"/>
          <w:szCs w:val="24"/>
        </w:rPr>
        <w:t>2025).</w:t>
      </w:r>
      <w:r w:rsidRPr="00FA2D6F">
        <w:rPr>
          <w:rFonts w:cs="Arial"/>
          <w:sz w:val="24"/>
          <w:szCs w:val="24"/>
        </w:rPr>
        <w:t xml:space="preserve"> </w:t>
      </w:r>
    </w:p>
    <w:p w14:paraId="2539C193" w14:textId="6E93FB96" w:rsidR="002D777D" w:rsidRPr="00FA2D6F" w:rsidRDefault="0083439F" w:rsidP="00750D5B">
      <w:pPr>
        <w:rPr>
          <w:rFonts w:cs="Arial"/>
          <w:sz w:val="24"/>
          <w:szCs w:val="24"/>
          <w:lang w:val="en-US"/>
        </w:rPr>
      </w:pPr>
      <w:r w:rsidRPr="00FA2D6F">
        <w:rPr>
          <w:rFonts w:cs="Arial"/>
          <w:sz w:val="24"/>
          <w:szCs w:val="24"/>
        </w:rPr>
        <w:t xml:space="preserve">Wider longitudinal evidence also links digital exclusion with poorer functional outcomes among </w:t>
      </w:r>
      <w:r w:rsidR="00332080" w:rsidRPr="00FA2D6F">
        <w:rPr>
          <w:rFonts w:cs="Arial"/>
          <w:sz w:val="24"/>
          <w:szCs w:val="24"/>
        </w:rPr>
        <w:t>mi</w:t>
      </w:r>
      <w:r w:rsidR="0082073D" w:rsidRPr="00FA2D6F">
        <w:rPr>
          <w:rFonts w:cs="Arial"/>
          <w:sz w:val="24"/>
          <w:szCs w:val="24"/>
        </w:rPr>
        <w:t>nority adults</w:t>
      </w:r>
      <w:r w:rsidRPr="00FA2D6F">
        <w:rPr>
          <w:rFonts w:cs="Arial"/>
          <w:sz w:val="24"/>
          <w:szCs w:val="24"/>
        </w:rPr>
        <w:t xml:space="preserve">, reinforcing the importance of treating digital access as part of wider health inequality rather than simply a technological issue (Lu et al., 2022). </w:t>
      </w:r>
      <w:r w:rsidR="002D777D" w:rsidRPr="00FA2D6F">
        <w:rPr>
          <w:rStyle w:val="cursor-pointer"/>
          <w:rFonts w:cs="Arial"/>
          <w:sz w:val="24"/>
          <w:szCs w:val="24"/>
        </w:rPr>
        <w:t>Studies show that in the swift rollout of digital care modalities, a large percentage of underserved populations were completely out of reach of care pathways by techn</w:t>
      </w:r>
      <w:r w:rsidR="00471194" w:rsidRPr="00FA2D6F">
        <w:rPr>
          <w:rStyle w:val="cursor-pointer"/>
          <w:rFonts w:cs="Arial"/>
          <w:sz w:val="24"/>
          <w:szCs w:val="24"/>
        </w:rPr>
        <w:t xml:space="preserve">ological and linguistic factors. </w:t>
      </w:r>
      <w:r w:rsidR="002D777D" w:rsidRPr="00FA2D6F">
        <w:rPr>
          <w:rStyle w:val="cursor-pointer"/>
          <w:rFonts w:cs="Arial"/>
          <w:sz w:val="24"/>
          <w:szCs w:val="24"/>
        </w:rPr>
        <w:t xml:space="preserve">This chronological integration is seemingly progressive yet also acts as a </w:t>
      </w:r>
      <w:r w:rsidR="0082073D" w:rsidRPr="00FA2D6F">
        <w:rPr>
          <w:rStyle w:val="cursor-pointer"/>
          <w:rFonts w:cs="Arial"/>
          <w:sz w:val="24"/>
          <w:szCs w:val="24"/>
        </w:rPr>
        <w:t>strategic</w:t>
      </w:r>
      <w:r w:rsidR="002D777D" w:rsidRPr="00FA2D6F">
        <w:rPr>
          <w:rStyle w:val="cursor-pointer"/>
          <w:rFonts w:cs="Arial"/>
          <w:sz w:val="24"/>
          <w:szCs w:val="24"/>
        </w:rPr>
        <w:t xml:space="preserve"> </w:t>
      </w:r>
      <w:r w:rsidR="0082073D" w:rsidRPr="00FA2D6F">
        <w:rPr>
          <w:rStyle w:val="cursor-pointer"/>
          <w:rFonts w:cs="Arial"/>
          <w:sz w:val="24"/>
          <w:szCs w:val="24"/>
        </w:rPr>
        <w:t>aspect</w:t>
      </w:r>
      <w:r w:rsidR="002D777D" w:rsidRPr="00FA2D6F">
        <w:rPr>
          <w:rStyle w:val="cursor-pointer"/>
          <w:rFonts w:cs="Arial"/>
          <w:sz w:val="24"/>
          <w:szCs w:val="24"/>
        </w:rPr>
        <w:t xml:space="preserve"> in producing the current health care inequity for adult ethnic minority individuals (aged 72-80), albeit with digital obstacles as a substitute for geographical barriers</w:t>
      </w:r>
      <w:r w:rsidR="00903A58" w:rsidRPr="00FA2D6F">
        <w:rPr>
          <w:rStyle w:val="cursor-pointe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Chatzi et al., 2023</w:t>
      </w:r>
      <w:r w:rsidR="00903A58" w:rsidRPr="00FA2D6F">
        <w:rPr>
          <w:color w:val="000000"/>
          <w:sz w:val="24"/>
          <w:szCs w:val="24"/>
          <w:shd w:val="clear" w:color="auto" w:fill="FFFFFF"/>
        </w:rPr>
        <w:t>)</w:t>
      </w:r>
      <w:r w:rsidR="002D777D" w:rsidRPr="00FA2D6F">
        <w:rPr>
          <w:rStyle w:val="cursor-pointer"/>
          <w:rFonts w:cs="Arial"/>
          <w:sz w:val="24"/>
          <w:szCs w:val="24"/>
        </w:rPr>
        <w:t>.</w:t>
      </w:r>
    </w:p>
    <w:p w14:paraId="33C3F4F4" w14:textId="0B4C6CD5" w:rsidR="002D777D" w:rsidRPr="00FA2D6F" w:rsidRDefault="002D777D" w:rsidP="00750D5B">
      <w:pPr>
        <w:pStyle w:val="Heading2"/>
        <w:rPr>
          <w:rFonts w:cs="Arial"/>
          <w:szCs w:val="24"/>
        </w:rPr>
      </w:pPr>
      <w:bookmarkStart w:id="26" w:name="_Toc241246282"/>
      <w:r w:rsidRPr="00FA2D6F">
        <w:rPr>
          <w:rFonts w:cs="Arial"/>
          <w:szCs w:val="24"/>
          <w:bdr w:val="none" w:sz="0" w:space="0" w:color="auto" w:frame="1"/>
        </w:rPr>
        <w:t xml:space="preserve">Theoretical </w:t>
      </w:r>
      <w:r w:rsidR="00D47801" w:rsidRPr="00FA2D6F">
        <w:rPr>
          <w:rFonts w:cs="Arial"/>
          <w:szCs w:val="24"/>
          <w:bdr w:val="none" w:sz="0" w:space="0" w:color="auto" w:frame="1"/>
        </w:rPr>
        <w:t>Integration and Critique</w:t>
      </w:r>
      <w:bookmarkEnd w:id="26"/>
    </w:p>
    <w:p w14:paraId="1E9B4DEB" w14:textId="2B933768" w:rsidR="00D47801" w:rsidRPr="00877B0F" w:rsidRDefault="00D47801" w:rsidP="00750D5B">
      <w:pPr>
        <w:rPr>
          <w:rFonts w:cs="Arial"/>
          <w:sz w:val="24"/>
          <w:szCs w:val="24"/>
          <w:lang w:val="en-US" w:eastAsia="en-US"/>
        </w:rPr>
      </w:pPr>
      <w:r w:rsidRPr="00877B0F">
        <w:rPr>
          <w:rFonts w:cs="Arial"/>
          <w:sz w:val="24"/>
          <w:szCs w:val="24"/>
          <w:lang w:val="en-US" w:eastAsia="en-US"/>
        </w:rPr>
        <w:t xml:space="preserve">The SDH framework offers a starting point for appreciating the multi-level socio-political and environmental drivers that contribute to chronic illness but is insufficient in and of itself when considering the </w:t>
      </w:r>
      <w:r w:rsidR="00877B0F" w:rsidRPr="00877B0F">
        <w:rPr>
          <w:rFonts w:cs="Arial"/>
          <w:sz w:val="24"/>
          <w:szCs w:val="24"/>
          <w:lang w:val="en-US" w:eastAsia="en-US"/>
        </w:rPr>
        <w:t>day-to-day</w:t>
      </w:r>
      <w:r w:rsidRPr="00877B0F">
        <w:rPr>
          <w:rFonts w:cs="Arial"/>
          <w:sz w:val="24"/>
          <w:szCs w:val="24"/>
          <w:lang w:val="en-US" w:eastAsia="en-US"/>
        </w:rPr>
        <w:t xml:space="preserve"> operations of care provision. </w:t>
      </w:r>
    </w:p>
    <w:p w14:paraId="7F98F23A" w14:textId="4D8CF61F" w:rsidR="002D777D" w:rsidRPr="00FA2D6F" w:rsidRDefault="00D47801" w:rsidP="00750D5B">
      <w:pPr>
        <w:rPr>
          <w:rFonts w:cs="Arial"/>
          <w:sz w:val="24"/>
          <w:szCs w:val="24"/>
          <w:lang w:val="en-US" w:eastAsia="en-US"/>
        </w:rPr>
      </w:pPr>
      <w:r w:rsidRPr="00FA2D6F">
        <w:rPr>
          <w:rFonts w:cs="Arial"/>
          <w:sz w:val="24"/>
          <w:szCs w:val="24"/>
          <w:lang w:val="en-US" w:eastAsia="en-US"/>
        </w:rPr>
        <w:t xml:space="preserve">While </w:t>
      </w:r>
      <w:r w:rsidR="007741A3" w:rsidRPr="00FA2D6F">
        <w:rPr>
          <w:rFonts w:cs="Arial"/>
          <w:sz w:val="24"/>
          <w:szCs w:val="24"/>
          <w:lang w:val="en-US" w:eastAsia="en-US"/>
        </w:rPr>
        <w:t xml:space="preserve">it </w:t>
      </w:r>
      <w:r w:rsidRPr="00FA2D6F">
        <w:rPr>
          <w:rFonts w:cs="Arial"/>
          <w:sz w:val="24"/>
          <w:szCs w:val="24"/>
          <w:lang w:val="en-US" w:eastAsia="en-US"/>
        </w:rPr>
        <w:t xml:space="preserve">rightly turned the spotlight on structural </w:t>
      </w:r>
      <w:proofErr w:type="spellStart"/>
      <w:r w:rsidRPr="00FA2D6F">
        <w:rPr>
          <w:rFonts w:cs="Arial"/>
          <w:sz w:val="24"/>
          <w:szCs w:val="24"/>
          <w:lang w:val="en-US" w:eastAsia="en-US"/>
        </w:rPr>
        <w:t>marginalisation</w:t>
      </w:r>
      <w:proofErr w:type="spellEnd"/>
      <w:r w:rsidRPr="00FA2D6F">
        <w:rPr>
          <w:rFonts w:cs="Arial"/>
          <w:sz w:val="24"/>
          <w:szCs w:val="24"/>
          <w:lang w:val="en-US" w:eastAsia="en-US"/>
        </w:rPr>
        <w:t>, the SDH model largely remains silent on failures in the steps taken following a vulnerable population's attempts to access health care providers</w:t>
      </w:r>
      <w:r w:rsidR="003E21B0" w:rsidRPr="00FA2D6F">
        <w:rPr>
          <w:rFonts w:cs="Arial"/>
          <w:sz w:val="24"/>
          <w:szCs w:val="24"/>
          <w:lang w:val="en-US" w:eastAsia="en-US"/>
        </w:rPr>
        <w:t xml:space="preserve"> </w:t>
      </w:r>
      <w:r w:rsidR="003E21B0" w:rsidRPr="00FA2D6F">
        <w:rPr>
          <w:color w:val="000000"/>
          <w:sz w:val="24"/>
          <w:szCs w:val="24"/>
          <w:shd w:val="clear" w:color="auto" w:fill="FFFFFF"/>
        </w:rPr>
        <w:t>(</w:t>
      </w:r>
      <w:r w:rsidR="005E0E06">
        <w:rPr>
          <w:color w:val="000000"/>
          <w:sz w:val="24"/>
          <w:szCs w:val="24"/>
          <w:shd w:val="clear" w:color="auto" w:fill="FFFFFF"/>
        </w:rPr>
        <w:t>McKee</w:t>
      </w:r>
      <w:r w:rsidR="003E21B0" w:rsidRPr="00FA2D6F">
        <w:rPr>
          <w:color w:val="000000"/>
          <w:sz w:val="24"/>
          <w:szCs w:val="24"/>
          <w:shd w:val="clear" w:color="auto" w:fill="FFFFFF"/>
        </w:rPr>
        <w:t xml:space="preserve"> et al., 2021</w:t>
      </w:r>
      <w:r w:rsidR="00877B0F" w:rsidRPr="00FA2D6F">
        <w:rPr>
          <w:color w:val="000000"/>
          <w:sz w:val="24"/>
          <w:szCs w:val="24"/>
          <w:shd w:val="clear" w:color="auto" w:fill="FFFFFF"/>
        </w:rPr>
        <w:t>)</w:t>
      </w:r>
      <w:r w:rsidR="00877B0F" w:rsidRPr="00FA2D6F">
        <w:rPr>
          <w:rFonts w:cs="Arial"/>
          <w:sz w:val="24"/>
          <w:szCs w:val="24"/>
          <w:lang w:val="en-US" w:eastAsia="en-US"/>
        </w:rPr>
        <w:t xml:space="preserve">. </w:t>
      </w:r>
      <w:proofErr w:type="gramStart"/>
      <w:r w:rsidR="00877B0F" w:rsidRPr="00FA2D6F">
        <w:rPr>
          <w:rFonts w:cs="Arial"/>
          <w:sz w:val="24"/>
          <w:szCs w:val="24"/>
          <w:lang w:val="en-US" w:eastAsia="en-US"/>
        </w:rPr>
        <w:t>In</w:t>
      </w:r>
      <w:r w:rsidRPr="00FA2D6F">
        <w:rPr>
          <w:rFonts w:cs="Arial"/>
          <w:sz w:val="24"/>
          <w:szCs w:val="24"/>
          <w:lang w:val="en-US" w:eastAsia="en-US"/>
        </w:rPr>
        <w:t xml:space="preserve"> order to</w:t>
      </w:r>
      <w:proofErr w:type="gramEnd"/>
      <w:r w:rsidRPr="00FA2D6F">
        <w:rPr>
          <w:rFonts w:cs="Arial"/>
          <w:sz w:val="24"/>
          <w:szCs w:val="24"/>
          <w:lang w:val="en-US" w:eastAsia="en-US"/>
        </w:rPr>
        <w:t xml:space="preserve"> fill this analytical </w:t>
      </w:r>
      <w:r w:rsidR="00D21B58" w:rsidRPr="00FA2D6F">
        <w:rPr>
          <w:rFonts w:cs="Arial"/>
          <w:sz w:val="24"/>
          <w:szCs w:val="24"/>
          <w:lang w:val="en-US" w:eastAsia="en-US"/>
        </w:rPr>
        <w:t>void,</w:t>
      </w:r>
      <w:r w:rsidRPr="00FA2D6F">
        <w:rPr>
          <w:rFonts w:cs="Arial"/>
          <w:sz w:val="24"/>
          <w:szCs w:val="24"/>
          <w:lang w:val="en-US" w:eastAsia="en-US"/>
        </w:rPr>
        <w:t xml:space="preserve"> there is a need for an alternative analytical approach, which the Inverse Care Law provides. </w:t>
      </w:r>
      <w:r w:rsidR="00D21B58" w:rsidRPr="00FA2D6F">
        <w:rPr>
          <w:rFonts w:cs="Arial"/>
          <w:sz w:val="24"/>
          <w:szCs w:val="24"/>
          <w:lang w:val="en-US" w:eastAsia="en-US"/>
        </w:rPr>
        <w:t>This</w:t>
      </w:r>
      <w:r w:rsidRPr="00FA2D6F">
        <w:rPr>
          <w:rFonts w:cs="Arial"/>
          <w:sz w:val="24"/>
          <w:szCs w:val="24"/>
          <w:lang w:val="en-US" w:eastAsia="en-US"/>
        </w:rPr>
        <w:t xml:space="preserve"> law will still be seen as very relevant in the modern NHS as found by Ng (2025)</w:t>
      </w:r>
      <w:proofErr w:type="gramStart"/>
      <w:r w:rsidRPr="00FA2D6F">
        <w:rPr>
          <w:rFonts w:cs="Arial"/>
          <w:sz w:val="24"/>
          <w:szCs w:val="24"/>
          <w:lang w:val="en-US" w:eastAsia="en-US"/>
        </w:rPr>
        <w:t xml:space="preserve"> who</w:t>
      </w:r>
      <w:proofErr w:type="gramEnd"/>
      <w:r w:rsidRPr="00FA2D6F">
        <w:rPr>
          <w:rFonts w:cs="Arial"/>
          <w:sz w:val="24"/>
          <w:szCs w:val="24"/>
          <w:lang w:val="en-US" w:eastAsia="en-US"/>
        </w:rPr>
        <w:t xml:space="preserve"> highlights that PHC providers in poorer </w:t>
      </w:r>
      <w:r w:rsidRPr="00FA2D6F">
        <w:rPr>
          <w:rFonts w:cs="Arial"/>
          <w:sz w:val="24"/>
          <w:szCs w:val="24"/>
          <w:lang w:val="en-US" w:eastAsia="en-US"/>
        </w:rPr>
        <w:lastRenderedPageBreak/>
        <w:t xml:space="preserve">districts </w:t>
      </w:r>
      <w:r w:rsidR="003E474D" w:rsidRPr="00FA2D6F">
        <w:rPr>
          <w:rFonts w:cs="Arial"/>
          <w:sz w:val="24"/>
          <w:szCs w:val="24"/>
          <w:lang w:val="en-US" w:eastAsia="en-US"/>
        </w:rPr>
        <w:t>must</w:t>
      </w:r>
      <w:r w:rsidRPr="00FA2D6F">
        <w:rPr>
          <w:rFonts w:cs="Arial"/>
          <w:sz w:val="24"/>
          <w:szCs w:val="24"/>
          <w:lang w:val="en-US" w:eastAsia="en-US"/>
        </w:rPr>
        <w:t xml:space="preserve"> meet an </w:t>
      </w:r>
      <w:r w:rsidR="00877B0F" w:rsidRPr="00FA2D6F">
        <w:rPr>
          <w:rFonts w:cs="Arial"/>
          <w:sz w:val="24"/>
          <w:szCs w:val="24"/>
          <w:lang w:val="en-US" w:eastAsia="en-US"/>
        </w:rPr>
        <w:t>ever-increasing</w:t>
      </w:r>
      <w:r w:rsidRPr="00FA2D6F">
        <w:rPr>
          <w:rFonts w:cs="Arial"/>
          <w:sz w:val="24"/>
          <w:szCs w:val="24"/>
          <w:lang w:val="en-US" w:eastAsia="en-US"/>
        </w:rPr>
        <w:t xml:space="preserve"> clinical need whilst being under-resourced. The blending of these structures results in structural paradox – older ethnic minority adults are placed at greater physiological risk by social factors (SDH) but then are treated by an inequitably structured health system (Inverse Care Law) that systematically facilitates this risk</w:t>
      </w:r>
      <w:r w:rsidR="00750D5B" w:rsidRPr="00FA2D6F">
        <w:rPr>
          <w:rFonts w:cs="Arial"/>
          <w:sz w:val="24"/>
          <w:szCs w:val="24"/>
          <w:lang w:val="en-US" w:eastAsia="en-US"/>
        </w:rPr>
        <w:t xml:space="preserve"> (</w:t>
      </w:r>
      <w:r w:rsidR="00D74D1B">
        <w:rPr>
          <w:rFonts w:cs="Arial"/>
          <w:sz w:val="24"/>
          <w:szCs w:val="24"/>
          <w:lang w:val="en-US" w:eastAsia="en-US"/>
        </w:rPr>
        <w:t>Victor et al., 2020</w:t>
      </w:r>
      <w:r w:rsidR="00750D5B" w:rsidRPr="00FA2D6F">
        <w:rPr>
          <w:rFonts w:cs="Arial"/>
          <w:sz w:val="24"/>
          <w:szCs w:val="24"/>
          <w:lang w:val="en-US" w:eastAsia="en-US"/>
        </w:rPr>
        <w:t>)</w:t>
      </w:r>
      <w:r w:rsidRPr="00FA2D6F">
        <w:rPr>
          <w:rFonts w:cs="Arial"/>
          <w:sz w:val="24"/>
          <w:szCs w:val="24"/>
          <w:lang w:val="en-US" w:eastAsia="en-US"/>
        </w:rPr>
        <w:t>.</w:t>
      </w:r>
    </w:p>
    <w:p w14:paraId="1E30CC05" w14:textId="39A720A4" w:rsidR="00750D5B" w:rsidRPr="00FA2D6F" w:rsidRDefault="00750D5B" w:rsidP="00750D5B">
      <w:pPr>
        <w:rPr>
          <w:rFonts w:cs="Arial"/>
          <w:sz w:val="24"/>
          <w:szCs w:val="24"/>
          <w:lang w:val="en-US" w:eastAsia="en-US"/>
        </w:rPr>
      </w:pPr>
      <w:r w:rsidRPr="00877B0F">
        <w:rPr>
          <w:rStyle w:val="cursor-pointer"/>
          <w:rFonts w:cs="Arial"/>
          <w:sz w:val="24"/>
          <w:szCs w:val="24"/>
        </w:rPr>
        <w:t>For example, if one compares the practices with a substantial proportion of the population with diabetes, and a substantial proportion with social isolation, and also takes into account poverty and other co-morbidities</w:t>
      </w:r>
      <w:r w:rsidR="00B61086" w:rsidRPr="00877B0F">
        <w:rPr>
          <w:rStyle w:val="cursor-pointer"/>
          <w:rFonts w:cs="Arial"/>
          <w:sz w:val="24"/>
          <w:szCs w:val="24"/>
        </w:rPr>
        <w:t xml:space="preserve"> (</w:t>
      </w:r>
      <w:r w:rsidR="00D64727" w:rsidRPr="00877B0F">
        <w:t>Rangachari et al., 2025</w:t>
      </w:r>
      <w:r w:rsidR="00B61086" w:rsidRPr="00877B0F">
        <w:t>)</w:t>
      </w:r>
      <w:r w:rsidRPr="00877B0F">
        <w:rPr>
          <w:rStyle w:val="cursor-pointer"/>
          <w:rFonts w:cs="Arial"/>
          <w:sz w:val="24"/>
          <w:szCs w:val="24"/>
        </w:rPr>
        <w:t>: A General Practice in a deprived, ethnically diverse urban county will tend to have a more dynamic workforce configuration and therefore with a higher staff turnover and duration of consultations which must be restricted to 10 minutes, whilst a General Practice based in an affluent, predominantly white suburban county will have a more stable workforce and therefore more capacity to manage a comparatively healthier population and establish a greater balance of resources</w:t>
      </w:r>
      <w:r w:rsidR="00903A58" w:rsidRPr="00877B0F">
        <w:rPr>
          <w:rStyle w:val="cursor-pointer"/>
          <w:rFonts w:cs="Arial"/>
          <w:sz w:val="24"/>
          <w:szCs w:val="24"/>
        </w:rPr>
        <w:t xml:space="preserve"> </w:t>
      </w:r>
      <w:r w:rsidR="00B61086" w:rsidRPr="00877B0F">
        <w:rPr>
          <w:rStyle w:val="cursor-pointer"/>
          <w:rFonts w:cs="Arial"/>
          <w:sz w:val="24"/>
          <w:szCs w:val="24"/>
        </w:rPr>
        <w:t>(Boyer et</w:t>
      </w:r>
      <w:r w:rsidR="00B61086">
        <w:rPr>
          <w:rStyle w:val="cursor-pointer"/>
          <w:rFonts w:cs="Arial"/>
          <w:sz w:val="24"/>
          <w:szCs w:val="24"/>
        </w:rPr>
        <w:t xml:space="preserve"> al., 2024).</w:t>
      </w:r>
    </w:p>
    <w:p w14:paraId="3BC6ED65" w14:textId="77777777" w:rsidR="002D777D" w:rsidRPr="00FA2D6F" w:rsidRDefault="002D777D" w:rsidP="00750D5B">
      <w:pPr>
        <w:pStyle w:val="Heading2"/>
        <w:rPr>
          <w:rFonts w:cs="Arial"/>
          <w:szCs w:val="24"/>
        </w:rPr>
      </w:pPr>
      <w:bookmarkStart w:id="27" w:name="_Toc241246283"/>
      <w:r w:rsidRPr="00FA2D6F">
        <w:rPr>
          <w:rFonts w:cs="Arial"/>
          <w:szCs w:val="24"/>
          <w:bdr w:val="none" w:sz="0" w:space="0" w:color="auto" w:frame="1"/>
        </w:rPr>
        <w:t>International Context</w:t>
      </w:r>
      <w:bookmarkEnd w:id="27"/>
    </w:p>
    <w:p w14:paraId="598DFE27" w14:textId="77777777" w:rsidR="002D777D" w:rsidRPr="00FA2D6F" w:rsidRDefault="002D777D" w:rsidP="00750D5B">
      <w:pPr>
        <w:pStyle w:val="Heading3"/>
        <w:rPr>
          <w:rFonts w:ascii="Arial" w:hAnsi="Arial" w:cs="Arial"/>
        </w:rPr>
      </w:pPr>
      <w:bookmarkStart w:id="28" w:name="_Toc241246284"/>
      <w:r w:rsidRPr="00FA2D6F">
        <w:rPr>
          <w:rFonts w:ascii="Arial" w:hAnsi="Arial" w:cs="Arial"/>
          <w:bdr w:val="none" w:sz="0" w:space="0" w:color="auto" w:frame="1"/>
        </w:rPr>
        <w:t>International approaches to older adult healthcare</w:t>
      </w:r>
      <w:bookmarkEnd w:id="28"/>
    </w:p>
    <w:p w14:paraId="667F033F" w14:textId="2F04449E" w:rsidR="0082073D" w:rsidRPr="00FA2D6F" w:rsidRDefault="0082073D" w:rsidP="00750D5B">
      <w:pPr>
        <w:rPr>
          <w:rFonts w:cs="Arial"/>
          <w:sz w:val="24"/>
          <w:szCs w:val="24"/>
        </w:rPr>
      </w:pPr>
      <w:r w:rsidRPr="00FA2D6F">
        <w:rPr>
          <w:rStyle w:val="cursor-pointer"/>
          <w:rFonts w:cs="Arial"/>
          <w:sz w:val="24"/>
          <w:szCs w:val="24"/>
        </w:rPr>
        <w:t>The training of UK nurses and midwives may unwittingly perpetuate the flaws in the UK system; when looking at other systems of care in the UK, it is necessary to take an international perspective</w:t>
      </w:r>
      <w:r w:rsidR="00903A58" w:rsidRPr="00FA2D6F">
        <w:rPr>
          <w:rStyle w:val="cursor-pointer"/>
          <w:rFonts w:cs="Arial"/>
          <w:sz w:val="24"/>
          <w:szCs w:val="24"/>
        </w:rPr>
        <w:t xml:space="preserve"> </w:t>
      </w:r>
      <w:r w:rsidR="00903A58" w:rsidRPr="00FA2D6F">
        <w:rPr>
          <w:color w:val="000000"/>
          <w:sz w:val="24"/>
          <w:szCs w:val="24"/>
          <w:shd w:val="clear" w:color="auto" w:fill="FFFFFF"/>
        </w:rPr>
        <w:t>(Brennan and Furber, 2026)</w:t>
      </w:r>
      <w:r w:rsidRPr="00FA2D6F">
        <w:rPr>
          <w:rStyle w:val="cursor-pointer"/>
          <w:rFonts w:cs="Arial"/>
          <w:sz w:val="24"/>
          <w:szCs w:val="24"/>
        </w:rPr>
        <w:t>.</w:t>
      </w:r>
      <w:r w:rsidRPr="00FA2D6F">
        <w:rPr>
          <w:rFonts w:cs="Arial"/>
          <w:sz w:val="24"/>
          <w:szCs w:val="24"/>
        </w:rPr>
        <w:t xml:space="preserve"> </w:t>
      </w:r>
      <w:r w:rsidRPr="00FA2D6F">
        <w:rPr>
          <w:rStyle w:val="cursor-pointer"/>
          <w:rFonts w:cs="Arial"/>
          <w:sz w:val="24"/>
          <w:szCs w:val="24"/>
        </w:rPr>
        <w:t>In parallel, shifts are occurring in demographics in healthcare systems around the world and there are a multitude of structural approaches to developing strategies for care for older adults and care for health equity.</w:t>
      </w:r>
      <w:r w:rsidRPr="00FA2D6F">
        <w:rPr>
          <w:rFonts w:cs="Arial"/>
          <w:sz w:val="24"/>
          <w:szCs w:val="24"/>
        </w:rPr>
        <w:t xml:space="preserve"> </w:t>
      </w:r>
      <w:r w:rsidRPr="00FA2D6F">
        <w:rPr>
          <w:rStyle w:val="cursor-pointer"/>
          <w:rFonts w:cs="Arial"/>
          <w:sz w:val="24"/>
          <w:szCs w:val="24"/>
        </w:rPr>
        <w:t xml:space="preserve">Ethical underpinning and health systems equity, health inequities in the world, such as life expectancy of citizens, should be reduced by incorporating ethical foundations and equity in health systems, depending on the </w:t>
      </w:r>
      <w:r w:rsidR="00877B0F" w:rsidRPr="00FA2D6F">
        <w:rPr>
          <w:rStyle w:val="cursor-pointer"/>
          <w:rFonts w:cs="Arial"/>
          <w:sz w:val="24"/>
          <w:szCs w:val="24"/>
        </w:rPr>
        <w:t>policymaker’s</w:t>
      </w:r>
      <w:r w:rsidRPr="00FA2D6F">
        <w:rPr>
          <w:rStyle w:val="cursor-pointer"/>
          <w:rFonts w:cs="Arial"/>
          <w:sz w:val="24"/>
          <w:szCs w:val="24"/>
        </w:rPr>
        <w:t xml:space="preserve"> direction in the country</w:t>
      </w:r>
      <w:r w:rsidR="00903A58" w:rsidRPr="00FA2D6F">
        <w:rPr>
          <w:rStyle w:val="cursor-pointe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Husain et al., 2022</w:t>
      </w:r>
      <w:r w:rsidR="00903A58" w:rsidRPr="00FA2D6F">
        <w:rPr>
          <w:color w:val="000000"/>
          <w:sz w:val="24"/>
          <w:szCs w:val="24"/>
          <w:shd w:val="clear" w:color="auto" w:fill="FFFFFF"/>
        </w:rPr>
        <w:t>)</w:t>
      </w:r>
      <w:r w:rsidRPr="00FA2D6F">
        <w:rPr>
          <w:rStyle w:val="cursor-pointer"/>
          <w:rFonts w:cs="Arial"/>
          <w:sz w:val="24"/>
          <w:szCs w:val="24"/>
        </w:rPr>
        <w:t>.</w:t>
      </w:r>
    </w:p>
    <w:p w14:paraId="5EEFCEC4" w14:textId="77777777" w:rsidR="002D777D" w:rsidRPr="00FA2D6F" w:rsidRDefault="002D777D" w:rsidP="00750D5B">
      <w:pPr>
        <w:pStyle w:val="Heading3"/>
        <w:rPr>
          <w:rFonts w:ascii="Arial" w:hAnsi="Arial" w:cs="Arial"/>
        </w:rPr>
      </w:pPr>
      <w:bookmarkStart w:id="29" w:name="_Toc241246285"/>
      <w:r w:rsidRPr="00FA2D6F">
        <w:rPr>
          <w:rFonts w:ascii="Arial" w:hAnsi="Arial" w:cs="Arial"/>
          <w:bdr w:val="none" w:sz="0" w:space="0" w:color="auto" w:frame="1"/>
        </w:rPr>
        <w:t>Country comparison: UK, Sweden, and Japan</w:t>
      </w:r>
      <w:bookmarkEnd w:id="29"/>
    </w:p>
    <w:p w14:paraId="43140706" w14:textId="011B27AE" w:rsidR="004057D8" w:rsidRPr="00FA2D6F" w:rsidRDefault="0082073D" w:rsidP="00750D5B">
      <w:pPr>
        <w:rPr>
          <w:rFonts w:cs="Arial"/>
          <w:sz w:val="24"/>
          <w:szCs w:val="24"/>
          <w:lang w:val="en-US" w:eastAsia="en-US"/>
        </w:rPr>
      </w:pPr>
      <w:r w:rsidRPr="00FA2D6F">
        <w:rPr>
          <w:rFonts w:cs="Arial"/>
          <w:sz w:val="24"/>
          <w:szCs w:val="24"/>
          <w:lang w:val="en-US" w:eastAsia="en-US"/>
        </w:rPr>
        <w:t xml:space="preserve">Comparisons have been drawn with models in the UK, Sweden and Japan and, as a result, there is a clear picture of where the NHS is </w:t>
      </w:r>
      <w:r w:rsidR="003E21B0" w:rsidRPr="00FA2D6F">
        <w:rPr>
          <w:rFonts w:cs="Arial"/>
          <w:sz w:val="24"/>
          <w:szCs w:val="24"/>
          <w:lang w:val="en-US" w:eastAsia="en-US"/>
        </w:rPr>
        <w:t xml:space="preserve">not working. In 2026, in Sweden </w:t>
      </w:r>
      <w:r w:rsidRPr="00FA2D6F">
        <w:rPr>
          <w:rFonts w:cs="Arial"/>
          <w:sz w:val="24"/>
          <w:szCs w:val="24"/>
          <w:lang w:val="en-US" w:eastAsia="en-US"/>
        </w:rPr>
        <w:t>where the population aged 65 years and older represents more than 18% of the population significant reforms push attention away from institutions and have expanded care towards a robust community-based setup where care and assistance can be accessed more easily, theoretically</w:t>
      </w:r>
      <w:r w:rsidR="003E21B0" w:rsidRPr="00FA2D6F">
        <w:rPr>
          <w:rFonts w:cs="Arial"/>
          <w:sz w:val="24"/>
          <w:szCs w:val="24"/>
          <w:lang w:val="en-US" w:eastAsia="en-US"/>
        </w:rPr>
        <w:t xml:space="preserve"> </w:t>
      </w:r>
      <w:r w:rsidR="003E21B0" w:rsidRPr="00FA2D6F">
        <w:rPr>
          <w:color w:val="000000"/>
          <w:sz w:val="24"/>
          <w:szCs w:val="24"/>
          <w:shd w:val="clear" w:color="auto" w:fill="FFFFFF"/>
        </w:rPr>
        <w:t>(Crear-Perry et al., 2021)</w:t>
      </w:r>
      <w:r w:rsidRPr="00FA2D6F">
        <w:rPr>
          <w:rFonts w:cs="Arial"/>
          <w:sz w:val="24"/>
          <w:szCs w:val="24"/>
          <w:lang w:val="en-US" w:eastAsia="en-US"/>
        </w:rPr>
        <w:t xml:space="preserve">. </w:t>
      </w:r>
    </w:p>
    <w:p w14:paraId="4721027C" w14:textId="1DD1A7AD" w:rsidR="0082073D" w:rsidRPr="00FA2D6F" w:rsidRDefault="0082073D" w:rsidP="00750D5B">
      <w:pPr>
        <w:rPr>
          <w:rFonts w:cs="Arial"/>
          <w:sz w:val="24"/>
          <w:szCs w:val="24"/>
          <w:lang w:val="en-US" w:eastAsia="en-US"/>
        </w:rPr>
      </w:pPr>
      <w:r w:rsidRPr="00FA2D6F">
        <w:rPr>
          <w:rFonts w:cs="Arial"/>
          <w:sz w:val="24"/>
          <w:szCs w:val="24"/>
          <w:lang w:val="en-US" w:eastAsia="en-US"/>
        </w:rPr>
        <w:lastRenderedPageBreak/>
        <w:t xml:space="preserve">This is true of the system in Japan for care of the older population, which likewise has high levels of central and local integration: a network of social insurance to ‘socialize' the costs of older person. </w:t>
      </w:r>
      <w:r w:rsidR="00F107FF" w:rsidRPr="00FA2D6F">
        <w:rPr>
          <w:rFonts w:cs="Arial"/>
          <w:sz w:val="24"/>
          <w:szCs w:val="24"/>
          <w:lang w:val="en-US" w:eastAsia="en-US"/>
        </w:rPr>
        <w:t>I</w:t>
      </w:r>
      <w:r w:rsidRPr="00FA2D6F">
        <w:rPr>
          <w:rFonts w:cs="Arial"/>
          <w:sz w:val="24"/>
          <w:szCs w:val="24"/>
          <w:lang w:val="en-US" w:eastAsia="en-US"/>
        </w:rPr>
        <w:t>nternational frameworks highlighting a person-</w:t>
      </w:r>
      <w:r w:rsidR="00877B0F" w:rsidRPr="00FA2D6F">
        <w:rPr>
          <w:rFonts w:cs="Arial"/>
          <w:sz w:val="24"/>
          <w:szCs w:val="24"/>
          <w:lang w:val="en-US" w:eastAsia="en-US"/>
        </w:rPr>
        <w:t>centered</w:t>
      </w:r>
      <w:r w:rsidRPr="00FA2D6F">
        <w:rPr>
          <w:rFonts w:cs="Arial"/>
          <w:sz w:val="24"/>
          <w:szCs w:val="24"/>
          <w:lang w:val="en-US" w:eastAsia="en-US"/>
        </w:rPr>
        <w:t xml:space="preserve"> and integrated community assessment have shown evidence to prevent loss of function and </w:t>
      </w:r>
      <w:r w:rsidR="00877B0F" w:rsidRPr="00FA2D6F">
        <w:rPr>
          <w:rFonts w:cs="Arial"/>
          <w:sz w:val="24"/>
          <w:szCs w:val="24"/>
          <w:lang w:val="en-US" w:eastAsia="en-US"/>
        </w:rPr>
        <w:t>capability and</w:t>
      </w:r>
      <w:r w:rsidRPr="00FA2D6F">
        <w:rPr>
          <w:rFonts w:cs="Arial"/>
          <w:sz w:val="24"/>
          <w:szCs w:val="24"/>
          <w:lang w:val="en-US" w:eastAsia="en-US"/>
        </w:rPr>
        <w:t xml:space="preserve"> reduce and delay unplanned hospital admissions for older people</w:t>
      </w:r>
      <w:r w:rsidR="00B61086">
        <w:rPr>
          <w:rFonts w:cs="Arial"/>
          <w:sz w:val="24"/>
          <w:szCs w:val="24"/>
          <w:lang w:val="en-US" w:eastAsia="en-US"/>
        </w:rPr>
        <w:t xml:space="preserve"> (</w:t>
      </w:r>
      <w:r w:rsidR="00B61086">
        <w:t>Mukhtar et al., 2025)</w:t>
      </w:r>
      <w:r w:rsidRPr="00FA2D6F">
        <w:rPr>
          <w:rFonts w:cs="Arial"/>
          <w:sz w:val="24"/>
          <w:szCs w:val="24"/>
          <w:lang w:val="en-US" w:eastAsia="en-US"/>
        </w:rPr>
        <w:t xml:space="preserve">. </w:t>
      </w:r>
    </w:p>
    <w:p w14:paraId="08F71F9B" w14:textId="77777777" w:rsidR="002D777D" w:rsidRPr="00FA2D6F" w:rsidRDefault="002D777D" w:rsidP="00750D5B">
      <w:pPr>
        <w:pStyle w:val="Heading3"/>
        <w:rPr>
          <w:rFonts w:ascii="Arial" w:hAnsi="Arial" w:cs="Arial"/>
        </w:rPr>
      </w:pPr>
      <w:bookmarkStart w:id="30" w:name="_Toc241246286"/>
      <w:r w:rsidRPr="00FA2D6F">
        <w:rPr>
          <w:rFonts w:ascii="Arial" w:hAnsi="Arial" w:cs="Arial"/>
          <w:bdr w:val="none" w:sz="0" w:space="0" w:color="auto" w:frame="1"/>
        </w:rPr>
        <w:t>Lessons for the UK</w:t>
      </w:r>
      <w:bookmarkEnd w:id="30"/>
    </w:p>
    <w:p w14:paraId="0B84391B" w14:textId="42F47B53"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The crux for the UK is that it isn't about mimicking a superficial Scandinavian or East Asian policy, but about questioning how it works.</w:t>
      </w:r>
      <w:r w:rsidRPr="00FA2D6F">
        <w:rPr>
          <w:rFonts w:cs="Arial"/>
          <w:sz w:val="24"/>
          <w:szCs w:val="24"/>
        </w:rPr>
        <w:t xml:space="preserve"> </w:t>
      </w:r>
      <w:r w:rsidRPr="00FA2D6F">
        <w:rPr>
          <w:rStyle w:val="cursor-pointer"/>
          <w:rFonts w:cs="Arial"/>
          <w:sz w:val="24"/>
          <w:szCs w:val="24"/>
        </w:rPr>
        <w:t>The seamless incorporation of social and medical care, as in Japan, points to the fact that payment structures are choices, not inevitabilities as this model is lacking in the UK where the NHS finances social care and local authorities are responsible for social care funding.</w:t>
      </w:r>
      <w:r w:rsidRPr="00FA2D6F">
        <w:rPr>
          <w:rFonts w:cs="Arial"/>
          <w:sz w:val="24"/>
          <w:szCs w:val="24"/>
        </w:rPr>
        <w:t xml:space="preserve"> </w:t>
      </w:r>
    </w:p>
    <w:p w14:paraId="6A8F7255" w14:textId="77777777" w:rsidR="002D777D" w:rsidRPr="00FA2D6F" w:rsidRDefault="002D777D" w:rsidP="00750D5B">
      <w:pPr>
        <w:pStyle w:val="Heading2"/>
        <w:rPr>
          <w:rFonts w:cs="Arial"/>
          <w:szCs w:val="24"/>
        </w:rPr>
      </w:pPr>
      <w:bookmarkStart w:id="31" w:name="_Toc241246287"/>
      <w:r w:rsidRPr="00FA2D6F">
        <w:rPr>
          <w:rFonts w:cs="Arial"/>
          <w:szCs w:val="24"/>
          <w:bdr w:val="none" w:sz="0" w:space="0" w:color="auto" w:frame="1"/>
        </w:rPr>
        <w:t>National/Local UK Context</w:t>
      </w:r>
      <w:bookmarkEnd w:id="31"/>
    </w:p>
    <w:p w14:paraId="1C22298E" w14:textId="61D47BC7" w:rsidR="002D777D" w:rsidRPr="00FA2D6F" w:rsidRDefault="002D777D" w:rsidP="00750D5B">
      <w:pPr>
        <w:pStyle w:val="Heading3"/>
        <w:rPr>
          <w:rFonts w:ascii="Arial" w:hAnsi="Arial" w:cs="Arial"/>
        </w:rPr>
      </w:pPr>
      <w:bookmarkStart w:id="32" w:name="_Toc241246288"/>
      <w:r w:rsidRPr="00FA2D6F">
        <w:rPr>
          <w:rFonts w:ascii="Arial" w:hAnsi="Arial" w:cs="Arial"/>
          <w:bdr w:val="none" w:sz="0" w:space="0" w:color="auto" w:frame="1"/>
        </w:rPr>
        <w:t xml:space="preserve">NHS healthcare provision for </w:t>
      </w:r>
      <w:r w:rsidR="00BE3915" w:rsidRPr="00FA2D6F">
        <w:rPr>
          <w:rFonts w:ascii="Arial" w:hAnsi="Arial" w:cs="Arial"/>
          <w:bdr w:val="none" w:sz="0" w:space="0" w:color="auto" w:frame="1"/>
        </w:rPr>
        <w:t>ethnic</w:t>
      </w:r>
      <w:r w:rsidR="0082073D" w:rsidRPr="00FA2D6F">
        <w:rPr>
          <w:rFonts w:ascii="Arial" w:hAnsi="Arial" w:cs="Arial"/>
          <w:bdr w:val="none" w:sz="0" w:space="0" w:color="auto" w:frame="1"/>
        </w:rPr>
        <w:t xml:space="preserve"> </w:t>
      </w:r>
      <w:r w:rsidR="00BE3915" w:rsidRPr="00FA2D6F">
        <w:rPr>
          <w:rFonts w:ascii="Arial" w:hAnsi="Arial" w:cs="Arial"/>
          <w:bdr w:val="none" w:sz="0" w:space="0" w:color="auto" w:frame="1"/>
        </w:rPr>
        <w:t>minority</w:t>
      </w:r>
      <w:r w:rsidR="0082073D" w:rsidRPr="00FA2D6F">
        <w:rPr>
          <w:rFonts w:ascii="Arial" w:hAnsi="Arial" w:cs="Arial"/>
          <w:bdr w:val="none" w:sz="0" w:space="0" w:color="auto" w:frame="1"/>
        </w:rPr>
        <w:t xml:space="preserve"> adults</w:t>
      </w:r>
      <w:bookmarkEnd w:id="32"/>
    </w:p>
    <w:p w14:paraId="39D27551" w14:textId="6374F224" w:rsidR="0082073D" w:rsidRPr="00FA2D6F" w:rsidRDefault="0082073D" w:rsidP="00750D5B">
      <w:pPr>
        <w:rPr>
          <w:rFonts w:cs="Arial"/>
          <w:sz w:val="24"/>
          <w:szCs w:val="24"/>
        </w:rPr>
      </w:pPr>
      <w:r w:rsidRPr="00FA2D6F">
        <w:rPr>
          <w:rFonts w:cs="Arial"/>
          <w:sz w:val="24"/>
          <w:szCs w:val="24"/>
        </w:rPr>
        <w:t>The structure of access to the NHS for adults at home is still very fragmented. In theory the NHS is equal, but in practice the quality and integration of care is dependent on available money</w:t>
      </w:r>
      <w:r w:rsidR="003E21B0" w:rsidRPr="00FA2D6F">
        <w:rPr>
          <w:rFonts w:cs="Arial"/>
          <w:sz w:val="24"/>
          <w:szCs w:val="24"/>
        </w:rPr>
        <w:t xml:space="preserve"> </w:t>
      </w:r>
      <w:r w:rsidR="003E21B0" w:rsidRPr="00FA2D6F">
        <w:rPr>
          <w:color w:val="000000"/>
          <w:sz w:val="24"/>
          <w:szCs w:val="24"/>
          <w:shd w:val="clear" w:color="auto" w:fill="FFFFFF"/>
        </w:rPr>
        <w:t>(Smith and Stenhouse, 2025)</w:t>
      </w:r>
      <w:r w:rsidRPr="00FA2D6F">
        <w:rPr>
          <w:rFonts w:cs="Arial"/>
          <w:sz w:val="24"/>
          <w:szCs w:val="24"/>
        </w:rPr>
        <w:t>. French, Keegan, and Preston (2022) have studied palliative and hospice care, and found that care is not well co-ordinated for the poorest socioeconomic groups and that they are often subject to discrimination by practitioners, thereby making the value of ‘universal' coverage a distant prospect.</w:t>
      </w:r>
    </w:p>
    <w:p w14:paraId="6C3E63C0" w14:textId="77777777" w:rsidR="002D777D" w:rsidRPr="00FA2D6F" w:rsidRDefault="002D777D" w:rsidP="00750D5B">
      <w:pPr>
        <w:pStyle w:val="Heading3"/>
        <w:rPr>
          <w:rFonts w:ascii="Arial" w:hAnsi="Arial" w:cs="Arial"/>
        </w:rPr>
      </w:pPr>
      <w:bookmarkStart w:id="33" w:name="_Toc241246289"/>
      <w:r w:rsidRPr="00FA2D6F">
        <w:rPr>
          <w:rFonts w:ascii="Arial" w:hAnsi="Arial" w:cs="Arial"/>
          <w:bdr w:val="none" w:sz="0" w:space="0" w:color="auto" w:frame="1"/>
        </w:rPr>
        <w:t>NHS Long Term Plan</w:t>
      </w:r>
      <w:bookmarkEnd w:id="33"/>
    </w:p>
    <w:p w14:paraId="2DEFE8AB" w14:textId="367AD873" w:rsidR="00E4000A" w:rsidRPr="00FA2D6F" w:rsidRDefault="0082073D" w:rsidP="00750D5B">
      <w:pPr>
        <w:rPr>
          <w:rFonts w:cs="Arial"/>
          <w:sz w:val="24"/>
          <w:szCs w:val="24"/>
        </w:rPr>
      </w:pPr>
      <w:r w:rsidRPr="00FA2D6F">
        <w:rPr>
          <w:rFonts w:cs="Arial"/>
          <w:sz w:val="24"/>
          <w:szCs w:val="24"/>
        </w:rPr>
        <w:t xml:space="preserve">The NHS Long Term Plan was introduced </w:t>
      </w:r>
      <w:r w:rsidR="00877B0F" w:rsidRPr="00FA2D6F">
        <w:rPr>
          <w:rFonts w:cs="Arial"/>
          <w:sz w:val="24"/>
          <w:szCs w:val="24"/>
        </w:rPr>
        <w:t>to</w:t>
      </w:r>
      <w:r w:rsidRPr="00FA2D6F">
        <w:rPr>
          <w:rFonts w:cs="Arial"/>
          <w:sz w:val="24"/>
          <w:szCs w:val="24"/>
        </w:rPr>
        <w:t xml:space="preserve"> tackle these systemic issues, focusing on moving towards community-based services and prevention measures</w:t>
      </w:r>
      <w:r w:rsidR="005A0B82" w:rsidRPr="00FA2D6F">
        <w:rPr>
          <w:rFonts w:cs="Arial"/>
          <w:sz w:val="24"/>
          <w:szCs w:val="24"/>
        </w:rPr>
        <w:t xml:space="preserve"> (</w:t>
      </w:r>
      <w:r w:rsidR="00B61086">
        <w:rPr>
          <w:rFonts w:cs="Arial"/>
          <w:sz w:val="24"/>
          <w:szCs w:val="24"/>
        </w:rPr>
        <w:t>Holman &amp; Walker, 2020</w:t>
      </w:r>
      <w:r w:rsidR="005A0B82" w:rsidRPr="00FA2D6F">
        <w:rPr>
          <w:rFonts w:cs="Arial"/>
          <w:sz w:val="24"/>
          <w:szCs w:val="24"/>
        </w:rPr>
        <w:t>)</w:t>
      </w:r>
      <w:r w:rsidRPr="00FA2D6F">
        <w:rPr>
          <w:rFonts w:cs="Arial"/>
          <w:sz w:val="24"/>
          <w:szCs w:val="24"/>
        </w:rPr>
        <w:t xml:space="preserve">. </w:t>
      </w:r>
      <w:r w:rsidR="00877B0F" w:rsidRPr="00FA2D6F">
        <w:rPr>
          <w:rFonts w:cs="Arial"/>
          <w:sz w:val="24"/>
          <w:szCs w:val="24"/>
        </w:rPr>
        <w:t>So,</w:t>
      </w:r>
      <w:r w:rsidRPr="00FA2D6F">
        <w:rPr>
          <w:rFonts w:cs="Arial"/>
          <w:sz w:val="24"/>
          <w:szCs w:val="24"/>
        </w:rPr>
        <w:t xml:space="preserve"> when making comparisons between the NHS and international frameworks, it is important to understand that some of these things could be easily transferred to the UK, while others are more specific to their context</w:t>
      </w:r>
      <w:r w:rsidR="003E21B0" w:rsidRPr="00FA2D6F">
        <w:rPr>
          <w:rFonts w:cs="Arial"/>
          <w:sz w:val="24"/>
          <w:szCs w:val="24"/>
        </w:rPr>
        <w:t xml:space="preserve"> </w:t>
      </w:r>
      <w:r w:rsidR="003E21B0" w:rsidRPr="00FA2D6F">
        <w:rPr>
          <w:color w:val="000000"/>
          <w:sz w:val="24"/>
          <w:szCs w:val="24"/>
          <w:shd w:val="clear" w:color="auto" w:fill="FFFFFF"/>
        </w:rPr>
        <w:t>(Smith and Stenhouse, 2025)</w:t>
      </w:r>
      <w:r w:rsidRPr="00FA2D6F">
        <w:rPr>
          <w:rFonts w:cs="Arial"/>
          <w:sz w:val="24"/>
          <w:szCs w:val="24"/>
        </w:rPr>
        <w:t xml:space="preserve">. The key elements of person-centred, integrated community-based care observed in Sweden and Japan can be readily adopted and are consistent with the goals of the </w:t>
      </w:r>
      <w:r w:rsidR="00877B0F" w:rsidRPr="00FA2D6F">
        <w:rPr>
          <w:rFonts w:cs="Arial"/>
          <w:sz w:val="24"/>
          <w:szCs w:val="24"/>
        </w:rPr>
        <w:t>Long-Term</w:t>
      </w:r>
      <w:r w:rsidRPr="00FA2D6F">
        <w:rPr>
          <w:rFonts w:cs="Arial"/>
          <w:sz w:val="24"/>
          <w:szCs w:val="24"/>
        </w:rPr>
        <w:t xml:space="preserve"> Plan, which is aimed at preventing older people from entering institutional care</w:t>
      </w:r>
      <w:r w:rsidR="00903A58" w:rsidRPr="00FA2D6F">
        <w:rPr>
          <w:rFonts w:cs="Arial"/>
          <w:sz w:val="24"/>
          <w:szCs w:val="24"/>
        </w:rPr>
        <w:t xml:space="preserve"> </w:t>
      </w:r>
      <w:r w:rsidR="00903A58" w:rsidRPr="00FA2D6F">
        <w:rPr>
          <w:color w:val="000000"/>
          <w:sz w:val="24"/>
          <w:szCs w:val="24"/>
          <w:shd w:val="clear" w:color="auto" w:fill="FFFFFF"/>
        </w:rPr>
        <w:t>(</w:t>
      </w:r>
      <w:r w:rsidR="00B61086">
        <w:rPr>
          <w:color w:val="000000"/>
          <w:sz w:val="24"/>
          <w:szCs w:val="24"/>
          <w:shd w:val="clear" w:color="auto" w:fill="FFFFFF"/>
        </w:rPr>
        <w:t>Wilson et al., 2024</w:t>
      </w:r>
      <w:r w:rsidR="00903A58" w:rsidRPr="00FA2D6F">
        <w:rPr>
          <w:color w:val="000000"/>
          <w:sz w:val="24"/>
          <w:szCs w:val="24"/>
          <w:shd w:val="clear" w:color="auto" w:fill="FFFFFF"/>
        </w:rPr>
        <w:t>)</w:t>
      </w:r>
      <w:r w:rsidRPr="00FA2D6F">
        <w:rPr>
          <w:rFonts w:cs="Arial"/>
          <w:sz w:val="24"/>
          <w:szCs w:val="24"/>
        </w:rPr>
        <w:t>.</w:t>
      </w:r>
    </w:p>
    <w:p w14:paraId="5DA1F5A7" w14:textId="587541AB" w:rsidR="000C3913" w:rsidRPr="00FA2D6F" w:rsidRDefault="0082073D" w:rsidP="00750D5B">
      <w:pPr>
        <w:rPr>
          <w:rFonts w:cs="Arial"/>
          <w:sz w:val="24"/>
          <w:szCs w:val="24"/>
        </w:rPr>
      </w:pPr>
      <w:r w:rsidRPr="00FA2D6F">
        <w:rPr>
          <w:rFonts w:cs="Arial"/>
          <w:sz w:val="24"/>
          <w:szCs w:val="24"/>
        </w:rPr>
        <w:lastRenderedPageBreak/>
        <w:t xml:space="preserve"> The mechanisms in these countries are, however, very context-specific to the specific political economy of each country, e.g., long-term care insurance in Japan, municipal tax bases in Sweden. They cannot be easily integrated into the UK's central health services, NHS, which is mainly based on a dichotomy between funding for medical services and social care paid for by the local authority. An effort to apply the widely lauded principles of these foreign models without the structural support to match, reveals the shortcomings of the UK's current model</w:t>
      </w:r>
      <w:r w:rsidR="006D6DBA" w:rsidRPr="00FA2D6F">
        <w:rPr>
          <w:rFonts w:cs="Arial"/>
          <w:sz w:val="24"/>
          <w:szCs w:val="24"/>
        </w:rPr>
        <w:t xml:space="preserve"> </w:t>
      </w:r>
      <w:r w:rsidR="006D6DBA" w:rsidRPr="00FA2D6F">
        <w:rPr>
          <w:color w:val="000000"/>
          <w:sz w:val="24"/>
          <w:szCs w:val="24"/>
          <w:shd w:val="clear" w:color="auto" w:fill="FFFFFF"/>
        </w:rPr>
        <w:t>(The Health Foundation, 2021)</w:t>
      </w:r>
      <w:r w:rsidRPr="00FA2D6F">
        <w:rPr>
          <w:rFonts w:cs="Arial"/>
          <w:sz w:val="24"/>
          <w:szCs w:val="24"/>
        </w:rPr>
        <w:t xml:space="preserve">. </w:t>
      </w:r>
    </w:p>
    <w:p w14:paraId="56C12AC7" w14:textId="16474A6C" w:rsidR="0082073D" w:rsidRPr="00FA2D6F" w:rsidRDefault="0082073D" w:rsidP="00750D5B">
      <w:pPr>
        <w:rPr>
          <w:rFonts w:cs="Arial"/>
          <w:sz w:val="24"/>
          <w:szCs w:val="24"/>
        </w:rPr>
      </w:pPr>
      <w:r w:rsidRPr="00FA2D6F">
        <w:rPr>
          <w:rFonts w:cs="Arial"/>
          <w:sz w:val="24"/>
          <w:szCs w:val="24"/>
        </w:rPr>
        <w:t xml:space="preserve">National schemes such as the </w:t>
      </w:r>
      <w:r w:rsidR="00877B0F" w:rsidRPr="00FA2D6F">
        <w:rPr>
          <w:rFonts w:cs="Arial"/>
          <w:sz w:val="24"/>
          <w:szCs w:val="24"/>
        </w:rPr>
        <w:t>Long-Term</w:t>
      </w:r>
      <w:r w:rsidRPr="00FA2D6F">
        <w:rPr>
          <w:rFonts w:cs="Arial"/>
          <w:sz w:val="24"/>
          <w:szCs w:val="24"/>
        </w:rPr>
        <w:t xml:space="preserve"> Plan that are focused on local action to address health inequalities are still thwarted by domestic realities. </w:t>
      </w:r>
      <w:r w:rsidR="00471194" w:rsidRPr="00FA2D6F">
        <w:rPr>
          <w:rFonts w:cs="Arial"/>
          <w:sz w:val="24"/>
          <w:szCs w:val="24"/>
        </w:rPr>
        <w:t xml:space="preserve">The </w:t>
      </w:r>
      <w:r w:rsidRPr="00FA2D6F">
        <w:rPr>
          <w:rFonts w:cs="Arial"/>
          <w:sz w:val="24"/>
          <w:szCs w:val="24"/>
        </w:rPr>
        <w:t xml:space="preserve">assumptions of such policies, as the combination of parallel austerity measures has had a negative effect on funding for public health. In brief, the </w:t>
      </w:r>
      <w:r w:rsidR="00877B0F" w:rsidRPr="00FA2D6F">
        <w:rPr>
          <w:rFonts w:cs="Arial"/>
          <w:sz w:val="24"/>
          <w:szCs w:val="24"/>
        </w:rPr>
        <w:t>Long-Term</w:t>
      </w:r>
      <w:r w:rsidRPr="00FA2D6F">
        <w:rPr>
          <w:rFonts w:cs="Arial"/>
          <w:sz w:val="24"/>
          <w:szCs w:val="24"/>
        </w:rPr>
        <w:t xml:space="preserve"> Plan takes a strong stance on a role for local trusts to provide integrated care but without the financial and infrastructural support. </w:t>
      </w:r>
      <w:r w:rsidR="00877B0F" w:rsidRPr="00FA2D6F">
        <w:rPr>
          <w:rFonts w:cs="Arial"/>
          <w:sz w:val="24"/>
          <w:szCs w:val="24"/>
        </w:rPr>
        <w:t>Therefore,</w:t>
      </w:r>
      <w:r w:rsidRPr="00FA2D6F">
        <w:rPr>
          <w:rFonts w:cs="Arial"/>
          <w:sz w:val="24"/>
          <w:szCs w:val="24"/>
        </w:rPr>
        <w:t xml:space="preserve"> the possibility of developing these transferable care models in the context where they are most needed (in deprived areas, older ethnic minority adults) is significantly hampered</w:t>
      </w:r>
      <w:r w:rsidR="003E21B0" w:rsidRPr="00FA2D6F">
        <w:rPr>
          <w:rFonts w:cs="Arial"/>
          <w:sz w:val="24"/>
          <w:szCs w:val="24"/>
        </w:rPr>
        <w:t xml:space="preserve"> </w:t>
      </w:r>
      <w:r w:rsidR="00B61086">
        <w:rPr>
          <w:color w:val="000000"/>
          <w:sz w:val="24"/>
          <w:szCs w:val="24"/>
          <w:shd w:val="clear" w:color="auto" w:fill="FFFFFF"/>
        </w:rPr>
        <w:t>(Wilson et al., 2024</w:t>
      </w:r>
      <w:r w:rsidR="003E21B0" w:rsidRPr="00FA2D6F">
        <w:rPr>
          <w:color w:val="000000"/>
          <w:sz w:val="24"/>
          <w:szCs w:val="24"/>
          <w:shd w:val="clear" w:color="auto" w:fill="FFFFFF"/>
        </w:rPr>
        <w:t>)</w:t>
      </w:r>
      <w:r w:rsidRPr="00FA2D6F">
        <w:rPr>
          <w:rFonts w:cs="Arial"/>
          <w:sz w:val="24"/>
          <w:szCs w:val="24"/>
        </w:rPr>
        <w:t>.</w:t>
      </w:r>
    </w:p>
    <w:p w14:paraId="15CB6D19" w14:textId="77777777" w:rsidR="002D777D" w:rsidRPr="00FA2D6F" w:rsidRDefault="002D777D" w:rsidP="00750D5B">
      <w:pPr>
        <w:pStyle w:val="Heading3"/>
        <w:rPr>
          <w:rFonts w:ascii="Arial" w:hAnsi="Arial" w:cs="Arial"/>
        </w:rPr>
      </w:pPr>
      <w:bookmarkStart w:id="34" w:name="_Toc241246290"/>
      <w:r w:rsidRPr="00FA2D6F">
        <w:rPr>
          <w:rFonts w:ascii="Arial" w:hAnsi="Arial" w:cs="Arial"/>
          <w:bdr w:val="none" w:sz="0" w:space="0" w:color="auto" w:frame="1"/>
        </w:rPr>
        <w:t>Ageing Well Programme and demographic misrepresentation</w:t>
      </w:r>
      <w:bookmarkEnd w:id="34"/>
    </w:p>
    <w:p w14:paraId="38250F3B" w14:textId="1894B0D6" w:rsidR="002D777D" w:rsidRPr="00FA2D6F" w:rsidRDefault="002D777D" w:rsidP="00750D5B">
      <w:pPr>
        <w:rPr>
          <w:rFonts w:eastAsia="Times New Roman" w:cs="Arial"/>
          <w:color w:val="1F1F1F"/>
          <w:kern w:val="0"/>
          <w:sz w:val="24"/>
          <w:szCs w:val="24"/>
          <w:lang w:val="en-US" w:eastAsia="en-US"/>
          <w14:ligatures w14:val="none"/>
        </w:rPr>
      </w:pPr>
      <w:r w:rsidRPr="00FA2D6F">
        <w:rPr>
          <w:rStyle w:val="cursor-pointer"/>
          <w:rFonts w:cs="Arial"/>
          <w:sz w:val="24"/>
          <w:szCs w:val="24"/>
        </w:rPr>
        <w:t>Improvements in policies and support for older people often have institutional gaps, as in the Ageing Well directives.</w:t>
      </w:r>
      <w:r w:rsidRPr="00FA2D6F">
        <w:rPr>
          <w:rFonts w:cs="Arial"/>
          <w:sz w:val="24"/>
          <w:szCs w:val="24"/>
        </w:rPr>
        <w:t xml:space="preserve"> </w:t>
      </w:r>
      <w:r w:rsidR="00471194" w:rsidRPr="00FA2D6F">
        <w:rPr>
          <w:rStyle w:val="cursor-pointer"/>
          <w:rFonts w:cs="Arial"/>
          <w:sz w:val="24"/>
          <w:szCs w:val="24"/>
        </w:rPr>
        <w:t>T</w:t>
      </w:r>
      <w:r w:rsidRPr="00FA2D6F">
        <w:rPr>
          <w:rStyle w:val="cursor-pointer"/>
          <w:rFonts w:cs="Arial"/>
          <w:sz w:val="24"/>
          <w:szCs w:val="24"/>
        </w:rPr>
        <w:t>he national discourse on the needs of older people, including the reports by the Chief Medical Officer, for their differential focus on the needs of rural older people and its contrast with the absolute numbers of older people living in more deprived urban areas</w:t>
      </w:r>
      <w:r w:rsidR="003E21B0" w:rsidRPr="00FA2D6F">
        <w:rPr>
          <w:rStyle w:val="cursor-pointer"/>
          <w:rFonts w:cs="Arial"/>
          <w:sz w:val="24"/>
          <w:szCs w:val="24"/>
        </w:rPr>
        <w:t xml:space="preserve"> </w:t>
      </w:r>
      <w:r w:rsidR="003E21B0" w:rsidRPr="00FA2D6F">
        <w:rPr>
          <w:color w:val="000000"/>
          <w:sz w:val="24"/>
          <w:szCs w:val="24"/>
          <w:shd w:val="clear" w:color="auto" w:fill="FFFFFF"/>
        </w:rPr>
        <w:t>(</w:t>
      </w:r>
      <w:r w:rsidR="00B61086">
        <w:rPr>
          <w:color w:val="000000"/>
          <w:sz w:val="24"/>
          <w:szCs w:val="24"/>
          <w:shd w:val="clear" w:color="auto" w:fill="FFFFFF"/>
        </w:rPr>
        <w:t>Wang &amp; Luan, 2022</w:t>
      </w:r>
      <w:r w:rsidR="003E21B0" w:rsidRPr="00FA2D6F">
        <w:rPr>
          <w:color w:val="000000"/>
          <w:sz w:val="24"/>
          <w:szCs w:val="24"/>
          <w:shd w:val="clear" w:color="auto" w:fill="FFFFFF"/>
        </w:rPr>
        <w:t>)</w:t>
      </w:r>
      <w:r w:rsidRPr="00FA2D6F">
        <w:rPr>
          <w:rStyle w:val="cursor-pointer"/>
          <w:rFonts w:cs="Arial"/>
          <w:sz w:val="24"/>
          <w:szCs w:val="24"/>
        </w:rPr>
        <w:t>.</w:t>
      </w:r>
      <w:r w:rsidRPr="00FA2D6F">
        <w:rPr>
          <w:rFonts w:cs="Arial"/>
          <w:sz w:val="24"/>
          <w:szCs w:val="24"/>
        </w:rPr>
        <w:t xml:space="preserve"> </w:t>
      </w:r>
    </w:p>
    <w:p w14:paraId="00C6184A" w14:textId="77777777" w:rsidR="002D777D" w:rsidRPr="00FA2D6F" w:rsidRDefault="002D777D" w:rsidP="00750D5B">
      <w:pPr>
        <w:pStyle w:val="Heading3"/>
        <w:rPr>
          <w:rFonts w:ascii="Arial" w:hAnsi="Arial" w:cs="Arial"/>
        </w:rPr>
      </w:pPr>
      <w:bookmarkStart w:id="35" w:name="_Toc241246291"/>
      <w:r w:rsidRPr="00FA2D6F">
        <w:rPr>
          <w:rFonts w:ascii="Arial" w:hAnsi="Arial" w:cs="Arial"/>
          <w:bdr w:val="none" w:sz="0" w:space="0" w:color="auto" w:frame="1"/>
        </w:rPr>
        <w:t>Digital transformation and legislation</w:t>
      </w:r>
      <w:bookmarkEnd w:id="35"/>
    </w:p>
    <w:p w14:paraId="4A9E77CB" w14:textId="1FE4EC87" w:rsidR="002D777D" w:rsidRPr="00FA2D6F" w:rsidRDefault="002D777D" w:rsidP="00750D5B">
      <w:pPr>
        <w:rPr>
          <w:rStyle w:val="cursor-pointer"/>
          <w:rFonts w:cs="Arial"/>
          <w:sz w:val="24"/>
          <w:szCs w:val="24"/>
        </w:rPr>
      </w:pPr>
      <w:r w:rsidRPr="00FA2D6F">
        <w:rPr>
          <w:rStyle w:val="cursor-pointer"/>
          <w:rFonts w:cs="Arial"/>
          <w:sz w:val="24"/>
          <w:szCs w:val="24"/>
        </w:rPr>
        <w:t>Moreover, the recent guidelines on digitising PPG have unwittingly created a new battleground of discrimination on a systemic scale.</w:t>
      </w:r>
      <w:r w:rsidRPr="00FA2D6F">
        <w:rPr>
          <w:rFonts w:cs="Arial"/>
          <w:sz w:val="24"/>
          <w:szCs w:val="24"/>
        </w:rPr>
        <w:t xml:space="preserve"> </w:t>
      </w:r>
      <w:r w:rsidRPr="00FA2D6F">
        <w:rPr>
          <w:rStyle w:val="cursor-pointer"/>
          <w:rFonts w:cs="Arial"/>
          <w:sz w:val="24"/>
          <w:szCs w:val="24"/>
        </w:rPr>
        <w:t>Digital exclusion of the older population, especially the minority population who have language and literacy issues, is a pro</w:t>
      </w:r>
      <w:r w:rsidR="00471194" w:rsidRPr="00FA2D6F">
        <w:rPr>
          <w:rStyle w:val="cursor-pointer"/>
          <w:rFonts w:cs="Arial"/>
          <w:sz w:val="24"/>
          <w:szCs w:val="24"/>
        </w:rPr>
        <w:t xml:space="preserve">cess, as revealed by Xue (2022). </w:t>
      </w:r>
      <w:r w:rsidRPr="00FA2D6F">
        <w:rPr>
          <w:rStyle w:val="cursor-pointer"/>
          <w:rFonts w:cs="Arial"/>
          <w:sz w:val="24"/>
          <w:szCs w:val="24"/>
        </w:rPr>
        <w:t xml:space="preserve">This digital exclusion is directly linked to greater psychological distress and feelings of loneliness, as is evident from the </w:t>
      </w:r>
      <w:proofErr w:type="spellStart"/>
      <w:r w:rsidR="00B61086">
        <w:rPr>
          <w:rStyle w:val="cursor-pointer"/>
          <w:rFonts w:cs="Arial"/>
          <w:sz w:val="24"/>
          <w:szCs w:val="24"/>
        </w:rPr>
        <w:t>Knifton</w:t>
      </w:r>
      <w:proofErr w:type="spellEnd"/>
      <w:r w:rsidR="00B61086">
        <w:rPr>
          <w:rStyle w:val="cursor-pointer"/>
          <w:rFonts w:cs="Arial"/>
          <w:sz w:val="24"/>
          <w:szCs w:val="24"/>
        </w:rPr>
        <w:t xml:space="preserve"> &amp; Inglis (2020</w:t>
      </w:r>
      <w:r w:rsidRPr="00FA2D6F">
        <w:rPr>
          <w:rStyle w:val="cursor-pointer"/>
          <w:rFonts w:cs="Arial"/>
          <w:sz w:val="24"/>
          <w:szCs w:val="24"/>
        </w:rPr>
        <w:t>) study, thereby showing that a digital-first policy is not just suboptimal, it is unhelpful.</w:t>
      </w:r>
    </w:p>
    <w:p w14:paraId="57445FE5" w14:textId="14780826" w:rsidR="00750D5B" w:rsidRPr="00FA2D6F" w:rsidRDefault="00750D5B" w:rsidP="00750D5B">
      <w:pPr>
        <w:rPr>
          <w:rFonts w:cs="Arial"/>
          <w:sz w:val="24"/>
          <w:szCs w:val="24"/>
          <w:lang w:val="en-US"/>
        </w:rPr>
      </w:pPr>
      <w:r w:rsidRPr="00877B0F">
        <w:rPr>
          <w:rStyle w:val="cursor-pointer"/>
          <w:rFonts w:cs="Arial"/>
          <w:sz w:val="24"/>
          <w:szCs w:val="24"/>
        </w:rPr>
        <w:t xml:space="preserve">To illustrate this barrier, consider the increasing use of forms that </w:t>
      </w:r>
      <w:proofErr w:type="gramStart"/>
      <w:r w:rsidRPr="00877B0F">
        <w:rPr>
          <w:rStyle w:val="cursor-pointer"/>
          <w:rFonts w:cs="Arial"/>
          <w:sz w:val="24"/>
          <w:szCs w:val="24"/>
        </w:rPr>
        <w:t>have to</w:t>
      </w:r>
      <w:proofErr w:type="gramEnd"/>
      <w:r w:rsidRPr="00877B0F">
        <w:rPr>
          <w:rStyle w:val="cursor-pointer"/>
          <w:rFonts w:cs="Arial"/>
          <w:sz w:val="24"/>
          <w:szCs w:val="24"/>
        </w:rPr>
        <w:t xml:space="preserve"> be completed online via the NHS App, or by phone, as the primary modality for making </w:t>
      </w:r>
      <w:r w:rsidRPr="00877B0F">
        <w:rPr>
          <w:rStyle w:val="cursor-pointer"/>
          <w:rFonts w:cs="Arial"/>
          <w:sz w:val="24"/>
          <w:szCs w:val="24"/>
        </w:rPr>
        <w:lastRenderedPageBreak/>
        <w:t>routine GP appointments, or picking up repeat prescriptions. If a patient is a first-generation immigrant, aged 78, whose primary language is not English and who has no smartphones or lacks digital skills themselves, they are effectively barred from using this triage system; the patient may therefore delay getting the care needed until a simple condition turns into a medical emergency</w:t>
      </w:r>
      <w:r w:rsidR="003E21B0" w:rsidRPr="00877B0F">
        <w:rPr>
          <w:rStyle w:val="cursor-pointer"/>
          <w:rFonts w:cs="Arial"/>
          <w:sz w:val="24"/>
          <w:szCs w:val="24"/>
        </w:rPr>
        <w:t xml:space="preserve"> </w:t>
      </w:r>
      <w:r w:rsidR="003E21B0" w:rsidRPr="00FA2D6F">
        <w:rPr>
          <w:color w:val="000000"/>
          <w:sz w:val="24"/>
          <w:szCs w:val="24"/>
          <w:shd w:val="clear" w:color="auto" w:fill="FFFFFF"/>
        </w:rPr>
        <w:t>(</w:t>
      </w:r>
      <w:r w:rsidR="00B61086">
        <w:rPr>
          <w:color w:val="000000"/>
          <w:sz w:val="24"/>
          <w:szCs w:val="24"/>
          <w:shd w:val="clear" w:color="auto" w:fill="FFFFFF"/>
        </w:rPr>
        <w:t>Mukhtar et al.</w:t>
      </w:r>
      <w:r w:rsidR="003E21B0" w:rsidRPr="00FA2D6F">
        <w:rPr>
          <w:color w:val="000000"/>
          <w:sz w:val="24"/>
          <w:szCs w:val="24"/>
          <w:shd w:val="clear" w:color="auto" w:fill="FFFFFF"/>
        </w:rPr>
        <w:t>, 2025</w:t>
      </w:r>
      <w:r w:rsidR="003E21B0" w:rsidRPr="00877B0F">
        <w:rPr>
          <w:color w:val="000000"/>
          <w:sz w:val="24"/>
          <w:szCs w:val="24"/>
          <w:shd w:val="clear" w:color="auto" w:fill="FFFFFF"/>
        </w:rPr>
        <w:t>)</w:t>
      </w:r>
      <w:r w:rsidRPr="00877B0F">
        <w:rPr>
          <w:rStyle w:val="cursor-pointer"/>
          <w:rFonts w:cs="Arial"/>
          <w:sz w:val="24"/>
          <w:szCs w:val="24"/>
        </w:rPr>
        <w:t>.</w:t>
      </w:r>
    </w:p>
    <w:p w14:paraId="3C668755" w14:textId="77777777" w:rsidR="002D777D" w:rsidRPr="00FA2D6F" w:rsidRDefault="002D777D" w:rsidP="00750D5B">
      <w:pPr>
        <w:pStyle w:val="Heading3"/>
        <w:rPr>
          <w:rFonts w:ascii="Arial" w:hAnsi="Arial" w:cs="Arial"/>
        </w:rPr>
      </w:pPr>
      <w:bookmarkStart w:id="36" w:name="_Toc241246292"/>
      <w:r w:rsidRPr="00FA2D6F">
        <w:rPr>
          <w:rFonts w:ascii="Arial" w:hAnsi="Arial" w:cs="Arial"/>
          <w:bdr w:val="none" w:sz="0" w:space="0" w:color="auto" w:frame="1"/>
        </w:rPr>
        <w:t>UK implementation challenges</w:t>
      </w:r>
      <w:bookmarkEnd w:id="36"/>
    </w:p>
    <w:p w14:paraId="44628BFD" w14:textId="2FB75B42" w:rsidR="002D777D" w:rsidRPr="00FA2D6F" w:rsidRDefault="002D777D" w:rsidP="00750D5B">
      <w:pPr>
        <w:rPr>
          <w:rFonts w:cs="Arial"/>
          <w:sz w:val="24"/>
          <w:szCs w:val="24"/>
          <w:lang w:val="en-US"/>
        </w:rPr>
      </w:pPr>
      <w:r w:rsidRPr="00FA2D6F">
        <w:rPr>
          <w:rStyle w:val="cursor-pointer"/>
          <w:rFonts w:cs="Arial"/>
          <w:sz w:val="24"/>
          <w:szCs w:val="24"/>
        </w:rPr>
        <w:t>The UK healthcare context is defined by a catastrophic gap between policy intention and local implementation.</w:t>
      </w:r>
      <w:r w:rsidRPr="00FA2D6F">
        <w:rPr>
          <w:rFonts w:cs="Arial"/>
          <w:sz w:val="24"/>
          <w:szCs w:val="24"/>
        </w:rPr>
        <w:t xml:space="preserve"> </w:t>
      </w:r>
      <w:r w:rsidRPr="00FA2D6F">
        <w:rPr>
          <w:rStyle w:val="cursor-pointer"/>
          <w:rFonts w:cs="Arial"/>
          <w:sz w:val="24"/>
          <w:szCs w:val="24"/>
        </w:rPr>
        <w:t>Overreliance on restrictive practices and lack of culturally competent and trauma-informed approaches have been shown to great</w:t>
      </w:r>
      <w:r w:rsidR="00F107FF" w:rsidRPr="00FA2D6F">
        <w:rPr>
          <w:rStyle w:val="cursor-pointer"/>
          <w:rFonts w:cs="Arial"/>
          <w:sz w:val="24"/>
          <w:szCs w:val="24"/>
        </w:rPr>
        <w:t xml:space="preserve">ly diminish care effectiveness. </w:t>
      </w:r>
      <w:r w:rsidRPr="00FA2D6F">
        <w:rPr>
          <w:rStyle w:val="cursor-pointer"/>
          <w:rFonts w:cs="Arial"/>
          <w:sz w:val="24"/>
          <w:szCs w:val="24"/>
        </w:rPr>
        <w:t>Further, network building and the flow of information are essential for the development of true interprofessional, integrated care, which is regularly lacking in the less resourceful primary care networks for minori</w:t>
      </w:r>
      <w:r w:rsidR="00471194" w:rsidRPr="00FA2D6F">
        <w:rPr>
          <w:rStyle w:val="cursor-pointer"/>
          <w:rFonts w:cs="Arial"/>
          <w:sz w:val="24"/>
          <w:szCs w:val="24"/>
        </w:rPr>
        <w:t xml:space="preserve">ty communities, as described. </w:t>
      </w:r>
      <w:r w:rsidRPr="00FA2D6F">
        <w:rPr>
          <w:rStyle w:val="cursor-pointer"/>
          <w:rFonts w:cs="Arial"/>
          <w:sz w:val="24"/>
          <w:szCs w:val="24"/>
        </w:rPr>
        <w:t>For the ethnic minority 72-80, this is therefore a disturbing environment that must be given critical attention.</w:t>
      </w:r>
    </w:p>
    <w:p w14:paraId="417343EB" w14:textId="419E72D9" w:rsidR="00F37EC0" w:rsidRPr="00FA2D6F" w:rsidRDefault="00F37EC0" w:rsidP="00750D5B">
      <w:pPr>
        <w:pStyle w:val="Heading2"/>
        <w:rPr>
          <w:rFonts w:cs="Arial"/>
          <w:szCs w:val="24"/>
        </w:rPr>
      </w:pPr>
      <w:bookmarkStart w:id="37" w:name="_Toc241246293"/>
      <w:r w:rsidRPr="00FA2D6F">
        <w:rPr>
          <w:rFonts w:cs="Arial"/>
          <w:szCs w:val="24"/>
        </w:rPr>
        <w:t>Critical Limitations of the Existing Literature</w:t>
      </w:r>
      <w:bookmarkEnd w:id="37"/>
    </w:p>
    <w:p w14:paraId="7E016489" w14:textId="07B689F3" w:rsidR="00F37EC0" w:rsidRPr="00FA2D6F" w:rsidRDefault="00F37EC0" w:rsidP="00750D5B">
      <w:pPr>
        <w:rPr>
          <w:rFonts w:cs="Arial"/>
          <w:sz w:val="24"/>
          <w:szCs w:val="24"/>
        </w:rPr>
      </w:pPr>
      <w:r w:rsidRPr="00877B0F">
        <w:rPr>
          <w:rFonts w:cs="Arial"/>
          <w:sz w:val="24"/>
          <w:szCs w:val="24"/>
        </w:rPr>
        <w:t xml:space="preserve">A significant limitation in the existing evidence is the over-reliance on overall picture of population groups, which fails to capture the finer details of </w:t>
      </w:r>
      <w:r w:rsidR="003E474D" w:rsidRPr="00877B0F">
        <w:rPr>
          <w:rFonts w:cs="Arial"/>
          <w:sz w:val="24"/>
          <w:szCs w:val="24"/>
        </w:rPr>
        <w:t>cohorts</w:t>
      </w:r>
      <w:r w:rsidRPr="00877B0F">
        <w:rPr>
          <w:rFonts w:cs="Arial"/>
          <w:sz w:val="24"/>
          <w:szCs w:val="24"/>
        </w:rPr>
        <w:t xml:space="preserve">. Existing studies define 'older adults' or 'ethnic minorities' as monolithic groups, without considering how age, race, and socioeconomic disadvantage may interact </w:t>
      </w:r>
      <w:r w:rsidR="00D64727" w:rsidRPr="00877B0F">
        <w:rPr>
          <w:rFonts w:cs="Arial"/>
          <w:sz w:val="24"/>
          <w:szCs w:val="24"/>
        </w:rPr>
        <w:t xml:space="preserve">(pp. e1642-e1664) although </w:t>
      </w:r>
      <w:r w:rsidRPr="00877B0F">
        <w:rPr>
          <w:rFonts w:cs="Arial"/>
          <w:sz w:val="24"/>
          <w:szCs w:val="24"/>
        </w:rPr>
        <w:t xml:space="preserve">Ford et al. (2021) explored this question. Moreover, studies on access to e-services in the health sector are often dated, using only secondary and quantitative data, which fails to consider the 72-80 age </w:t>
      </w:r>
      <w:proofErr w:type="gramStart"/>
      <w:r w:rsidRPr="00877B0F">
        <w:rPr>
          <w:rFonts w:cs="Arial"/>
          <w:sz w:val="24"/>
          <w:szCs w:val="24"/>
        </w:rPr>
        <w:t>group in particular, and</w:t>
      </w:r>
      <w:proofErr w:type="gramEnd"/>
      <w:r w:rsidRPr="00877B0F">
        <w:rPr>
          <w:rFonts w:cs="Arial"/>
          <w:sz w:val="24"/>
          <w:szCs w:val="24"/>
        </w:rPr>
        <w:t xml:space="preserve"> consequently fails to show how generational linguistic barriers relate to new digital triage systems. This structural contradiction in which literature recognizes complex disparities and in which studies are done in general, through generalized and homogenous sampling, diminishes ability of current policies to effectively identify the right points of intervention</w:t>
      </w:r>
      <w:r w:rsidR="003E21B0" w:rsidRPr="00877B0F">
        <w:rPr>
          <w:rFonts w:cs="Arial"/>
          <w:sz w:val="24"/>
          <w:szCs w:val="24"/>
        </w:rPr>
        <w:t xml:space="preserve"> </w:t>
      </w:r>
      <w:r w:rsidR="003E21B0" w:rsidRPr="00877B0F">
        <w:rPr>
          <w:color w:val="000000"/>
          <w:sz w:val="24"/>
          <w:szCs w:val="24"/>
          <w:shd w:val="clear" w:color="auto" w:fill="FFFFFF"/>
        </w:rPr>
        <w:t>(</w:t>
      </w:r>
      <w:proofErr w:type="spellStart"/>
      <w:r w:rsidR="00B61086" w:rsidRPr="00877B0F">
        <w:rPr>
          <w:color w:val="000000"/>
          <w:sz w:val="24"/>
          <w:szCs w:val="24"/>
          <w:shd w:val="clear" w:color="auto" w:fill="FFFFFF"/>
        </w:rPr>
        <w:t>Alderwick</w:t>
      </w:r>
      <w:proofErr w:type="spellEnd"/>
      <w:r w:rsidR="00B61086" w:rsidRPr="00877B0F">
        <w:rPr>
          <w:color w:val="000000"/>
          <w:sz w:val="24"/>
          <w:szCs w:val="24"/>
          <w:shd w:val="clear" w:color="auto" w:fill="FFFFFF"/>
        </w:rPr>
        <w:t xml:space="preserve"> et al., 2022</w:t>
      </w:r>
      <w:r w:rsidR="003E21B0" w:rsidRPr="00877B0F">
        <w:rPr>
          <w:color w:val="000000"/>
          <w:sz w:val="24"/>
          <w:szCs w:val="24"/>
          <w:shd w:val="clear" w:color="auto" w:fill="FFFFFF"/>
        </w:rPr>
        <w:t>)</w:t>
      </w:r>
      <w:r w:rsidRPr="00877B0F">
        <w:rPr>
          <w:rFonts w:cs="Arial"/>
          <w:sz w:val="24"/>
          <w:szCs w:val="24"/>
        </w:rPr>
        <w:t>.</w:t>
      </w:r>
    </w:p>
    <w:p w14:paraId="13A14706" w14:textId="77777777" w:rsidR="002D777D" w:rsidRPr="00FA2D6F" w:rsidRDefault="002D777D" w:rsidP="00750D5B">
      <w:pPr>
        <w:pStyle w:val="Heading2"/>
        <w:rPr>
          <w:rFonts w:cs="Arial"/>
          <w:szCs w:val="24"/>
        </w:rPr>
      </w:pPr>
      <w:bookmarkStart w:id="38" w:name="_Toc241246294"/>
      <w:r w:rsidRPr="00FA2D6F">
        <w:rPr>
          <w:rFonts w:cs="Arial"/>
          <w:szCs w:val="24"/>
          <w:bdr w:val="none" w:sz="0" w:space="0" w:color="auto" w:frame="1"/>
        </w:rPr>
        <w:t>Chapter Conclusion</w:t>
      </w:r>
      <w:bookmarkEnd w:id="38"/>
    </w:p>
    <w:p w14:paraId="2D2E6A0D" w14:textId="1E82AE41" w:rsidR="002D777D" w:rsidRPr="00FA2D6F" w:rsidRDefault="002D777D" w:rsidP="00750D5B">
      <w:pPr>
        <w:rPr>
          <w:rFonts w:eastAsia="Times New Roman" w:cs="Arial"/>
          <w:sz w:val="24"/>
          <w:szCs w:val="24"/>
          <w:lang w:val="en-US" w:eastAsia="en-US"/>
        </w:rPr>
      </w:pPr>
      <w:r w:rsidRPr="00FA2D6F">
        <w:rPr>
          <w:rFonts w:eastAsia="Times New Roman" w:cs="Arial"/>
          <w:sz w:val="24"/>
          <w:szCs w:val="24"/>
          <w:lang w:val="en-US" w:eastAsia="en-US"/>
        </w:rPr>
        <w:t xml:space="preserve">This chapter has shown that the inequities that ethnic minority adults aged 72-80 </w:t>
      </w:r>
      <w:r w:rsidR="00877B0F" w:rsidRPr="00FA2D6F">
        <w:rPr>
          <w:rFonts w:eastAsia="Times New Roman" w:cs="Arial"/>
          <w:sz w:val="24"/>
          <w:szCs w:val="24"/>
          <w:lang w:val="en-US" w:eastAsia="en-US"/>
        </w:rPr>
        <w:t>years’ experience</w:t>
      </w:r>
      <w:r w:rsidRPr="00FA2D6F">
        <w:rPr>
          <w:rFonts w:eastAsia="Times New Roman" w:cs="Arial"/>
          <w:sz w:val="24"/>
          <w:szCs w:val="24"/>
          <w:lang w:val="en-US" w:eastAsia="en-US"/>
        </w:rPr>
        <w:t xml:space="preserve"> in health care today are not unintended consequences, but the inevitable fruits of a history of neglect, systemic structural deficits, and the continued operation of the Inverse Care Law. While at a national level, integrated care and </w:t>
      </w:r>
      <w:r w:rsidRPr="00FA2D6F">
        <w:rPr>
          <w:rFonts w:eastAsia="Times New Roman" w:cs="Arial"/>
          <w:sz w:val="24"/>
          <w:szCs w:val="24"/>
          <w:lang w:val="en-US" w:eastAsia="en-US"/>
        </w:rPr>
        <w:lastRenderedPageBreak/>
        <w:t xml:space="preserve">digital modernization is promoted as policy, the facts are clear that </w:t>
      </w:r>
      <w:r w:rsidR="00E72AD0" w:rsidRPr="00FA2D6F">
        <w:rPr>
          <w:rFonts w:eastAsia="Times New Roman" w:cs="Arial"/>
          <w:sz w:val="24"/>
          <w:szCs w:val="24"/>
          <w:lang w:val="en-US" w:eastAsia="en-US"/>
        </w:rPr>
        <w:t>it</w:t>
      </w:r>
      <w:r w:rsidRPr="00FA2D6F">
        <w:rPr>
          <w:rFonts w:eastAsia="Times New Roman" w:cs="Arial"/>
          <w:sz w:val="24"/>
          <w:szCs w:val="24"/>
          <w:lang w:val="en-US" w:eastAsia="en-US"/>
        </w:rPr>
        <w:t xml:space="preserve"> is always good news for those who are being </w:t>
      </w:r>
      <w:proofErr w:type="spellStart"/>
      <w:r w:rsidRPr="00FA2D6F">
        <w:rPr>
          <w:rFonts w:eastAsia="Times New Roman" w:cs="Arial"/>
          <w:sz w:val="24"/>
          <w:szCs w:val="24"/>
          <w:lang w:val="en-US" w:eastAsia="en-US"/>
        </w:rPr>
        <w:t>marginalised</w:t>
      </w:r>
      <w:proofErr w:type="spellEnd"/>
      <w:r w:rsidRPr="00FA2D6F">
        <w:rPr>
          <w:rFonts w:eastAsia="Times New Roman" w:cs="Arial"/>
          <w:sz w:val="24"/>
          <w:szCs w:val="24"/>
          <w:lang w:val="en-US" w:eastAsia="en-US"/>
        </w:rPr>
        <w:t xml:space="preserve">. The need to restructure NHS delivery radically, in a culturally appropriate way, has now been clearly identified, against the backdrop of the UK's compromising ways of working compared to the rest of the world. After </w:t>
      </w:r>
      <w:r w:rsidR="00877B0F" w:rsidRPr="00FA2D6F">
        <w:rPr>
          <w:rFonts w:eastAsia="Times New Roman" w:cs="Arial"/>
          <w:sz w:val="24"/>
          <w:szCs w:val="24"/>
          <w:lang w:val="en-US" w:eastAsia="en-US"/>
        </w:rPr>
        <w:t>authority</w:t>
      </w:r>
      <w:r w:rsidRPr="00FA2D6F">
        <w:rPr>
          <w:rFonts w:eastAsia="Times New Roman" w:cs="Arial"/>
          <w:sz w:val="24"/>
          <w:szCs w:val="24"/>
          <w:lang w:val="en-US" w:eastAsia="en-US"/>
        </w:rPr>
        <w:t xml:space="preserve"> on this background and theory, the following chapter, Chapter 3, will explain the methodological approach and analysis processes used to detect, assess and synthesize the key evidence needed to address the key research question.</w:t>
      </w:r>
    </w:p>
    <w:p w14:paraId="3A3B71DE" w14:textId="7F6B919D" w:rsidR="003E21B0" w:rsidRPr="00FA2D6F" w:rsidRDefault="002D777D" w:rsidP="00750D5B">
      <w:pPr>
        <w:spacing w:after="0"/>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br/>
      </w:r>
    </w:p>
    <w:p w14:paraId="5CBE2746" w14:textId="77777777" w:rsidR="003E21B0" w:rsidRPr="00FA2D6F" w:rsidRDefault="003E21B0">
      <w:pPr>
        <w:spacing w:line="259" w:lineRule="auto"/>
        <w:jc w:val="left"/>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br w:type="page"/>
      </w:r>
    </w:p>
    <w:p w14:paraId="13B770B5" w14:textId="77777777" w:rsidR="002D777D" w:rsidRPr="00FA2D6F" w:rsidRDefault="002D777D" w:rsidP="00750D5B">
      <w:pPr>
        <w:spacing w:after="0"/>
        <w:rPr>
          <w:rFonts w:eastAsia="Times New Roman" w:cs="Arial"/>
          <w:color w:val="1F1F1F"/>
          <w:kern w:val="0"/>
          <w:sz w:val="24"/>
          <w:szCs w:val="24"/>
          <w:lang w:val="en-US" w:eastAsia="en-US"/>
          <w14:ligatures w14:val="none"/>
        </w:rPr>
      </w:pPr>
    </w:p>
    <w:p w14:paraId="5A936E71" w14:textId="400FD831" w:rsidR="00E4000A" w:rsidRPr="00FA2D6F" w:rsidRDefault="00292A36" w:rsidP="00750D5B">
      <w:pPr>
        <w:pStyle w:val="Heading1"/>
        <w:spacing w:line="360" w:lineRule="auto"/>
        <w:ind w:left="0"/>
        <w:jc w:val="both"/>
        <w:rPr>
          <w:rFonts w:cs="Arial"/>
          <w:sz w:val="24"/>
          <w:szCs w:val="24"/>
        </w:rPr>
      </w:pPr>
      <w:bookmarkStart w:id="39" w:name="_Toc241246295"/>
      <w:r w:rsidRPr="00FA2D6F">
        <w:rPr>
          <w:rFonts w:cs="Arial"/>
          <w:sz w:val="24"/>
          <w:szCs w:val="24"/>
        </w:rPr>
        <w:t xml:space="preserve">CHAPTER 3 – </w:t>
      </w:r>
      <w:r w:rsidR="00E4000A" w:rsidRPr="00FA2D6F">
        <w:rPr>
          <w:rFonts w:cs="Arial"/>
          <w:sz w:val="24"/>
          <w:szCs w:val="24"/>
        </w:rPr>
        <w:t>Methodology</w:t>
      </w:r>
      <w:bookmarkEnd w:id="39"/>
    </w:p>
    <w:p w14:paraId="57364C29" w14:textId="77777777" w:rsidR="002D777D" w:rsidRPr="00FA2D6F" w:rsidRDefault="002D777D" w:rsidP="00750D5B">
      <w:pPr>
        <w:pStyle w:val="Heading2"/>
        <w:rPr>
          <w:rFonts w:cs="Arial"/>
          <w:szCs w:val="24"/>
        </w:rPr>
      </w:pPr>
      <w:bookmarkStart w:id="40" w:name="_Toc241246296"/>
      <w:r w:rsidRPr="00FA2D6F">
        <w:rPr>
          <w:rFonts w:cs="Arial"/>
          <w:szCs w:val="24"/>
          <w:bdr w:val="none" w:sz="0" w:space="0" w:color="auto" w:frame="1"/>
        </w:rPr>
        <w:t>Introduction</w:t>
      </w:r>
      <w:bookmarkEnd w:id="40"/>
    </w:p>
    <w:p w14:paraId="5EA4E307" w14:textId="6D2800E8" w:rsidR="00EA7F3D" w:rsidRPr="00FA2D6F" w:rsidRDefault="00EA7F3D" w:rsidP="00750D5B">
      <w:pPr>
        <w:rPr>
          <w:rFonts w:cs="Arial"/>
          <w:sz w:val="24"/>
          <w:szCs w:val="24"/>
        </w:rPr>
      </w:pPr>
      <w:r w:rsidRPr="00FA2D6F">
        <w:rPr>
          <w:rStyle w:val="cursor-pointer"/>
          <w:rFonts w:cs="Arial"/>
          <w:sz w:val="24"/>
          <w:szCs w:val="24"/>
        </w:rPr>
        <w:t>This chapter clearly details the methodology used in the study of healthcare access and ethnic minority adult inequalities in the UK.</w:t>
      </w:r>
      <w:r w:rsidRPr="00FA2D6F">
        <w:rPr>
          <w:rFonts w:cs="Arial"/>
          <w:sz w:val="24"/>
          <w:szCs w:val="24"/>
        </w:rPr>
        <w:t xml:space="preserve"> </w:t>
      </w:r>
      <w:r w:rsidRPr="00FA2D6F">
        <w:rPr>
          <w:rStyle w:val="cursor-pointer"/>
          <w:rFonts w:cs="Arial"/>
          <w:sz w:val="24"/>
          <w:szCs w:val="24"/>
        </w:rPr>
        <w:t>This research is an entirely desk-based secondary qualitative research project, using published, retrieved literature and policy documents for analysis.</w:t>
      </w:r>
      <w:r w:rsidRPr="00FA2D6F">
        <w:rPr>
          <w:rFonts w:cs="Arial"/>
          <w:sz w:val="24"/>
          <w:szCs w:val="24"/>
        </w:rPr>
        <w:t xml:space="preserve"> </w:t>
      </w:r>
      <w:r w:rsidRPr="00FA2D6F">
        <w:rPr>
          <w:rStyle w:val="cursor-pointer"/>
          <w:rFonts w:cs="Arial"/>
          <w:sz w:val="24"/>
          <w:szCs w:val="24"/>
        </w:rPr>
        <w:t>Secondary qualitative reviews</w:t>
      </w:r>
      <w:r w:rsidR="00FA4361" w:rsidRPr="00FA2D6F">
        <w:rPr>
          <w:rStyle w:val="cursor-pointer"/>
          <w:rFonts w:cs="Arial"/>
          <w:sz w:val="24"/>
          <w:szCs w:val="24"/>
        </w:rPr>
        <w:t xml:space="preserve"> are</w:t>
      </w:r>
      <w:r w:rsidRPr="00FA2D6F">
        <w:rPr>
          <w:rStyle w:val="cursor-pointer"/>
          <w:rFonts w:cs="Arial"/>
          <w:sz w:val="24"/>
          <w:szCs w:val="24"/>
        </w:rPr>
        <w:t xml:space="preserve"> pivotal to health equity research because they can conduct reviews that support the synthesis of multifaceted systemic barriers in a variety of context-dependent settings, without needing to collect primary data</w:t>
      </w:r>
      <w:r w:rsidR="00B61086">
        <w:rPr>
          <w:rStyle w:val="cursor-pointer"/>
          <w:rFonts w:cs="Arial"/>
          <w:sz w:val="24"/>
          <w:szCs w:val="24"/>
        </w:rPr>
        <w:t xml:space="preserve"> (</w:t>
      </w:r>
      <w:proofErr w:type="spellStart"/>
      <w:r w:rsidR="00B61086">
        <w:rPr>
          <w:rStyle w:val="cursor-pointer"/>
          <w:rFonts w:cs="Arial"/>
          <w:sz w:val="24"/>
          <w:szCs w:val="24"/>
        </w:rPr>
        <w:t>Somolli</w:t>
      </w:r>
      <w:proofErr w:type="spellEnd"/>
      <w:r w:rsidR="00B61086">
        <w:rPr>
          <w:rStyle w:val="cursor-pointer"/>
          <w:rFonts w:cs="Arial"/>
          <w:sz w:val="24"/>
          <w:szCs w:val="24"/>
        </w:rPr>
        <w:t xml:space="preserve"> et al., 2023)</w:t>
      </w:r>
      <w:r w:rsidR="00471194" w:rsidRPr="00FA2D6F">
        <w:rPr>
          <w:rStyle w:val="cursor-pointer"/>
          <w:rFonts w:cs="Arial"/>
          <w:sz w:val="24"/>
          <w:szCs w:val="24"/>
        </w:rPr>
        <w:t xml:space="preserve">. </w:t>
      </w:r>
      <w:r w:rsidRPr="00FA2D6F">
        <w:rPr>
          <w:rStyle w:val="cursor-pointer"/>
          <w:rFonts w:cs="Arial"/>
          <w:sz w:val="24"/>
          <w:szCs w:val="24"/>
        </w:rPr>
        <w:t>To this end, the main objective of this methodology is to provide absolute transparency, rigor and reproducibility in selecting, validating and analysing any sources used to address the central research question.</w:t>
      </w:r>
    </w:p>
    <w:p w14:paraId="09526F83" w14:textId="77777777" w:rsidR="002D777D" w:rsidRPr="00FA2D6F" w:rsidRDefault="002D777D" w:rsidP="00750D5B">
      <w:pPr>
        <w:pStyle w:val="Heading2"/>
        <w:rPr>
          <w:rFonts w:cs="Arial"/>
          <w:szCs w:val="24"/>
        </w:rPr>
      </w:pPr>
      <w:bookmarkStart w:id="41" w:name="_Toc241246297"/>
      <w:r w:rsidRPr="00FA2D6F">
        <w:rPr>
          <w:rFonts w:cs="Arial"/>
          <w:szCs w:val="24"/>
        </w:rPr>
        <w:t>Research Approach and Design</w:t>
      </w:r>
      <w:bookmarkEnd w:id="41"/>
      <w:r w:rsidRPr="00FA2D6F">
        <w:rPr>
          <w:rFonts w:cs="Arial"/>
          <w:szCs w:val="24"/>
        </w:rPr>
        <w:t xml:space="preserve"> </w:t>
      </w:r>
    </w:p>
    <w:p w14:paraId="17968AB8" w14:textId="06DCB9E9" w:rsidR="00EA7F3D" w:rsidRPr="00FA2D6F" w:rsidRDefault="00EA7F3D" w:rsidP="00750D5B">
      <w:pPr>
        <w:rPr>
          <w:rFonts w:cs="Arial"/>
          <w:sz w:val="24"/>
          <w:szCs w:val="24"/>
        </w:rPr>
      </w:pPr>
      <w:r w:rsidRPr="00FA2D6F">
        <w:rPr>
          <w:rStyle w:val="cursor-pointer"/>
          <w:rFonts w:cs="Arial"/>
          <w:sz w:val="24"/>
          <w:szCs w:val="24"/>
        </w:rPr>
        <w:t>The study has an orientation of interpretivism, consistent with the qualitative nature of the study.</w:t>
      </w:r>
      <w:r w:rsidRPr="00FA2D6F">
        <w:rPr>
          <w:rFonts w:cs="Arial"/>
          <w:sz w:val="24"/>
          <w:szCs w:val="24"/>
        </w:rPr>
        <w:t xml:space="preserve"> </w:t>
      </w:r>
      <w:r w:rsidRPr="00FA2D6F">
        <w:rPr>
          <w:rStyle w:val="cursor-pointer"/>
          <w:rFonts w:cs="Arial"/>
          <w:sz w:val="24"/>
          <w:szCs w:val="24"/>
        </w:rPr>
        <w:t>As Xue (2022) point out, if the aim is not to establish statistical relationships, but rather to understand and make sense of how structural barriers, cultural constraints and systemic inequalities are interpreted and represented in an extensive range of evidence, then an interpretivist approach is required.</w:t>
      </w:r>
      <w:r w:rsidRPr="00FA2D6F">
        <w:rPr>
          <w:rFonts w:cs="Arial"/>
          <w:sz w:val="24"/>
          <w:szCs w:val="24"/>
        </w:rPr>
        <w:t xml:space="preserve"> </w:t>
      </w:r>
      <w:r w:rsidRPr="00FA2D6F">
        <w:rPr>
          <w:rStyle w:val="cursor-pointer"/>
          <w:rFonts w:cs="Arial"/>
          <w:sz w:val="24"/>
          <w:szCs w:val="24"/>
        </w:rPr>
        <w:t>It employs a desk-based approach to secondary research which involves analysing existing academic and policy discussions and builds a profile of the 72-80 generation based on that profile.</w:t>
      </w:r>
    </w:p>
    <w:p w14:paraId="413DC42B" w14:textId="16E44B38" w:rsidR="002D777D" w:rsidRPr="00FA2D6F" w:rsidRDefault="002D777D" w:rsidP="00750D5B">
      <w:pPr>
        <w:pStyle w:val="Heading2"/>
        <w:rPr>
          <w:rFonts w:cs="Arial"/>
          <w:szCs w:val="24"/>
        </w:rPr>
      </w:pPr>
      <w:bookmarkStart w:id="42" w:name="_Toc241246298"/>
      <w:r w:rsidRPr="00FA2D6F">
        <w:rPr>
          <w:rFonts w:cs="Arial"/>
          <w:szCs w:val="24"/>
        </w:rPr>
        <w:t xml:space="preserve">Search </w:t>
      </w:r>
      <w:r w:rsidR="00E4000A" w:rsidRPr="00FA2D6F">
        <w:rPr>
          <w:rFonts w:cs="Arial"/>
          <w:szCs w:val="24"/>
        </w:rPr>
        <w:t>Plan</w:t>
      </w:r>
      <w:bookmarkEnd w:id="42"/>
      <w:r w:rsidRPr="00FA2D6F">
        <w:rPr>
          <w:rFonts w:cs="Arial"/>
          <w:szCs w:val="24"/>
        </w:rPr>
        <w:t xml:space="preserve"> </w:t>
      </w:r>
    </w:p>
    <w:p w14:paraId="57E508C2" w14:textId="77777777" w:rsidR="00B61086" w:rsidRDefault="00EA7F3D" w:rsidP="00750D5B">
      <w:pPr>
        <w:rPr>
          <w:rFonts w:cs="Arial"/>
          <w:sz w:val="24"/>
          <w:szCs w:val="24"/>
        </w:rPr>
      </w:pPr>
      <w:r w:rsidRPr="00FA2D6F">
        <w:rPr>
          <w:rStyle w:val="cursor-pointer"/>
          <w:rFonts w:cs="Arial"/>
          <w:sz w:val="24"/>
          <w:szCs w:val="24"/>
        </w:rPr>
        <w:t>The search plan consisted of using well-validated academic databases and institutional repositories including Google Scholar, PubMed, the university library catalogue, NHS library repositories, and NICE and WHO library repositories to help ensure the integrity and strength of the evidence base.</w:t>
      </w:r>
      <w:r w:rsidRPr="00FA2D6F">
        <w:rPr>
          <w:rFonts w:cs="Arial"/>
          <w:sz w:val="24"/>
          <w:szCs w:val="24"/>
        </w:rPr>
        <w:t xml:space="preserve"> </w:t>
      </w:r>
    </w:p>
    <w:p w14:paraId="2C9D811E" w14:textId="088DD24C" w:rsidR="00EA7F3D" w:rsidRPr="00FA2D6F" w:rsidRDefault="00EA7F3D" w:rsidP="00750D5B">
      <w:pPr>
        <w:rPr>
          <w:rFonts w:cs="Arial"/>
          <w:sz w:val="24"/>
          <w:szCs w:val="24"/>
        </w:rPr>
      </w:pPr>
      <w:r w:rsidRPr="00FA2D6F">
        <w:rPr>
          <w:rStyle w:val="cursor-pointer"/>
          <w:rFonts w:cs="Arial"/>
          <w:sz w:val="24"/>
          <w:szCs w:val="24"/>
        </w:rPr>
        <w:t xml:space="preserve">The combination of these two academic search systems is useful in synthesising healthcare literature and is corroborated by </w:t>
      </w:r>
      <w:proofErr w:type="gramStart"/>
      <w:r w:rsidRPr="00FA2D6F">
        <w:rPr>
          <w:rStyle w:val="cursor-pointer"/>
          <w:rFonts w:cs="Arial"/>
          <w:sz w:val="24"/>
          <w:szCs w:val="24"/>
        </w:rPr>
        <w:t>all of</w:t>
      </w:r>
      <w:proofErr w:type="gramEnd"/>
      <w:r w:rsidRPr="00FA2D6F">
        <w:rPr>
          <w:rStyle w:val="cursor-pointer"/>
          <w:rFonts w:cs="Arial"/>
          <w:sz w:val="24"/>
          <w:szCs w:val="24"/>
        </w:rPr>
        <w:t xml:space="preserve"> the papers that were published in peer-reviewed journals as well as some vital grey literature papers, as discussed by </w:t>
      </w:r>
      <w:proofErr w:type="spellStart"/>
      <w:r w:rsidRPr="00FA2D6F">
        <w:rPr>
          <w:rStyle w:val="cursor-pointer"/>
          <w:rFonts w:cs="Arial"/>
          <w:sz w:val="24"/>
          <w:szCs w:val="24"/>
        </w:rPr>
        <w:t>Gesenbauer</w:t>
      </w:r>
      <w:proofErr w:type="spellEnd"/>
      <w:r w:rsidRPr="00FA2D6F">
        <w:rPr>
          <w:rStyle w:val="cursor-pointer"/>
          <w:rFonts w:cs="Arial"/>
          <w:sz w:val="24"/>
          <w:szCs w:val="24"/>
        </w:rPr>
        <w:t xml:space="preserve"> and Haddaway (2020).</w:t>
      </w:r>
      <w:r w:rsidRPr="00FA2D6F">
        <w:rPr>
          <w:rFonts w:cs="Arial"/>
          <w:sz w:val="24"/>
          <w:szCs w:val="24"/>
        </w:rPr>
        <w:t xml:space="preserve"> </w:t>
      </w:r>
      <w:r w:rsidRPr="00FA2D6F">
        <w:rPr>
          <w:rStyle w:val="cursor-pointer"/>
          <w:rFonts w:cs="Arial"/>
          <w:sz w:val="24"/>
          <w:szCs w:val="24"/>
        </w:rPr>
        <w:t xml:space="preserve">Central activities of the research comprised a search using carefully defined keywords on population (ethnic minority adults, </w:t>
      </w:r>
      <w:r w:rsidRPr="00FA2D6F">
        <w:rPr>
          <w:rStyle w:val="cursor-pointer"/>
          <w:rFonts w:cs="Arial"/>
          <w:sz w:val="24"/>
          <w:szCs w:val="24"/>
        </w:rPr>
        <w:lastRenderedPageBreak/>
        <w:t>elderly, ageing, between 72 and 80), issue (access to health care, health inequalities, barriers), contributing factors (digital exclusion, socioeconomic and systemic) and context (UK, NHS).</w:t>
      </w:r>
      <w:r w:rsidRPr="00FA2D6F">
        <w:rPr>
          <w:rFonts w:cs="Arial"/>
          <w:sz w:val="24"/>
          <w:szCs w:val="24"/>
        </w:rPr>
        <w:t xml:space="preserve"> </w:t>
      </w:r>
      <w:r w:rsidRPr="00FA2D6F">
        <w:rPr>
          <w:rStyle w:val="cursor-pointer"/>
          <w:rFonts w:cs="Arial"/>
          <w:sz w:val="24"/>
          <w:szCs w:val="24"/>
        </w:rPr>
        <w:t xml:space="preserve">Boolean operators were used to combine terms as the significance of structured Boolean combinations </w:t>
      </w:r>
      <w:proofErr w:type="gramStart"/>
      <w:r w:rsidRPr="00FA2D6F">
        <w:rPr>
          <w:rStyle w:val="cursor-pointer"/>
          <w:rFonts w:cs="Arial"/>
          <w:sz w:val="24"/>
          <w:szCs w:val="24"/>
        </w:rPr>
        <w:t>in order to</w:t>
      </w:r>
      <w:proofErr w:type="gramEnd"/>
      <w:r w:rsidRPr="00FA2D6F">
        <w:rPr>
          <w:rStyle w:val="cursor-pointer"/>
          <w:rFonts w:cs="Arial"/>
          <w:sz w:val="24"/>
          <w:szCs w:val="24"/>
        </w:rPr>
        <w:t xml:space="preserve"> produce more specific secondary searches was emphasised such as searching </w:t>
      </w:r>
      <w:r w:rsidR="00332080" w:rsidRPr="00FA2D6F">
        <w:rPr>
          <w:rStyle w:val="cursor-pointer"/>
          <w:rFonts w:cs="Arial"/>
          <w:sz w:val="24"/>
          <w:szCs w:val="24"/>
        </w:rPr>
        <w:t>ethnic</w:t>
      </w:r>
      <w:r w:rsidRPr="00FA2D6F">
        <w:rPr>
          <w:rStyle w:val="cursor-pointer"/>
          <w:rFonts w:cs="Arial"/>
          <w:sz w:val="24"/>
          <w:szCs w:val="24"/>
        </w:rPr>
        <w:t xml:space="preserve"> adults' AND 'healthcare access' AND 'UK' and 'digital exclusion' AND 'health inequalities'.</w:t>
      </w:r>
    </w:p>
    <w:p w14:paraId="5B1CDE91" w14:textId="77777777" w:rsidR="002D777D" w:rsidRPr="00FA2D6F" w:rsidRDefault="002D777D" w:rsidP="00750D5B">
      <w:pPr>
        <w:pStyle w:val="Heading2"/>
        <w:rPr>
          <w:rFonts w:cs="Arial"/>
          <w:szCs w:val="24"/>
        </w:rPr>
      </w:pPr>
      <w:bookmarkStart w:id="43" w:name="_Toc241246299"/>
      <w:r w:rsidRPr="00FA2D6F">
        <w:rPr>
          <w:rFonts w:cs="Arial"/>
          <w:szCs w:val="24"/>
        </w:rPr>
        <w:t>Searching for Information</w:t>
      </w:r>
      <w:bookmarkEnd w:id="43"/>
    </w:p>
    <w:p w14:paraId="29D4C9C8" w14:textId="5F7BA907" w:rsidR="00EA7F3D" w:rsidRPr="00FA2D6F" w:rsidRDefault="00EA7F3D" w:rsidP="00750D5B">
      <w:pPr>
        <w:rPr>
          <w:rFonts w:cs="Arial"/>
          <w:sz w:val="24"/>
          <w:szCs w:val="24"/>
        </w:rPr>
      </w:pPr>
      <w:r w:rsidRPr="00FA2D6F">
        <w:rPr>
          <w:rStyle w:val="cursor-pointer"/>
          <w:rFonts w:cs="Arial"/>
          <w:sz w:val="24"/>
          <w:szCs w:val="24"/>
        </w:rPr>
        <w:t>A list of inclusion filters, which constrain the information retrieval process, was used.</w:t>
      </w:r>
      <w:r w:rsidRPr="00FA2D6F">
        <w:rPr>
          <w:rFonts w:cs="Arial"/>
          <w:sz w:val="24"/>
          <w:szCs w:val="24"/>
        </w:rPr>
        <w:t xml:space="preserve"> </w:t>
      </w:r>
      <w:r w:rsidRPr="00FA2D6F">
        <w:rPr>
          <w:rStyle w:val="cursor-pointer"/>
          <w:rFonts w:cs="Arial"/>
          <w:sz w:val="24"/>
          <w:szCs w:val="24"/>
        </w:rPr>
        <w:t>To ensure evidence was relevant to the current health care environment and recent digital changes, the search used strict date limits, as suggested by Xong (2025), to focus on more recent literature (2020 onwards).</w:t>
      </w:r>
      <w:r w:rsidRPr="00FA2D6F">
        <w:rPr>
          <w:rFonts w:cs="Arial"/>
          <w:sz w:val="24"/>
          <w:szCs w:val="24"/>
        </w:rPr>
        <w:t xml:space="preserve"> </w:t>
      </w:r>
      <w:r w:rsidRPr="00FA2D6F">
        <w:rPr>
          <w:rStyle w:val="cursor-pointer"/>
          <w:rFonts w:cs="Arial"/>
          <w:sz w:val="24"/>
          <w:szCs w:val="24"/>
        </w:rPr>
        <w:t>Peer-review filters were applied in academic databases to ensure methodological credibility and geographical filters were also used, to prioritise evidence from the UK, with the addition of some international evidence to allow for comparison where appropriate.</w:t>
      </w:r>
      <w:r w:rsidRPr="00FA2D6F">
        <w:rPr>
          <w:rFonts w:cs="Arial"/>
          <w:sz w:val="24"/>
          <w:szCs w:val="24"/>
        </w:rPr>
        <w:t xml:space="preserve"> </w:t>
      </w:r>
      <w:r w:rsidRPr="00FA2D6F">
        <w:rPr>
          <w:rStyle w:val="cursor-pointer"/>
          <w:rFonts w:cs="Arial"/>
          <w:sz w:val="24"/>
          <w:szCs w:val="24"/>
        </w:rPr>
        <w:t xml:space="preserve">Language filters were applied </w:t>
      </w:r>
      <w:r w:rsidR="006B48D5" w:rsidRPr="00FA2D6F">
        <w:rPr>
          <w:rStyle w:val="cursor-pointer"/>
          <w:rFonts w:cs="Arial"/>
          <w:sz w:val="24"/>
          <w:szCs w:val="24"/>
        </w:rPr>
        <w:t>to</w:t>
      </w:r>
      <w:r w:rsidRPr="00FA2D6F">
        <w:rPr>
          <w:rStyle w:val="cursor-pointer"/>
          <w:rFonts w:cs="Arial"/>
          <w:sz w:val="24"/>
          <w:szCs w:val="24"/>
        </w:rPr>
        <w:t xml:space="preserve"> return English language publications that could be accurately identified thematically.</w:t>
      </w:r>
      <w:r w:rsidRPr="00FA2D6F">
        <w:rPr>
          <w:rFonts w:cs="Arial"/>
          <w:sz w:val="24"/>
          <w:szCs w:val="24"/>
        </w:rPr>
        <w:t xml:space="preserve"> </w:t>
      </w:r>
      <w:r w:rsidRPr="00FA2D6F">
        <w:rPr>
          <w:rStyle w:val="cursor-pointer"/>
          <w:rFonts w:cs="Arial"/>
          <w:sz w:val="24"/>
          <w:szCs w:val="24"/>
        </w:rPr>
        <w:t>The titles and abstracts were first examined with respect to the needs of the research and the ones that were deemed to be still relevant were checked for their full text for the same purpose prior to the extraction.</w:t>
      </w:r>
    </w:p>
    <w:p w14:paraId="16C24E66" w14:textId="77777777" w:rsidR="002D777D" w:rsidRPr="00FA2D6F" w:rsidRDefault="002D777D" w:rsidP="00750D5B">
      <w:pPr>
        <w:pStyle w:val="Heading2"/>
        <w:rPr>
          <w:rFonts w:cs="Arial"/>
          <w:szCs w:val="24"/>
        </w:rPr>
      </w:pPr>
      <w:bookmarkStart w:id="44" w:name="_Toc241246300"/>
      <w:r w:rsidRPr="00FA2D6F">
        <w:rPr>
          <w:rFonts w:cs="Arial"/>
          <w:szCs w:val="24"/>
        </w:rPr>
        <w:t>Research Validation</w:t>
      </w:r>
      <w:bookmarkEnd w:id="44"/>
    </w:p>
    <w:p w14:paraId="3A9E2405" w14:textId="5E22527E" w:rsidR="00EA7F3D" w:rsidRPr="00FA2D6F" w:rsidRDefault="00EA7F3D" w:rsidP="00750D5B">
      <w:pPr>
        <w:rPr>
          <w:rFonts w:cs="Arial"/>
          <w:sz w:val="24"/>
          <w:szCs w:val="24"/>
        </w:rPr>
      </w:pPr>
      <w:r w:rsidRPr="00FA2D6F">
        <w:rPr>
          <w:rStyle w:val="cursor-pointer"/>
          <w:rFonts w:cs="Arial"/>
          <w:sz w:val="24"/>
          <w:szCs w:val="24"/>
        </w:rPr>
        <w:t xml:space="preserve">Before choosing, the selected literature was thoroughly </w:t>
      </w:r>
      <w:r w:rsidR="006B48D5" w:rsidRPr="00FA2D6F">
        <w:rPr>
          <w:rStyle w:val="cursor-pointer"/>
          <w:rFonts w:cs="Arial"/>
          <w:sz w:val="24"/>
          <w:szCs w:val="24"/>
        </w:rPr>
        <w:t>analysed</w:t>
      </w:r>
      <w:r w:rsidRPr="00FA2D6F">
        <w:rPr>
          <w:rStyle w:val="cursor-pointer"/>
          <w:rFonts w:cs="Arial"/>
          <w:sz w:val="24"/>
          <w:szCs w:val="24"/>
        </w:rPr>
        <w:t xml:space="preserve"> utilising the CRAAP framework to avoid unreliable and less academic material.</w:t>
      </w:r>
      <w:r w:rsidRPr="00FA2D6F">
        <w:rPr>
          <w:rFonts w:cs="Arial"/>
          <w:sz w:val="24"/>
          <w:szCs w:val="24"/>
        </w:rPr>
        <w:t xml:space="preserve"> </w:t>
      </w:r>
      <w:r w:rsidRPr="00FA2D6F">
        <w:rPr>
          <w:rStyle w:val="cursor-pointer"/>
          <w:rFonts w:cs="Arial"/>
          <w:sz w:val="24"/>
          <w:szCs w:val="24"/>
        </w:rPr>
        <w:t>The integrated evidence should be of high academic value which is achieved through critical appraisal provided by Xong (2025).</w:t>
      </w:r>
      <w:r w:rsidRPr="00FA2D6F">
        <w:rPr>
          <w:rFonts w:cs="Arial"/>
          <w:sz w:val="24"/>
          <w:szCs w:val="24"/>
        </w:rPr>
        <w:t xml:space="preserve"> </w:t>
      </w:r>
      <w:r w:rsidRPr="00FA2D6F">
        <w:rPr>
          <w:rStyle w:val="cursor-pointer"/>
          <w:rFonts w:cs="Arial"/>
          <w:sz w:val="24"/>
          <w:szCs w:val="24"/>
        </w:rPr>
        <w:t xml:space="preserve">The </w:t>
      </w:r>
      <w:r w:rsidR="003E21B0" w:rsidRPr="00FA2D6F">
        <w:rPr>
          <w:rStyle w:val="cursor-pointer"/>
          <w:rFonts w:cs="Arial"/>
          <w:sz w:val="24"/>
          <w:szCs w:val="24"/>
        </w:rPr>
        <w:t>accuracy</w:t>
      </w:r>
      <w:r w:rsidRPr="00FA2D6F">
        <w:rPr>
          <w:rStyle w:val="cursor-pointer"/>
          <w:rFonts w:cs="Arial"/>
          <w:sz w:val="24"/>
          <w:szCs w:val="24"/>
        </w:rPr>
        <w:t xml:space="preserve"> of each source was identified, ensuring the evidence is of a recent date or within current frameworks in the NHS.</w:t>
      </w:r>
      <w:r w:rsidRPr="00FA2D6F">
        <w:rPr>
          <w:rFonts w:cs="Arial"/>
          <w:sz w:val="24"/>
          <w:szCs w:val="24"/>
        </w:rPr>
        <w:t xml:space="preserve"> </w:t>
      </w:r>
      <w:r w:rsidRPr="00FA2D6F">
        <w:rPr>
          <w:rStyle w:val="cursor-pointer"/>
          <w:rFonts w:cs="Arial"/>
          <w:sz w:val="24"/>
          <w:szCs w:val="24"/>
        </w:rPr>
        <w:t>To ensure the study directly addressed the operational population (adults aged 72-80) and the phenomenon of access to health care, relevance was assessed.</w:t>
      </w:r>
      <w:r w:rsidRPr="00FA2D6F">
        <w:rPr>
          <w:rFonts w:cs="Arial"/>
          <w:sz w:val="24"/>
          <w:szCs w:val="24"/>
        </w:rPr>
        <w:t xml:space="preserve"> </w:t>
      </w:r>
      <w:r w:rsidRPr="00FA2D6F">
        <w:rPr>
          <w:rStyle w:val="cursor-pointer"/>
          <w:rFonts w:cs="Arial"/>
          <w:sz w:val="24"/>
          <w:szCs w:val="24"/>
        </w:rPr>
        <w:t>The authority and accuracy were checked by looking at the authors' qualifications, the lack of opacity of method, and peer review of the publication.</w:t>
      </w:r>
    </w:p>
    <w:p w14:paraId="23EF4E01" w14:textId="77777777" w:rsidR="002D777D" w:rsidRPr="00FA2D6F" w:rsidRDefault="002D777D" w:rsidP="00750D5B">
      <w:pPr>
        <w:pStyle w:val="Heading2"/>
        <w:rPr>
          <w:rFonts w:cs="Arial"/>
          <w:szCs w:val="24"/>
        </w:rPr>
      </w:pPr>
      <w:bookmarkStart w:id="45" w:name="_Toc241246301"/>
      <w:r w:rsidRPr="00FA2D6F">
        <w:rPr>
          <w:rFonts w:cs="Arial"/>
          <w:szCs w:val="24"/>
        </w:rPr>
        <w:t>Inclusion and Exclusion</w:t>
      </w:r>
      <w:bookmarkEnd w:id="45"/>
    </w:p>
    <w:p w14:paraId="2E9051DC" w14:textId="5BF79736" w:rsidR="002D777D" w:rsidRPr="00FA2D6F" w:rsidRDefault="002D777D" w:rsidP="00750D5B">
      <w:pPr>
        <w:spacing w:after="0"/>
        <w:rPr>
          <w:rFonts w:eastAsia="Times New Roman" w:cs="Arial"/>
          <w:color w:val="1F1F1F"/>
          <w:kern w:val="0"/>
          <w:sz w:val="24"/>
          <w:szCs w:val="24"/>
          <w:lang w:val="en-US" w:eastAsia="en-US"/>
          <w14:ligatures w14:val="none"/>
        </w:rPr>
      </w:pPr>
      <w:r w:rsidRPr="00FA2D6F">
        <w:rPr>
          <w:rFonts w:eastAsia="Times New Roman" w:cs="Arial"/>
          <w:color w:val="1F1F1F"/>
          <w:kern w:val="0"/>
          <w:sz w:val="24"/>
          <w:szCs w:val="24"/>
          <w:lang w:val="en-US" w:eastAsia="en-US"/>
          <w14:ligatures w14:val="none"/>
        </w:rPr>
        <w:t xml:space="preserve">Criteria Establishing rigid boundaries for data inclusion is paramount in secondary qualitative research to maintain the focus and validity of the final synthesis. </w:t>
      </w:r>
      <w:r w:rsidR="007741A3" w:rsidRPr="00FA2D6F">
        <w:rPr>
          <w:rFonts w:eastAsia="Times New Roman" w:cs="Arial"/>
          <w:sz w:val="24"/>
          <w:szCs w:val="24"/>
          <w:lang w:val="en-US" w:eastAsia="en-US"/>
        </w:rPr>
        <w:t>Litchfield</w:t>
      </w:r>
      <w:r w:rsidR="007741A3" w:rsidRPr="00FA2D6F">
        <w:rPr>
          <w:rFonts w:eastAsia="Times New Roman" w:cs="Arial"/>
          <w:color w:val="1F1F1F"/>
          <w:kern w:val="0"/>
          <w:sz w:val="24"/>
          <w:szCs w:val="24"/>
          <w:highlight w:val="yellow"/>
          <w:lang w:val="en-US" w:eastAsia="en-US"/>
          <w14:ligatures w14:val="none"/>
        </w:rPr>
        <w:t xml:space="preserve"> </w:t>
      </w:r>
      <w:r w:rsidR="007741A3" w:rsidRPr="00FA2D6F">
        <w:rPr>
          <w:rFonts w:eastAsia="Times New Roman" w:cs="Arial"/>
          <w:color w:val="1F1F1F"/>
          <w:kern w:val="0"/>
          <w:sz w:val="24"/>
          <w:szCs w:val="24"/>
          <w:lang w:val="en-US" w:eastAsia="en-US"/>
          <w14:ligatures w14:val="none"/>
        </w:rPr>
        <w:t>et al. (2021</w:t>
      </w:r>
      <w:r w:rsidRPr="00FA2D6F">
        <w:rPr>
          <w:rFonts w:eastAsia="Times New Roman" w:cs="Arial"/>
          <w:color w:val="1F1F1F"/>
          <w:kern w:val="0"/>
          <w:sz w:val="24"/>
          <w:szCs w:val="24"/>
          <w:lang w:val="en-US" w:eastAsia="en-US"/>
          <w14:ligatures w14:val="none"/>
        </w:rPr>
        <w:t xml:space="preserve">) argue that explicitly defined inclusion and exclusion criteria prevent </w:t>
      </w:r>
      <w:r w:rsidRPr="00FA2D6F">
        <w:rPr>
          <w:rFonts w:eastAsia="Times New Roman" w:cs="Arial"/>
          <w:color w:val="1F1F1F"/>
          <w:kern w:val="0"/>
          <w:sz w:val="24"/>
          <w:szCs w:val="24"/>
          <w:lang w:val="en-US" w:eastAsia="en-US"/>
          <w14:ligatures w14:val="none"/>
        </w:rPr>
        <w:lastRenderedPageBreak/>
        <w:t xml:space="preserve">scope creep and ensure that the selected evidence directly maps onto the primary research question. The specific parameters guiding the selection of literature for this dissertation are detailed in the table below. </w:t>
      </w:r>
    </w:p>
    <w:p w14:paraId="1207746B" w14:textId="2DE60338" w:rsidR="002D777D" w:rsidRPr="00FA2D6F" w:rsidRDefault="002D777D" w:rsidP="00750D5B">
      <w:pPr>
        <w:pStyle w:val="Caption"/>
        <w:keepNext/>
        <w:spacing w:line="360" w:lineRule="auto"/>
        <w:rPr>
          <w:rFonts w:cs="Arial"/>
          <w:color w:val="000000" w:themeColor="text1"/>
          <w:sz w:val="24"/>
          <w:szCs w:val="24"/>
        </w:rPr>
      </w:pPr>
      <w:r w:rsidRPr="00FA2D6F">
        <w:rPr>
          <w:rFonts w:cs="Arial"/>
          <w:color w:val="000000" w:themeColor="text1"/>
          <w:sz w:val="24"/>
          <w:szCs w:val="24"/>
        </w:rPr>
        <w:t xml:space="preserve">Table </w:t>
      </w:r>
      <w:r w:rsidR="002B0D97" w:rsidRPr="00FA2D6F">
        <w:rPr>
          <w:rFonts w:cs="Arial"/>
          <w:color w:val="000000" w:themeColor="text1"/>
          <w:sz w:val="24"/>
          <w:szCs w:val="24"/>
        </w:rPr>
        <w:fldChar w:fldCharType="begin"/>
      </w:r>
      <w:r w:rsidR="002B0D97" w:rsidRPr="00FA2D6F">
        <w:rPr>
          <w:rFonts w:cs="Arial"/>
          <w:color w:val="000000" w:themeColor="text1"/>
          <w:sz w:val="24"/>
          <w:szCs w:val="24"/>
        </w:rPr>
        <w:instrText xml:space="preserve"> SEQ Table \* ARABIC </w:instrText>
      </w:r>
      <w:r w:rsidR="002B0D97" w:rsidRPr="00FA2D6F">
        <w:rPr>
          <w:rFonts w:cs="Arial"/>
          <w:color w:val="000000" w:themeColor="text1"/>
          <w:sz w:val="24"/>
          <w:szCs w:val="24"/>
        </w:rPr>
        <w:fldChar w:fldCharType="separate"/>
      </w:r>
      <w:r w:rsidR="002B0D97" w:rsidRPr="00FA2D6F">
        <w:rPr>
          <w:rFonts w:cs="Arial"/>
          <w:noProof/>
          <w:color w:val="000000" w:themeColor="text1"/>
          <w:sz w:val="24"/>
          <w:szCs w:val="24"/>
        </w:rPr>
        <w:t>3</w:t>
      </w:r>
      <w:r w:rsidR="002B0D97" w:rsidRPr="00FA2D6F">
        <w:rPr>
          <w:rFonts w:cs="Arial"/>
          <w:noProof/>
          <w:color w:val="000000" w:themeColor="text1"/>
          <w:sz w:val="24"/>
          <w:szCs w:val="24"/>
        </w:rPr>
        <w:fldChar w:fldCharType="end"/>
      </w:r>
      <w:r w:rsidRPr="00FA2D6F">
        <w:rPr>
          <w:rFonts w:cs="Arial"/>
          <w:color w:val="000000" w:themeColor="text1"/>
          <w:sz w:val="24"/>
          <w:szCs w:val="24"/>
        </w:rPr>
        <w:t xml:space="preserve"> Inclusion and Exclusion</w:t>
      </w:r>
    </w:p>
    <w:tbl>
      <w:tblPr>
        <w:tblStyle w:val="TableGrid"/>
        <w:tblW w:w="0" w:type="auto"/>
        <w:tblLook w:val="04A0" w:firstRow="1" w:lastRow="0" w:firstColumn="1" w:lastColumn="0" w:noHBand="0" w:noVBand="1"/>
      </w:tblPr>
      <w:tblGrid>
        <w:gridCol w:w="4303"/>
        <w:gridCol w:w="4939"/>
      </w:tblGrid>
      <w:tr w:rsidR="002D777D" w:rsidRPr="00FA2D6F" w14:paraId="3FE95EEE" w14:textId="77777777" w:rsidTr="00546071">
        <w:tc>
          <w:tcPr>
            <w:tcW w:w="0" w:type="auto"/>
            <w:hideMark/>
          </w:tcPr>
          <w:p w14:paraId="71A12210" w14:textId="77777777" w:rsidR="002D777D" w:rsidRPr="00FA2D6F" w:rsidRDefault="002D777D" w:rsidP="00750D5B">
            <w:pPr>
              <w:rPr>
                <w:rFonts w:eastAsia="Times New Roman" w:cs="Arial"/>
                <w:color w:val="1F1F1F"/>
                <w:sz w:val="24"/>
                <w:szCs w:val="24"/>
                <w:lang w:val="en-US"/>
              </w:rPr>
            </w:pPr>
            <w:r w:rsidRPr="00FA2D6F">
              <w:rPr>
                <w:rFonts w:eastAsia="Times New Roman" w:cs="Arial"/>
                <w:b/>
                <w:bCs/>
                <w:color w:val="1F1F1F"/>
                <w:sz w:val="24"/>
                <w:szCs w:val="24"/>
                <w:bdr w:val="none" w:sz="0" w:space="0" w:color="auto" w:frame="1"/>
                <w:lang w:val="en-US"/>
              </w:rPr>
              <w:t>Inclusion</w:t>
            </w:r>
          </w:p>
        </w:tc>
        <w:tc>
          <w:tcPr>
            <w:tcW w:w="0" w:type="auto"/>
            <w:hideMark/>
          </w:tcPr>
          <w:p w14:paraId="4DA4A20B" w14:textId="77777777" w:rsidR="002D777D" w:rsidRPr="00FA2D6F" w:rsidRDefault="002D777D" w:rsidP="00750D5B">
            <w:pPr>
              <w:rPr>
                <w:rFonts w:eastAsia="Times New Roman" w:cs="Arial"/>
                <w:color w:val="1F1F1F"/>
                <w:sz w:val="24"/>
                <w:szCs w:val="24"/>
                <w:lang w:val="en-US"/>
              </w:rPr>
            </w:pPr>
            <w:r w:rsidRPr="00FA2D6F">
              <w:rPr>
                <w:rFonts w:eastAsia="Times New Roman" w:cs="Arial"/>
                <w:b/>
                <w:bCs/>
                <w:color w:val="1F1F1F"/>
                <w:sz w:val="24"/>
                <w:szCs w:val="24"/>
                <w:bdr w:val="none" w:sz="0" w:space="0" w:color="auto" w:frame="1"/>
                <w:lang w:val="en-US"/>
              </w:rPr>
              <w:t>Exclusion</w:t>
            </w:r>
          </w:p>
        </w:tc>
      </w:tr>
      <w:tr w:rsidR="002D777D" w:rsidRPr="00FA2D6F" w14:paraId="57927AA4" w14:textId="77777777" w:rsidTr="00546071">
        <w:tc>
          <w:tcPr>
            <w:tcW w:w="0" w:type="auto"/>
            <w:hideMark/>
          </w:tcPr>
          <w:p w14:paraId="76EBAF9E"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Peer-reviewed research and verified institutional reports</w:t>
            </w:r>
          </w:p>
        </w:tc>
        <w:tc>
          <w:tcPr>
            <w:tcW w:w="0" w:type="auto"/>
            <w:hideMark/>
          </w:tcPr>
          <w:p w14:paraId="4ABD3476"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Opinion blogs and unsubstantiated editorial commentary</w:t>
            </w:r>
          </w:p>
        </w:tc>
      </w:tr>
      <w:tr w:rsidR="002D777D" w:rsidRPr="00FA2D6F" w14:paraId="6B9808D9" w14:textId="77777777" w:rsidTr="00546071">
        <w:tc>
          <w:tcPr>
            <w:tcW w:w="0" w:type="auto"/>
            <w:hideMark/>
          </w:tcPr>
          <w:p w14:paraId="2977D55F"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Literature highly relevant to healthcare access and equity</w:t>
            </w:r>
          </w:p>
        </w:tc>
        <w:tc>
          <w:tcPr>
            <w:tcW w:w="0" w:type="auto"/>
            <w:hideMark/>
          </w:tcPr>
          <w:p w14:paraId="754177A6"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focusing on irrelevant or purely clinical healthcare topics</w:t>
            </w:r>
          </w:p>
        </w:tc>
      </w:tr>
      <w:tr w:rsidR="002D777D" w:rsidRPr="00FA2D6F" w14:paraId="311F064E" w14:textId="77777777" w:rsidTr="00546071">
        <w:tc>
          <w:tcPr>
            <w:tcW w:w="0" w:type="auto"/>
            <w:hideMark/>
          </w:tcPr>
          <w:p w14:paraId="42985C40"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UK-focused evidence and explicitly relevant international comparative models</w:t>
            </w:r>
          </w:p>
        </w:tc>
        <w:tc>
          <w:tcPr>
            <w:tcW w:w="0" w:type="auto"/>
            <w:hideMark/>
          </w:tcPr>
          <w:p w14:paraId="6A17E0FC"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entirely unrelated to the structural barriers of healthcare access</w:t>
            </w:r>
          </w:p>
        </w:tc>
      </w:tr>
      <w:tr w:rsidR="002D777D" w:rsidRPr="00FA2D6F" w14:paraId="06CFCEAB" w14:textId="77777777" w:rsidTr="00546071">
        <w:tc>
          <w:tcPr>
            <w:tcW w:w="0" w:type="auto"/>
            <w:hideMark/>
          </w:tcPr>
          <w:p w14:paraId="0E41A140" w14:textId="5C724068"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 xml:space="preserve">Populations isolating or heavily featuring </w:t>
            </w:r>
            <w:r w:rsidR="00332080" w:rsidRPr="00FA2D6F">
              <w:rPr>
                <w:rFonts w:eastAsia="Times New Roman" w:cs="Arial"/>
                <w:color w:val="1F1F1F"/>
                <w:sz w:val="24"/>
                <w:szCs w:val="24"/>
                <w:lang w:val="en-US"/>
              </w:rPr>
              <w:t>ethnic</w:t>
            </w:r>
            <w:r w:rsidR="0082073D" w:rsidRPr="00FA2D6F">
              <w:rPr>
                <w:rFonts w:eastAsia="Times New Roman" w:cs="Arial"/>
                <w:color w:val="1F1F1F"/>
                <w:sz w:val="24"/>
                <w:szCs w:val="24"/>
                <w:lang w:val="en-US"/>
              </w:rPr>
              <w:t xml:space="preserve"> adults</w:t>
            </w:r>
            <w:r w:rsidRPr="00FA2D6F">
              <w:rPr>
                <w:rFonts w:eastAsia="Times New Roman" w:cs="Arial"/>
                <w:color w:val="1F1F1F"/>
                <w:sz w:val="24"/>
                <w:szCs w:val="24"/>
                <w:lang w:val="en-US"/>
              </w:rPr>
              <w:t xml:space="preserve"> (72–80 demographic)</w:t>
            </w:r>
          </w:p>
        </w:tc>
        <w:tc>
          <w:tcPr>
            <w:tcW w:w="0" w:type="auto"/>
            <w:hideMark/>
          </w:tcPr>
          <w:p w14:paraId="06D3CF99"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Studies focused exclusively on children, young adults, or broad unsegmented populations</w:t>
            </w:r>
          </w:p>
        </w:tc>
      </w:tr>
      <w:tr w:rsidR="002D777D" w:rsidRPr="00FA2D6F" w14:paraId="64CE895E" w14:textId="77777777" w:rsidTr="00546071">
        <w:tc>
          <w:tcPr>
            <w:tcW w:w="0" w:type="auto"/>
            <w:hideMark/>
          </w:tcPr>
          <w:p w14:paraId="6D381E6E"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Recent literature published from 2020 onward</w:t>
            </w:r>
          </w:p>
        </w:tc>
        <w:tc>
          <w:tcPr>
            <w:tcW w:w="0" w:type="auto"/>
            <w:hideMark/>
          </w:tcPr>
          <w:p w14:paraId="1CF45787"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Clearly outdated material, unless classified as foundational seminal theory</w:t>
            </w:r>
          </w:p>
        </w:tc>
      </w:tr>
      <w:tr w:rsidR="002D777D" w:rsidRPr="00FA2D6F" w14:paraId="37AC32CB" w14:textId="77777777" w:rsidTr="00546071">
        <w:tc>
          <w:tcPr>
            <w:tcW w:w="0" w:type="auto"/>
            <w:hideMark/>
          </w:tcPr>
          <w:p w14:paraId="6278C53F"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English-language sources</w:t>
            </w:r>
          </w:p>
        </w:tc>
        <w:tc>
          <w:tcPr>
            <w:tcW w:w="0" w:type="auto"/>
            <w:hideMark/>
          </w:tcPr>
          <w:p w14:paraId="4E33E385" w14:textId="77777777" w:rsidR="002D777D" w:rsidRPr="00FA2D6F" w:rsidRDefault="002D777D" w:rsidP="00750D5B">
            <w:pPr>
              <w:rPr>
                <w:rFonts w:eastAsia="Times New Roman" w:cs="Arial"/>
                <w:color w:val="1F1F1F"/>
                <w:sz w:val="24"/>
                <w:szCs w:val="24"/>
                <w:lang w:val="en-US"/>
              </w:rPr>
            </w:pPr>
            <w:r w:rsidRPr="00FA2D6F">
              <w:rPr>
                <w:rFonts w:eastAsia="Times New Roman" w:cs="Arial"/>
                <w:color w:val="1F1F1F"/>
                <w:sz w:val="24"/>
                <w:szCs w:val="24"/>
                <w:lang w:val="en-US"/>
              </w:rPr>
              <w:t>Non-English sources where accurate translation was not feasible</w:t>
            </w:r>
          </w:p>
        </w:tc>
      </w:tr>
    </w:tbl>
    <w:p w14:paraId="0A286B53" w14:textId="77777777" w:rsidR="002D777D" w:rsidRPr="00FA2D6F" w:rsidRDefault="002D777D" w:rsidP="00750D5B">
      <w:pPr>
        <w:spacing w:after="200"/>
        <w:rPr>
          <w:rFonts w:eastAsia="Times New Roman" w:cs="Arial"/>
          <w:color w:val="1F1F1F"/>
          <w:kern w:val="0"/>
          <w:sz w:val="24"/>
          <w:szCs w:val="24"/>
          <w:lang w:val="en-US" w:eastAsia="en-US"/>
          <w14:ligatures w14:val="none"/>
        </w:rPr>
      </w:pPr>
    </w:p>
    <w:p w14:paraId="54B22678" w14:textId="55A83247" w:rsidR="002D777D" w:rsidRPr="00FA2D6F" w:rsidRDefault="002D777D" w:rsidP="00750D5B">
      <w:pPr>
        <w:pStyle w:val="Heading2"/>
        <w:rPr>
          <w:rFonts w:cs="Arial"/>
          <w:color w:val="1F1F1F"/>
          <w:szCs w:val="24"/>
        </w:rPr>
      </w:pPr>
      <w:bookmarkStart w:id="46" w:name="_Toc241246302"/>
      <w:r w:rsidRPr="00FA2D6F">
        <w:rPr>
          <w:rFonts w:cs="Arial"/>
          <w:szCs w:val="24"/>
        </w:rPr>
        <w:t>Data/Thematic Analysis</w:t>
      </w:r>
      <w:bookmarkEnd w:id="46"/>
      <w:r w:rsidRPr="00FA2D6F">
        <w:rPr>
          <w:rFonts w:cs="Arial"/>
          <w:szCs w:val="24"/>
        </w:rPr>
        <w:t xml:space="preserve"> </w:t>
      </w:r>
    </w:p>
    <w:p w14:paraId="6D6BC1AE" w14:textId="77777777" w:rsidR="00BB7C89" w:rsidRPr="00FA2D6F" w:rsidRDefault="00EA7F3D" w:rsidP="00750D5B">
      <w:pPr>
        <w:rPr>
          <w:rFonts w:cs="Arial"/>
          <w:sz w:val="24"/>
          <w:szCs w:val="24"/>
        </w:rPr>
      </w:pPr>
      <w:r w:rsidRPr="00FA2D6F">
        <w:rPr>
          <w:rStyle w:val="cursor-pointer"/>
          <w:rFonts w:cs="Arial"/>
          <w:sz w:val="24"/>
          <w:szCs w:val="24"/>
        </w:rPr>
        <w:t>The study analysis stage was conducted by combining the literature that has been validated by using a highly structured thematic analysis approach.</w:t>
      </w:r>
      <w:r w:rsidRPr="00FA2D6F">
        <w:rPr>
          <w:rFonts w:cs="Arial"/>
          <w:sz w:val="24"/>
          <w:szCs w:val="24"/>
        </w:rPr>
        <w:t xml:space="preserve"> </w:t>
      </w:r>
      <w:r w:rsidRPr="00FA2D6F">
        <w:rPr>
          <w:rStyle w:val="cursor-pointer"/>
          <w:rFonts w:cs="Arial"/>
          <w:sz w:val="24"/>
          <w:szCs w:val="24"/>
        </w:rPr>
        <w:t>Braun and Clarke (2021) recommend being reflexive, a process of 'thematic analysis' which begins with intense engagement with the selected texts and can be captured through a series of stages.</w:t>
      </w:r>
      <w:r w:rsidRPr="00FA2D6F">
        <w:rPr>
          <w:rFonts w:cs="Arial"/>
          <w:sz w:val="24"/>
          <w:szCs w:val="24"/>
        </w:rPr>
        <w:t xml:space="preserve"> </w:t>
      </w:r>
      <w:r w:rsidRPr="00FA2D6F">
        <w:rPr>
          <w:rStyle w:val="cursor-pointer"/>
          <w:rFonts w:cs="Arial"/>
          <w:sz w:val="24"/>
          <w:szCs w:val="24"/>
        </w:rPr>
        <w:t>The process continued with the qualitative data being retrieved from the text relating to the healthcare barriers, and the evidence being first coded line by line.</w:t>
      </w:r>
      <w:r w:rsidRPr="00FA2D6F">
        <w:rPr>
          <w:rFonts w:cs="Arial"/>
          <w:sz w:val="24"/>
          <w:szCs w:val="24"/>
        </w:rPr>
        <w:t xml:space="preserve"> </w:t>
      </w:r>
    </w:p>
    <w:p w14:paraId="61B4A915" w14:textId="18B02C4C" w:rsidR="00EA7F3D" w:rsidRPr="00FA2D6F" w:rsidRDefault="00EA7F3D" w:rsidP="00750D5B">
      <w:pPr>
        <w:rPr>
          <w:rFonts w:cs="Arial"/>
          <w:sz w:val="24"/>
          <w:szCs w:val="24"/>
        </w:rPr>
      </w:pPr>
      <w:r w:rsidRPr="00FA2D6F">
        <w:rPr>
          <w:rStyle w:val="cursor-pointer"/>
          <w:rFonts w:cs="Arial"/>
          <w:sz w:val="24"/>
          <w:szCs w:val="24"/>
        </w:rPr>
        <w:t>To model this growth, the text data from the studies were first descriptively coded to keep the text related to 'lack of interpreter services' or 'unaccommodating staff attitudes' together.</w:t>
      </w:r>
      <w:r w:rsidRPr="00FA2D6F">
        <w:rPr>
          <w:rFonts w:cs="Arial"/>
          <w:sz w:val="24"/>
          <w:szCs w:val="24"/>
        </w:rPr>
        <w:t xml:space="preserve"> </w:t>
      </w:r>
      <w:r w:rsidRPr="00FA2D6F">
        <w:rPr>
          <w:rStyle w:val="cursor-pointer"/>
          <w:rFonts w:cs="Arial"/>
          <w:sz w:val="24"/>
          <w:szCs w:val="24"/>
        </w:rPr>
        <w:t xml:space="preserve">These findings were then grouped together to build up increasingly bigger and more general patterns and themes that emerged from the </w:t>
      </w:r>
      <w:r w:rsidRPr="00FA2D6F">
        <w:rPr>
          <w:rStyle w:val="cursor-pointer"/>
          <w:rFonts w:cs="Arial"/>
          <w:sz w:val="24"/>
          <w:szCs w:val="24"/>
        </w:rPr>
        <w:lastRenderedPageBreak/>
        <w:t>individual findings and stretched from ‘Communication Vulnerabilities’ to ‘Structural Bias'.</w:t>
      </w:r>
      <w:r w:rsidRPr="00FA2D6F">
        <w:rPr>
          <w:rFonts w:cs="Arial"/>
          <w:sz w:val="24"/>
          <w:szCs w:val="24"/>
        </w:rPr>
        <w:t xml:space="preserve"> </w:t>
      </w:r>
      <w:r w:rsidRPr="00FA2D6F">
        <w:rPr>
          <w:rStyle w:val="cursor-pointer"/>
          <w:rFonts w:cs="Arial"/>
          <w:sz w:val="24"/>
          <w:szCs w:val="24"/>
        </w:rPr>
        <w:t>The initial themes must be well thought through and expanded to provide a comprehensive representation of the data while avoiding misrepresented interpretations of them (</w:t>
      </w:r>
      <w:proofErr w:type="spellStart"/>
      <w:r w:rsidRPr="00FA2D6F">
        <w:rPr>
          <w:rStyle w:val="cursor-pointer"/>
          <w:rFonts w:cs="Arial"/>
          <w:sz w:val="24"/>
          <w:szCs w:val="24"/>
        </w:rPr>
        <w:t>Varpio</w:t>
      </w:r>
      <w:proofErr w:type="spellEnd"/>
      <w:r w:rsidRPr="00FA2D6F">
        <w:rPr>
          <w:rStyle w:val="cursor-pointer"/>
          <w:rFonts w:cs="Arial"/>
          <w:sz w:val="24"/>
          <w:szCs w:val="24"/>
        </w:rPr>
        <w:t xml:space="preserve"> et al. 2020).</w:t>
      </w:r>
      <w:r w:rsidRPr="00FA2D6F">
        <w:rPr>
          <w:rFonts w:cs="Arial"/>
          <w:sz w:val="24"/>
          <w:szCs w:val="24"/>
        </w:rPr>
        <w:t xml:space="preserve"> </w:t>
      </w:r>
      <w:r w:rsidRPr="00FA2D6F">
        <w:rPr>
          <w:rStyle w:val="cursor-pointer"/>
          <w:rFonts w:cs="Arial"/>
          <w:sz w:val="24"/>
          <w:szCs w:val="24"/>
        </w:rPr>
        <w:t xml:space="preserve">Themes were developed and the finalised themes were clearly related to research questions, for example the finalised theme ‘Structural </w:t>
      </w:r>
      <w:r w:rsidR="006B48D5" w:rsidRPr="00FA2D6F">
        <w:rPr>
          <w:rStyle w:val="cursor-pointer"/>
          <w:rFonts w:cs="Arial"/>
          <w:sz w:val="24"/>
          <w:szCs w:val="24"/>
        </w:rPr>
        <w:t>Bia’s</w:t>
      </w:r>
      <w:r w:rsidRPr="00FA2D6F">
        <w:rPr>
          <w:rStyle w:val="cursor-pointer"/>
          <w:rFonts w:cs="Arial"/>
          <w:sz w:val="24"/>
          <w:szCs w:val="24"/>
        </w:rPr>
        <w:t xml:space="preserve"> to the research question relating to systemic inequalities in the provision of NHS services.</w:t>
      </w:r>
      <w:r w:rsidRPr="00FA2D6F">
        <w:rPr>
          <w:rFonts w:cs="Arial"/>
          <w:sz w:val="24"/>
          <w:szCs w:val="24"/>
        </w:rPr>
        <w:t xml:space="preserve"> </w:t>
      </w:r>
      <w:r w:rsidRPr="00FA2D6F">
        <w:rPr>
          <w:rStyle w:val="cursor-pointer"/>
          <w:rFonts w:cs="Arial"/>
          <w:sz w:val="24"/>
          <w:szCs w:val="24"/>
        </w:rPr>
        <w:t>The solution set out in Chapter 4, the analytical narrative was created using the explicit pathway of raw data to thematic mapping as the structural basis for the path.</w:t>
      </w:r>
    </w:p>
    <w:p w14:paraId="2D743F60" w14:textId="77777777" w:rsidR="002D777D" w:rsidRPr="00FA2D6F" w:rsidRDefault="002D777D" w:rsidP="00750D5B">
      <w:pPr>
        <w:pStyle w:val="Heading2"/>
        <w:rPr>
          <w:rFonts w:cs="Arial"/>
          <w:szCs w:val="24"/>
        </w:rPr>
      </w:pPr>
      <w:bookmarkStart w:id="47" w:name="_Toc241246303"/>
      <w:r w:rsidRPr="00FA2D6F">
        <w:rPr>
          <w:rFonts w:cs="Arial"/>
          <w:szCs w:val="24"/>
        </w:rPr>
        <w:t>Ethical Considerations</w:t>
      </w:r>
      <w:bookmarkEnd w:id="47"/>
      <w:r w:rsidRPr="00FA2D6F">
        <w:rPr>
          <w:rFonts w:cs="Arial"/>
          <w:szCs w:val="24"/>
        </w:rPr>
        <w:t xml:space="preserve"> </w:t>
      </w:r>
    </w:p>
    <w:p w14:paraId="071B5FC0" w14:textId="306856E2" w:rsidR="00EA7F3D" w:rsidRPr="00FA2D6F" w:rsidRDefault="00EA7F3D" w:rsidP="00750D5B">
      <w:pPr>
        <w:rPr>
          <w:rFonts w:cs="Arial"/>
          <w:sz w:val="24"/>
          <w:szCs w:val="24"/>
        </w:rPr>
      </w:pPr>
      <w:r w:rsidRPr="00FA2D6F">
        <w:rPr>
          <w:rStyle w:val="cursor-pointer"/>
          <w:rFonts w:cs="Arial"/>
          <w:sz w:val="24"/>
          <w:szCs w:val="24"/>
        </w:rPr>
        <w:t xml:space="preserve">This dissertation is </w:t>
      </w:r>
      <w:r w:rsidR="006B48D5" w:rsidRPr="00FA2D6F">
        <w:rPr>
          <w:rStyle w:val="cursor-pointer"/>
          <w:rFonts w:cs="Arial"/>
          <w:sz w:val="24"/>
          <w:szCs w:val="24"/>
        </w:rPr>
        <w:t xml:space="preserve">secondary </w:t>
      </w:r>
      <w:r w:rsidR="003E474D" w:rsidRPr="00FA2D6F">
        <w:rPr>
          <w:rStyle w:val="cursor-pointer"/>
          <w:rFonts w:cs="Arial"/>
          <w:sz w:val="24"/>
          <w:szCs w:val="24"/>
        </w:rPr>
        <w:t>research,</w:t>
      </w:r>
      <w:r w:rsidRPr="00FA2D6F">
        <w:rPr>
          <w:rStyle w:val="cursor-pointer"/>
          <w:rFonts w:cs="Arial"/>
          <w:sz w:val="24"/>
          <w:szCs w:val="24"/>
        </w:rPr>
        <w:t xml:space="preserve"> and it does not involve any human subject, no questionnaire or any act of personal data collection but there is no denying the fact that strong ethical responsibilities are being followed in the methodology.</w:t>
      </w:r>
      <w:r w:rsidRPr="00FA2D6F">
        <w:rPr>
          <w:rFonts w:cs="Arial"/>
          <w:sz w:val="24"/>
          <w:szCs w:val="24"/>
        </w:rPr>
        <w:t xml:space="preserve"> </w:t>
      </w:r>
      <w:r w:rsidRPr="00FA2D6F">
        <w:rPr>
          <w:rStyle w:val="cursor-pointer"/>
          <w:rFonts w:cs="Arial"/>
          <w:sz w:val="24"/>
          <w:szCs w:val="24"/>
        </w:rPr>
        <w:t>According to Braun and Clarke (2021), there is a great moral responsibility for secondary researchers to creatively synthesize, instead of misrepresenting or distorting, the evidence they locate.</w:t>
      </w:r>
      <w:r w:rsidRPr="00FA2D6F">
        <w:rPr>
          <w:rFonts w:cs="Arial"/>
          <w:sz w:val="24"/>
          <w:szCs w:val="24"/>
        </w:rPr>
        <w:t xml:space="preserve"> </w:t>
      </w:r>
      <w:r w:rsidRPr="00FA2D6F">
        <w:rPr>
          <w:rStyle w:val="cursor-pointer"/>
          <w:rFonts w:cs="Arial"/>
          <w:sz w:val="24"/>
          <w:szCs w:val="24"/>
        </w:rPr>
        <w:t>Ensuring that data from original authors represented facts, that conflicting evidence did not get selectively omitted, and the documentation of the search plan was transparent, made for ethical co</w:t>
      </w:r>
      <w:r w:rsidR="00B61086">
        <w:rPr>
          <w:rStyle w:val="cursor-pointer"/>
          <w:rFonts w:cs="Arial"/>
          <w:sz w:val="24"/>
          <w:szCs w:val="24"/>
        </w:rPr>
        <w:t>mpliance</w:t>
      </w:r>
      <w:r w:rsidRPr="00FA2D6F">
        <w:rPr>
          <w:rStyle w:val="cursor-pointer"/>
          <w:rFonts w:cs="Arial"/>
          <w:sz w:val="24"/>
          <w:szCs w:val="24"/>
        </w:rPr>
        <w:t>.</w:t>
      </w:r>
    </w:p>
    <w:p w14:paraId="02C620C5" w14:textId="77777777" w:rsidR="002D777D" w:rsidRPr="00FA2D6F" w:rsidRDefault="002D777D" w:rsidP="00750D5B">
      <w:pPr>
        <w:pStyle w:val="Heading2"/>
        <w:rPr>
          <w:rFonts w:cs="Arial"/>
          <w:szCs w:val="24"/>
        </w:rPr>
      </w:pPr>
      <w:bookmarkStart w:id="48" w:name="_Toc241246304"/>
      <w:r w:rsidRPr="00FA2D6F">
        <w:rPr>
          <w:rFonts w:cs="Arial"/>
          <w:szCs w:val="24"/>
        </w:rPr>
        <w:t>Methodological Limitations</w:t>
      </w:r>
      <w:bookmarkEnd w:id="48"/>
      <w:r w:rsidRPr="00FA2D6F">
        <w:rPr>
          <w:rFonts w:cs="Arial"/>
          <w:szCs w:val="24"/>
        </w:rPr>
        <w:t xml:space="preserve"> </w:t>
      </w:r>
    </w:p>
    <w:p w14:paraId="512E79F4" w14:textId="0A3D49A8" w:rsidR="00EA7F3D" w:rsidRPr="00FA2D6F" w:rsidRDefault="00EA7F3D" w:rsidP="00750D5B">
      <w:pPr>
        <w:rPr>
          <w:rFonts w:cs="Arial"/>
          <w:sz w:val="24"/>
          <w:szCs w:val="24"/>
        </w:rPr>
      </w:pPr>
      <w:r w:rsidRPr="00FA2D6F">
        <w:rPr>
          <w:rStyle w:val="cursor-pointer"/>
          <w:rFonts w:cs="Arial"/>
          <w:sz w:val="24"/>
          <w:szCs w:val="24"/>
        </w:rPr>
        <w:t>Even with the use of a very narrow approach to their search there are limitations in this methodological approach.</w:t>
      </w:r>
      <w:r w:rsidRPr="00FA2D6F">
        <w:rPr>
          <w:rFonts w:cs="Arial"/>
          <w:sz w:val="24"/>
          <w:szCs w:val="24"/>
        </w:rPr>
        <w:t xml:space="preserve"> </w:t>
      </w:r>
      <w:r w:rsidRPr="00FA2D6F">
        <w:rPr>
          <w:rStyle w:val="cursor-pointer"/>
          <w:rFonts w:cs="Arial"/>
          <w:sz w:val="24"/>
          <w:szCs w:val="24"/>
        </w:rPr>
        <w:t>The biggest limitation is that this study is entirely of secondary evidence, and the parameters and biases of the original author and the quality of his/her primary data constrain this study.</w:t>
      </w:r>
      <w:r w:rsidRPr="00FA2D6F">
        <w:rPr>
          <w:rFonts w:cs="Arial"/>
          <w:sz w:val="24"/>
          <w:szCs w:val="24"/>
        </w:rPr>
        <w:t xml:space="preserve"> </w:t>
      </w:r>
      <w:r w:rsidRPr="00FA2D6F">
        <w:rPr>
          <w:rStyle w:val="cursor-pointer"/>
          <w:rFonts w:cs="Arial"/>
          <w:sz w:val="24"/>
          <w:szCs w:val="24"/>
        </w:rPr>
        <w:t xml:space="preserve">There </w:t>
      </w:r>
      <w:r w:rsidR="003E474D" w:rsidRPr="00FA2D6F">
        <w:rPr>
          <w:rStyle w:val="cursor-pointer"/>
          <w:rFonts w:cs="Arial"/>
          <w:sz w:val="24"/>
          <w:szCs w:val="24"/>
        </w:rPr>
        <w:t>are</w:t>
      </w:r>
      <w:r w:rsidRPr="00FA2D6F">
        <w:rPr>
          <w:rStyle w:val="cursor-pointer"/>
          <w:rFonts w:cs="Arial"/>
          <w:sz w:val="24"/>
          <w:szCs w:val="24"/>
        </w:rPr>
        <w:t xml:space="preserve"> publication bias and heterogeneity in foundational studies is often problematic when trying to compare health inequalities in secondary reviews of health inequalities as pointed out by Ford et al. (2021).</w:t>
      </w:r>
      <w:r w:rsidRPr="00FA2D6F">
        <w:rPr>
          <w:rFonts w:cs="Arial"/>
          <w:sz w:val="24"/>
          <w:szCs w:val="24"/>
        </w:rPr>
        <w:t xml:space="preserve"> </w:t>
      </w:r>
      <w:r w:rsidRPr="00FA2D6F">
        <w:rPr>
          <w:rStyle w:val="cursor-pointer"/>
          <w:rFonts w:cs="Arial"/>
          <w:sz w:val="24"/>
          <w:szCs w:val="24"/>
        </w:rPr>
        <w:t>Additionally, as noted by Braun and Clarke (2021), few publications in the general health and healthcare literature specifically indicate the age range for “older adults”, forcing the study analyst to look at larger samples that contain the 72–80 age group and make determinations on applicability.</w:t>
      </w:r>
    </w:p>
    <w:p w14:paraId="0F1EC2CA" w14:textId="77777777" w:rsidR="002D777D" w:rsidRPr="00FA2D6F" w:rsidRDefault="002D777D" w:rsidP="00750D5B">
      <w:pPr>
        <w:pStyle w:val="Heading2"/>
        <w:rPr>
          <w:rFonts w:cs="Arial"/>
          <w:szCs w:val="24"/>
        </w:rPr>
      </w:pPr>
      <w:bookmarkStart w:id="49" w:name="_Toc241246305"/>
      <w:r w:rsidRPr="00FA2D6F">
        <w:rPr>
          <w:rFonts w:cs="Arial"/>
          <w:szCs w:val="24"/>
        </w:rPr>
        <w:t>Chapter Conclusion</w:t>
      </w:r>
      <w:bookmarkEnd w:id="49"/>
    </w:p>
    <w:p w14:paraId="453985F1" w14:textId="77777777" w:rsidR="00EA7F3D" w:rsidRPr="00FA2D6F" w:rsidRDefault="00EA7F3D" w:rsidP="00750D5B">
      <w:pPr>
        <w:spacing w:after="0"/>
        <w:rPr>
          <w:rFonts w:eastAsia="Times New Roman" w:cs="Arial"/>
          <w:kern w:val="0"/>
          <w:sz w:val="24"/>
          <w:szCs w:val="24"/>
          <w:lang w:val="en-US" w:eastAsia="en-US"/>
          <w14:ligatures w14:val="none"/>
        </w:rPr>
      </w:pPr>
      <w:r w:rsidRPr="00FA2D6F">
        <w:rPr>
          <w:rFonts w:eastAsia="Times New Roman" w:cs="Arial"/>
          <w:kern w:val="0"/>
          <w:sz w:val="24"/>
          <w:szCs w:val="24"/>
          <w:lang w:val="en-US" w:eastAsia="en-US"/>
          <w14:ligatures w14:val="none"/>
        </w:rPr>
        <w:t xml:space="preserve">The respondents and their selection have been described in detail and secondary qualitative method has been discussed comprehensively in this chapter to answer </w:t>
      </w:r>
      <w:r w:rsidRPr="00FA2D6F">
        <w:rPr>
          <w:rFonts w:eastAsia="Times New Roman" w:cs="Arial"/>
          <w:kern w:val="0"/>
          <w:sz w:val="24"/>
          <w:szCs w:val="24"/>
          <w:lang w:val="en-US" w:eastAsia="en-US"/>
          <w14:ligatures w14:val="none"/>
        </w:rPr>
        <w:lastRenderedPageBreak/>
        <w:t>the research question. Through defining search focus, database selection, inclusion criteria and CRAAP validation process, the search ensures a credible and transparent evidence base. Thematic analysis through the phased approach will provide a robust framework for meaning making and interpretation of the structural barriers that emerged from literature. Chapter 4 will therefore directly move on to the presentation and thematic analysis of the empirical findings having solidified the methodological framework.</w:t>
      </w:r>
    </w:p>
    <w:p w14:paraId="3E27A013" w14:textId="35DD8FEA" w:rsidR="002D777D" w:rsidRPr="00FA2D6F" w:rsidRDefault="002D777D" w:rsidP="00750D5B">
      <w:pPr>
        <w:pStyle w:val="Heading1"/>
        <w:spacing w:line="360" w:lineRule="auto"/>
        <w:jc w:val="both"/>
        <w:rPr>
          <w:rFonts w:cs="Arial"/>
          <w:sz w:val="24"/>
          <w:szCs w:val="24"/>
        </w:rPr>
      </w:pPr>
      <w:r w:rsidRPr="00FA2D6F">
        <w:rPr>
          <w:rFonts w:eastAsia="Times New Roman" w:cs="Arial"/>
          <w:color w:val="1F1F1F"/>
          <w:sz w:val="24"/>
          <w:szCs w:val="24"/>
          <w:lang w:val="en-US" w:eastAsia="en-US"/>
        </w:rPr>
        <w:br w:type="page"/>
      </w:r>
      <w:bookmarkStart w:id="50" w:name="_Toc241246306"/>
      <w:r w:rsidR="001C3AF6" w:rsidRPr="00FA2D6F">
        <w:rPr>
          <w:rFonts w:cs="Arial"/>
          <w:sz w:val="24"/>
          <w:szCs w:val="24"/>
        </w:rPr>
        <w:lastRenderedPageBreak/>
        <w:t>C</w:t>
      </w:r>
      <w:r w:rsidR="00636D9A" w:rsidRPr="00FA2D6F">
        <w:rPr>
          <w:rFonts w:cs="Arial"/>
          <w:sz w:val="24"/>
          <w:szCs w:val="24"/>
        </w:rPr>
        <w:t>HAPTER</w:t>
      </w:r>
      <w:r w:rsidR="001C3AF6" w:rsidRPr="00FA2D6F">
        <w:rPr>
          <w:rFonts w:cs="Arial"/>
          <w:sz w:val="24"/>
          <w:szCs w:val="24"/>
        </w:rPr>
        <w:t xml:space="preserve"> 4 – Findings and Discussion</w:t>
      </w:r>
      <w:bookmarkEnd w:id="50"/>
      <w:r w:rsidR="001C3AF6" w:rsidRPr="00FA2D6F">
        <w:rPr>
          <w:rFonts w:cs="Arial"/>
          <w:sz w:val="24"/>
          <w:szCs w:val="24"/>
        </w:rPr>
        <w:t xml:space="preserve"> </w:t>
      </w:r>
    </w:p>
    <w:p w14:paraId="34C11286" w14:textId="2F140F7C" w:rsidR="002D777D" w:rsidRPr="00FA2D6F" w:rsidRDefault="002D777D" w:rsidP="00750D5B">
      <w:pPr>
        <w:pStyle w:val="Heading2"/>
        <w:rPr>
          <w:rFonts w:cs="Arial"/>
          <w:szCs w:val="24"/>
          <w:lang w:val="en-US"/>
        </w:rPr>
      </w:pPr>
      <w:bookmarkStart w:id="51" w:name="_Toc241246307"/>
      <w:r w:rsidRPr="00FA2D6F">
        <w:rPr>
          <w:rFonts w:cs="Arial"/>
          <w:szCs w:val="24"/>
          <w:lang w:val="en-US"/>
        </w:rPr>
        <w:t>Introduction to Findings and Discussion</w:t>
      </w:r>
      <w:bookmarkEnd w:id="51"/>
    </w:p>
    <w:p w14:paraId="5DDA93D1" w14:textId="0C9572FB" w:rsidR="000C3913" w:rsidRPr="00FA2D6F" w:rsidRDefault="002D777D" w:rsidP="00750D5B">
      <w:pPr>
        <w:rPr>
          <w:rFonts w:cs="Arial"/>
          <w:sz w:val="24"/>
          <w:szCs w:val="24"/>
        </w:rPr>
      </w:pPr>
      <w:r w:rsidRPr="00FA2D6F">
        <w:rPr>
          <w:rFonts w:cs="Arial"/>
          <w:sz w:val="24"/>
          <w:szCs w:val="24"/>
        </w:rPr>
        <w:t>This chapter provides information and evidence from secondary qualitative thematic analysis of data regarding access to healthcare and inequalities for adults (aged 72-80) in the UK. The literature selected was then read, coded and categorized through the patterns that emerged from the literature selected, following the methodology set forth in Chapter 3. The analysis revealed three themes: structural and systemic barriers to healthcare; socioeconomic and cultural barriers to healthcare access; and policy effectiveness and policy interventions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Pr="00FA2D6F">
        <w:rPr>
          <w:rFonts w:cs="Arial"/>
          <w:sz w:val="24"/>
          <w:szCs w:val="24"/>
        </w:rPr>
        <w:t xml:space="preserve">. </w:t>
      </w:r>
    </w:p>
    <w:p w14:paraId="39DF9F6F" w14:textId="1F7C13D3" w:rsidR="002D777D" w:rsidRPr="00FA2D6F" w:rsidRDefault="002D777D" w:rsidP="00750D5B">
      <w:pPr>
        <w:rPr>
          <w:rFonts w:cs="Arial"/>
          <w:sz w:val="24"/>
          <w:szCs w:val="24"/>
          <w:lang w:val="en-US"/>
        </w:rPr>
      </w:pPr>
      <w:r w:rsidRPr="00FA2D6F">
        <w:rPr>
          <w:rFonts w:cs="Arial"/>
          <w:sz w:val="24"/>
          <w:szCs w:val="24"/>
        </w:rPr>
        <w:t xml:space="preserve">Themes are directly related to the research question and the four research objectives. The results are critically </w:t>
      </w:r>
      <w:r w:rsidR="006B48D5" w:rsidRPr="00FA2D6F">
        <w:rPr>
          <w:rFonts w:cs="Arial"/>
          <w:sz w:val="24"/>
          <w:szCs w:val="24"/>
        </w:rPr>
        <w:t>analysed</w:t>
      </w:r>
      <w:r w:rsidRPr="00FA2D6F">
        <w:rPr>
          <w:rFonts w:cs="Arial"/>
          <w:sz w:val="24"/>
          <w:szCs w:val="24"/>
        </w:rPr>
        <w:t xml:space="preserve"> and not only a summary of studies. In particular, the influence of various barriers on each other, and the connection to the Social Determinants of Health (SDH) framework and the Inverse Care Law are emphasized. The analysis also </w:t>
      </w:r>
      <w:r w:rsidR="006B48D5" w:rsidRPr="00FA2D6F">
        <w:rPr>
          <w:rFonts w:cs="Arial"/>
          <w:sz w:val="24"/>
          <w:szCs w:val="24"/>
        </w:rPr>
        <w:t>considers</w:t>
      </w:r>
      <w:r w:rsidRPr="00FA2D6F">
        <w:rPr>
          <w:rFonts w:cs="Arial"/>
          <w:sz w:val="24"/>
          <w:szCs w:val="24"/>
        </w:rPr>
        <w:t xml:space="preserve"> differences between policy intention and policy implementation because it is not enough that a policy is in place to ensure equitable access</w:t>
      </w:r>
      <w:r w:rsidRPr="00FA2D6F">
        <w:rPr>
          <w:rFonts w:cs="Arial"/>
          <w:sz w:val="24"/>
          <w:szCs w:val="24"/>
          <w:lang w:val="en-US"/>
        </w:rPr>
        <w:t>.</w:t>
      </w:r>
    </w:p>
    <w:p w14:paraId="4B3983C8" w14:textId="717E606D" w:rsidR="002B0D97" w:rsidRPr="00FA2D6F" w:rsidRDefault="002B0D97" w:rsidP="00750D5B">
      <w:pPr>
        <w:pStyle w:val="Caption"/>
        <w:keepNext/>
        <w:spacing w:line="360" w:lineRule="auto"/>
        <w:rPr>
          <w:rFonts w:cs="Arial"/>
          <w:color w:val="000000" w:themeColor="text1"/>
          <w:sz w:val="24"/>
          <w:szCs w:val="24"/>
        </w:rPr>
      </w:pPr>
      <w:r w:rsidRPr="00FA2D6F">
        <w:rPr>
          <w:rFonts w:cs="Arial"/>
          <w:color w:val="000000" w:themeColor="text1"/>
          <w:sz w:val="24"/>
          <w:szCs w:val="24"/>
        </w:rPr>
        <w:t xml:space="preserve">Table </w:t>
      </w:r>
      <w:r w:rsidRPr="00FA2D6F">
        <w:rPr>
          <w:rFonts w:cs="Arial"/>
          <w:color w:val="000000" w:themeColor="text1"/>
          <w:sz w:val="24"/>
          <w:szCs w:val="24"/>
        </w:rPr>
        <w:fldChar w:fldCharType="begin"/>
      </w:r>
      <w:r w:rsidRPr="00FA2D6F">
        <w:rPr>
          <w:rFonts w:cs="Arial"/>
          <w:color w:val="000000" w:themeColor="text1"/>
          <w:sz w:val="24"/>
          <w:szCs w:val="24"/>
        </w:rPr>
        <w:instrText xml:space="preserve"> SEQ Table \* ARABIC </w:instrText>
      </w:r>
      <w:r w:rsidRPr="00FA2D6F">
        <w:rPr>
          <w:rFonts w:cs="Arial"/>
          <w:color w:val="000000" w:themeColor="text1"/>
          <w:sz w:val="24"/>
          <w:szCs w:val="24"/>
        </w:rPr>
        <w:fldChar w:fldCharType="separate"/>
      </w:r>
      <w:r w:rsidRPr="00FA2D6F">
        <w:rPr>
          <w:rFonts w:cs="Arial"/>
          <w:noProof/>
          <w:color w:val="000000" w:themeColor="text1"/>
          <w:sz w:val="24"/>
          <w:szCs w:val="24"/>
        </w:rPr>
        <w:t>4</w:t>
      </w:r>
      <w:r w:rsidRPr="00FA2D6F">
        <w:rPr>
          <w:rFonts w:cs="Arial"/>
          <w:noProof/>
          <w:color w:val="000000" w:themeColor="text1"/>
          <w:sz w:val="24"/>
          <w:szCs w:val="24"/>
        </w:rPr>
        <w:fldChar w:fldCharType="end"/>
      </w:r>
      <w:r w:rsidRPr="00FA2D6F">
        <w:rPr>
          <w:rFonts w:cs="Arial"/>
          <w:color w:val="000000" w:themeColor="text1"/>
          <w:sz w:val="24"/>
          <w:szCs w:val="24"/>
        </w:rPr>
        <w:t xml:space="preserve"> Theme</w:t>
      </w:r>
    </w:p>
    <w:tbl>
      <w:tblPr>
        <w:tblStyle w:val="TableGrid"/>
        <w:tblW w:w="0" w:type="auto"/>
        <w:tblLook w:val="04A0" w:firstRow="1" w:lastRow="0" w:firstColumn="1" w:lastColumn="0" w:noHBand="0" w:noVBand="1"/>
      </w:tblPr>
      <w:tblGrid>
        <w:gridCol w:w="1164"/>
        <w:gridCol w:w="5606"/>
        <w:gridCol w:w="2324"/>
      </w:tblGrid>
      <w:tr w:rsidR="002D777D" w:rsidRPr="00FA2D6F" w14:paraId="2E59CDF3" w14:textId="77777777" w:rsidTr="002D777D">
        <w:tc>
          <w:tcPr>
            <w:tcW w:w="0" w:type="auto"/>
            <w:hideMark/>
          </w:tcPr>
          <w:p w14:paraId="52F435B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Theme</w:t>
            </w:r>
          </w:p>
        </w:tc>
        <w:tc>
          <w:tcPr>
            <w:tcW w:w="0" w:type="auto"/>
            <w:hideMark/>
          </w:tcPr>
          <w:p w14:paraId="7DBDD03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Main issue</w:t>
            </w:r>
          </w:p>
        </w:tc>
        <w:tc>
          <w:tcPr>
            <w:tcW w:w="0" w:type="auto"/>
            <w:hideMark/>
          </w:tcPr>
          <w:p w14:paraId="75EA08A0"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Related objectives</w:t>
            </w:r>
          </w:p>
        </w:tc>
      </w:tr>
      <w:tr w:rsidR="002D777D" w:rsidRPr="00FA2D6F" w14:paraId="6EAD5D2F" w14:textId="77777777" w:rsidTr="002D777D">
        <w:tc>
          <w:tcPr>
            <w:tcW w:w="0" w:type="auto"/>
            <w:hideMark/>
          </w:tcPr>
          <w:p w14:paraId="463EA570" w14:textId="77777777" w:rsidR="002D777D" w:rsidRPr="00FA2D6F" w:rsidRDefault="002D777D" w:rsidP="00750D5B">
            <w:pPr>
              <w:spacing w:after="160"/>
              <w:rPr>
                <w:rFonts w:cs="Arial"/>
                <w:sz w:val="24"/>
                <w:szCs w:val="24"/>
                <w:lang w:val="en-US"/>
              </w:rPr>
            </w:pPr>
            <w:r w:rsidRPr="00FA2D6F">
              <w:rPr>
                <w:rFonts w:cs="Arial"/>
                <w:sz w:val="24"/>
                <w:szCs w:val="24"/>
                <w:lang w:val="en-US"/>
              </w:rPr>
              <w:t>Theme 1</w:t>
            </w:r>
          </w:p>
        </w:tc>
        <w:tc>
          <w:tcPr>
            <w:tcW w:w="0" w:type="auto"/>
            <w:hideMark/>
          </w:tcPr>
          <w:p w14:paraId="6C5DA26F" w14:textId="77777777" w:rsidR="002D777D" w:rsidRPr="00FA2D6F" w:rsidRDefault="002D777D" w:rsidP="00750D5B">
            <w:pPr>
              <w:spacing w:after="160"/>
              <w:rPr>
                <w:rFonts w:cs="Arial"/>
                <w:sz w:val="24"/>
                <w:szCs w:val="24"/>
                <w:lang w:val="en-US"/>
              </w:rPr>
            </w:pPr>
            <w:r w:rsidRPr="00FA2D6F">
              <w:rPr>
                <w:rFonts w:cs="Arial"/>
                <w:sz w:val="24"/>
                <w:szCs w:val="24"/>
                <w:lang w:val="en-US"/>
              </w:rPr>
              <w:t>Structural and systemic healthcare barriers</w:t>
            </w:r>
          </w:p>
        </w:tc>
        <w:tc>
          <w:tcPr>
            <w:tcW w:w="0" w:type="auto"/>
            <w:hideMark/>
          </w:tcPr>
          <w:p w14:paraId="5F2D79FA" w14:textId="77777777" w:rsidR="002D777D" w:rsidRPr="00FA2D6F" w:rsidRDefault="002D777D" w:rsidP="00750D5B">
            <w:pPr>
              <w:spacing w:after="160"/>
              <w:rPr>
                <w:rFonts w:cs="Arial"/>
                <w:sz w:val="24"/>
                <w:szCs w:val="24"/>
                <w:lang w:val="en-US"/>
              </w:rPr>
            </w:pPr>
            <w:r w:rsidRPr="00FA2D6F">
              <w:rPr>
                <w:rFonts w:cs="Arial"/>
                <w:sz w:val="24"/>
                <w:szCs w:val="24"/>
                <w:lang w:val="en-US"/>
              </w:rPr>
              <w:t>RO1, RO2</w:t>
            </w:r>
          </w:p>
        </w:tc>
      </w:tr>
      <w:tr w:rsidR="002D777D" w:rsidRPr="00FA2D6F" w14:paraId="35B95689" w14:textId="77777777" w:rsidTr="002D777D">
        <w:tc>
          <w:tcPr>
            <w:tcW w:w="0" w:type="auto"/>
            <w:hideMark/>
          </w:tcPr>
          <w:p w14:paraId="0BDCCD76" w14:textId="77777777" w:rsidR="002D777D" w:rsidRPr="00FA2D6F" w:rsidRDefault="002D777D" w:rsidP="00750D5B">
            <w:pPr>
              <w:spacing w:after="160"/>
              <w:rPr>
                <w:rFonts w:cs="Arial"/>
                <w:sz w:val="24"/>
                <w:szCs w:val="24"/>
                <w:lang w:val="en-US"/>
              </w:rPr>
            </w:pPr>
            <w:r w:rsidRPr="00FA2D6F">
              <w:rPr>
                <w:rFonts w:cs="Arial"/>
                <w:sz w:val="24"/>
                <w:szCs w:val="24"/>
                <w:lang w:val="en-US"/>
              </w:rPr>
              <w:t>Theme 2</w:t>
            </w:r>
          </w:p>
        </w:tc>
        <w:tc>
          <w:tcPr>
            <w:tcW w:w="0" w:type="auto"/>
            <w:hideMark/>
          </w:tcPr>
          <w:p w14:paraId="30C2E53C" w14:textId="77777777" w:rsidR="002D777D" w:rsidRPr="00FA2D6F" w:rsidRDefault="002D777D" w:rsidP="00750D5B">
            <w:pPr>
              <w:spacing w:after="160"/>
              <w:rPr>
                <w:rFonts w:cs="Arial"/>
                <w:sz w:val="24"/>
                <w:szCs w:val="24"/>
                <w:lang w:val="en-US"/>
              </w:rPr>
            </w:pPr>
            <w:r w:rsidRPr="00FA2D6F">
              <w:rPr>
                <w:rFonts w:cs="Arial"/>
                <w:sz w:val="24"/>
                <w:szCs w:val="24"/>
                <w:lang w:val="en-US"/>
              </w:rPr>
              <w:t>Socioeconomic and cultural healthcare inequalities</w:t>
            </w:r>
          </w:p>
        </w:tc>
        <w:tc>
          <w:tcPr>
            <w:tcW w:w="0" w:type="auto"/>
            <w:hideMark/>
          </w:tcPr>
          <w:p w14:paraId="3FE0FF92" w14:textId="77777777" w:rsidR="002D777D" w:rsidRPr="00FA2D6F" w:rsidRDefault="002D777D" w:rsidP="00750D5B">
            <w:pPr>
              <w:spacing w:after="160"/>
              <w:rPr>
                <w:rFonts w:cs="Arial"/>
                <w:sz w:val="24"/>
                <w:szCs w:val="24"/>
                <w:lang w:val="en-US"/>
              </w:rPr>
            </w:pPr>
            <w:r w:rsidRPr="00FA2D6F">
              <w:rPr>
                <w:rFonts w:cs="Arial"/>
                <w:sz w:val="24"/>
                <w:szCs w:val="24"/>
                <w:lang w:val="en-US"/>
              </w:rPr>
              <w:t>RO2</w:t>
            </w:r>
          </w:p>
        </w:tc>
      </w:tr>
      <w:tr w:rsidR="002D777D" w:rsidRPr="00FA2D6F" w14:paraId="4C7D083A" w14:textId="77777777" w:rsidTr="002D777D">
        <w:tc>
          <w:tcPr>
            <w:tcW w:w="0" w:type="auto"/>
            <w:hideMark/>
          </w:tcPr>
          <w:p w14:paraId="22399F16" w14:textId="77777777" w:rsidR="002D777D" w:rsidRPr="00FA2D6F" w:rsidRDefault="002D777D" w:rsidP="00750D5B">
            <w:pPr>
              <w:spacing w:after="160"/>
              <w:rPr>
                <w:rFonts w:cs="Arial"/>
                <w:sz w:val="24"/>
                <w:szCs w:val="24"/>
                <w:lang w:val="en-US"/>
              </w:rPr>
            </w:pPr>
            <w:r w:rsidRPr="00FA2D6F">
              <w:rPr>
                <w:rFonts w:cs="Arial"/>
                <w:sz w:val="24"/>
                <w:szCs w:val="24"/>
                <w:lang w:val="en-US"/>
              </w:rPr>
              <w:t>Theme 3</w:t>
            </w:r>
          </w:p>
        </w:tc>
        <w:tc>
          <w:tcPr>
            <w:tcW w:w="0" w:type="auto"/>
            <w:hideMark/>
          </w:tcPr>
          <w:p w14:paraId="1798D640" w14:textId="77777777" w:rsidR="002D777D" w:rsidRPr="00FA2D6F" w:rsidRDefault="002D777D" w:rsidP="00750D5B">
            <w:pPr>
              <w:spacing w:after="160"/>
              <w:rPr>
                <w:rFonts w:cs="Arial"/>
                <w:sz w:val="24"/>
                <w:szCs w:val="24"/>
                <w:lang w:val="en-US"/>
              </w:rPr>
            </w:pPr>
            <w:r w:rsidRPr="00FA2D6F">
              <w:rPr>
                <w:rFonts w:cs="Arial"/>
                <w:sz w:val="24"/>
                <w:szCs w:val="24"/>
                <w:lang w:val="en-US"/>
              </w:rPr>
              <w:t>Policy effectiveness and interventions</w:t>
            </w:r>
          </w:p>
        </w:tc>
        <w:tc>
          <w:tcPr>
            <w:tcW w:w="0" w:type="auto"/>
            <w:hideMark/>
          </w:tcPr>
          <w:p w14:paraId="5D60251F" w14:textId="77777777" w:rsidR="002D777D" w:rsidRPr="00FA2D6F" w:rsidRDefault="002D777D" w:rsidP="00750D5B">
            <w:pPr>
              <w:spacing w:after="160"/>
              <w:rPr>
                <w:rFonts w:cs="Arial"/>
                <w:sz w:val="24"/>
                <w:szCs w:val="24"/>
                <w:lang w:val="en-US"/>
              </w:rPr>
            </w:pPr>
            <w:r w:rsidRPr="00FA2D6F">
              <w:rPr>
                <w:rFonts w:cs="Arial"/>
                <w:sz w:val="24"/>
                <w:szCs w:val="24"/>
                <w:lang w:val="en-US"/>
              </w:rPr>
              <w:t>RO3, RO4</w:t>
            </w:r>
          </w:p>
        </w:tc>
      </w:tr>
    </w:tbl>
    <w:p w14:paraId="128AAA4A" w14:textId="77777777" w:rsidR="00EC4593" w:rsidRPr="00FA2D6F" w:rsidRDefault="00EC4593" w:rsidP="00750D5B">
      <w:pPr>
        <w:pStyle w:val="Heading2"/>
        <w:rPr>
          <w:rFonts w:cs="Arial"/>
          <w:szCs w:val="24"/>
          <w:lang w:val="en-US"/>
        </w:rPr>
      </w:pPr>
      <w:bookmarkStart w:id="52" w:name="_Toc241246308"/>
      <w:r w:rsidRPr="00FA2D6F">
        <w:rPr>
          <w:rFonts w:cs="Arial"/>
          <w:szCs w:val="24"/>
          <w:lang w:val="en-US"/>
        </w:rPr>
        <w:t>Theme 1: Structural Healthcare Barriers</w:t>
      </w:r>
      <w:bookmarkEnd w:id="52"/>
    </w:p>
    <w:p w14:paraId="7B277414" w14:textId="6B6E09E4" w:rsidR="002D777D" w:rsidRPr="00FA2D6F" w:rsidRDefault="00CA301A" w:rsidP="00750D5B">
      <w:pPr>
        <w:rPr>
          <w:rFonts w:cs="Arial"/>
          <w:sz w:val="24"/>
          <w:szCs w:val="24"/>
          <w:lang w:val="en-US"/>
        </w:rPr>
      </w:pPr>
      <w:r w:rsidRPr="00FA2D6F">
        <w:rPr>
          <w:rFonts w:cs="Arial"/>
          <w:sz w:val="24"/>
          <w:szCs w:val="24"/>
        </w:rPr>
        <w:t xml:space="preserve">The evidence shows that inequalities in health services are not just a function of individual circumstances but of the organisation, staffing and delivery of health services. Socio-economic and structural factors may contribute to vulnerability within ethnic minority adults 72-80 years of age from a Social Determinant of Health (SDH) perspective. Fragmented services, pressures on the workforce and digitalisation can exacerbate these vulnerabilities, potentially presenting barriers to accessing timely and ongoing care. The Inverse Care Law also contributes to the understanding of this barrier where there is no proportional allocation of services and healthcare </w:t>
      </w:r>
      <w:r w:rsidRPr="00FA2D6F">
        <w:rPr>
          <w:rFonts w:cs="Arial"/>
          <w:sz w:val="24"/>
          <w:szCs w:val="24"/>
        </w:rPr>
        <w:lastRenderedPageBreak/>
        <w:t xml:space="preserve">resources to disadvantageous groups, based on their increased needs. </w:t>
      </w:r>
      <w:proofErr w:type="gramStart"/>
      <w:r w:rsidRPr="00FA2D6F">
        <w:rPr>
          <w:rFonts w:cs="Arial"/>
          <w:sz w:val="24"/>
          <w:szCs w:val="24"/>
        </w:rPr>
        <w:t>So</w:t>
      </w:r>
      <w:proofErr w:type="gramEnd"/>
      <w:r w:rsidRPr="00FA2D6F">
        <w:rPr>
          <w:rFonts w:cs="Arial"/>
          <w:sz w:val="24"/>
          <w:szCs w:val="24"/>
        </w:rPr>
        <w:t xml:space="preserve"> inequalities are shaped by the interplay between wider social disadvantage and structures within the healthcare system</w:t>
      </w:r>
      <w:r w:rsidR="00B61086">
        <w:rPr>
          <w:rFonts w:cs="Arial"/>
          <w:sz w:val="24"/>
          <w:szCs w:val="24"/>
        </w:rPr>
        <w:t xml:space="preserve"> (</w:t>
      </w:r>
      <w:proofErr w:type="spellStart"/>
      <w:r w:rsidR="00B61086">
        <w:rPr>
          <w:rFonts w:cs="Arial"/>
          <w:sz w:val="24"/>
          <w:szCs w:val="24"/>
        </w:rPr>
        <w:t>Somoli</w:t>
      </w:r>
      <w:proofErr w:type="spellEnd"/>
      <w:r w:rsidR="00B61086">
        <w:rPr>
          <w:rFonts w:cs="Arial"/>
          <w:sz w:val="24"/>
          <w:szCs w:val="24"/>
        </w:rPr>
        <w:t xml:space="preserve"> et al., 2023)</w:t>
      </w:r>
      <w:r w:rsidR="00EC4593" w:rsidRPr="00FA2D6F">
        <w:rPr>
          <w:rFonts w:cs="Arial"/>
          <w:sz w:val="24"/>
          <w:szCs w:val="24"/>
          <w:lang w:val="en-US"/>
        </w:rPr>
        <w:t>.</w:t>
      </w:r>
    </w:p>
    <w:p w14:paraId="339D1D7A" w14:textId="58D2A51A" w:rsidR="002D777D" w:rsidRPr="00FA2D6F" w:rsidRDefault="002D777D" w:rsidP="00750D5B">
      <w:pPr>
        <w:pStyle w:val="Heading3"/>
        <w:rPr>
          <w:rFonts w:ascii="Arial" w:hAnsi="Arial" w:cs="Arial"/>
          <w:lang w:val="en-US"/>
        </w:rPr>
      </w:pPr>
      <w:bookmarkStart w:id="53" w:name="_Toc241246309"/>
      <w:r w:rsidRPr="00FA2D6F">
        <w:rPr>
          <w:rFonts w:ascii="Arial" w:hAnsi="Arial" w:cs="Arial"/>
          <w:lang w:val="en-US"/>
        </w:rPr>
        <w:t>Fragmented Healthcare Services</w:t>
      </w:r>
      <w:bookmarkEnd w:id="53"/>
    </w:p>
    <w:p w14:paraId="4920284F" w14:textId="5059D0ED" w:rsidR="000C3913" w:rsidRPr="00FA2D6F" w:rsidRDefault="00B75372" w:rsidP="00750D5B">
      <w:pPr>
        <w:rPr>
          <w:rFonts w:cs="Arial"/>
          <w:sz w:val="24"/>
          <w:szCs w:val="24"/>
        </w:rPr>
      </w:pPr>
      <w:r w:rsidRPr="00FA2D6F">
        <w:rPr>
          <w:rFonts w:cs="Arial"/>
          <w:sz w:val="24"/>
          <w:szCs w:val="24"/>
        </w:rPr>
        <w:t xml:space="preserve">Fragmentation became an important structural barrier, as older people with complex health needs may need to engage with </w:t>
      </w:r>
      <w:proofErr w:type="gramStart"/>
      <w:r w:rsidRPr="00FA2D6F">
        <w:rPr>
          <w:rFonts w:cs="Arial"/>
          <w:sz w:val="24"/>
          <w:szCs w:val="24"/>
        </w:rPr>
        <w:t>a number of</w:t>
      </w:r>
      <w:proofErr w:type="gramEnd"/>
      <w:r w:rsidRPr="00FA2D6F">
        <w:rPr>
          <w:rFonts w:cs="Arial"/>
          <w:sz w:val="24"/>
          <w:szCs w:val="24"/>
        </w:rPr>
        <w:t xml:space="preserve"> health and social care services. </w:t>
      </w:r>
      <w:r w:rsidR="00F107FF" w:rsidRPr="00FA2D6F">
        <w:rPr>
          <w:rFonts w:cs="Arial"/>
          <w:sz w:val="24"/>
          <w:szCs w:val="24"/>
        </w:rPr>
        <w:t>the</w:t>
      </w:r>
      <w:r w:rsidRPr="00FA2D6F">
        <w:rPr>
          <w:rFonts w:cs="Arial"/>
          <w:sz w:val="24"/>
          <w:szCs w:val="24"/>
        </w:rPr>
        <w:t xml:space="preserve"> importance of complex and ongoing healthcare for older people, especially those with multiple physical and mental health conditions. It also applies to the 72-80 age group as healthcare needs may be rising and need connection with primary care, community services, specialists and social care. </w:t>
      </w:r>
    </w:p>
    <w:p w14:paraId="46448516" w14:textId="113ED0D5" w:rsidR="00F078D5" w:rsidRPr="00FA2D6F" w:rsidRDefault="00B75372" w:rsidP="00750D5B">
      <w:pPr>
        <w:rPr>
          <w:rFonts w:cs="Arial"/>
          <w:sz w:val="24"/>
          <w:szCs w:val="24"/>
        </w:rPr>
      </w:pPr>
      <w:r w:rsidRPr="00FA2D6F">
        <w:rPr>
          <w:rFonts w:cs="Arial"/>
          <w:sz w:val="24"/>
          <w:szCs w:val="24"/>
        </w:rPr>
        <w:t xml:space="preserve">French et al. (2022) also conclude that there is a link between socioeconomic disadvantage and problems accessing coordinated service provision. This is especially important given their findings because a healthcare service may </w:t>
      </w:r>
      <w:r w:rsidR="006B48D5" w:rsidRPr="00FA2D6F">
        <w:rPr>
          <w:rFonts w:cs="Arial"/>
          <w:sz w:val="24"/>
          <w:szCs w:val="24"/>
        </w:rPr>
        <w:t>exist but</w:t>
      </w:r>
      <w:r w:rsidRPr="00FA2D6F">
        <w:rPr>
          <w:rFonts w:cs="Arial"/>
          <w:sz w:val="24"/>
          <w:szCs w:val="24"/>
        </w:rPr>
        <w:t xml:space="preserve"> not be able to be used effectively by patients. Poor coordination of referral, communication and information sharing can delay patients from receiving care, require them to be assessed multiple times, or leave them unsure about where to find the support they need. </w:t>
      </w:r>
    </w:p>
    <w:p w14:paraId="66F14C9E" w14:textId="1AC193A5" w:rsidR="005968D5" w:rsidRPr="00FA2D6F" w:rsidRDefault="00F078D5" w:rsidP="00750D5B">
      <w:pPr>
        <w:rPr>
          <w:rFonts w:cs="Arial"/>
          <w:sz w:val="24"/>
          <w:szCs w:val="24"/>
        </w:rPr>
      </w:pPr>
      <w:r w:rsidRPr="00FA2D6F">
        <w:rPr>
          <w:rFonts w:cs="Arial"/>
          <w:sz w:val="24"/>
          <w:szCs w:val="24"/>
        </w:rPr>
        <w:t>Evidence from general practice records further indicates that ethnic minority status and socioeconomic deprivation can be associated with lower continuity of care, suggesting that continuity itself can represent an important dim</w:t>
      </w:r>
      <w:r w:rsidR="00471194" w:rsidRPr="00FA2D6F">
        <w:rPr>
          <w:rFonts w:cs="Arial"/>
          <w:sz w:val="24"/>
          <w:szCs w:val="24"/>
        </w:rPr>
        <w:t xml:space="preserve">ension of healthcare inequality. </w:t>
      </w:r>
      <w:r w:rsidR="00B61086" w:rsidRPr="00FA2D6F">
        <w:rPr>
          <w:rFonts w:cs="Arial"/>
          <w:sz w:val="24"/>
          <w:szCs w:val="24"/>
        </w:rPr>
        <w:t>Moreover, further</w:t>
      </w:r>
      <w:r w:rsidR="00B75372" w:rsidRPr="00FA2D6F">
        <w:rPr>
          <w:rFonts w:cs="Arial"/>
          <w:sz w:val="24"/>
          <w:szCs w:val="24"/>
        </w:rPr>
        <w:t xml:space="preserve"> highlights the importance of communication and professional networks for integrated care. This means that fragmentation is more than a pure organizational malfunction. </w:t>
      </w:r>
    </w:p>
    <w:p w14:paraId="58EC8E59" w14:textId="332E5F70" w:rsidR="002D777D" w:rsidRPr="00FA2D6F" w:rsidRDefault="00B75372" w:rsidP="00750D5B">
      <w:pPr>
        <w:rPr>
          <w:rFonts w:cs="Arial"/>
          <w:sz w:val="24"/>
          <w:szCs w:val="24"/>
          <w:lang w:val="en-US"/>
        </w:rPr>
      </w:pPr>
      <w:r w:rsidRPr="00FA2D6F">
        <w:rPr>
          <w:rFonts w:cs="Arial"/>
          <w:sz w:val="24"/>
          <w:szCs w:val="24"/>
        </w:rPr>
        <w:t>May have a direct impact on continuity and the patient's access to adequate support. It may be more severe for minority</w:t>
      </w:r>
      <w:r w:rsidR="0082073D" w:rsidRPr="00FA2D6F">
        <w:rPr>
          <w:rFonts w:cs="Arial"/>
          <w:sz w:val="24"/>
          <w:szCs w:val="24"/>
        </w:rPr>
        <w:t xml:space="preserve"> adults</w:t>
      </w:r>
      <w:r w:rsidRPr="00FA2D6F">
        <w:rPr>
          <w:rFonts w:cs="Arial"/>
          <w:sz w:val="24"/>
          <w:szCs w:val="24"/>
        </w:rPr>
        <w:t xml:space="preserve"> as communication barriers and cultural differences may present an additional challenge in an already complicated system. It may be challenging for a patient with limited English or who needs family support to travel repeatedly between services. The results show that for improved access, not only must the number of services be made available, but also the </w:t>
      </w:r>
      <w:r w:rsidR="006B48D5" w:rsidRPr="00FA2D6F">
        <w:rPr>
          <w:rFonts w:cs="Arial"/>
          <w:sz w:val="24"/>
          <w:szCs w:val="24"/>
        </w:rPr>
        <w:t>quality-of-service</w:t>
      </w:r>
      <w:r w:rsidRPr="00FA2D6F">
        <w:rPr>
          <w:rFonts w:cs="Arial"/>
          <w:sz w:val="24"/>
          <w:szCs w:val="24"/>
        </w:rPr>
        <w:t xml:space="preserve"> connections</w:t>
      </w:r>
      <w:r w:rsidR="002D777D" w:rsidRPr="00FA2D6F">
        <w:rPr>
          <w:rFonts w:cs="Arial"/>
          <w:sz w:val="24"/>
          <w:szCs w:val="24"/>
          <w:lang w:val="en-US"/>
        </w:rPr>
        <w:t>.</w:t>
      </w:r>
      <w:r w:rsidR="00BE1DBC" w:rsidRPr="00FA2D6F">
        <w:rPr>
          <w:rFonts w:cs="Arial"/>
          <w:sz w:val="24"/>
          <w:szCs w:val="24"/>
          <w:lang w:val="en-US"/>
        </w:rPr>
        <w:t xml:space="preserve"> </w:t>
      </w:r>
      <w:r w:rsidR="00BE1DBC" w:rsidRPr="00FA2D6F">
        <w:rPr>
          <w:rFonts w:cs="Arial"/>
          <w:sz w:val="24"/>
          <w:szCs w:val="24"/>
        </w:rPr>
        <w:t xml:space="preserve">This is particularly relevant during transitions between hospital and community settings, where evidence identifies unmet needs and the need for </w:t>
      </w:r>
      <w:r w:rsidR="00BE1DBC" w:rsidRPr="00FA2D6F">
        <w:rPr>
          <w:rFonts w:cs="Arial"/>
          <w:sz w:val="24"/>
          <w:szCs w:val="24"/>
        </w:rPr>
        <w:lastRenderedPageBreak/>
        <w:t>culturally appropriate transitional care for ol</w:t>
      </w:r>
      <w:r w:rsidR="00471194" w:rsidRPr="00FA2D6F">
        <w:rPr>
          <w:rFonts w:cs="Arial"/>
          <w:sz w:val="24"/>
          <w:szCs w:val="24"/>
        </w:rPr>
        <w:t>der ethnic minority populations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00471194" w:rsidRPr="00FA2D6F">
        <w:rPr>
          <w:rFonts w:cs="Arial"/>
          <w:sz w:val="24"/>
          <w:szCs w:val="24"/>
        </w:rPr>
        <w:t>.</w:t>
      </w:r>
    </w:p>
    <w:p w14:paraId="061DD9F5" w14:textId="4B3E705B" w:rsidR="002D777D" w:rsidRPr="00FA2D6F" w:rsidRDefault="002D777D" w:rsidP="00750D5B">
      <w:pPr>
        <w:pStyle w:val="Heading3"/>
        <w:rPr>
          <w:rFonts w:ascii="Arial" w:hAnsi="Arial" w:cs="Arial"/>
          <w:lang w:val="en-US"/>
        </w:rPr>
      </w:pPr>
      <w:bookmarkStart w:id="54" w:name="_Toc241246310"/>
      <w:r w:rsidRPr="00FA2D6F">
        <w:rPr>
          <w:rFonts w:ascii="Arial" w:hAnsi="Arial" w:cs="Arial"/>
          <w:lang w:val="en-US"/>
        </w:rPr>
        <w:t>Workforce Shortages and Service Capacity</w:t>
      </w:r>
      <w:bookmarkEnd w:id="54"/>
    </w:p>
    <w:p w14:paraId="3575513B" w14:textId="4E4A4AC7" w:rsidR="00477BC2" w:rsidRPr="00FA2D6F" w:rsidRDefault="0055785F" w:rsidP="00750D5B">
      <w:pPr>
        <w:rPr>
          <w:rFonts w:cs="Arial"/>
          <w:sz w:val="24"/>
          <w:szCs w:val="24"/>
          <w:lang w:val="en-US"/>
        </w:rPr>
      </w:pPr>
      <w:r w:rsidRPr="00FA2D6F">
        <w:rPr>
          <w:rFonts w:cs="Arial"/>
          <w:sz w:val="24"/>
          <w:szCs w:val="24"/>
        </w:rPr>
        <w:t xml:space="preserve">Another structural problem is workforce capacity. </w:t>
      </w:r>
      <w:r w:rsidR="00D64727">
        <w:rPr>
          <w:rFonts w:eastAsia="Times New Roman" w:cs="Arial"/>
          <w:color w:val="1F1F1F"/>
          <w:sz w:val="24"/>
          <w:szCs w:val="24"/>
          <w:lang w:val="en-US" w:eastAsia="en-US"/>
        </w:rPr>
        <w:t>Boyer</w:t>
      </w:r>
      <w:r w:rsidR="00471194" w:rsidRPr="00FA2D6F">
        <w:rPr>
          <w:rFonts w:cs="Arial"/>
          <w:sz w:val="24"/>
          <w:szCs w:val="24"/>
        </w:rPr>
        <w:t xml:space="preserve"> et al. (2024</w:t>
      </w:r>
      <w:r w:rsidRPr="00FA2D6F">
        <w:rPr>
          <w:rFonts w:cs="Arial"/>
          <w:sz w:val="24"/>
          <w:szCs w:val="24"/>
        </w:rPr>
        <w:t xml:space="preserve">) note the ongoing challenges in the health services for older people, outlines the intersection of ageing and socio-economic </w:t>
      </w:r>
      <w:r w:rsidR="006B48D5" w:rsidRPr="00FA2D6F">
        <w:rPr>
          <w:rFonts w:cs="Arial"/>
          <w:sz w:val="24"/>
          <w:szCs w:val="24"/>
        </w:rPr>
        <w:t>disadvantages</w:t>
      </w:r>
      <w:r w:rsidRPr="00FA2D6F">
        <w:rPr>
          <w:rFonts w:cs="Arial"/>
          <w:sz w:val="24"/>
          <w:szCs w:val="24"/>
        </w:rPr>
        <w:t xml:space="preserve">. The results indicate that a rise in demand for care may take place while at the same time, capacity to provide care is diminished. The shortage of workforce can impact access in a variety of ways. High workloads can lead to less consultation time, less continuity and longer waiting times. </w:t>
      </w:r>
      <w:r w:rsidR="00477BC2" w:rsidRPr="00FA2D6F">
        <w:rPr>
          <w:rFonts w:cs="Arial"/>
          <w:sz w:val="24"/>
          <w:szCs w:val="24"/>
          <w:lang w:val="en-US"/>
        </w:rPr>
        <w:t xml:space="preserve">Evidence from English primary care also indicates socioeconomic inequalities in reported access and continuity, particularly across more deprived practice settings </w:t>
      </w:r>
      <w:r w:rsidR="00750D5B" w:rsidRPr="00FA2D6F">
        <w:rPr>
          <w:rFonts w:cs="Arial"/>
          <w:sz w:val="24"/>
          <w:szCs w:val="24"/>
          <w:lang w:val="en-US"/>
        </w:rPr>
        <w:t>(Husain et al.,2022).</w:t>
      </w:r>
    </w:p>
    <w:p w14:paraId="375870F3" w14:textId="3AA85425" w:rsidR="00BB7C89" w:rsidRPr="00FA2D6F" w:rsidRDefault="0055785F" w:rsidP="00750D5B">
      <w:pPr>
        <w:rPr>
          <w:rFonts w:cs="Arial"/>
          <w:sz w:val="24"/>
          <w:szCs w:val="24"/>
        </w:rPr>
      </w:pPr>
      <w:r w:rsidRPr="00FA2D6F">
        <w:rPr>
          <w:rFonts w:cs="Arial"/>
          <w:sz w:val="24"/>
          <w:szCs w:val="24"/>
        </w:rPr>
        <w:t>They can also foster a focus on short-term clinical issues and/or preventive, relationship-focused, culturally responsive care. This is especially significant for older people with multiple needs, where continuity could be required to grasp the broader context of how older people's health is impacted. This is one way to interpret the Inverse Care Law</w:t>
      </w:r>
      <w:r w:rsidR="00B61086">
        <w:rPr>
          <w:rFonts w:cs="Arial"/>
          <w:sz w:val="24"/>
          <w:szCs w:val="24"/>
        </w:rPr>
        <w:t xml:space="preserve"> (Mercer et al., 2021)</w:t>
      </w:r>
      <w:r w:rsidRPr="00FA2D6F">
        <w:rPr>
          <w:rFonts w:cs="Arial"/>
          <w:sz w:val="24"/>
          <w:szCs w:val="24"/>
        </w:rPr>
        <w:t xml:space="preserve">. </w:t>
      </w:r>
    </w:p>
    <w:p w14:paraId="6BD1BB09" w14:textId="63866D00" w:rsidR="002D777D" w:rsidRPr="00FA2D6F" w:rsidRDefault="0055785F" w:rsidP="00750D5B">
      <w:pPr>
        <w:rPr>
          <w:rFonts w:cs="Arial"/>
          <w:sz w:val="24"/>
          <w:szCs w:val="24"/>
          <w:lang w:val="en-US"/>
        </w:rPr>
      </w:pPr>
      <w:r w:rsidRPr="00FA2D6F">
        <w:rPr>
          <w:rFonts w:cs="Arial"/>
          <w:sz w:val="24"/>
          <w:szCs w:val="24"/>
        </w:rPr>
        <w:t xml:space="preserve">Ng's (2025) analysis highlights that the inequalities between access to services and need for services are ongoing </w:t>
      </w:r>
      <w:proofErr w:type="gramStart"/>
      <w:r w:rsidRPr="00FA2D6F">
        <w:rPr>
          <w:rFonts w:cs="Arial"/>
          <w:sz w:val="24"/>
          <w:szCs w:val="24"/>
        </w:rPr>
        <w:t>and also</w:t>
      </w:r>
      <w:proofErr w:type="gramEnd"/>
      <w:r w:rsidRPr="00FA2D6F">
        <w:rPr>
          <w:rFonts w:cs="Arial"/>
          <w:sz w:val="24"/>
          <w:szCs w:val="24"/>
        </w:rPr>
        <w:t xml:space="preserve"> raises doubt about whether GP has been effective in resolving this issue. The problem is not that all ethnic minority older people receive poor quality care, but that structural resource pressures can exacerbate the risks for people with higher needs of higher barriers. Workforce capacity should consequently be considered part of healthcare equity. Having an adequate staffing level may be a challenge to ensure policies promoting personalised and integrated care can be achieved consistently</w:t>
      </w:r>
      <w:r w:rsidR="006160F3" w:rsidRPr="00FA2D6F">
        <w:rPr>
          <w:rFonts w:cs="Arial"/>
          <w:sz w:val="24"/>
          <w:szCs w:val="24"/>
        </w:rPr>
        <w:t xml:space="preserve"> (Rangachari et al., 2025</w:t>
      </w:r>
      <w:r w:rsidR="00950C38" w:rsidRPr="00FA2D6F">
        <w:rPr>
          <w:rFonts w:cs="Arial"/>
          <w:sz w:val="24"/>
          <w:szCs w:val="24"/>
        </w:rPr>
        <w:t>).</w:t>
      </w:r>
      <w:r w:rsidR="006160F3" w:rsidRPr="00FA2D6F">
        <w:rPr>
          <w:rFonts w:cs="Arial"/>
          <w:sz w:val="24"/>
          <w:szCs w:val="24"/>
          <w:lang w:val="en-US"/>
        </w:rPr>
        <w:t xml:space="preserve"> </w:t>
      </w:r>
    </w:p>
    <w:p w14:paraId="15734D98" w14:textId="3E6FCEA6" w:rsidR="005968D5" w:rsidRPr="00FA2D6F" w:rsidRDefault="00DE63D8" w:rsidP="00750D5B">
      <w:pPr>
        <w:rPr>
          <w:rFonts w:cs="Arial"/>
          <w:sz w:val="24"/>
          <w:szCs w:val="24"/>
        </w:rPr>
      </w:pPr>
      <w:r w:rsidRPr="00FA2D6F">
        <w:rPr>
          <w:rFonts w:cs="Arial"/>
          <w:sz w:val="24"/>
          <w:szCs w:val="24"/>
        </w:rPr>
        <w:t>Digitalisation has enabled new possibilities of access to healthcare but has also led to new forms of exclusion. Litchfield, Shukla and Greenfield (202</w:t>
      </w:r>
      <w:r w:rsidR="00B27E90" w:rsidRPr="00FA2D6F">
        <w:rPr>
          <w:rFonts w:cs="Arial"/>
          <w:sz w:val="24"/>
          <w:szCs w:val="24"/>
        </w:rPr>
        <w:t>6</w:t>
      </w:r>
      <w:r w:rsidRPr="00FA2D6F">
        <w:rPr>
          <w:rFonts w:cs="Arial"/>
          <w:sz w:val="24"/>
          <w:szCs w:val="24"/>
        </w:rPr>
        <w:t xml:space="preserve">) view the digital divide as one of the major sources of inequality, especially for people facing disadvantages. Xue (2022) also shows that digital exclusion in health care is more complex than just having no internet access. The assumption that patients possess </w:t>
      </w:r>
      <w:r w:rsidRPr="00FA2D6F">
        <w:rPr>
          <w:rFonts w:cs="Arial"/>
          <w:sz w:val="24"/>
          <w:szCs w:val="24"/>
        </w:rPr>
        <w:lastRenderedPageBreak/>
        <w:t>the technology skills and resources to interact with digital health systems is also called into question (</w:t>
      </w:r>
      <w:proofErr w:type="spellStart"/>
      <w:r w:rsidRPr="00FA2D6F">
        <w:rPr>
          <w:rFonts w:cs="Arial"/>
          <w:sz w:val="24"/>
          <w:szCs w:val="24"/>
        </w:rPr>
        <w:t>Torous</w:t>
      </w:r>
      <w:proofErr w:type="spellEnd"/>
      <w:r w:rsidRPr="00FA2D6F">
        <w:rPr>
          <w:rFonts w:cs="Arial"/>
          <w:sz w:val="24"/>
          <w:szCs w:val="24"/>
        </w:rPr>
        <w:t xml:space="preserve">, 2025). </w:t>
      </w:r>
    </w:p>
    <w:p w14:paraId="32277F8F" w14:textId="3ABC122F" w:rsidR="002D777D" w:rsidRPr="00FA2D6F" w:rsidRDefault="00DE63D8" w:rsidP="00750D5B">
      <w:pPr>
        <w:rPr>
          <w:rFonts w:cs="Arial"/>
          <w:sz w:val="24"/>
          <w:szCs w:val="24"/>
          <w:lang w:val="en-US"/>
        </w:rPr>
      </w:pPr>
      <w:r w:rsidRPr="00FA2D6F">
        <w:rPr>
          <w:rFonts w:cs="Arial"/>
          <w:sz w:val="24"/>
          <w:szCs w:val="24"/>
        </w:rPr>
        <w:t>Language and health literacy can compound these issues in ethnic minority adults between the ages of 72–80. An online appointment system can seem a good idea for the organisation but can increase the difficulties for an older patient with reduced digital confidence, or difficulty understanding the English language. Digital exclusion can then only be seen as a healthcare access problem and not just a technological problem. Digital routes should not supplant face-to-face and telephone routes, as the evidence suggests. This is especially vital when family or community support is not guaranteed</w:t>
      </w:r>
      <w:r w:rsidR="002D777D" w:rsidRPr="00FA2D6F">
        <w:rPr>
          <w:rFonts w:cs="Arial"/>
          <w:sz w:val="24"/>
          <w:szCs w:val="24"/>
          <w:lang w:val="en-US"/>
        </w:rPr>
        <w:t>.</w:t>
      </w:r>
      <w:r w:rsidR="00C63C6C" w:rsidRPr="00FA2D6F">
        <w:rPr>
          <w:rFonts w:cs="Arial"/>
          <w:sz w:val="24"/>
          <w:szCs w:val="24"/>
          <w:lang w:val="en-US"/>
        </w:rPr>
        <w:t xml:space="preserve"> </w:t>
      </w:r>
      <w:r w:rsidR="00C63C6C" w:rsidRPr="00FA2D6F">
        <w:rPr>
          <w:rFonts w:cs="Arial"/>
          <w:sz w:val="24"/>
          <w:szCs w:val="24"/>
        </w:rPr>
        <w:t>This is supported by qualitative research with older South Asian, Black African and Caribbean adults, where participants highlighted the importance of face-to-face care, offline alternatives and ch</w:t>
      </w:r>
      <w:r w:rsidR="00471194" w:rsidRPr="00FA2D6F">
        <w:rPr>
          <w:rFonts w:cs="Arial"/>
          <w:sz w:val="24"/>
          <w:szCs w:val="24"/>
        </w:rPr>
        <w:t>oice alongside digital services</w:t>
      </w:r>
      <w:r w:rsidR="003E21B0" w:rsidRPr="00FA2D6F">
        <w:rPr>
          <w:rFonts w:cs="Arial"/>
          <w:sz w:val="24"/>
          <w:szCs w:val="24"/>
        </w:rPr>
        <w:t xml:space="preserve"> </w:t>
      </w:r>
      <w:r w:rsidR="003E21B0" w:rsidRPr="00FA2D6F">
        <w:rPr>
          <w:color w:val="000000"/>
          <w:sz w:val="24"/>
          <w:szCs w:val="24"/>
          <w:shd w:val="clear" w:color="auto" w:fill="FFFFFF"/>
        </w:rPr>
        <w:t>(Crear-Perry et al., 2021)</w:t>
      </w:r>
      <w:r w:rsidR="00471194" w:rsidRPr="00FA2D6F">
        <w:rPr>
          <w:rFonts w:cs="Arial"/>
          <w:sz w:val="24"/>
          <w:szCs w:val="24"/>
        </w:rPr>
        <w:t>.</w:t>
      </w:r>
    </w:p>
    <w:p w14:paraId="305570B5" w14:textId="00F211CA" w:rsidR="002D777D" w:rsidRPr="006E7B03" w:rsidRDefault="002D777D" w:rsidP="00750D5B">
      <w:pPr>
        <w:pStyle w:val="Heading3"/>
        <w:rPr>
          <w:rFonts w:ascii="Arial" w:hAnsi="Arial" w:cs="Arial"/>
          <w:lang w:val="en-US"/>
        </w:rPr>
      </w:pPr>
      <w:r w:rsidRPr="006E7B03">
        <w:rPr>
          <w:rFonts w:ascii="Arial" w:hAnsi="Arial" w:cs="Arial"/>
          <w:b/>
          <w:bCs/>
          <w:lang w:val="en-US"/>
        </w:rPr>
        <w:t xml:space="preserve"> </w:t>
      </w:r>
      <w:bookmarkStart w:id="55" w:name="_Toc241246311"/>
      <w:r w:rsidRPr="006E7B03">
        <w:rPr>
          <w:rFonts w:ascii="Arial" w:hAnsi="Arial" w:cs="Arial"/>
          <w:lang w:val="en-US"/>
        </w:rPr>
        <w:t>Theoretical Interpretation</w:t>
      </w:r>
      <w:bookmarkEnd w:id="55"/>
    </w:p>
    <w:p w14:paraId="1CECB8B6" w14:textId="21406502" w:rsidR="000C3913" w:rsidRPr="00FA2D6F" w:rsidRDefault="00DE63D8" w:rsidP="00750D5B">
      <w:pPr>
        <w:rPr>
          <w:rFonts w:cs="Arial"/>
          <w:sz w:val="24"/>
          <w:szCs w:val="24"/>
        </w:rPr>
      </w:pPr>
      <w:r w:rsidRPr="00FA2D6F">
        <w:rPr>
          <w:rFonts w:cs="Arial"/>
          <w:sz w:val="24"/>
          <w:szCs w:val="24"/>
        </w:rPr>
        <w:t xml:space="preserve">The results validate the SDH framework since structural barriers in healthcare are linked with wider social barriers. Chaturvedi et al. (2024) provide an example of the relevance of social determinants for health inequalities, and the significance of socioeconomic factors and social supports for healthy ageing. But SDH is not the whole story after people try to gain access to healthcare. </w:t>
      </w:r>
    </w:p>
    <w:p w14:paraId="0450E191" w14:textId="587A8438" w:rsidR="002D777D" w:rsidRPr="00FA2D6F" w:rsidRDefault="00DE63D8" w:rsidP="00750D5B">
      <w:pPr>
        <w:rPr>
          <w:rFonts w:cs="Arial"/>
          <w:sz w:val="24"/>
          <w:szCs w:val="24"/>
          <w:lang w:val="en-US"/>
        </w:rPr>
      </w:pPr>
      <w:r w:rsidRPr="00FA2D6F">
        <w:rPr>
          <w:rFonts w:cs="Arial"/>
          <w:sz w:val="24"/>
          <w:szCs w:val="24"/>
        </w:rPr>
        <w:t xml:space="preserve">An extension of this explanation is offered by the Inverse Care Law, which attends to the link between need for health care and resources available to the individual. Healthcare structures can </w:t>
      </w:r>
      <w:r w:rsidR="006B48D5" w:rsidRPr="00FA2D6F">
        <w:rPr>
          <w:rFonts w:cs="Arial"/>
          <w:sz w:val="24"/>
          <w:szCs w:val="24"/>
        </w:rPr>
        <w:t>exacerbate</w:t>
      </w:r>
      <w:r w:rsidRPr="00FA2D6F">
        <w:rPr>
          <w:rFonts w:cs="Arial"/>
          <w:sz w:val="24"/>
          <w:szCs w:val="24"/>
        </w:rPr>
        <w:t xml:space="preserve"> social disadvantage instead of addressing it, when there are complex needs of the disadvantaged and workforce, coordination or accessibility issues for services. The overall theoretical interpretation is then that vulnerability is formed under broader social conditions and that the organisation of health care can then accentuate vulnerability</w:t>
      </w:r>
      <w:r w:rsidR="002D777D" w:rsidRPr="00FA2D6F">
        <w:rPr>
          <w:rFonts w:cs="Arial"/>
          <w:sz w:val="24"/>
          <w:szCs w:val="24"/>
          <w:lang w:val="en-US"/>
        </w:rPr>
        <w:t>.</w:t>
      </w:r>
    </w:p>
    <w:p w14:paraId="2DEA39D7" w14:textId="4AA602A0" w:rsidR="002D777D" w:rsidRPr="006E7B03" w:rsidRDefault="002D777D" w:rsidP="00750D5B">
      <w:pPr>
        <w:pStyle w:val="Heading3"/>
        <w:rPr>
          <w:rFonts w:ascii="Arial" w:hAnsi="Arial" w:cs="Arial"/>
          <w:lang w:val="en-US"/>
        </w:rPr>
      </w:pPr>
      <w:bookmarkStart w:id="56" w:name="_Toc241246312"/>
      <w:r w:rsidRPr="006E7B03">
        <w:rPr>
          <w:rFonts w:ascii="Arial" w:hAnsi="Arial" w:cs="Arial"/>
          <w:lang w:val="en-US"/>
        </w:rPr>
        <w:t>Connection to Research Objectives</w:t>
      </w:r>
      <w:bookmarkEnd w:id="56"/>
    </w:p>
    <w:p w14:paraId="0DB9AF7F" w14:textId="52D01F47" w:rsidR="002D777D" w:rsidRPr="00FA2D6F" w:rsidRDefault="00DE63D8" w:rsidP="00750D5B">
      <w:pPr>
        <w:rPr>
          <w:rFonts w:cs="Arial"/>
          <w:sz w:val="24"/>
          <w:szCs w:val="24"/>
          <w:lang w:val="en-US"/>
        </w:rPr>
      </w:pPr>
      <w:r w:rsidRPr="00FA2D6F">
        <w:rPr>
          <w:rFonts w:cs="Arial"/>
          <w:sz w:val="24"/>
          <w:szCs w:val="24"/>
        </w:rPr>
        <w:t xml:space="preserve">These findings are tailored to the RO1 and RO2. They show how fragmentation and digital transformation and capacity of the healthcare workforce affects the structure and delivery of health care. They also demonstrate how structural barriers are linked to broader socioeconomic and cultural contexts, thus highlighting the importance of investigating healthcare inequality at the system and social level. </w:t>
      </w:r>
    </w:p>
    <w:p w14:paraId="278E4C11" w14:textId="652EE02D" w:rsidR="002D777D" w:rsidRPr="00FA2D6F" w:rsidRDefault="002D777D" w:rsidP="00750D5B">
      <w:pPr>
        <w:pStyle w:val="Heading2"/>
        <w:rPr>
          <w:rFonts w:cs="Arial"/>
          <w:szCs w:val="24"/>
          <w:lang w:val="en-US"/>
        </w:rPr>
      </w:pPr>
      <w:bookmarkStart w:id="57" w:name="_Toc241246313"/>
      <w:r w:rsidRPr="00FA2D6F">
        <w:rPr>
          <w:rFonts w:cs="Arial"/>
          <w:szCs w:val="24"/>
          <w:lang w:val="en-US"/>
        </w:rPr>
        <w:lastRenderedPageBreak/>
        <w:t>Theme 2: Socioeconomic and Cultural Healthcare Access Inequalities</w:t>
      </w:r>
      <w:bookmarkEnd w:id="57"/>
    </w:p>
    <w:p w14:paraId="07631EDD" w14:textId="7E3496F1" w:rsidR="002D777D" w:rsidRPr="00FA2D6F" w:rsidRDefault="00DE63D8" w:rsidP="00750D5B">
      <w:pPr>
        <w:rPr>
          <w:rFonts w:cs="Arial"/>
          <w:sz w:val="24"/>
          <w:szCs w:val="24"/>
          <w:lang w:val="en-US"/>
        </w:rPr>
      </w:pPr>
      <w:r w:rsidRPr="00FA2D6F">
        <w:rPr>
          <w:rFonts w:cs="Arial"/>
          <w:sz w:val="24"/>
          <w:szCs w:val="24"/>
        </w:rPr>
        <w:t xml:space="preserve">The second theme shows how access to healthcare is intertwined with the context of </w:t>
      </w:r>
      <w:r w:rsidR="00332080" w:rsidRPr="00FA2D6F">
        <w:rPr>
          <w:rFonts w:cs="Arial"/>
          <w:sz w:val="24"/>
          <w:szCs w:val="24"/>
        </w:rPr>
        <w:t>eth</w:t>
      </w:r>
      <w:r w:rsidR="0082073D" w:rsidRPr="00FA2D6F">
        <w:rPr>
          <w:rFonts w:cs="Arial"/>
          <w:sz w:val="24"/>
          <w:szCs w:val="24"/>
        </w:rPr>
        <w:t xml:space="preserve">nic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lives. Income, deprivation, transport, mobility, communication, culture and social support may have an impact on access to and utilization of health services. These factors often occur concurrently, not separately. </w:t>
      </w:r>
      <w:r w:rsidR="00B02AE3" w:rsidRPr="00FA2D6F">
        <w:rPr>
          <w:rFonts w:cs="Arial"/>
          <w:sz w:val="24"/>
          <w:szCs w:val="24"/>
          <w:lang w:val="en-US"/>
        </w:rPr>
        <w:t>socioeconomic conditions</w:t>
      </w:r>
    </w:p>
    <w:p w14:paraId="1FF64F00" w14:textId="4B2CE76B" w:rsidR="005968D5" w:rsidRPr="00FA2D6F" w:rsidRDefault="00DE63D8" w:rsidP="00750D5B">
      <w:pPr>
        <w:rPr>
          <w:rFonts w:cs="Arial"/>
          <w:sz w:val="24"/>
          <w:szCs w:val="24"/>
        </w:rPr>
      </w:pPr>
      <w:r w:rsidRPr="00FA2D6F">
        <w:rPr>
          <w:rFonts w:cs="Arial"/>
          <w:sz w:val="24"/>
          <w:szCs w:val="24"/>
        </w:rPr>
        <w:t xml:space="preserve">Inequalities in access to healthcare can be driven by socioeconomic factors, even in a healthcare system where treatment is accessible and mostly free at the point of service. Other costs may be indirect such as travel, communication, digital equipment and help with staffing appointments. French et al (2022) highlight deprivation as a key factor to </w:t>
      </w:r>
      <w:proofErr w:type="gramStart"/>
      <w:r w:rsidRPr="00FA2D6F">
        <w:rPr>
          <w:rFonts w:cs="Arial"/>
          <w:sz w:val="24"/>
          <w:szCs w:val="24"/>
        </w:rPr>
        <w:t>take into account</w:t>
      </w:r>
      <w:proofErr w:type="gramEnd"/>
      <w:r w:rsidRPr="00FA2D6F">
        <w:rPr>
          <w:rFonts w:cs="Arial"/>
          <w:sz w:val="24"/>
          <w:szCs w:val="24"/>
        </w:rPr>
        <w:t xml:space="preserve"> in relation to access to care for equity. Socioeconomic status is an important determinant of health inequalities (Chaturvedi et al., 2024) and social and socioeconomic factors are linked to healthy ageing outcomes (</w:t>
      </w:r>
      <w:r w:rsidR="00B02AE3">
        <w:rPr>
          <w:rFonts w:cs="Arial"/>
          <w:sz w:val="24"/>
          <w:szCs w:val="24"/>
        </w:rPr>
        <w:t>Mercer et al., 2021</w:t>
      </w:r>
      <w:r w:rsidRPr="00FA2D6F">
        <w:rPr>
          <w:rFonts w:cs="Arial"/>
          <w:sz w:val="24"/>
          <w:szCs w:val="24"/>
        </w:rPr>
        <w:t xml:space="preserve">). </w:t>
      </w:r>
    </w:p>
    <w:p w14:paraId="4367CBD4" w14:textId="3B272137" w:rsidR="002D777D" w:rsidRPr="00FA2D6F" w:rsidRDefault="00DE63D8" w:rsidP="00750D5B">
      <w:pPr>
        <w:rPr>
          <w:rFonts w:cs="Arial"/>
          <w:sz w:val="24"/>
          <w:szCs w:val="24"/>
          <w:lang w:val="en-US"/>
        </w:rPr>
      </w:pPr>
      <w:r w:rsidRPr="00FA2D6F">
        <w:rPr>
          <w:rFonts w:cs="Arial"/>
          <w:sz w:val="24"/>
          <w:szCs w:val="24"/>
        </w:rPr>
        <w:t xml:space="preserve">The overlaps between ageing, migration, and socioeconomic disadvantage are also illustrated in </w:t>
      </w:r>
      <w:proofErr w:type="spellStart"/>
      <w:r w:rsidRPr="00FA2D6F">
        <w:rPr>
          <w:rFonts w:cs="Arial"/>
          <w:sz w:val="24"/>
          <w:szCs w:val="24"/>
        </w:rPr>
        <w:t>Conduah</w:t>
      </w:r>
      <w:proofErr w:type="spellEnd"/>
      <w:r w:rsidRPr="00FA2D6F">
        <w:rPr>
          <w:rFonts w:cs="Arial"/>
          <w:sz w:val="24"/>
          <w:szCs w:val="24"/>
        </w:rPr>
        <w:t xml:space="preserve"> (2025). The results imply that healthcare inequity may exist prior to healthcare encounter. Low-income </w:t>
      </w:r>
      <w:r w:rsidR="0082073D" w:rsidRPr="00FA2D6F">
        <w:rPr>
          <w:rFonts w:cs="Arial"/>
          <w:sz w:val="24"/>
          <w:szCs w:val="24"/>
        </w:rPr>
        <w:t>adults</w:t>
      </w:r>
      <w:r w:rsidRPr="00FA2D6F">
        <w:rPr>
          <w:rFonts w:cs="Arial"/>
          <w:sz w:val="24"/>
          <w:szCs w:val="24"/>
        </w:rPr>
        <w:t xml:space="preserve"> may find it challenging to get to appointments or access digital services. Where there are other health disadvantages, that may make these disadvantages even more marked where mobility is also restricted. Therefore, paying for universal healthcare does not necessarily eliminate all obstacles for equitable access. Equality of access to and use of a service at the point of service can coexist with inequality of access to and use of that service</w:t>
      </w:r>
      <w:r w:rsidR="002D777D" w:rsidRPr="00FA2D6F">
        <w:rPr>
          <w:rFonts w:cs="Arial"/>
          <w:sz w:val="24"/>
          <w:szCs w:val="24"/>
          <w:lang w:val="en-US"/>
        </w:rPr>
        <w:t>.</w:t>
      </w:r>
    </w:p>
    <w:p w14:paraId="0003580D" w14:textId="73091964" w:rsidR="002D777D" w:rsidRPr="006E7B03" w:rsidRDefault="002D777D" w:rsidP="00750D5B">
      <w:pPr>
        <w:pStyle w:val="Heading3"/>
        <w:rPr>
          <w:rFonts w:ascii="Arial" w:hAnsi="Arial" w:cs="Arial"/>
          <w:lang w:val="en-US"/>
        </w:rPr>
      </w:pPr>
      <w:bookmarkStart w:id="58" w:name="_Toc241246314"/>
      <w:r w:rsidRPr="006E7B03">
        <w:rPr>
          <w:rFonts w:ascii="Arial" w:hAnsi="Arial" w:cs="Arial"/>
          <w:lang w:val="en-US"/>
        </w:rPr>
        <w:t>Transport, Mobility and Geographic Access</w:t>
      </w:r>
      <w:bookmarkEnd w:id="58"/>
    </w:p>
    <w:p w14:paraId="2054BA0B" w14:textId="06CAA1E9" w:rsidR="002D777D" w:rsidRPr="00FA2D6F" w:rsidRDefault="00DE63D8" w:rsidP="00750D5B">
      <w:pPr>
        <w:rPr>
          <w:rFonts w:cs="Arial"/>
          <w:sz w:val="24"/>
          <w:szCs w:val="24"/>
          <w:lang w:val="en-US"/>
        </w:rPr>
      </w:pPr>
      <w:r w:rsidRPr="00FA2D6F">
        <w:rPr>
          <w:rFonts w:cs="Arial"/>
          <w:sz w:val="24"/>
          <w:szCs w:val="24"/>
        </w:rPr>
        <w:t xml:space="preserve">Physical restrictions may make it challenging for </w:t>
      </w:r>
      <w:r w:rsidR="00332080" w:rsidRPr="00FA2D6F">
        <w:rPr>
          <w:rFonts w:cs="Arial"/>
          <w:sz w:val="24"/>
          <w:szCs w:val="24"/>
        </w:rPr>
        <w:t>ethnic</w:t>
      </w:r>
      <w:r w:rsidR="0082073D" w:rsidRPr="00FA2D6F">
        <w:rPr>
          <w:rFonts w:cs="Arial"/>
          <w:sz w:val="24"/>
          <w:szCs w:val="24"/>
        </w:rPr>
        <w:t xml:space="preserve"> adults</w:t>
      </w:r>
      <w:r w:rsidRPr="00FA2D6F">
        <w:rPr>
          <w:rFonts w:cs="Arial"/>
          <w:sz w:val="24"/>
          <w:szCs w:val="24"/>
        </w:rPr>
        <w:t xml:space="preserve"> to undertake even brief trips, making transport and mobility especially relevant to older people. Ford et al. (2021) illustrate how geographical and transport factors can be barriers for socioeconomically disadvantaged older people to accessing their primary care. While Ford et al. (2021) examine rural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there is a broader message that physical accessibility does not necessarily mean that it is also practically accessible. Also, older residents in the urban environment can have transportation problems, restricted mobility and/or becoming reliant upon family members. Ethnic </w:t>
      </w:r>
      <w:r w:rsidRPr="00FA2D6F">
        <w:rPr>
          <w:rFonts w:cs="Arial"/>
          <w:sz w:val="24"/>
          <w:szCs w:val="24"/>
        </w:rPr>
        <w:lastRenderedPageBreak/>
        <w:t>minority adults can also experience transport interacting with social support. A senior who would otherwise receive assistance from family members to get around may find it harder if family members are not available. Geographic access should be considered in conjunction with mobility and social networks, instead of only as distance</w:t>
      </w:r>
      <w:r w:rsidR="002D777D" w:rsidRPr="00FA2D6F">
        <w:rPr>
          <w:rFonts w:cs="Arial"/>
          <w:sz w:val="24"/>
          <w:szCs w:val="24"/>
          <w:lang w:val="en-US"/>
        </w:rPr>
        <w:t>.</w:t>
      </w:r>
    </w:p>
    <w:p w14:paraId="6D720877" w14:textId="65661719" w:rsidR="002D777D" w:rsidRPr="006E7B03" w:rsidRDefault="002D777D" w:rsidP="00750D5B">
      <w:pPr>
        <w:pStyle w:val="Heading3"/>
        <w:rPr>
          <w:rFonts w:ascii="Arial" w:hAnsi="Arial" w:cs="Arial"/>
          <w:lang w:val="en-US"/>
        </w:rPr>
      </w:pPr>
      <w:bookmarkStart w:id="59" w:name="_Toc241246315"/>
      <w:r w:rsidRPr="006E7B03">
        <w:rPr>
          <w:rFonts w:ascii="Arial" w:hAnsi="Arial" w:cs="Arial"/>
          <w:lang w:val="en-US"/>
        </w:rPr>
        <w:t>Cultural and Communication Barriers</w:t>
      </w:r>
      <w:bookmarkEnd w:id="59"/>
    </w:p>
    <w:p w14:paraId="61EB7897" w14:textId="6A5E15B4" w:rsidR="00F107FF" w:rsidRPr="00FA2D6F" w:rsidRDefault="00DE63D8" w:rsidP="00750D5B">
      <w:pPr>
        <w:rPr>
          <w:rFonts w:cs="Arial"/>
          <w:sz w:val="24"/>
          <w:szCs w:val="24"/>
        </w:rPr>
      </w:pPr>
      <w:r w:rsidRPr="00FA2D6F">
        <w:rPr>
          <w:rFonts w:cs="Arial"/>
          <w:sz w:val="24"/>
          <w:szCs w:val="24"/>
        </w:rPr>
        <w:t>Another dimension of inequality are cultural and communication factors. Persistent ethnic inequalities in health care are noted in Kapadia (2023), as are the need for culturally appropriate health care provision. Language barriers do not just impact on the transmission of information. They may affect the person's ability to describe symptoms, be aware of the treatment options, and ask questions and be involved in the healthcare decisions</w:t>
      </w:r>
      <w:r w:rsidR="00F107FF" w:rsidRPr="00FA2D6F">
        <w:rPr>
          <w:rFonts w:cs="Arial"/>
          <w:sz w:val="24"/>
          <w:szCs w:val="24"/>
        </w:rPr>
        <w:t>.</w:t>
      </w:r>
    </w:p>
    <w:p w14:paraId="471F392D" w14:textId="212D241B" w:rsidR="002D777D" w:rsidRPr="00FA2D6F" w:rsidRDefault="00DE63D8" w:rsidP="00750D5B">
      <w:pPr>
        <w:rPr>
          <w:rFonts w:cs="Arial"/>
          <w:sz w:val="24"/>
          <w:szCs w:val="24"/>
          <w:lang w:val="en-US"/>
        </w:rPr>
      </w:pPr>
      <w:r w:rsidRPr="00FA2D6F">
        <w:rPr>
          <w:rFonts w:cs="Arial"/>
          <w:sz w:val="24"/>
          <w:szCs w:val="24"/>
        </w:rPr>
        <w:t>Th</w:t>
      </w:r>
      <w:r w:rsidR="00901FB9" w:rsidRPr="00FA2D6F">
        <w:rPr>
          <w:rFonts w:cs="Arial"/>
          <w:sz w:val="24"/>
          <w:szCs w:val="24"/>
        </w:rPr>
        <w:t>erefore</w:t>
      </w:r>
      <w:r w:rsidRPr="00FA2D6F">
        <w:rPr>
          <w:rFonts w:cs="Arial"/>
          <w:sz w:val="24"/>
          <w:szCs w:val="24"/>
        </w:rPr>
        <w:t>, acceptability and appropriateness are not guaranteed by the availability of a service. The results do therefore back up the definition of access to healthcare that was formulated in Chapter 1, which places a greater emphasis than simply availability on the issue of accessibility, acceptability and appropriateness. Culturally competent communication, in other words, might then be viewed as a necessary add-on to equitable service delivery for ethnic minority adults (72–80 years old) rather than an optional add-on. Ethnic minorities are not monolithic, however. There are differences in cultural needs, language preference/expectation within and across ethnic groups. Healthcare should not, then, presume that one cultural approach is suitable for all</w:t>
      </w:r>
      <w:r w:rsidR="002D777D" w:rsidRPr="00FA2D6F">
        <w:rPr>
          <w:rFonts w:cs="Arial"/>
          <w:sz w:val="24"/>
          <w:szCs w:val="24"/>
          <w:lang w:val="en-US"/>
        </w:rPr>
        <w:t>.</w:t>
      </w:r>
    </w:p>
    <w:p w14:paraId="36948B8C" w14:textId="02B735D0" w:rsidR="00750D5B" w:rsidRPr="00FA2D6F" w:rsidRDefault="00750D5B" w:rsidP="00750D5B">
      <w:pPr>
        <w:rPr>
          <w:rFonts w:cs="Arial"/>
          <w:sz w:val="24"/>
          <w:szCs w:val="24"/>
          <w:lang w:val="en-US"/>
        </w:rPr>
      </w:pPr>
      <w:r w:rsidRPr="006B48D5">
        <w:rPr>
          <w:rStyle w:val="cursor-pointer"/>
          <w:rFonts w:cs="Arial"/>
          <w:sz w:val="24"/>
          <w:szCs w:val="24"/>
        </w:rPr>
        <w:t>An example of this cultural incongruence is when a service is offered, such as dietary advice for the management of Type 2 diabetes, is based entirely on the diet of Western countries, for example, and does not involve specific considerations of lentils, breads or other traditional South Asian food consumption patterns that are important to the patient who is not able to change these patterns or to obtain suitable sources of information, as no professionally translated material is provided or there is access to a culturally competent dietician, etc.</w:t>
      </w:r>
    </w:p>
    <w:p w14:paraId="13E14506" w14:textId="74983C36" w:rsidR="002D777D" w:rsidRPr="006E7B03" w:rsidRDefault="002D777D" w:rsidP="00750D5B">
      <w:pPr>
        <w:pStyle w:val="Heading3"/>
        <w:rPr>
          <w:rFonts w:ascii="Arial" w:hAnsi="Arial" w:cs="Arial"/>
          <w:lang w:val="en-US"/>
        </w:rPr>
      </w:pPr>
      <w:bookmarkStart w:id="60" w:name="_Toc241246316"/>
      <w:r w:rsidRPr="006E7B03">
        <w:rPr>
          <w:rFonts w:ascii="Arial" w:hAnsi="Arial" w:cs="Arial"/>
          <w:lang w:val="en-US"/>
        </w:rPr>
        <w:t>Social Isolation and Support Networks</w:t>
      </w:r>
      <w:bookmarkEnd w:id="60"/>
    </w:p>
    <w:p w14:paraId="34F31770" w14:textId="72D344D5" w:rsidR="002D777D" w:rsidRPr="006E7B03" w:rsidRDefault="00DE63D8" w:rsidP="00750D5B">
      <w:pPr>
        <w:rPr>
          <w:rFonts w:cs="Arial"/>
          <w:sz w:val="24"/>
          <w:szCs w:val="24"/>
          <w:lang w:val="en-US"/>
        </w:rPr>
      </w:pPr>
      <w:r w:rsidRPr="00FA2D6F">
        <w:rPr>
          <w:rFonts w:cs="Arial"/>
          <w:sz w:val="24"/>
          <w:szCs w:val="24"/>
        </w:rPr>
        <w:t xml:space="preserve">Social support is another important factor. Social support is identified as relevant to healthy ageing (Chen et al. 2025) and digital exclusion is related to </w:t>
      </w:r>
      <w:r w:rsidR="006B48D5" w:rsidRPr="00FA2D6F">
        <w:rPr>
          <w:rFonts w:cs="Arial"/>
          <w:sz w:val="24"/>
          <w:szCs w:val="24"/>
        </w:rPr>
        <w:t>adult’s</w:t>
      </w:r>
      <w:r w:rsidR="00332080" w:rsidRPr="00FA2D6F">
        <w:rPr>
          <w:rFonts w:cs="Arial"/>
          <w:sz w:val="24"/>
          <w:szCs w:val="24"/>
        </w:rPr>
        <w:t xml:space="preserve"> feelings of </w:t>
      </w:r>
      <w:r w:rsidR="00332080" w:rsidRPr="00FA2D6F">
        <w:rPr>
          <w:rFonts w:cs="Arial"/>
          <w:sz w:val="24"/>
          <w:szCs w:val="24"/>
        </w:rPr>
        <w:lastRenderedPageBreak/>
        <w:t>loneliness (</w:t>
      </w:r>
      <w:r w:rsidRPr="00FA2D6F">
        <w:rPr>
          <w:rFonts w:cs="Arial"/>
          <w:sz w:val="24"/>
          <w:szCs w:val="24"/>
        </w:rPr>
        <w:t xml:space="preserve">Zhong 2025). These results show that social isolation can have an interaction with barriers to care. Family members and community networks can provide transport, appointment booking, interpretation, digital systems to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However, informal support may be unequal as some older people may have </w:t>
      </w:r>
      <w:r w:rsidR="006B48D5" w:rsidRPr="00FA2D6F">
        <w:rPr>
          <w:rFonts w:cs="Arial"/>
          <w:sz w:val="24"/>
          <w:szCs w:val="24"/>
        </w:rPr>
        <w:t>family/community</w:t>
      </w:r>
      <w:r w:rsidRPr="00FA2D6F">
        <w:rPr>
          <w:rFonts w:cs="Arial"/>
          <w:sz w:val="24"/>
          <w:szCs w:val="24"/>
        </w:rPr>
        <w:t xml:space="preserve"> help than others. This is particularly relevant in today's digital age for health care</w:t>
      </w:r>
      <w:r w:rsidR="00B02AE3">
        <w:rPr>
          <w:rFonts w:cs="Arial"/>
          <w:sz w:val="24"/>
          <w:szCs w:val="24"/>
        </w:rPr>
        <w:t xml:space="preserve"> (Cotterell et al., 2024)</w:t>
      </w:r>
      <w:r w:rsidRPr="00FA2D6F">
        <w:rPr>
          <w:rFonts w:cs="Arial"/>
          <w:sz w:val="24"/>
          <w:szCs w:val="24"/>
        </w:rPr>
        <w:t>. Older people might need the assistance of other people when using online systems, but this might not be provided. Healthcare organisations must, therefore, not take it for granted that their family networks can be designed to fill gaps in inaccessible service design</w:t>
      </w:r>
      <w:r w:rsidR="002D777D" w:rsidRPr="00FA2D6F">
        <w:rPr>
          <w:rFonts w:cs="Arial"/>
          <w:sz w:val="24"/>
          <w:szCs w:val="24"/>
          <w:lang w:val="en-US"/>
        </w:rPr>
        <w:t>.</w:t>
      </w:r>
    </w:p>
    <w:p w14:paraId="6CD6EFAA" w14:textId="749F4977" w:rsidR="002D777D" w:rsidRPr="006E7B03" w:rsidRDefault="002D777D" w:rsidP="00750D5B">
      <w:pPr>
        <w:pStyle w:val="Heading3"/>
        <w:rPr>
          <w:rFonts w:ascii="Arial" w:hAnsi="Arial" w:cs="Arial"/>
          <w:lang w:val="en-US"/>
        </w:rPr>
      </w:pPr>
      <w:bookmarkStart w:id="61" w:name="_Toc241246317"/>
      <w:r w:rsidRPr="006E7B03">
        <w:rPr>
          <w:rFonts w:ascii="Arial" w:hAnsi="Arial" w:cs="Arial"/>
          <w:lang w:val="en-US"/>
        </w:rPr>
        <w:t>Intersection with Theme 1</w:t>
      </w:r>
      <w:bookmarkEnd w:id="61"/>
    </w:p>
    <w:p w14:paraId="1DA4C12D" w14:textId="26F4284E" w:rsidR="002D777D" w:rsidRPr="00FA2D6F" w:rsidRDefault="00DE63D8" w:rsidP="00750D5B">
      <w:pPr>
        <w:rPr>
          <w:rFonts w:cs="Arial"/>
          <w:sz w:val="24"/>
          <w:szCs w:val="24"/>
          <w:lang w:val="en-US"/>
        </w:rPr>
      </w:pPr>
      <w:r w:rsidRPr="00FA2D6F">
        <w:rPr>
          <w:rFonts w:cs="Arial"/>
          <w:sz w:val="24"/>
          <w:szCs w:val="24"/>
        </w:rPr>
        <w:t>Theme 2 illustrates how social and cultural barriers can escalate in the presence of structural barriers as found in Theme 1. For instance, a person older in age whose first language is not English may find digital services more challenging. A low-income person, for instance, could be more severely impacted by the need for transport services, for example. The barriers are consequently additive. The following factors may intersect</w:t>
      </w:r>
      <w:r w:rsidR="00B02AE3">
        <w:rPr>
          <w:rFonts w:cs="Arial"/>
          <w:sz w:val="24"/>
          <w:szCs w:val="24"/>
        </w:rPr>
        <w:t xml:space="preserve"> within a person's experience </w:t>
      </w:r>
      <w:r w:rsidRPr="00FA2D6F">
        <w:rPr>
          <w:rFonts w:cs="Arial"/>
          <w:sz w:val="24"/>
          <w:szCs w:val="24"/>
        </w:rPr>
        <w:t>age, ethnicity, socioeconomic factors, mobility, language, digital exclusion and social isolation. This offers more of an explanation of inequalities than ethnicity or age alone</w:t>
      </w:r>
      <w:r w:rsidR="002D777D" w:rsidRPr="00FA2D6F">
        <w:rPr>
          <w:rFonts w:cs="Arial"/>
          <w:sz w:val="24"/>
          <w:szCs w:val="24"/>
          <w:lang w:val="en-US"/>
        </w:rPr>
        <w:t>.</w:t>
      </w:r>
    </w:p>
    <w:p w14:paraId="54939198" w14:textId="304369CD" w:rsidR="002D777D" w:rsidRPr="006E7B03" w:rsidRDefault="002D777D" w:rsidP="00750D5B">
      <w:pPr>
        <w:pStyle w:val="Heading3"/>
        <w:rPr>
          <w:rFonts w:ascii="Arial" w:hAnsi="Arial" w:cs="Arial"/>
          <w:lang w:val="en-US"/>
        </w:rPr>
      </w:pPr>
      <w:bookmarkStart w:id="62" w:name="_Toc241246318"/>
      <w:r w:rsidRPr="006E7B03">
        <w:rPr>
          <w:rFonts w:ascii="Arial" w:hAnsi="Arial" w:cs="Arial"/>
          <w:lang w:val="en-US"/>
        </w:rPr>
        <w:t>Critical Theoretical Interpretation</w:t>
      </w:r>
      <w:bookmarkEnd w:id="62"/>
    </w:p>
    <w:p w14:paraId="09F2A57A" w14:textId="7A4A7008" w:rsidR="00394C3E" w:rsidRPr="00FA2D6F" w:rsidRDefault="00394C3E" w:rsidP="00750D5B">
      <w:pPr>
        <w:rPr>
          <w:rFonts w:cs="Arial"/>
          <w:sz w:val="24"/>
          <w:szCs w:val="24"/>
        </w:rPr>
      </w:pPr>
      <w:r w:rsidRPr="00FA2D6F">
        <w:rPr>
          <w:rFonts w:cs="Arial"/>
          <w:sz w:val="24"/>
          <w:szCs w:val="24"/>
        </w:rPr>
        <w:t>This theme is well explained by the SDH framework which defines the broader social determinants of health and access. Socioeconomic and social factors play an important role, as indicated by Chaturvedi et al. (2024) and Chen et al. (2025). The Inverse Care Law reinforces this idea, demonstrating how health care systems may not adequately reimburse the higher the need. Inequalities can be reproduced when those in need have complex needs and the capacity to provide services is less developed. The two frameworks thus complement one another SDH describes the process of vulnerability creation, and the Inverse Care Law can be used to explain how institutional arrangements can accentuate it</w:t>
      </w:r>
      <w:r w:rsidR="00B02AE3">
        <w:rPr>
          <w:rFonts w:cs="Arial"/>
          <w:sz w:val="24"/>
          <w:szCs w:val="24"/>
        </w:rPr>
        <w:t xml:space="preserve"> (Ismail, 2023)</w:t>
      </w:r>
      <w:r w:rsidRPr="00FA2D6F">
        <w:rPr>
          <w:rFonts w:cs="Arial"/>
          <w:sz w:val="24"/>
          <w:szCs w:val="24"/>
        </w:rPr>
        <w:t>.</w:t>
      </w:r>
    </w:p>
    <w:p w14:paraId="0C61EE9E" w14:textId="5051F15B" w:rsidR="002D777D" w:rsidRPr="006E7B03" w:rsidRDefault="002D777D" w:rsidP="00750D5B">
      <w:pPr>
        <w:pStyle w:val="Heading3"/>
        <w:rPr>
          <w:rFonts w:ascii="Arial" w:hAnsi="Arial" w:cs="Arial"/>
          <w:lang w:val="en-US"/>
        </w:rPr>
      </w:pPr>
      <w:bookmarkStart w:id="63" w:name="_Toc241246319"/>
      <w:r w:rsidRPr="006E7B03">
        <w:rPr>
          <w:rFonts w:ascii="Arial" w:hAnsi="Arial" w:cs="Arial"/>
          <w:lang w:val="en-US"/>
        </w:rPr>
        <w:t>Connection to Research Objective</w:t>
      </w:r>
      <w:bookmarkEnd w:id="63"/>
    </w:p>
    <w:p w14:paraId="240BCDE3" w14:textId="53037536" w:rsidR="002D777D" w:rsidRPr="00FA2D6F" w:rsidRDefault="00394C3E" w:rsidP="00750D5B">
      <w:pPr>
        <w:rPr>
          <w:rFonts w:cs="Arial"/>
          <w:sz w:val="24"/>
          <w:szCs w:val="24"/>
          <w:lang w:val="en-US"/>
        </w:rPr>
      </w:pPr>
      <w:r w:rsidRPr="00FA2D6F">
        <w:rPr>
          <w:rFonts w:cs="Arial"/>
          <w:sz w:val="24"/>
          <w:szCs w:val="24"/>
        </w:rPr>
        <w:t xml:space="preserve">This theme directly relates to RO2 as it shows that the structural, socioeconomic and cultural factors affect access to healthcare. It also adds to RO1 as these social barriers relate to the organisation and delivery of healthcare services. </w:t>
      </w:r>
    </w:p>
    <w:p w14:paraId="73E63090" w14:textId="41B48E69" w:rsidR="002D777D" w:rsidRPr="00FA2D6F" w:rsidRDefault="002D777D" w:rsidP="00750D5B">
      <w:pPr>
        <w:pStyle w:val="Heading2"/>
        <w:rPr>
          <w:rFonts w:cs="Arial"/>
          <w:szCs w:val="24"/>
          <w:lang w:val="en-US"/>
        </w:rPr>
      </w:pPr>
      <w:bookmarkStart w:id="64" w:name="_Toc241246320"/>
      <w:r w:rsidRPr="00FA2D6F">
        <w:rPr>
          <w:rFonts w:cs="Arial"/>
          <w:szCs w:val="24"/>
          <w:lang w:val="en-US"/>
        </w:rPr>
        <w:lastRenderedPageBreak/>
        <w:t>Theme 3: Policy Effectiveness and Intervention Strategies</w:t>
      </w:r>
      <w:bookmarkEnd w:id="64"/>
    </w:p>
    <w:p w14:paraId="60E1FFDE" w14:textId="5DF9252E" w:rsidR="002D777D" w:rsidRPr="00FA2D6F" w:rsidRDefault="00394C3E" w:rsidP="00750D5B">
      <w:pPr>
        <w:rPr>
          <w:rFonts w:cs="Arial"/>
          <w:sz w:val="24"/>
          <w:szCs w:val="24"/>
          <w:lang w:val="en-US"/>
        </w:rPr>
      </w:pPr>
      <w:r w:rsidRPr="00FA2D6F">
        <w:rPr>
          <w:rFonts w:cs="Arial"/>
          <w:sz w:val="24"/>
          <w:szCs w:val="24"/>
        </w:rPr>
        <w:t>The third theme considers whether policies and interventions in the UK address the barriers identified in Themes 1 and 2. The literature shows that there is a growing recognition of health inequalities in policy, as well as of integrated care and digital inclusion. Nevertheless, there is an important difference between intention and implementation of policy</w:t>
      </w:r>
      <w:r w:rsidR="002D777D" w:rsidRPr="00FA2D6F">
        <w:rPr>
          <w:rFonts w:cs="Arial"/>
          <w:sz w:val="24"/>
          <w:szCs w:val="24"/>
          <w:lang w:val="en-US"/>
        </w:rPr>
        <w:t>.</w:t>
      </w:r>
    </w:p>
    <w:p w14:paraId="5921D5B8" w14:textId="147E0FE1" w:rsidR="002D777D" w:rsidRPr="006E7B03" w:rsidRDefault="002D777D" w:rsidP="00750D5B">
      <w:pPr>
        <w:pStyle w:val="Heading3"/>
        <w:rPr>
          <w:rFonts w:ascii="Arial" w:hAnsi="Arial" w:cs="Arial"/>
          <w:lang w:val="en-US"/>
        </w:rPr>
      </w:pPr>
      <w:bookmarkStart w:id="65" w:name="_Toc241246321"/>
      <w:r w:rsidRPr="006E7B03">
        <w:rPr>
          <w:rFonts w:ascii="Arial" w:hAnsi="Arial" w:cs="Arial"/>
          <w:lang w:val="en-US"/>
        </w:rPr>
        <w:t>NHS Long Term Plan</w:t>
      </w:r>
      <w:bookmarkEnd w:id="65"/>
    </w:p>
    <w:p w14:paraId="438341CA" w14:textId="11A77D3C" w:rsidR="002D777D" w:rsidRPr="00FA2D6F" w:rsidRDefault="00394C3E" w:rsidP="00750D5B">
      <w:pPr>
        <w:rPr>
          <w:rFonts w:cs="Arial"/>
          <w:sz w:val="24"/>
          <w:szCs w:val="24"/>
          <w:lang w:val="en-US"/>
        </w:rPr>
      </w:pPr>
      <w:r w:rsidRPr="00FA2D6F">
        <w:rPr>
          <w:rFonts w:cs="Arial"/>
          <w:sz w:val="24"/>
          <w:szCs w:val="24"/>
        </w:rPr>
        <w:t xml:space="preserve">The NHS Long Term Plan put greater focus on prevention, community care, integration and tackling health inequalities. </w:t>
      </w:r>
      <w:proofErr w:type="spellStart"/>
      <w:r w:rsidRPr="00FA2D6F">
        <w:rPr>
          <w:rFonts w:cs="Arial"/>
          <w:sz w:val="24"/>
          <w:szCs w:val="24"/>
        </w:rPr>
        <w:t>Alderwick</w:t>
      </w:r>
      <w:proofErr w:type="spellEnd"/>
      <w:r w:rsidRPr="00FA2D6F">
        <w:rPr>
          <w:rFonts w:cs="Arial"/>
          <w:sz w:val="24"/>
          <w:szCs w:val="24"/>
        </w:rPr>
        <w:t xml:space="preserve"> et al (2022) show however, that wider institutional and resource factors impact local partnership working. This leaves a space between </w:t>
      </w:r>
      <w:r w:rsidR="006B48D5" w:rsidRPr="00FA2D6F">
        <w:rPr>
          <w:rFonts w:cs="Arial"/>
          <w:sz w:val="24"/>
          <w:szCs w:val="24"/>
        </w:rPr>
        <w:t>implementations</w:t>
      </w:r>
      <w:r w:rsidRPr="00FA2D6F">
        <w:rPr>
          <w:rFonts w:cs="Arial"/>
          <w:sz w:val="24"/>
          <w:szCs w:val="24"/>
        </w:rPr>
        <w:t>. National policy can set an agenda for equality, but it also needs to be achieved in practice by local organisations, which need to have the capacity to provide the required workforce, infrastructure and coordination. This is especially one that is relevant to communities with complex health care needs and high levels of deprivation. The success of the NHS Long Term Plan should not therefore be assessed against its stated goals. The question is, however, whether local implementation can offer the resources and the capacity to achieve them</w:t>
      </w:r>
      <w:r w:rsidR="00B02AE3">
        <w:rPr>
          <w:rFonts w:cs="Arial"/>
          <w:sz w:val="24"/>
          <w:szCs w:val="24"/>
        </w:rPr>
        <w:t xml:space="preserve"> (Joshi et al., 2024)</w:t>
      </w:r>
      <w:r w:rsidR="002D777D" w:rsidRPr="00FA2D6F">
        <w:rPr>
          <w:rFonts w:cs="Arial"/>
          <w:sz w:val="24"/>
          <w:szCs w:val="24"/>
          <w:lang w:val="en-US"/>
        </w:rPr>
        <w:t>.</w:t>
      </w:r>
    </w:p>
    <w:p w14:paraId="1D7FCD62" w14:textId="2666109C" w:rsidR="002D777D" w:rsidRPr="006E7B03" w:rsidRDefault="002D777D" w:rsidP="00750D5B">
      <w:pPr>
        <w:pStyle w:val="Heading3"/>
        <w:rPr>
          <w:rFonts w:ascii="Arial" w:hAnsi="Arial" w:cs="Arial"/>
          <w:lang w:val="en-US"/>
        </w:rPr>
      </w:pPr>
      <w:bookmarkStart w:id="66" w:name="_Toc241246322"/>
      <w:r w:rsidRPr="006E7B03">
        <w:rPr>
          <w:rFonts w:ascii="Arial" w:hAnsi="Arial" w:cs="Arial"/>
          <w:lang w:val="en-US"/>
        </w:rPr>
        <w:t xml:space="preserve">Ageing Well </w:t>
      </w:r>
      <w:bookmarkEnd w:id="66"/>
      <w:r w:rsidR="006B48D5" w:rsidRPr="006E7B03">
        <w:rPr>
          <w:rFonts w:ascii="Arial" w:hAnsi="Arial" w:cs="Arial"/>
          <w:lang w:val="en-US"/>
        </w:rPr>
        <w:t>Programmed</w:t>
      </w:r>
    </w:p>
    <w:p w14:paraId="76F72F25" w14:textId="08D11552" w:rsidR="002D777D" w:rsidRPr="00FA2D6F" w:rsidRDefault="00394C3E" w:rsidP="00750D5B">
      <w:pPr>
        <w:rPr>
          <w:rFonts w:cs="Arial"/>
          <w:sz w:val="24"/>
          <w:szCs w:val="24"/>
          <w:lang w:val="en-US"/>
        </w:rPr>
      </w:pPr>
      <w:r w:rsidRPr="00FA2D6F">
        <w:rPr>
          <w:rFonts w:cs="Arial"/>
          <w:sz w:val="24"/>
          <w:szCs w:val="24"/>
        </w:rPr>
        <w:t xml:space="preserve">Ageing Well strategies focus on preventing age-related issues, maintaining independence and providing community support to older people. </w:t>
      </w:r>
      <w:r w:rsidR="00985E9B" w:rsidRPr="00FA2D6F">
        <w:rPr>
          <w:rFonts w:cs="Arial"/>
          <w:sz w:val="24"/>
          <w:szCs w:val="24"/>
        </w:rPr>
        <w:t>T</w:t>
      </w:r>
      <w:r w:rsidRPr="00FA2D6F">
        <w:rPr>
          <w:rFonts w:cs="Arial"/>
          <w:sz w:val="24"/>
          <w:szCs w:val="24"/>
        </w:rPr>
        <w:t xml:space="preserve">he need to discuss older people's needs nationally does not adequately capture the diversity of older people and older rural vs. urban populations. This applies to ethnic minority adults aged 72–80 as demographic indicators may be ignored if </w:t>
      </w:r>
      <w:r w:rsidR="0082073D" w:rsidRPr="00FA2D6F">
        <w:rPr>
          <w:rFonts w:cs="Arial"/>
          <w:sz w:val="24"/>
          <w:szCs w:val="24"/>
        </w:rPr>
        <w:t>adults</w:t>
      </w:r>
      <w:r w:rsidRPr="00FA2D6F">
        <w:rPr>
          <w:rFonts w:cs="Arial"/>
          <w:sz w:val="24"/>
          <w:szCs w:val="24"/>
        </w:rPr>
        <w:t xml:space="preserve"> are viewed as one group. There is therefore a need for adequate recognition of ethnicity, deprivation, geography and social circumstances in policies to support ageing. There is evidence that ageing policies should be responsive to diversity of populations and not based on a single ageing model of older adulthood.</w:t>
      </w:r>
    </w:p>
    <w:p w14:paraId="03D88FD0" w14:textId="030FDE09" w:rsidR="002D777D" w:rsidRPr="006E7B03" w:rsidRDefault="002D777D" w:rsidP="00750D5B">
      <w:pPr>
        <w:pStyle w:val="Heading3"/>
        <w:rPr>
          <w:rFonts w:ascii="Arial" w:hAnsi="Arial" w:cs="Arial"/>
          <w:lang w:val="en-US"/>
        </w:rPr>
      </w:pPr>
      <w:bookmarkStart w:id="67" w:name="_Toc241246323"/>
      <w:r w:rsidRPr="006E7B03">
        <w:rPr>
          <w:rFonts w:ascii="Arial" w:hAnsi="Arial" w:cs="Arial"/>
          <w:lang w:val="en-US"/>
        </w:rPr>
        <w:t>Digital Inclusion Interventions</w:t>
      </w:r>
      <w:bookmarkEnd w:id="67"/>
    </w:p>
    <w:p w14:paraId="04989E92" w14:textId="3620E809" w:rsidR="002D777D" w:rsidRPr="00FA2D6F" w:rsidRDefault="00B00152" w:rsidP="00750D5B">
      <w:pPr>
        <w:rPr>
          <w:rFonts w:cs="Arial"/>
          <w:sz w:val="24"/>
          <w:szCs w:val="24"/>
          <w:lang w:val="en-US"/>
        </w:rPr>
      </w:pPr>
      <w:r w:rsidRPr="00FA2D6F">
        <w:rPr>
          <w:rFonts w:cs="Arial"/>
          <w:sz w:val="24"/>
          <w:szCs w:val="24"/>
        </w:rPr>
        <w:t xml:space="preserve">Digital inclusion must be considered a part of healthcare equity. Xue (2022), Litchfield et al. (2021) show how digital healthcare can be exclusionary for those who don't have technology, skills, confidence or the right resources or support. </w:t>
      </w:r>
      <w:proofErr w:type="spellStart"/>
      <w:r w:rsidRPr="00FA2D6F">
        <w:rPr>
          <w:rFonts w:cs="Arial"/>
          <w:sz w:val="24"/>
          <w:szCs w:val="24"/>
        </w:rPr>
        <w:t>Torous</w:t>
      </w:r>
      <w:proofErr w:type="spellEnd"/>
      <w:r w:rsidRPr="00FA2D6F">
        <w:rPr>
          <w:rFonts w:cs="Arial"/>
          <w:sz w:val="24"/>
          <w:szCs w:val="24"/>
        </w:rPr>
        <w:t xml:space="preserve"> </w:t>
      </w:r>
      <w:r w:rsidRPr="00FA2D6F">
        <w:rPr>
          <w:rFonts w:cs="Arial"/>
          <w:sz w:val="24"/>
          <w:szCs w:val="24"/>
        </w:rPr>
        <w:lastRenderedPageBreak/>
        <w:t>also notes that the notion of ‘equal accessibility' of digital innovations is naive (2025). Digital interventions should therefore involve training, provision of suitable support and accessible design but not exclude non-digital interventions.</w:t>
      </w:r>
      <w:r w:rsidR="002753EA" w:rsidRPr="00FA2D6F">
        <w:rPr>
          <w:rFonts w:cs="Arial"/>
          <w:sz w:val="24"/>
          <w:szCs w:val="24"/>
        </w:rPr>
        <w:t xml:space="preserve"> Research with South Asian patients also indicates that remote and digital models need to reflect patient preferences and should not be assumed to provide equitable access simply because they increase the num</w:t>
      </w:r>
      <w:r w:rsidR="00985E9B" w:rsidRPr="00FA2D6F">
        <w:rPr>
          <w:rFonts w:cs="Arial"/>
          <w:sz w:val="24"/>
          <w:szCs w:val="24"/>
        </w:rPr>
        <w:t xml:space="preserve">ber of available digital routes. </w:t>
      </w:r>
      <w:r w:rsidRPr="00FA2D6F">
        <w:rPr>
          <w:rFonts w:cs="Arial"/>
          <w:sz w:val="24"/>
          <w:szCs w:val="24"/>
        </w:rPr>
        <w:t>The evidence thus points to a blended approach that has an online healthcare pathway but does not make it the sole pathway to healthcare. This is especially relevant to older ethnic minority adults who could have multiple digital, linguistic and socio-economic barriers</w:t>
      </w:r>
      <w:r w:rsidR="00B02AE3">
        <w:rPr>
          <w:rFonts w:cs="Arial"/>
          <w:sz w:val="24"/>
          <w:szCs w:val="24"/>
        </w:rPr>
        <w:t xml:space="preserve"> (Joshi et al., 2024)</w:t>
      </w:r>
      <w:r w:rsidR="002D777D" w:rsidRPr="00FA2D6F">
        <w:rPr>
          <w:rFonts w:cs="Arial"/>
          <w:sz w:val="24"/>
          <w:szCs w:val="24"/>
          <w:lang w:val="en-US"/>
        </w:rPr>
        <w:t>.</w:t>
      </w:r>
    </w:p>
    <w:p w14:paraId="6E07F38B" w14:textId="0A448D1E" w:rsidR="002D777D" w:rsidRPr="006E7B03" w:rsidRDefault="002D777D" w:rsidP="00750D5B">
      <w:pPr>
        <w:pStyle w:val="Heading3"/>
        <w:rPr>
          <w:rFonts w:ascii="Arial" w:hAnsi="Arial" w:cs="Arial"/>
          <w:lang w:val="en-US"/>
        </w:rPr>
      </w:pPr>
      <w:bookmarkStart w:id="68" w:name="_Toc241246324"/>
      <w:r w:rsidRPr="006E7B03">
        <w:rPr>
          <w:rFonts w:ascii="Arial" w:hAnsi="Arial" w:cs="Arial"/>
          <w:lang w:val="en-US"/>
        </w:rPr>
        <w:t>Integrated and Multidisciplinary Care</w:t>
      </w:r>
      <w:bookmarkEnd w:id="68"/>
    </w:p>
    <w:p w14:paraId="2085DE12" w14:textId="1F84BD0A" w:rsidR="00B00152" w:rsidRPr="00FA2D6F" w:rsidRDefault="00B00152" w:rsidP="00750D5B">
      <w:pPr>
        <w:rPr>
          <w:rFonts w:cs="Arial"/>
          <w:sz w:val="24"/>
          <w:szCs w:val="24"/>
        </w:rPr>
      </w:pPr>
      <w:r w:rsidRPr="00FA2D6F">
        <w:rPr>
          <w:rFonts w:cs="Arial"/>
          <w:sz w:val="24"/>
          <w:szCs w:val="24"/>
        </w:rPr>
        <w:t xml:space="preserve">The fragmentation highlighted in Theme 1 has potential to be addressed by integrated care. </w:t>
      </w:r>
      <w:r w:rsidR="00F107FF" w:rsidRPr="00FA2D6F">
        <w:rPr>
          <w:rFonts w:cs="Arial"/>
          <w:sz w:val="24"/>
          <w:szCs w:val="24"/>
        </w:rPr>
        <w:t>T</w:t>
      </w:r>
      <w:r w:rsidRPr="00FA2D6F">
        <w:rPr>
          <w:rFonts w:cs="Arial"/>
          <w:sz w:val="24"/>
          <w:szCs w:val="24"/>
        </w:rPr>
        <w:t>he need for integrated approaches for older people, and the need for communication and professional networks. But just having multiple professionals working together is not enough to ensure the effectiveness of integrated care. Information sharing, clear responsibility and continuity and adequate resources are fundamental to effective integration. Integrated care thus must be seen as an organizational process, one that needs to be sustained over time if it is not just a structural arrangement</w:t>
      </w:r>
      <w:r w:rsidR="00B02AE3">
        <w:rPr>
          <w:rFonts w:cs="Arial"/>
          <w:sz w:val="24"/>
          <w:szCs w:val="24"/>
        </w:rPr>
        <w:t xml:space="preserve"> (Victor et al., 2020)</w:t>
      </w:r>
      <w:r w:rsidRPr="00FA2D6F">
        <w:rPr>
          <w:rFonts w:cs="Arial"/>
          <w:sz w:val="24"/>
          <w:szCs w:val="24"/>
        </w:rPr>
        <w:t>.</w:t>
      </w:r>
    </w:p>
    <w:p w14:paraId="22FB1D0A" w14:textId="78024802" w:rsidR="002D777D" w:rsidRPr="0084367D" w:rsidRDefault="002D777D" w:rsidP="00750D5B">
      <w:pPr>
        <w:pStyle w:val="Heading3"/>
        <w:rPr>
          <w:rFonts w:ascii="Arial" w:hAnsi="Arial" w:cs="Arial"/>
          <w:lang w:val="en-US"/>
        </w:rPr>
      </w:pPr>
      <w:bookmarkStart w:id="69" w:name="_Toc241246325"/>
      <w:r w:rsidRPr="0084367D">
        <w:rPr>
          <w:rFonts w:ascii="Arial" w:hAnsi="Arial" w:cs="Arial"/>
          <w:lang w:val="en-US"/>
        </w:rPr>
        <w:t>Socioeconomic Screening and Targeted Support</w:t>
      </w:r>
      <w:bookmarkEnd w:id="69"/>
    </w:p>
    <w:p w14:paraId="409AE74B" w14:textId="480B37B8" w:rsidR="002D777D" w:rsidRPr="00FA2D6F" w:rsidRDefault="00947B44" w:rsidP="00750D5B">
      <w:pPr>
        <w:rPr>
          <w:rFonts w:cs="Arial"/>
          <w:sz w:val="24"/>
          <w:szCs w:val="24"/>
          <w:lang w:val="en-US"/>
        </w:rPr>
      </w:pPr>
      <w:r w:rsidRPr="00FA2D6F">
        <w:rPr>
          <w:rFonts w:cs="Arial"/>
          <w:sz w:val="24"/>
          <w:szCs w:val="24"/>
        </w:rPr>
        <w:t xml:space="preserve">The results also indicate a need for more awareness of the social needs in healthcare. It can be important to identify socioeconomic disadvantage to link patients to community and social services. This fits within the SDH framework as the social context affects health and access to health services. But targeted support needs to be well planned. Ethnic minority groups are varied, and not all its members will have the same barriers. It is important that screening should recognise individual needs, not ethnicity as an indicator of disadvantage. Potential interventions include support with transport, digital access, language, community navigation and social services. It is important to </w:t>
      </w:r>
      <w:r w:rsidR="0012668C" w:rsidRPr="00FA2D6F">
        <w:rPr>
          <w:rFonts w:cs="Arial"/>
          <w:sz w:val="24"/>
          <w:szCs w:val="24"/>
        </w:rPr>
        <w:t>consider</w:t>
      </w:r>
      <w:r w:rsidRPr="00FA2D6F">
        <w:rPr>
          <w:rFonts w:cs="Arial"/>
          <w:sz w:val="24"/>
          <w:szCs w:val="24"/>
        </w:rPr>
        <w:t xml:space="preserve"> staff capacity, suitable referral and availability of local services to make these approaches feasible. </w:t>
      </w:r>
    </w:p>
    <w:p w14:paraId="11A7F666" w14:textId="64ABA57F" w:rsidR="002D777D" w:rsidRPr="00FA2D6F" w:rsidRDefault="002D777D" w:rsidP="00750D5B">
      <w:pPr>
        <w:pStyle w:val="Heading3"/>
        <w:rPr>
          <w:rFonts w:ascii="Arial" w:hAnsi="Arial" w:cs="Arial"/>
          <w:lang w:val="en-US"/>
        </w:rPr>
      </w:pPr>
      <w:bookmarkStart w:id="70" w:name="_Toc241246326"/>
      <w:r w:rsidRPr="00FA2D6F">
        <w:rPr>
          <w:rFonts w:ascii="Arial" w:hAnsi="Arial" w:cs="Arial"/>
          <w:lang w:val="en-US"/>
        </w:rPr>
        <w:lastRenderedPageBreak/>
        <w:t>Policy Implementation Gap</w:t>
      </w:r>
      <w:bookmarkEnd w:id="70"/>
    </w:p>
    <w:p w14:paraId="29282462" w14:textId="77777777" w:rsidR="00947B44" w:rsidRPr="00FA2D6F" w:rsidRDefault="00947B44" w:rsidP="00750D5B">
      <w:pPr>
        <w:rPr>
          <w:rFonts w:cs="Arial"/>
          <w:sz w:val="24"/>
          <w:szCs w:val="24"/>
        </w:rPr>
      </w:pPr>
      <w:r w:rsidRPr="00FA2D6F">
        <w:rPr>
          <w:rFonts w:cs="Arial"/>
          <w:sz w:val="24"/>
          <w:szCs w:val="24"/>
        </w:rPr>
        <w:t xml:space="preserve">The central theme of Theme 3 is that policy design does not always lead to equal access. The relationship can be represented as: </w:t>
      </w:r>
    </w:p>
    <w:p w14:paraId="05C9E735" w14:textId="152E3807" w:rsidR="002D777D" w:rsidRPr="00FA2D6F" w:rsidRDefault="002D777D" w:rsidP="00750D5B">
      <w:pPr>
        <w:rPr>
          <w:rFonts w:cs="Arial"/>
          <w:sz w:val="24"/>
          <w:szCs w:val="24"/>
          <w:lang w:val="en-US"/>
        </w:rPr>
      </w:pPr>
      <w:r w:rsidRPr="00FA2D6F">
        <w:rPr>
          <w:rFonts w:cs="Arial"/>
          <w:b/>
          <w:bCs/>
          <w:sz w:val="24"/>
          <w:szCs w:val="24"/>
          <w:lang w:val="en-US"/>
        </w:rPr>
        <w:t>Policy intention → resources and workforce → local implementation → service delivery → patient access.</w:t>
      </w:r>
    </w:p>
    <w:p w14:paraId="77147EF7" w14:textId="58DD468A" w:rsidR="002D777D" w:rsidRPr="00FA2D6F" w:rsidRDefault="00947B44" w:rsidP="00750D5B">
      <w:pPr>
        <w:rPr>
          <w:rFonts w:cs="Arial"/>
          <w:sz w:val="24"/>
          <w:szCs w:val="24"/>
          <w:lang w:val="en-US"/>
        </w:rPr>
      </w:pPr>
      <w:r w:rsidRPr="00FA2D6F">
        <w:rPr>
          <w:rFonts w:cs="Arial"/>
          <w:sz w:val="24"/>
          <w:szCs w:val="24"/>
        </w:rPr>
        <w:t xml:space="preserve">At any point the weakness may impact the effectiveness of the policy. The complexity of implementing local partnerships, is illustrated by </w:t>
      </w:r>
      <w:proofErr w:type="spellStart"/>
      <w:r w:rsidRPr="00FA2D6F">
        <w:rPr>
          <w:rFonts w:cs="Arial"/>
          <w:sz w:val="24"/>
          <w:szCs w:val="24"/>
        </w:rPr>
        <w:t>Alderwick</w:t>
      </w:r>
      <w:proofErr w:type="spellEnd"/>
      <w:r w:rsidRPr="00FA2D6F">
        <w:rPr>
          <w:rFonts w:cs="Arial"/>
          <w:sz w:val="24"/>
          <w:szCs w:val="24"/>
        </w:rPr>
        <w:t xml:space="preserve"> et al. (2022), and the nee</w:t>
      </w:r>
      <w:r w:rsidR="00471194" w:rsidRPr="00FA2D6F">
        <w:rPr>
          <w:rFonts w:cs="Arial"/>
          <w:sz w:val="24"/>
          <w:szCs w:val="24"/>
        </w:rPr>
        <w:t xml:space="preserve">d for professional coordination. </w:t>
      </w:r>
      <w:r w:rsidRPr="00FA2D6F">
        <w:rPr>
          <w:rFonts w:cs="Arial"/>
          <w:sz w:val="24"/>
          <w:szCs w:val="24"/>
        </w:rPr>
        <w:t xml:space="preserve">In addition, </w:t>
      </w:r>
      <w:r w:rsidR="00985E9B" w:rsidRPr="00FA2D6F">
        <w:rPr>
          <w:rFonts w:cs="Arial"/>
          <w:sz w:val="24"/>
          <w:szCs w:val="24"/>
        </w:rPr>
        <w:t>it</w:t>
      </w:r>
      <w:r w:rsidRPr="00FA2D6F">
        <w:rPr>
          <w:rFonts w:cs="Arial"/>
          <w:sz w:val="24"/>
          <w:szCs w:val="24"/>
        </w:rPr>
        <w:t xml:space="preserve"> highlights the need for the right and person-centred practices in service delivery. Policies do not have to be irrelevant because of implementation gaps. Instead, it shows that the effectiveness of the policy relies on the conditions under which policy is provided. This is especially significant for the current population, as they might need more intensive help than is offered by standardised services </w:t>
      </w:r>
      <w:r w:rsidR="0012668C" w:rsidRPr="00FA2D6F">
        <w:rPr>
          <w:rFonts w:cs="Arial"/>
          <w:sz w:val="24"/>
          <w:szCs w:val="24"/>
        </w:rPr>
        <w:t>because</w:t>
      </w:r>
      <w:r w:rsidRPr="00FA2D6F">
        <w:rPr>
          <w:rFonts w:cs="Arial"/>
          <w:sz w:val="24"/>
          <w:szCs w:val="24"/>
        </w:rPr>
        <w:t xml:space="preserve"> they have multiple barriers to address</w:t>
      </w:r>
      <w:r w:rsidR="00971BF9">
        <w:rPr>
          <w:rFonts w:cs="Arial"/>
          <w:sz w:val="24"/>
          <w:szCs w:val="24"/>
        </w:rPr>
        <w:t xml:space="preserve"> (</w:t>
      </w:r>
      <w:proofErr w:type="spellStart"/>
      <w:r w:rsidR="00971BF9" w:rsidRPr="00971BF9">
        <w:rPr>
          <w:rFonts w:cs="Arial"/>
          <w:color w:val="000000" w:themeColor="text1"/>
          <w:sz w:val="24"/>
          <w:szCs w:val="24"/>
          <w:shd w:val="clear" w:color="auto" w:fill="FFFFFF"/>
        </w:rPr>
        <w:t>Felmingham</w:t>
      </w:r>
      <w:proofErr w:type="spellEnd"/>
      <w:r w:rsidR="00971BF9">
        <w:rPr>
          <w:rFonts w:cs="Arial"/>
          <w:color w:val="000000" w:themeColor="text1"/>
          <w:sz w:val="24"/>
          <w:szCs w:val="24"/>
          <w:shd w:val="clear" w:color="auto" w:fill="FFFFFF"/>
        </w:rPr>
        <w:t xml:space="preserve"> et al., 2023)</w:t>
      </w:r>
      <w:r w:rsidRPr="00FA2D6F">
        <w:rPr>
          <w:rFonts w:cs="Arial"/>
          <w:sz w:val="24"/>
          <w:szCs w:val="24"/>
        </w:rPr>
        <w:t xml:space="preserve">. </w:t>
      </w:r>
    </w:p>
    <w:p w14:paraId="6857AFDB" w14:textId="007AC0EC" w:rsidR="002D777D" w:rsidRPr="00FA2D6F" w:rsidRDefault="002D777D" w:rsidP="00750D5B">
      <w:pPr>
        <w:pStyle w:val="Heading3"/>
        <w:rPr>
          <w:rFonts w:ascii="Arial" w:hAnsi="Arial" w:cs="Arial"/>
          <w:lang w:val="en-US"/>
        </w:rPr>
      </w:pPr>
      <w:bookmarkStart w:id="71" w:name="_Toc241246327"/>
      <w:r w:rsidRPr="00FA2D6F">
        <w:rPr>
          <w:rFonts w:ascii="Arial" w:hAnsi="Arial" w:cs="Arial"/>
          <w:lang w:val="en-US"/>
        </w:rPr>
        <w:t>Connection to Research Objectives</w:t>
      </w:r>
      <w:bookmarkEnd w:id="71"/>
    </w:p>
    <w:p w14:paraId="07025495" w14:textId="15FE87CF" w:rsidR="002D777D" w:rsidRPr="00FA2D6F" w:rsidRDefault="00947B44" w:rsidP="00750D5B">
      <w:pPr>
        <w:rPr>
          <w:rFonts w:cs="Arial"/>
          <w:sz w:val="24"/>
          <w:szCs w:val="24"/>
        </w:rPr>
      </w:pPr>
      <w:r w:rsidRPr="00FA2D6F">
        <w:rPr>
          <w:rFonts w:cs="Arial"/>
          <w:sz w:val="24"/>
          <w:szCs w:val="24"/>
        </w:rPr>
        <w:t xml:space="preserve">Theme 3 directly addresses RO3 and RO4. It shows that the importance of inequality is recognised in UK policies for health services but that there are </w:t>
      </w:r>
      <w:r w:rsidR="0012668C" w:rsidRPr="00FA2D6F">
        <w:rPr>
          <w:rFonts w:cs="Arial"/>
          <w:sz w:val="24"/>
          <w:szCs w:val="24"/>
        </w:rPr>
        <w:t>several</w:t>
      </w:r>
      <w:r w:rsidRPr="00FA2D6F">
        <w:rPr>
          <w:rFonts w:cs="Arial"/>
          <w:sz w:val="24"/>
          <w:szCs w:val="24"/>
        </w:rPr>
        <w:t xml:space="preserve"> factors which may limit their impact, such as staffing, resources, local variation, service fragmentation, and digital exclusion. The results thus validate recommendations focusing on integrated care, digital inclusion, </w:t>
      </w:r>
      <w:r w:rsidR="0012668C" w:rsidRPr="00FA2D6F">
        <w:rPr>
          <w:rFonts w:cs="Arial"/>
          <w:sz w:val="24"/>
          <w:szCs w:val="24"/>
        </w:rPr>
        <w:t>culturally competent</w:t>
      </w:r>
      <w:r w:rsidRPr="00FA2D6F">
        <w:rPr>
          <w:rFonts w:cs="Arial"/>
          <w:sz w:val="24"/>
          <w:szCs w:val="24"/>
        </w:rPr>
        <w:t xml:space="preserve"> communication and targeted socio-economic support.</w:t>
      </w:r>
    </w:p>
    <w:p w14:paraId="7FBEDE80" w14:textId="77777777" w:rsidR="00EC4593" w:rsidRPr="00FA2D6F" w:rsidRDefault="00EC4593" w:rsidP="00750D5B">
      <w:pPr>
        <w:pStyle w:val="Heading2"/>
        <w:rPr>
          <w:rFonts w:cs="Arial"/>
          <w:szCs w:val="24"/>
          <w:lang w:val="en-US"/>
        </w:rPr>
      </w:pPr>
      <w:bookmarkStart w:id="72" w:name="_Toc241246328"/>
      <w:r w:rsidRPr="00FA2D6F">
        <w:rPr>
          <w:rFonts w:cs="Arial"/>
          <w:szCs w:val="24"/>
          <w:lang w:val="en-US"/>
        </w:rPr>
        <w:t>Cross-Theme Synthesis</w:t>
      </w:r>
      <w:bookmarkEnd w:id="72"/>
    </w:p>
    <w:p w14:paraId="586AD1DB" w14:textId="13CE3F46" w:rsidR="00EC4593" w:rsidRPr="00FA2D6F" w:rsidRDefault="00461639" w:rsidP="00750D5B">
      <w:pPr>
        <w:rPr>
          <w:rFonts w:cs="Arial"/>
          <w:sz w:val="24"/>
          <w:szCs w:val="24"/>
          <w:lang w:val="en-US"/>
        </w:rPr>
      </w:pPr>
      <w:r w:rsidRPr="00FA2D6F">
        <w:rPr>
          <w:rFonts w:cs="Arial"/>
          <w:sz w:val="24"/>
          <w:szCs w:val="24"/>
        </w:rPr>
        <w:t xml:space="preserve">The three themes reveal that the inequalities in health for ethnic minority adults aged 72-80 are caused by multiple and interacting barriers, not by any one factor. </w:t>
      </w:r>
      <w:r w:rsidR="00901FB9" w:rsidRPr="00FA2D6F">
        <w:rPr>
          <w:rFonts w:cs="Arial"/>
          <w:sz w:val="24"/>
          <w:szCs w:val="24"/>
        </w:rPr>
        <w:t>Theme</w:t>
      </w:r>
      <w:r w:rsidRPr="00FA2D6F">
        <w:rPr>
          <w:rFonts w:cs="Arial"/>
          <w:sz w:val="24"/>
          <w:szCs w:val="24"/>
        </w:rPr>
        <w:t xml:space="preserve"> 1 highlights structural challenges in health services, Theme 2 illustrates the impact of socioeconomic and cultural contexts on access to services, and Theme 3 describes the importance of effective implementation for policy responses. Ethnic inequality in preventable hospitalisation in England further suggests that inequity in access to services may have impacts</w:t>
      </w:r>
      <w:r w:rsidR="00985E9B" w:rsidRPr="00FA2D6F">
        <w:rPr>
          <w:rFonts w:cs="Arial"/>
          <w:sz w:val="24"/>
          <w:szCs w:val="24"/>
        </w:rPr>
        <w:t xml:space="preserve"> beyond just appointment access.</w:t>
      </w:r>
    </w:p>
    <w:p w14:paraId="1501940E" w14:textId="77777777" w:rsidR="00EC4593" w:rsidRPr="00FA2D6F" w:rsidRDefault="00EC4593" w:rsidP="00750D5B">
      <w:pPr>
        <w:rPr>
          <w:rFonts w:cs="Arial"/>
          <w:sz w:val="24"/>
          <w:szCs w:val="24"/>
          <w:lang w:val="en-US"/>
        </w:rPr>
      </w:pPr>
      <w:r w:rsidRPr="00FA2D6F">
        <w:rPr>
          <w:rFonts w:cs="Arial"/>
          <w:sz w:val="24"/>
          <w:szCs w:val="24"/>
          <w:lang w:val="en-US"/>
        </w:rPr>
        <w:t>The relationship between the themes can therefore be understood as:</w:t>
      </w:r>
    </w:p>
    <w:p w14:paraId="78999A39" w14:textId="77777777" w:rsidR="00EC4593" w:rsidRPr="00FA2D6F" w:rsidRDefault="00EC4593" w:rsidP="00750D5B">
      <w:pPr>
        <w:rPr>
          <w:rFonts w:cs="Arial"/>
          <w:sz w:val="24"/>
          <w:szCs w:val="24"/>
          <w:lang w:val="en-US"/>
        </w:rPr>
      </w:pPr>
      <w:r w:rsidRPr="00FA2D6F">
        <w:rPr>
          <w:rFonts w:cs="Arial"/>
          <w:b/>
          <w:bCs/>
          <w:sz w:val="24"/>
          <w:szCs w:val="24"/>
          <w:lang w:val="en-US"/>
        </w:rPr>
        <w:lastRenderedPageBreak/>
        <w:t>Social and socioeconomic disadvantage → greater healthcare need → structural and cultural barriers → digital and practical exclusion → continuing inequalities.</w:t>
      </w:r>
    </w:p>
    <w:p w14:paraId="3E026C25" w14:textId="281C0C10" w:rsidR="00EC4593" w:rsidRPr="00FA2D6F" w:rsidRDefault="00AE3CFC" w:rsidP="00750D5B">
      <w:pPr>
        <w:rPr>
          <w:rFonts w:cs="Arial"/>
          <w:sz w:val="24"/>
          <w:szCs w:val="24"/>
          <w:lang w:val="en-US"/>
        </w:rPr>
      </w:pPr>
      <w:r w:rsidRPr="00FA2D6F">
        <w:rPr>
          <w:rFonts w:cs="Arial"/>
          <w:sz w:val="24"/>
          <w:szCs w:val="24"/>
        </w:rPr>
        <w:t>These barriers can be cumulative. Socio-economic and cultural factors are contributors to vulnerability from the SDH perspective, and the Inverse Care Law can be used to understand why potentially higher levels of need might not be commensurate with the provision of healthcare. Low income can limit access to transportation and digital technology, for instance, and LEP can make digital appointments, information and referrals more challenging. If services are disjointed or lack the language needed, then these already disadvantageous conditions can be exacerbated</w:t>
      </w:r>
      <w:r w:rsidR="00B02AE3">
        <w:rPr>
          <w:rFonts w:cs="Arial"/>
          <w:sz w:val="24"/>
          <w:szCs w:val="24"/>
        </w:rPr>
        <w:t xml:space="preserve"> (Victor et al., 2020)</w:t>
      </w:r>
      <w:r w:rsidRPr="00FA2D6F">
        <w:rPr>
          <w:rFonts w:cs="Arial"/>
          <w:sz w:val="24"/>
          <w:szCs w:val="24"/>
        </w:rPr>
        <w:t>. Thus, structural, social, cultural and digital barriers are considered as ‘socio-structural’ barriers. Responses need to go beyond addressing individual barriers and need to be coordinated across healthcare delivery, social conditions, communication and digital accessibility</w:t>
      </w:r>
      <w:r w:rsidR="00EC4593" w:rsidRPr="00FA2D6F">
        <w:rPr>
          <w:rFonts w:cs="Arial"/>
          <w:sz w:val="24"/>
          <w:szCs w:val="24"/>
          <w:lang w:val="en-US"/>
        </w:rPr>
        <w:t>.</w:t>
      </w:r>
    </w:p>
    <w:p w14:paraId="2AA569BA" w14:textId="0D6A86F6" w:rsidR="00625967" w:rsidRPr="00FA2D6F" w:rsidRDefault="00625967" w:rsidP="00750D5B">
      <w:pPr>
        <w:rPr>
          <w:rFonts w:cs="Arial"/>
          <w:sz w:val="24"/>
          <w:szCs w:val="24"/>
        </w:rPr>
      </w:pPr>
      <w:r w:rsidRPr="00FA2D6F">
        <w:rPr>
          <w:rFonts w:cs="Arial"/>
          <w:sz w:val="24"/>
          <w:szCs w:val="24"/>
        </w:rPr>
        <w:t xml:space="preserve">In all three themes, the results reveal that these barriers are interrelated and not separate. Socio-economic and cultural disadvantage may be worsened by structural </w:t>
      </w:r>
      <w:r w:rsidR="0012668C" w:rsidRPr="00FA2D6F">
        <w:rPr>
          <w:rFonts w:cs="Arial"/>
          <w:sz w:val="24"/>
          <w:szCs w:val="24"/>
        </w:rPr>
        <w:t>weaknesses,</w:t>
      </w:r>
      <w:r w:rsidRPr="00FA2D6F">
        <w:rPr>
          <w:rFonts w:cs="Arial"/>
          <w:sz w:val="24"/>
          <w:szCs w:val="24"/>
        </w:rPr>
        <w:t xml:space="preserve"> and digital exclusion may limit access to services. This interaction illustrates how disparities in health care access can emerge at the individual, community and health care system levels through cumulative disadvantage</w:t>
      </w:r>
      <w:r w:rsidR="007741A3" w:rsidRPr="00FA2D6F">
        <w:rPr>
          <w:rFonts w:cs="Arial"/>
          <w:sz w:val="24"/>
          <w:szCs w:val="24"/>
        </w:rPr>
        <w:t xml:space="preserve"> (</w:t>
      </w:r>
      <w:r w:rsidR="0059481D">
        <w:rPr>
          <w:rFonts w:eastAsia="Times New Roman" w:cs="Arial"/>
          <w:color w:val="1F1F1F"/>
          <w:sz w:val="24"/>
          <w:szCs w:val="24"/>
          <w:lang w:val="en-US" w:eastAsia="en-US"/>
        </w:rPr>
        <w:t>Joshi et al., 2024</w:t>
      </w:r>
      <w:r w:rsidR="007741A3" w:rsidRPr="00FA2D6F">
        <w:rPr>
          <w:rFonts w:eastAsia="Times New Roman" w:cs="Arial"/>
          <w:color w:val="1F1F1F"/>
          <w:sz w:val="24"/>
          <w:szCs w:val="24"/>
          <w:lang w:val="en-US" w:eastAsia="en-US"/>
        </w:rPr>
        <w:t>)</w:t>
      </w:r>
      <w:r w:rsidRPr="00FA2D6F">
        <w:rPr>
          <w:rFonts w:cs="Arial"/>
          <w:sz w:val="24"/>
          <w:szCs w:val="24"/>
        </w:rPr>
        <w:t>.</w:t>
      </w:r>
    </w:p>
    <w:p w14:paraId="49981CAB" w14:textId="43577857" w:rsidR="00750D5B" w:rsidRPr="00B02AE3" w:rsidRDefault="00750D5B" w:rsidP="00B02AE3">
      <w:pPr>
        <w:spacing w:after="0"/>
        <w:rPr>
          <w:rFonts w:eastAsia="Times New Roman" w:cs="Arial"/>
          <w:kern w:val="0"/>
          <w:sz w:val="24"/>
          <w:szCs w:val="24"/>
          <w:lang w:val="en-US" w:eastAsia="en-US"/>
          <w14:ligatures w14:val="none"/>
        </w:rPr>
      </w:pPr>
      <w:r w:rsidRPr="0012668C">
        <w:rPr>
          <w:rFonts w:eastAsia="Times New Roman" w:cs="Arial"/>
          <w:kern w:val="0"/>
          <w:sz w:val="24"/>
          <w:szCs w:val="24"/>
          <w:lang w:val="en-US" w:eastAsia="en-US"/>
          <w14:ligatures w14:val="none"/>
        </w:rPr>
        <w:t xml:space="preserve">An example of this implementation challenge is the NHS Long Term Plan's policy to enable social prescribing to link older patients to community groups given that in an area with significant deprivation a local NHS trust might find that the arts and day </w:t>
      </w:r>
      <w:r w:rsidR="0012668C" w:rsidRPr="0012668C">
        <w:rPr>
          <w:rFonts w:eastAsia="Times New Roman" w:cs="Arial"/>
          <w:kern w:val="0"/>
          <w:sz w:val="24"/>
          <w:szCs w:val="24"/>
          <w:lang w:val="en-US" w:eastAsia="en-US"/>
          <w14:ligatures w14:val="none"/>
        </w:rPr>
        <w:t>centers</w:t>
      </w:r>
      <w:r w:rsidRPr="0012668C">
        <w:rPr>
          <w:rFonts w:eastAsia="Times New Roman" w:cs="Arial"/>
          <w:kern w:val="0"/>
          <w:sz w:val="24"/>
          <w:szCs w:val="24"/>
          <w:lang w:val="en-US" w:eastAsia="en-US"/>
          <w14:ligatures w14:val="none"/>
        </w:rPr>
        <w:t xml:space="preserve"> it is tasked with connecting older patients to are closed, due to local authority's deep cuts.</w:t>
      </w:r>
    </w:p>
    <w:p w14:paraId="28A95366" w14:textId="0A82FFE6" w:rsidR="002D777D" w:rsidRPr="00FA2D6F" w:rsidRDefault="002D777D" w:rsidP="00750D5B">
      <w:pPr>
        <w:pStyle w:val="Heading2"/>
        <w:rPr>
          <w:rFonts w:cs="Arial"/>
          <w:szCs w:val="24"/>
          <w:lang w:val="en-US"/>
        </w:rPr>
      </w:pPr>
      <w:bookmarkStart w:id="73" w:name="_Toc241246329"/>
      <w:r w:rsidRPr="00FA2D6F">
        <w:rPr>
          <w:rFonts w:cs="Arial"/>
          <w:szCs w:val="24"/>
          <w:lang w:val="en-US"/>
        </w:rPr>
        <w:t>Findings Against Research Objectives</w:t>
      </w:r>
      <w:bookmarkEnd w:id="73"/>
    </w:p>
    <w:p w14:paraId="5726ACF8" w14:textId="49DB9670" w:rsidR="002B0D97" w:rsidRPr="00FA2D6F" w:rsidRDefault="002B0D97" w:rsidP="00750D5B">
      <w:pPr>
        <w:pStyle w:val="Caption"/>
        <w:keepNext/>
        <w:spacing w:line="360" w:lineRule="auto"/>
        <w:rPr>
          <w:rFonts w:cs="Arial"/>
          <w:b/>
          <w:color w:val="000000" w:themeColor="text1"/>
          <w:sz w:val="24"/>
          <w:szCs w:val="24"/>
        </w:rPr>
      </w:pPr>
      <w:r w:rsidRPr="00FA2D6F">
        <w:rPr>
          <w:rFonts w:cs="Arial"/>
          <w:b/>
          <w:color w:val="000000" w:themeColor="text1"/>
          <w:sz w:val="24"/>
          <w:szCs w:val="24"/>
        </w:rPr>
        <w:t xml:space="preserve">Table </w:t>
      </w:r>
      <w:r w:rsidRPr="00FA2D6F">
        <w:rPr>
          <w:rFonts w:cs="Arial"/>
          <w:b/>
          <w:color w:val="000000" w:themeColor="text1"/>
          <w:sz w:val="24"/>
          <w:szCs w:val="24"/>
        </w:rPr>
        <w:fldChar w:fldCharType="begin"/>
      </w:r>
      <w:r w:rsidRPr="00FA2D6F">
        <w:rPr>
          <w:rFonts w:cs="Arial"/>
          <w:b/>
          <w:color w:val="000000" w:themeColor="text1"/>
          <w:sz w:val="24"/>
          <w:szCs w:val="24"/>
        </w:rPr>
        <w:instrText xml:space="preserve"> SEQ Table \* ARABIC </w:instrText>
      </w:r>
      <w:r w:rsidRPr="00FA2D6F">
        <w:rPr>
          <w:rFonts w:cs="Arial"/>
          <w:b/>
          <w:color w:val="000000" w:themeColor="text1"/>
          <w:sz w:val="24"/>
          <w:szCs w:val="24"/>
        </w:rPr>
        <w:fldChar w:fldCharType="separate"/>
      </w:r>
      <w:r w:rsidRPr="00FA2D6F">
        <w:rPr>
          <w:rFonts w:cs="Arial"/>
          <w:b/>
          <w:noProof/>
          <w:color w:val="000000" w:themeColor="text1"/>
          <w:sz w:val="24"/>
          <w:szCs w:val="24"/>
        </w:rPr>
        <w:t>5</w:t>
      </w:r>
      <w:r w:rsidRPr="00FA2D6F">
        <w:rPr>
          <w:rFonts w:cs="Arial"/>
          <w:b/>
          <w:noProof/>
          <w:color w:val="000000" w:themeColor="text1"/>
          <w:sz w:val="24"/>
          <w:szCs w:val="24"/>
        </w:rPr>
        <w:fldChar w:fldCharType="end"/>
      </w:r>
      <w:r w:rsidRPr="00FA2D6F">
        <w:rPr>
          <w:rFonts w:cs="Arial"/>
          <w:b/>
          <w:color w:val="000000" w:themeColor="text1"/>
          <w:sz w:val="24"/>
          <w:szCs w:val="24"/>
        </w:rPr>
        <w:t xml:space="preserve"> Findings Against Research Objectives</w:t>
      </w:r>
    </w:p>
    <w:tbl>
      <w:tblPr>
        <w:tblStyle w:val="TableGrid"/>
        <w:tblW w:w="0" w:type="auto"/>
        <w:tblLook w:val="04A0" w:firstRow="1" w:lastRow="0" w:firstColumn="1" w:lastColumn="0" w:noHBand="0" w:noVBand="1"/>
      </w:tblPr>
      <w:tblGrid>
        <w:gridCol w:w="4481"/>
        <w:gridCol w:w="4761"/>
      </w:tblGrid>
      <w:tr w:rsidR="002D777D" w:rsidRPr="00FA2D6F" w14:paraId="3495E3DD" w14:textId="77777777" w:rsidTr="002D777D">
        <w:tc>
          <w:tcPr>
            <w:tcW w:w="0" w:type="auto"/>
            <w:hideMark/>
          </w:tcPr>
          <w:p w14:paraId="02F1439B"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Research Objective</w:t>
            </w:r>
          </w:p>
        </w:tc>
        <w:tc>
          <w:tcPr>
            <w:tcW w:w="0" w:type="auto"/>
            <w:hideMark/>
          </w:tcPr>
          <w:p w14:paraId="7CBB32B9" w14:textId="77777777" w:rsidR="002D777D" w:rsidRPr="00FA2D6F" w:rsidRDefault="002D777D" w:rsidP="00750D5B">
            <w:pPr>
              <w:spacing w:after="160"/>
              <w:rPr>
                <w:rFonts w:cs="Arial"/>
                <w:b/>
                <w:bCs/>
                <w:sz w:val="24"/>
                <w:szCs w:val="24"/>
                <w:lang w:val="en-US"/>
              </w:rPr>
            </w:pPr>
            <w:r w:rsidRPr="00FA2D6F">
              <w:rPr>
                <w:rFonts w:cs="Arial"/>
                <w:b/>
                <w:bCs/>
                <w:sz w:val="24"/>
                <w:szCs w:val="24"/>
                <w:lang w:val="en-US"/>
              </w:rPr>
              <w:t>Evidence from Findings</w:t>
            </w:r>
          </w:p>
        </w:tc>
      </w:tr>
      <w:tr w:rsidR="002D777D" w:rsidRPr="00FA2D6F" w14:paraId="248A9274" w14:textId="77777777" w:rsidTr="002D777D">
        <w:tc>
          <w:tcPr>
            <w:tcW w:w="0" w:type="auto"/>
            <w:hideMark/>
          </w:tcPr>
          <w:p w14:paraId="75535B0A"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RO1:</w:t>
            </w:r>
            <w:r w:rsidRPr="00FA2D6F">
              <w:rPr>
                <w:rFonts w:cs="Arial"/>
                <w:sz w:val="24"/>
                <w:szCs w:val="24"/>
                <w:lang w:val="en-US"/>
              </w:rPr>
              <w:t xml:space="preserve"> To examine the structure and delivery of healthcare services relevant to ethnic minority adults aged 72–80 in </w:t>
            </w:r>
            <w:r w:rsidRPr="00FA2D6F">
              <w:rPr>
                <w:rFonts w:cs="Arial"/>
                <w:sz w:val="24"/>
                <w:szCs w:val="24"/>
                <w:lang w:val="en-US"/>
              </w:rPr>
              <w:lastRenderedPageBreak/>
              <w:t>the UK.</w:t>
            </w:r>
          </w:p>
        </w:tc>
        <w:tc>
          <w:tcPr>
            <w:tcW w:w="0" w:type="auto"/>
            <w:hideMark/>
          </w:tcPr>
          <w:p w14:paraId="19D892F5" w14:textId="77777777" w:rsidR="002D777D" w:rsidRPr="00FA2D6F" w:rsidRDefault="002D777D" w:rsidP="00750D5B">
            <w:pPr>
              <w:spacing w:after="160"/>
              <w:rPr>
                <w:rFonts w:cs="Arial"/>
                <w:sz w:val="24"/>
                <w:szCs w:val="24"/>
                <w:lang w:val="en-US"/>
              </w:rPr>
            </w:pPr>
            <w:r w:rsidRPr="00FA2D6F">
              <w:rPr>
                <w:rFonts w:cs="Arial"/>
                <w:sz w:val="24"/>
                <w:szCs w:val="24"/>
                <w:lang w:val="en-US"/>
              </w:rPr>
              <w:lastRenderedPageBreak/>
              <w:t xml:space="preserve">Theme 1 identifies fragmentation, workforce pressures and digital transformation as important characteristics </w:t>
            </w:r>
            <w:r w:rsidRPr="00FA2D6F">
              <w:rPr>
                <w:rFonts w:cs="Arial"/>
                <w:sz w:val="24"/>
                <w:szCs w:val="24"/>
                <w:lang w:val="en-US"/>
              </w:rPr>
              <w:lastRenderedPageBreak/>
              <w:t>affecting service delivery.</w:t>
            </w:r>
          </w:p>
        </w:tc>
      </w:tr>
      <w:tr w:rsidR="002D777D" w:rsidRPr="00FA2D6F" w14:paraId="247FEB30" w14:textId="77777777" w:rsidTr="002D777D">
        <w:tc>
          <w:tcPr>
            <w:tcW w:w="0" w:type="auto"/>
            <w:hideMark/>
          </w:tcPr>
          <w:p w14:paraId="7321309F" w14:textId="77777777" w:rsidR="002D777D" w:rsidRPr="00FA2D6F" w:rsidRDefault="002D777D" w:rsidP="00750D5B">
            <w:pPr>
              <w:spacing w:after="160"/>
              <w:rPr>
                <w:rFonts w:cs="Arial"/>
                <w:sz w:val="24"/>
                <w:szCs w:val="24"/>
                <w:lang w:val="en-US"/>
              </w:rPr>
            </w:pPr>
            <w:r w:rsidRPr="00FA2D6F">
              <w:rPr>
                <w:rFonts w:cs="Arial"/>
                <w:b/>
                <w:bCs/>
                <w:sz w:val="24"/>
                <w:szCs w:val="24"/>
                <w:lang w:val="en-US"/>
              </w:rPr>
              <w:lastRenderedPageBreak/>
              <w:t>RO2:</w:t>
            </w:r>
            <w:r w:rsidRPr="00FA2D6F">
              <w:rPr>
                <w:rFonts w:cs="Arial"/>
                <w:sz w:val="24"/>
                <w:szCs w:val="24"/>
                <w:lang w:val="en-US"/>
              </w:rPr>
              <w:t xml:space="preserve"> To critically </w:t>
            </w:r>
            <w:proofErr w:type="spellStart"/>
            <w:r w:rsidRPr="00FA2D6F">
              <w:rPr>
                <w:rFonts w:cs="Arial"/>
                <w:sz w:val="24"/>
                <w:szCs w:val="24"/>
                <w:lang w:val="en-US"/>
              </w:rPr>
              <w:t>analyse</w:t>
            </w:r>
            <w:proofErr w:type="spellEnd"/>
            <w:r w:rsidRPr="00FA2D6F">
              <w:rPr>
                <w:rFonts w:cs="Arial"/>
                <w:sz w:val="24"/>
                <w:szCs w:val="24"/>
                <w:lang w:val="en-US"/>
              </w:rPr>
              <w:t xml:space="preserve"> the structural, systemic, socioeconomic and cultural barriers affecting healthcare access.</w:t>
            </w:r>
          </w:p>
        </w:tc>
        <w:tc>
          <w:tcPr>
            <w:tcW w:w="0" w:type="auto"/>
            <w:hideMark/>
          </w:tcPr>
          <w:p w14:paraId="5B5344B6" w14:textId="77777777" w:rsidR="002D777D" w:rsidRPr="00FA2D6F" w:rsidRDefault="002D777D" w:rsidP="00750D5B">
            <w:pPr>
              <w:spacing w:after="160"/>
              <w:rPr>
                <w:rFonts w:cs="Arial"/>
                <w:sz w:val="24"/>
                <w:szCs w:val="24"/>
                <w:lang w:val="en-US"/>
              </w:rPr>
            </w:pPr>
            <w:r w:rsidRPr="00FA2D6F">
              <w:rPr>
                <w:rFonts w:cs="Arial"/>
                <w:sz w:val="24"/>
                <w:szCs w:val="24"/>
                <w:lang w:val="en-US"/>
              </w:rPr>
              <w:t>Themes 1 and 2 identify interacting structural, socioeconomic, mobility, communication, cultural, digital and social barriers.</w:t>
            </w:r>
          </w:p>
        </w:tc>
      </w:tr>
      <w:tr w:rsidR="002D777D" w:rsidRPr="00FA2D6F" w14:paraId="179BE63F" w14:textId="77777777" w:rsidTr="002D777D">
        <w:tc>
          <w:tcPr>
            <w:tcW w:w="0" w:type="auto"/>
            <w:hideMark/>
          </w:tcPr>
          <w:p w14:paraId="5A6E4795"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RO3:</w:t>
            </w:r>
            <w:r w:rsidRPr="00FA2D6F">
              <w:rPr>
                <w:rFonts w:cs="Arial"/>
                <w:sz w:val="24"/>
                <w:szCs w:val="24"/>
                <w:lang w:val="en-US"/>
              </w:rPr>
              <w:t xml:space="preserve"> To critically evaluate the extent to which relevant UK healthcare policies and interventions effectively address identified inequalities.</w:t>
            </w:r>
          </w:p>
        </w:tc>
        <w:tc>
          <w:tcPr>
            <w:tcW w:w="0" w:type="auto"/>
            <w:hideMark/>
          </w:tcPr>
          <w:p w14:paraId="53BD1358" w14:textId="77777777" w:rsidR="002D777D" w:rsidRPr="00FA2D6F" w:rsidRDefault="002D777D" w:rsidP="00750D5B">
            <w:pPr>
              <w:spacing w:after="160"/>
              <w:rPr>
                <w:rFonts w:cs="Arial"/>
                <w:sz w:val="24"/>
                <w:szCs w:val="24"/>
                <w:lang w:val="en-US"/>
              </w:rPr>
            </w:pPr>
            <w:r w:rsidRPr="00FA2D6F">
              <w:rPr>
                <w:rFonts w:cs="Arial"/>
                <w:sz w:val="24"/>
                <w:szCs w:val="24"/>
                <w:lang w:val="en-US"/>
              </w:rPr>
              <w:t xml:space="preserve">Theme 3 demonstrates that policy objectives </w:t>
            </w:r>
            <w:proofErr w:type="spellStart"/>
            <w:r w:rsidRPr="00FA2D6F">
              <w:rPr>
                <w:rFonts w:cs="Arial"/>
                <w:sz w:val="24"/>
                <w:szCs w:val="24"/>
                <w:lang w:val="en-US"/>
              </w:rPr>
              <w:t>recognise</w:t>
            </w:r>
            <w:proofErr w:type="spellEnd"/>
            <w:r w:rsidRPr="00FA2D6F">
              <w:rPr>
                <w:rFonts w:cs="Arial"/>
                <w:sz w:val="24"/>
                <w:szCs w:val="24"/>
                <w:lang w:val="en-US"/>
              </w:rPr>
              <w:t xml:space="preserve"> inequalities, but implementation can be constrained by resources, workforce capacity and local variation.</w:t>
            </w:r>
          </w:p>
        </w:tc>
      </w:tr>
      <w:tr w:rsidR="002D777D" w:rsidRPr="00FA2D6F" w14:paraId="7DEF7B0D" w14:textId="77777777" w:rsidTr="002D777D">
        <w:tc>
          <w:tcPr>
            <w:tcW w:w="0" w:type="auto"/>
            <w:hideMark/>
          </w:tcPr>
          <w:p w14:paraId="52DCB91B" w14:textId="77777777" w:rsidR="002D777D" w:rsidRPr="00FA2D6F" w:rsidRDefault="002D777D" w:rsidP="00750D5B">
            <w:pPr>
              <w:spacing w:after="160"/>
              <w:rPr>
                <w:rFonts w:cs="Arial"/>
                <w:sz w:val="24"/>
                <w:szCs w:val="24"/>
                <w:lang w:val="en-US"/>
              </w:rPr>
            </w:pPr>
            <w:r w:rsidRPr="00FA2D6F">
              <w:rPr>
                <w:rFonts w:cs="Arial"/>
                <w:b/>
                <w:bCs/>
                <w:sz w:val="24"/>
                <w:szCs w:val="24"/>
                <w:lang w:val="en-US"/>
              </w:rPr>
              <w:t>RO4:</w:t>
            </w:r>
            <w:r w:rsidRPr="00FA2D6F">
              <w:rPr>
                <w:rFonts w:cs="Arial"/>
                <w:sz w:val="24"/>
                <w:szCs w:val="24"/>
                <w:lang w:val="en-US"/>
              </w:rPr>
              <w:t xml:space="preserve"> To develop evidence-based recommendations for improving equitable healthcare access and culturally competent care delivery.</w:t>
            </w:r>
          </w:p>
        </w:tc>
        <w:tc>
          <w:tcPr>
            <w:tcW w:w="0" w:type="auto"/>
            <w:hideMark/>
          </w:tcPr>
          <w:p w14:paraId="78B61FD1" w14:textId="77777777" w:rsidR="002D777D" w:rsidRPr="00FA2D6F" w:rsidRDefault="002D777D" w:rsidP="00750D5B">
            <w:pPr>
              <w:spacing w:after="160"/>
              <w:rPr>
                <w:rFonts w:cs="Arial"/>
                <w:sz w:val="24"/>
                <w:szCs w:val="24"/>
                <w:lang w:val="en-US"/>
              </w:rPr>
            </w:pPr>
            <w:r w:rsidRPr="00FA2D6F">
              <w:rPr>
                <w:rFonts w:cs="Arial"/>
                <w:sz w:val="24"/>
                <w:szCs w:val="24"/>
                <w:lang w:val="en-US"/>
              </w:rPr>
              <w:t>The combined findings support digital inclusion, integrated multidisciplinary care, culturally responsive communication and targeted socioeconomic support.</w:t>
            </w:r>
          </w:p>
        </w:tc>
      </w:tr>
    </w:tbl>
    <w:p w14:paraId="675091BD" w14:textId="6A971C8A" w:rsidR="002D777D" w:rsidRPr="00FA2D6F" w:rsidRDefault="00947B44" w:rsidP="00750D5B">
      <w:pPr>
        <w:rPr>
          <w:rFonts w:cs="Arial"/>
          <w:sz w:val="24"/>
          <w:szCs w:val="24"/>
          <w:lang w:val="en-US"/>
        </w:rPr>
      </w:pPr>
      <w:r w:rsidRPr="00FA2D6F">
        <w:rPr>
          <w:rFonts w:cs="Arial"/>
          <w:sz w:val="24"/>
          <w:szCs w:val="24"/>
        </w:rPr>
        <w:t>The results thus give a direct connection between the research objectives and thematic analysis. RO1 is covered by studying healthcare structures and delivery. System and social barriers interact with each other in the context of RO2. Evidence from all three themes underlines RO4, whereas critical analysis of the implementation of policy is a key theme of RO3</w:t>
      </w:r>
      <w:r w:rsidR="002D777D" w:rsidRPr="00FA2D6F">
        <w:rPr>
          <w:rFonts w:cs="Arial"/>
          <w:sz w:val="24"/>
          <w:szCs w:val="24"/>
          <w:lang w:val="en-US"/>
        </w:rPr>
        <w:t>.</w:t>
      </w:r>
    </w:p>
    <w:p w14:paraId="18F3EEC8" w14:textId="086C8AAA" w:rsidR="002D777D" w:rsidRPr="00FA2D6F" w:rsidRDefault="002D777D" w:rsidP="00750D5B">
      <w:pPr>
        <w:pStyle w:val="Heading2"/>
        <w:rPr>
          <w:rFonts w:cs="Arial"/>
          <w:szCs w:val="24"/>
          <w:lang w:val="en-US"/>
        </w:rPr>
      </w:pPr>
      <w:bookmarkStart w:id="74" w:name="_Toc241246330"/>
      <w:r w:rsidRPr="00FA2D6F">
        <w:rPr>
          <w:rFonts w:cs="Arial"/>
          <w:szCs w:val="24"/>
          <w:lang w:val="en-US"/>
        </w:rPr>
        <w:t>Chapter Conclusion</w:t>
      </w:r>
      <w:bookmarkEnd w:id="74"/>
    </w:p>
    <w:p w14:paraId="5262EF2C" w14:textId="77777777" w:rsidR="000C3913" w:rsidRPr="00FA2D6F" w:rsidRDefault="00947B44" w:rsidP="00750D5B">
      <w:pPr>
        <w:rPr>
          <w:rFonts w:cs="Arial"/>
          <w:sz w:val="24"/>
          <w:szCs w:val="24"/>
        </w:rPr>
      </w:pPr>
      <w:r w:rsidRPr="00FA2D6F">
        <w:rPr>
          <w:rFonts w:cs="Arial"/>
          <w:sz w:val="24"/>
          <w:szCs w:val="24"/>
        </w:rPr>
        <w:t xml:space="preserve">The chapter has shown that inequalities in health among ethnic minority adults (aged 72–80) in the UK are multi-faceted and interrelated. Structural barriers such as fragmented services, pressure on workforce, digital exclusion, work in conjunction with socioeconomic/cultural, communication and mobility and social factors. The inequalities cannot be fully bridged by providing universal health care alone, as equal formal health care availability is not always the equal practical availability. The SDH framework outlines the broader social determinants of vulnerability and the Inverse Care Law highlights how disparities between resources and capacity within the health system and health services can contribute to reinforcing inequalities. </w:t>
      </w:r>
    </w:p>
    <w:p w14:paraId="420574B0" w14:textId="387E3AC9" w:rsidR="002D777D" w:rsidRPr="00FA2D6F" w:rsidRDefault="00947B44" w:rsidP="00750D5B">
      <w:pPr>
        <w:rPr>
          <w:rFonts w:cs="Arial"/>
          <w:sz w:val="24"/>
          <w:szCs w:val="24"/>
          <w:lang w:val="en-US"/>
        </w:rPr>
      </w:pPr>
      <w:r w:rsidRPr="00FA2D6F">
        <w:rPr>
          <w:rFonts w:cs="Arial"/>
          <w:sz w:val="24"/>
          <w:szCs w:val="24"/>
        </w:rPr>
        <w:t xml:space="preserve">The analysis also reveals that there are important policy mechanisms in place in the UK to enhance equity; however, conditions of implementation are important for the </w:t>
      </w:r>
      <w:r w:rsidRPr="00FA2D6F">
        <w:rPr>
          <w:rFonts w:cs="Arial"/>
          <w:sz w:val="24"/>
          <w:szCs w:val="24"/>
        </w:rPr>
        <w:lastRenderedPageBreak/>
        <w:t>effectiveness of these mechanisms. In general, the results suggest that there is a need for culturally responsive, coordinated, and culturally responsive services to improve healthcare equity, along with more accessible digital and non-digital pathways and a stronger health care workforce with specialized provisions to address social barriers. The findings make the basis for the recommendations and general conclusions made in Chapter 5</w:t>
      </w:r>
      <w:r w:rsidR="002D777D" w:rsidRPr="00FA2D6F">
        <w:rPr>
          <w:rFonts w:cs="Arial"/>
          <w:sz w:val="24"/>
          <w:szCs w:val="24"/>
          <w:lang w:val="en-US"/>
        </w:rPr>
        <w:t>.</w:t>
      </w:r>
    </w:p>
    <w:p w14:paraId="6F9B1862" w14:textId="77777777" w:rsidR="002D777D" w:rsidRPr="00FA2D6F" w:rsidRDefault="002D777D" w:rsidP="00750D5B">
      <w:pPr>
        <w:rPr>
          <w:rFonts w:cs="Arial"/>
          <w:sz w:val="24"/>
          <w:szCs w:val="24"/>
          <w:lang w:val="en-US"/>
        </w:rPr>
      </w:pPr>
    </w:p>
    <w:p w14:paraId="382D79B5" w14:textId="4E5E9AE4" w:rsidR="00B02AE3" w:rsidRDefault="00B02AE3">
      <w:pPr>
        <w:spacing w:line="259" w:lineRule="auto"/>
        <w:jc w:val="left"/>
        <w:rPr>
          <w:rFonts w:eastAsia="Calibri Light" w:cs="Arial"/>
          <w:b/>
          <w:kern w:val="0"/>
          <w:sz w:val="24"/>
          <w:szCs w:val="24"/>
          <w:lang w:eastAsia="en-GB" w:bidi="en-GB"/>
          <w14:ligatures w14:val="none"/>
        </w:rPr>
      </w:pPr>
      <w:r>
        <w:rPr>
          <w:rFonts w:eastAsia="Calibri Light" w:cs="Arial"/>
          <w:b/>
          <w:kern w:val="0"/>
          <w:sz w:val="24"/>
          <w:szCs w:val="24"/>
          <w:lang w:eastAsia="en-GB" w:bidi="en-GB"/>
          <w14:ligatures w14:val="none"/>
        </w:rPr>
        <w:br w:type="page"/>
      </w:r>
    </w:p>
    <w:p w14:paraId="1E690D26" w14:textId="77777777" w:rsidR="001C3AF6" w:rsidRPr="00FA2D6F" w:rsidRDefault="001C3AF6" w:rsidP="00750D5B">
      <w:pPr>
        <w:rPr>
          <w:rFonts w:eastAsia="Calibri Light" w:cs="Arial"/>
          <w:b/>
          <w:kern w:val="0"/>
          <w:sz w:val="24"/>
          <w:szCs w:val="24"/>
          <w:lang w:eastAsia="en-GB" w:bidi="en-GB"/>
          <w14:ligatures w14:val="none"/>
        </w:rPr>
      </w:pPr>
    </w:p>
    <w:p w14:paraId="59F32CB6" w14:textId="2084DE39" w:rsidR="003E5C6C" w:rsidRPr="00FA2D6F" w:rsidRDefault="00636D9A" w:rsidP="00750D5B">
      <w:pPr>
        <w:pStyle w:val="Heading1"/>
        <w:spacing w:line="360" w:lineRule="auto"/>
        <w:ind w:left="0"/>
        <w:jc w:val="both"/>
        <w:rPr>
          <w:rFonts w:cs="Arial"/>
          <w:sz w:val="24"/>
          <w:szCs w:val="24"/>
        </w:rPr>
      </w:pPr>
      <w:bookmarkStart w:id="75" w:name="_Toc241246331"/>
      <w:r w:rsidRPr="00FA2D6F">
        <w:rPr>
          <w:rFonts w:cs="Arial"/>
          <w:sz w:val="24"/>
          <w:szCs w:val="24"/>
        </w:rPr>
        <w:t>CHAPTER 5 – Conclusion and Recommendations</w:t>
      </w:r>
      <w:bookmarkEnd w:id="75"/>
      <w:r w:rsidRPr="00FA2D6F">
        <w:rPr>
          <w:rFonts w:cs="Arial"/>
          <w:sz w:val="24"/>
          <w:szCs w:val="24"/>
        </w:rPr>
        <w:t xml:space="preserve"> </w:t>
      </w:r>
    </w:p>
    <w:p w14:paraId="6B29BC42" w14:textId="697AE551" w:rsidR="003E5C6C" w:rsidRPr="00FA2D6F" w:rsidRDefault="003E5C6C" w:rsidP="00750D5B">
      <w:pPr>
        <w:pStyle w:val="Heading2"/>
        <w:rPr>
          <w:rFonts w:cs="Arial"/>
          <w:szCs w:val="24"/>
        </w:rPr>
      </w:pPr>
      <w:bookmarkStart w:id="76" w:name="_Toc241246332"/>
      <w:r w:rsidRPr="00FA2D6F">
        <w:rPr>
          <w:rFonts w:cs="Arial"/>
          <w:szCs w:val="24"/>
        </w:rPr>
        <w:t>Overall Conclusion</w:t>
      </w:r>
      <w:bookmarkEnd w:id="76"/>
    </w:p>
    <w:p w14:paraId="6D189044" w14:textId="0EB05AFD" w:rsidR="00C76555" w:rsidRPr="00FA2D6F" w:rsidRDefault="00C76555" w:rsidP="00750D5B">
      <w:pPr>
        <w:rPr>
          <w:rFonts w:cs="Arial"/>
          <w:sz w:val="24"/>
          <w:szCs w:val="24"/>
        </w:rPr>
      </w:pPr>
      <w:r w:rsidRPr="00FA2D6F">
        <w:rPr>
          <w:rFonts w:cs="Arial"/>
          <w:sz w:val="24"/>
          <w:szCs w:val="24"/>
        </w:rPr>
        <w:t>This dissertation aimed to consider health inequalities and access to health services for ethnic minority adults aged 72 to 80 in the UK via a secondary qualitative research and thematic analysis approach. The findings reveal that inequalities are interconnected and are caused by structural, system, socioeconomic, cultural, communication and digital barriers, not the latter one alone. Theme 1 highlighted some challenges related to fragmented services, staffing issues and digital exclusion, that can impact the continuity of care and make health syst</w:t>
      </w:r>
      <w:r w:rsidR="00985E9B" w:rsidRPr="00FA2D6F">
        <w:rPr>
          <w:rFonts w:cs="Arial"/>
          <w:sz w:val="24"/>
          <w:szCs w:val="24"/>
        </w:rPr>
        <w:t xml:space="preserve">ems more difficult to navigate. </w:t>
      </w:r>
      <w:r w:rsidRPr="00FA2D6F">
        <w:rPr>
          <w:rFonts w:cs="Arial"/>
          <w:sz w:val="24"/>
          <w:szCs w:val="24"/>
        </w:rPr>
        <w:t>Theme 2 illustrated how poverty, transport issues, social isolation, health literacy and communication barriers can feed into each other, in line with the concept of cumulative disadvantage and the Social Determinants of Health (SDOH) framework, which posits that these factors can be understood as a series of factors that increase the likelihood of a person becoming unwell or developing chronic co</w:t>
      </w:r>
      <w:r w:rsidR="00D64727">
        <w:rPr>
          <w:rFonts w:cs="Arial"/>
          <w:sz w:val="24"/>
          <w:szCs w:val="24"/>
        </w:rPr>
        <w:t>nditions (</w:t>
      </w:r>
      <w:proofErr w:type="spellStart"/>
      <w:r w:rsidR="00D64727">
        <w:rPr>
          <w:rFonts w:cs="Arial"/>
          <w:sz w:val="24"/>
          <w:szCs w:val="24"/>
        </w:rPr>
        <w:t>Evandrou</w:t>
      </w:r>
      <w:proofErr w:type="spellEnd"/>
      <w:r w:rsidR="00D64727">
        <w:rPr>
          <w:rFonts w:cs="Arial"/>
          <w:sz w:val="24"/>
          <w:szCs w:val="24"/>
        </w:rPr>
        <w:t xml:space="preserve"> et al., 2021</w:t>
      </w:r>
      <w:r w:rsidRPr="00FA2D6F">
        <w:rPr>
          <w:rFonts w:cs="Arial"/>
          <w:sz w:val="24"/>
          <w:szCs w:val="24"/>
        </w:rPr>
        <w:t xml:space="preserve">). Theme 3 highlighted policy gaps between policy intent and implementation. In summary, having an adequate workforce capacity, resources, coordination, and culturally responsive delivery, is required for effective policy. Thus, addressing inequalities needs to tackle these multi-faceted barriers as a whole and not as separate interventions. </w:t>
      </w:r>
    </w:p>
    <w:p w14:paraId="1D8D2812" w14:textId="30EC68A3" w:rsidR="003E5C6C" w:rsidRPr="00FA2D6F" w:rsidRDefault="003E5C6C" w:rsidP="00750D5B">
      <w:pPr>
        <w:pStyle w:val="Heading2"/>
        <w:rPr>
          <w:rFonts w:cs="Arial"/>
          <w:szCs w:val="24"/>
        </w:rPr>
      </w:pPr>
      <w:bookmarkStart w:id="77" w:name="_Toc241246333"/>
      <w:r w:rsidRPr="00FA2D6F">
        <w:rPr>
          <w:rFonts w:cs="Arial"/>
          <w:szCs w:val="24"/>
        </w:rPr>
        <w:t>Findings Against Research Objectives</w:t>
      </w:r>
      <w:bookmarkEnd w:id="77"/>
    </w:p>
    <w:p w14:paraId="4B4705FE" w14:textId="77777777" w:rsidR="003E5C6C" w:rsidRPr="00FA2D6F" w:rsidRDefault="003E5C6C" w:rsidP="00750D5B">
      <w:pPr>
        <w:rPr>
          <w:rFonts w:cs="Arial"/>
          <w:sz w:val="24"/>
          <w:szCs w:val="24"/>
        </w:rPr>
      </w:pPr>
      <w:r w:rsidRPr="00FA2D6F">
        <w:rPr>
          <w:rFonts w:cs="Arial"/>
          <w:sz w:val="24"/>
          <w:szCs w:val="24"/>
        </w:rPr>
        <w:t>In RO1 the fragmentation, the potential and constraints for the healthcare worker, and digital transformation and integrated models were explored. Structural, socioeconomic, geographic, cultural and communication barriers were identified as an approach to RO2. The policy and intervention approaches were discussed as part of the RO3, such as integrated care, ageing-related programmes and digital inclusion. These findings show that these strategies are aware of inequities but are not always taking the steps at local service level to eliminate inequities. The recommendations that follow deliver the thematic findings into concrete activities and solutions on how to improve health services in an equitable, culturally competent and accessible way for everyone in RO4.</w:t>
      </w:r>
    </w:p>
    <w:p w14:paraId="162D7D07" w14:textId="77777777" w:rsidR="00EC4593" w:rsidRPr="00FA2D6F" w:rsidRDefault="00EC4593" w:rsidP="00750D5B">
      <w:pPr>
        <w:pStyle w:val="Heading2"/>
        <w:rPr>
          <w:rFonts w:cs="Arial"/>
          <w:szCs w:val="24"/>
          <w:lang w:val="en-US"/>
        </w:rPr>
      </w:pPr>
      <w:bookmarkStart w:id="78" w:name="_Toc241246334"/>
      <w:r w:rsidRPr="00FA2D6F">
        <w:rPr>
          <w:rFonts w:cs="Arial"/>
          <w:szCs w:val="24"/>
          <w:lang w:val="en-US"/>
        </w:rPr>
        <w:lastRenderedPageBreak/>
        <w:t>Recommendations</w:t>
      </w:r>
      <w:bookmarkEnd w:id="78"/>
    </w:p>
    <w:p w14:paraId="11A3447A" w14:textId="2907EB7C" w:rsidR="00F32845" w:rsidRPr="0012668C" w:rsidRDefault="00F32845" w:rsidP="00750D5B">
      <w:pPr>
        <w:rPr>
          <w:rFonts w:cs="Arial"/>
          <w:sz w:val="24"/>
          <w:szCs w:val="24"/>
          <w:lang w:val="en-US" w:eastAsia="en-US"/>
        </w:rPr>
      </w:pPr>
      <w:r w:rsidRPr="0012668C">
        <w:rPr>
          <w:rFonts w:cs="Arial"/>
          <w:sz w:val="24"/>
          <w:szCs w:val="24"/>
          <w:lang w:val="en-US" w:eastAsia="en-US"/>
        </w:rPr>
        <w:t xml:space="preserve">Digital health access needs to be clearly diversified across NHS </w:t>
      </w:r>
      <w:proofErr w:type="spellStart"/>
      <w:r w:rsidRPr="0012668C">
        <w:rPr>
          <w:rFonts w:cs="Arial"/>
          <w:sz w:val="24"/>
          <w:szCs w:val="24"/>
          <w:lang w:val="en-US" w:eastAsia="en-US"/>
        </w:rPr>
        <w:t>organisations</w:t>
      </w:r>
      <w:proofErr w:type="spellEnd"/>
      <w:r w:rsidRPr="0012668C">
        <w:rPr>
          <w:rFonts w:cs="Arial"/>
          <w:sz w:val="24"/>
          <w:szCs w:val="24"/>
          <w:lang w:val="en-US" w:eastAsia="en-US"/>
        </w:rPr>
        <w:t xml:space="preserve">, with coordinated integration of solutions including traditional telephone, face-to-face and assisted booking approaches being implemented to meet the need. Drawing upon the broader academic literature, the spread of digital innovations is frowned upon and there are compelling examples in the literature of digital-first policies actively excluding older adults who may be technologically illiterate, not confident using technology, or lack the necessary information and communication technology to connect to the internet. Any measures to do this in an equitable way would need to be based on a local NHS trust's practical, local training efforts in a targeted </w:t>
      </w:r>
      <w:r w:rsidR="0084367D" w:rsidRPr="0012668C">
        <w:rPr>
          <w:rFonts w:cs="Arial"/>
          <w:sz w:val="24"/>
          <w:szCs w:val="24"/>
          <w:lang w:val="en-US" w:eastAsia="en-US"/>
        </w:rPr>
        <w:t>programmed</w:t>
      </w:r>
      <w:r w:rsidRPr="0012668C">
        <w:rPr>
          <w:rFonts w:cs="Arial"/>
          <w:sz w:val="24"/>
          <w:szCs w:val="24"/>
          <w:lang w:val="en-US" w:eastAsia="en-US"/>
        </w:rPr>
        <w:t xml:space="preserve"> on digital inclusion. </w:t>
      </w:r>
    </w:p>
    <w:p w14:paraId="4F5DD992" w14:textId="17E3F0F1" w:rsidR="00F37EC0" w:rsidRPr="0012668C" w:rsidRDefault="00F32845" w:rsidP="00750D5B">
      <w:pPr>
        <w:rPr>
          <w:rFonts w:cs="Arial"/>
          <w:sz w:val="24"/>
          <w:szCs w:val="24"/>
          <w:lang w:val="en-US" w:eastAsia="en-US"/>
        </w:rPr>
      </w:pPr>
      <w:r w:rsidRPr="0012668C">
        <w:rPr>
          <w:rFonts w:cs="Arial"/>
          <w:sz w:val="24"/>
          <w:szCs w:val="24"/>
          <w:lang w:val="en-US" w:eastAsia="en-US"/>
        </w:rPr>
        <w:t xml:space="preserve">Specific actions should encompass appointing dedicated digital navigator jobs to Primary Care Networks, with specific staff members trained to support older adults to use online triage platforms directly in GP waiting rooms. Additionally, trusted community-based organizations, (CBOs), should be encouraged to serve as host organizations for digital literacy workshops in known, culturally safe settings, like a local church, cultural community hub or other trusted organization. Moreover, care for older people with complex /overlapping health needs to be reframed with mandatory </w:t>
      </w:r>
      <w:r w:rsidR="0084367D" w:rsidRPr="0012668C">
        <w:rPr>
          <w:rFonts w:cs="Arial"/>
          <w:sz w:val="24"/>
          <w:szCs w:val="24"/>
          <w:lang w:val="en-US" w:eastAsia="en-US"/>
        </w:rPr>
        <w:t>high-quality</w:t>
      </w:r>
      <w:r w:rsidRPr="0012668C">
        <w:rPr>
          <w:rFonts w:cs="Arial"/>
          <w:sz w:val="24"/>
          <w:szCs w:val="24"/>
          <w:lang w:val="en-US" w:eastAsia="en-US"/>
        </w:rPr>
        <w:t xml:space="preserve"> multidisciplinary working processes. Local Primary Care Networks should not be dependent on the dotted line directives given to individual services nationally through directives in the NHS Long Term Plan, they need a specific budget to create accountability structures and effective and efficient referrals links. One action that could be taken to do this is the introduction of dedicated Care Navigators or Key Workers to older ethnic minority patients who have multimorbidity. This would help to provide one shared reference point, to ensure patients in need of specialist help are not lost through the interface between GPs and social care or specialists and institutions. For instance, prior to discharge from the </w:t>
      </w:r>
      <w:r w:rsidR="0084367D" w:rsidRPr="0012668C">
        <w:rPr>
          <w:rFonts w:cs="Arial"/>
          <w:sz w:val="24"/>
          <w:szCs w:val="24"/>
          <w:lang w:val="en-US" w:eastAsia="en-US"/>
        </w:rPr>
        <w:t>post-acute</w:t>
      </w:r>
      <w:r w:rsidRPr="0012668C">
        <w:rPr>
          <w:rFonts w:cs="Arial"/>
          <w:sz w:val="24"/>
          <w:szCs w:val="24"/>
          <w:lang w:val="en-US" w:eastAsia="en-US"/>
        </w:rPr>
        <w:t xml:space="preserve"> hospital setting, a Care Navigator could ensure that a patient's plan for discharge to a community setting is congruent with their social support and housing system in the community. But overcoming massive problems in workforce delays will be crucial for its success. </w:t>
      </w:r>
    </w:p>
    <w:p w14:paraId="45F9EC30" w14:textId="3D1B42E5" w:rsidR="00F32845" w:rsidRPr="00FA2D6F" w:rsidRDefault="00F32845" w:rsidP="00750D5B">
      <w:pPr>
        <w:rPr>
          <w:rFonts w:cs="Arial"/>
          <w:sz w:val="24"/>
          <w:szCs w:val="24"/>
          <w:lang w:val="en-US" w:eastAsia="en-US"/>
        </w:rPr>
      </w:pPr>
      <w:r w:rsidRPr="0012668C">
        <w:rPr>
          <w:rFonts w:cs="Arial"/>
          <w:sz w:val="24"/>
          <w:szCs w:val="24"/>
          <w:lang w:val="en-US" w:eastAsia="en-US"/>
        </w:rPr>
        <w:t xml:space="preserve">Without specific protected time for administrative coordination and appropriate staffing arrangements these integrated care models will only look good on paper and </w:t>
      </w:r>
      <w:r w:rsidRPr="0012668C">
        <w:rPr>
          <w:rFonts w:cs="Arial"/>
          <w:sz w:val="24"/>
          <w:szCs w:val="24"/>
          <w:lang w:val="en-US" w:eastAsia="en-US"/>
        </w:rPr>
        <w:lastRenderedPageBreak/>
        <w:t xml:space="preserve">not be implemented in the real world and translated into a real patient outcome. Third, </w:t>
      </w:r>
      <w:r w:rsidR="0012668C" w:rsidRPr="0012668C">
        <w:rPr>
          <w:rFonts w:cs="Arial"/>
          <w:sz w:val="24"/>
          <w:szCs w:val="24"/>
          <w:lang w:val="en-US" w:eastAsia="en-US"/>
        </w:rPr>
        <w:t>culturally competent</w:t>
      </w:r>
      <w:r w:rsidRPr="0012668C">
        <w:rPr>
          <w:rFonts w:cs="Arial"/>
          <w:sz w:val="24"/>
          <w:szCs w:val="24"/>
          <w:lang w:val="en-US" w:eastAsia="en-US"/>
        </w:rPr>
        <w:t xml:space="preserve"> communication needs </w:t>
      </w:r>
      <w:proofErr w:type="gramStart"/>
      <w:r w:rsidRPr="0012668C">
        <w:rPr>
          <w:rFonts w:cs="Arial"/>
          <w:sz w:val="24"/>
          <w:szCs w:val="24"/>
          <w:lang w:val="en-US" w:eastAsia="en-US"/>
        </w:rPr>
        <w:t>be</w:t>
      </w:r>
      <w:proofErr w:type="gramEnd"/>
      <w:r w:rsidRPr="0012668C">
        <w:rPr>
          <w:rFonts w:cs="Arial"/>
          <w:sz w:val="24"/>
          <w:szCs w:val="24"/>
          <w:lang w:val="en-US" w:eastAsia="en-US"/>
        </w:rPr>
        <w:t xml:space="preserve"> made the norm, not an option, in provision of routine services. The medical or health services professional needs to conduct continuous, mandated cultural competence training and provide smooth, </w:t>
      </w:r>
      <w:r w:rsidR="0012668C" w:rsidRPr="0012668C">
        <w:rPr>
          <w:rFonts w:cs="Arial"/>
          <w:sz w:val="24"/>
          <w:szCs w:val="24"/>
          <w:lang w:val="en-US" w:eastAsia="en-US"/>
        </w:rPr>
        <w:t>readily available</w:t>
      </w:r>
      <w:r w:rsidRPr="0012668C">
        <w:rPr>
          <w:rFonts w:cs="Arial"/>
          <w:sz w:val="24"/>
          <w:szCs w:val="24"/>
          <w:lang w:val="en-US" w:eastAsia="en-US"/>
        </w:rPr>
        <w:t xml:space="preserve"> interpretation services. Specific strategies should include implementing an instant access telephonic or video interpreting system right in every consultation room and focusing local recruitment efforts for bilingual administrative and clinical workers. Ideas like translating complex medication instructions to a patient's main language automatically or giving culturally specific health information about food intake for chronic disease management, for instance, significantly </w:t>
      </w:r>
      <w:r w:rsidR="0012668C" w:rsidRPr="0012668C">
        <w:rPr>
          <w:rFonts w:cs="Arial"/>
          <w:sz w:val="24"/>
          <w:szCs w:val="24"/>
          <w:lang w:val="en-US" w:eastAsia="en-US"/>
        </w:rPr>
        <w:t>lowering</w:t>
      </w:r>
      <w:r w:rsidRPr="0012668C">
        <w:rPr>
          <w:rFonts w:cs="Arial"/>
          <w:sz w:val="24"/>
          <w:szCs w:val="24"/>
          <w:lang w:val="en-US" w:eastAsia="en-US"/>
        </w:rPr>
        <w:t xml:space="preserve"> the possibility of clinical risk and </w:t>
      </w:r>
      <w:r w:rsidR="0012668C" w:rsidRPr="0012668C">
        <w:rPr>
          <w:rFonts w:cs="Arial"/>
          <w:sz w:val="24"/>
          <w:szCs w:val="24"/>
          <w:lang w:val="en-US" w:eastAsia="en-US"/>
        </w:rPr>
        <w:t>enhancing</w:t>
      </w:r>
      <w:r w:rsidRPr="0012668C">
        <w:rPr>
          <w:rFonts w:cs="Arial"/>
          <w:sz w:val="24"/>
          <w:szCs w:val="24"/>
          <w:lang w:val="en-US" w:eastAsia="en-US"/>
        </w:rPr>
        <w:t xml:space="preserve"> patient trust. Monitoring the necessary health literacy communication provisions is an important implementation concern, given its direct relationship with the management of medications and likelihood of long-term treatment adherence. Health care systems need to apply the area's measures of equity to conduct periodic audits to track the use of interpreting services and the surrounding area's population composition. This </w:t>
      </w:r>
      <w:proofErr w:type="spellStart"/>
      <w:r w:rsidRPr="0012668C">
        <w:rPr>
          <w:rFonts w:cs="Arial"/>
          <w:sz w:val="24"/>
          <w:szCs w:val="24"/>
          <w:lang w:val="en-US" w:eastAsia="en-US"/>
        </w:rPr>
        <w:t>focussed</w:t>
      </w:r>
      <w:proofErr w:type="spellEnd"/>
      <w:r w:rsidRPr="0012668C">
        <w:rPr>
          <w:rFonts w:cs="Arial"/>
          <w:sz w:val="24"/>
          <w:szCs w:val="24"/>
          <w:lang w:val="en-US" w:eastAsia="en-US"/>
        </w:rPr>
        <w:t xml:space="preserve"> monitoring will ensure national policy aims always reflect frontline language-focused needs and services, and that resource allocation reflects local linguistic needs of community members, times and place.</w:t>
      </w:r>
    </w:p>
    <w:p w14:paraId="0F5EB649" w14:textId="5067B9AE" w:rsidR="003E5C6C" w:rsidRPr="00FA2D6F" w:rsidRDefault="003E5C6C" w:rsidP="00750D5B">
      <w:pPr>
        <w:pStyle w:val="Heading2"/>
        <w:rPr>
          <w:rFonts w:cs="Arial"/>
          <w:szCs w:val="24"/>
        </w:rPr>
      </w:pPr>
      <w:bookmarkStart w:id="79" w:name="_Toc241246335"/>
      <w:r w:rsidRPr="00FA2D6F">
        <w:rPr>
          <w:rFonts w:cs="Arial"/>
          <w:szCs w:val="24"/>
        </w:rPr>
        <w:t>Limitations of the Study</w:t>
      </w:r>
      <w:bookmarkEnd w:id="79"/>
    </w:p>
    <w:p w14:paraId="3D851BFF" w14:textId="6E287040" w:rsidR="003E5C6C" w:rsidRPr="00FA2D6F" w:rsidRDefault="003E5C6C" w:rsidP="00750D5B">
      <w:pPr>
        <w:rPr>
          <w:rFonts w:cs="Arial"/>
          <w:sz w:val="24"/>
          <w:szCs w:val="24"/>
        </w:rPr>
      </w:pPr>
      <w:r w:rsidRPr="00FA2D6F">
        <w:rPr>
          <w:rFonts w:cs="Arial"/>
          <w:sz w:val="24"/>
          <w:szCs w:val="24"/>
        </w:rPr>
        <w:t>The main constraint is the use of secondary rather than primary qualitative evidence such as interviews, surveys or observations. The analysis therefore only relates to existing patterns reported in the literature and is not intended to be representative of all ethnic minority adults aged 72–80 in the UK. There were also differences in evidence in terms of population, context and research design that made direct comparisons difficult. An emphasis on English-language literature and published evidence might have neglected other perspectives. The findings should therefore not be regarded as statistically generalisable conclusions but as an evidence-based synthesis resulting from a qualitative analysis.</w:t>
      </w:r>
    </w:p>
    <w:p w14:paraId="49F2CC2E" w14:textId="6E8A639C" w:rsidR="003E5C6C" w:rsidRPr="00FA2D6F" w:rsidRDefault="003E5C6C" w:rsidP="00750D5B">
      <w:pPr>
        <w:pStyle w:val="Heading2"/>
        <w:rPr>
          <w:rFonts w:cs="Arial"/>
          <w:szCs w:val="24"/>
        </w:rPr>
      </w:pPr>
      <w:bookmarkStart w:id="80" w:name="_Toc241246336"/>
      <w:r w:rsidRPr="00FA2D6F">
        <w:rPr>
          <w:rFonts w:cs="Arial"/>
          <w:szCs w:val="24"/>
        </w:rPr>
        <w:t>Future Research</w:t>
      </w:r>
      <w:bookmarkEnd w:id="80"/>
    </w:p>
    <w:p w14:paraId="63E2A357" w14:textId="1F6BE5D0" w:rsidR="003E5C6C" w:rsidRPr="00FA2D6F" w:rsidRDefault="003E5C6C" w:rsidP="00750D5B">
      <w:pPr>
        <w:rPr>
          <w:rFonts w:cs="Arial"/>
          <w:sz w:val="24"/>
          <w:szCs w:val="24"/>
        </w:rPr>
      </w:pPr>
      <w:r w:rsidRPr="00FA2D6F">
        <w:rPr>
          <w:rFonts w:cs="Arial"/>
          <w:sz w:val="24"/>
          <w:szCs w:val="24"/>
        </w:rPr>
        <w:t xml:space="preserve">There is a need for further research based on interviews or focus groups with adults aged 72–80 in different areas and communities in the UK. Further work should also focus on digital inclusion, and culturally competent communication, continuity of </w:t>
      </w:r>
      <w:r w:rsidRPr="00FA2D6F">
        <w:rPr>
          <w:rFonts w:cs="Arial"/>
          <w:sz w:val="24"/>
          <w:szCs w:val="24"/>
        </w:rPr>
        <w:lastRenderedPageBreak/>
        <w:t>care, and socioeconomic barriers longitudinally. Comparative analysis might include cross-ethnic comparisons as well as urban/rural comparative analysis and service evaluations might measure the effectiveness of recommended interventions in enhancing equitable access.</w:t>
      </w:r>
    </w:p>
    <w:p w14:paraId="2B8581CB" w14:textId="50B3F81B" w:rsidR="003E5C6C" w:rsidRPr="00FA2D6F" w:rsidRDefault="0012668C" w:rsidP="00750D5B">
      <w:pPr>
        <w:pStyle w:val="Heading2"/>
        <w:rPr>
          <w:rFonts w:cs="Arial"/>
          <w:szCs w:val="24"/>
        </w:rPr>
      </w:pPr>
      <w:r w:rsidRPr="00FA2D6F">
        <w:rPr>
          <w:rFonts w:cs="Arial"/>
          <w:szCs w:val="24"/>
        </w:rPr>
        <w:t>Conclusion</w:t>
      </w:r>
    </w:p>
    <w:p w14:paraId="377B193A" w14:textId="7BA3EB9E" w:rsidR="00F17E0A" w:rsidRPr="00FA2D6F" w:rsidRDefault="003E5C6C" w:rsidP="00750D5B">
      <w:pPr>
        <w:rPr>
          <w:rFonts w:cs="Arial"/>
          <w:sz w:val="24"/>
          <w:szCs w:val="24"/>
        </w:rPr>
      </w:pPr>
      <w:r w:rsidRPr="00FA2D6F">
        <w:rPr>
          <w:rFonts w:cs="Arial"/>
          <w:sz w:val="24"/>
          <w:szCs w:val="24"/>
        </w:rPr>
        <w:t>Ethnic minority adults aged 72-80 are impacted by a complex mix of structural, socioeconomic, cultural and digital determinants of health to create healthcare inequality. Equitable outcomes require good implementation at the local level, the right resources, and culturally responsive services – policies provide a framework. Combined, these dimensions provide a greater foundation for enhancing NHS pathways to health care and making them more accessible, continuous, and equitable.</w:t>
      </w:r>
    </w:p>
    <w:p w14:paraId="2AC6EC49" w14:textId="77777777" w:rsidR="0059481D" w:rsidRPr="00D64727" w:rsidRDefault="0059481D" w:rsidP="00D64727">
      <w:pPr>
        <w:ind w:left="720" w:hanging="720"/>
        <w:rPr>
          <w:rFonts w:cs="Arial"/>
          <w:sz w:val="24"/>
          <w:szCs w:val="24"/>
          <w:lang w:eastAsia="en-GB" w:bidi="en-GB"/>
        </w:rPr>
      </w:pPr>
      <w:bookmarkStart w:id="81" w:name="_Toc241246338"/>
      <w:r>
        <w:br w:type="page"/>
      </w:r>
    </w:p>
    <w:p w14:paraId="3D3F3B28" w14:textId="4BF51258" w:rsidR="00211184" w:rsidRPr="00D64727" w:rsidRDefault="00211184" w:rsidP="00D64727">
      <w:pPr>
        <w:pStyle w:val="Heading1"/>
        <w:numPr>
          <w:ilvl w:val="0"/>
          <w:numId w:val="0"/>
        </w:numPr>
        <w:ind w:left="432"/>
      </w:pPr>
      <w:r w:rsidRPr="00D64727">
        <w:lastRenderedPageBreak/>
        <w:t>References and Appendices</w:t>
      </w:r>
      <w:bookmarkEnd w:id="81"/>
      <w:r w:rsidRPr="00D64727">
        <w:t xml:space="preserve"> </w:t>
      </w:r>
    </w:p>
    <w:p w14:paraId="2EE69DD1" w14:textId="77777777" w:rsidR="00211184" w:rsidRPr="00D64727" w:rsidRDefault="00211184" w:rsidP="00D64727">
      <w:pPr>
        <w:ind w:left="720" w:hanging="720"/>
        <w:rPr>
          <w:rFonts w:cs="Arial"/>
          <w:sz w:val="24"/>
          <w:szCs w:val="24"/>
        </w:rPr>
      </w:pPr>
    </w:p>
    <w:p w14:paraId="414FFB96" w14:textId="5103FBD3" w:rsidR="00750D5B" w:rsidRPr="00D64727" w:rsidRDefault="00750D5B" w:rsidP="00D64727">
      <w:pPr>
        <w:ind w:left="720" w:hanging="720"/>
        <w:rPr>
          <w:rFonts w:cs="Arial"/>
          <w:sz w:val="24"/>
          <w:szCs w:val="24"/>
        </w:rPr>
      </w:pPr>
      <w:r w:rsidRPr="00D64727">
        <w:rPr>
          <w:rFonts w:cs="Arial"/>
          <w:sz w:val="24"/>
          <w:szCs w:val="24"/>
        </w:rPr>
        <w:t xml:space="preserve"> </w:t>
      </w:r>
      <w:r w:rsidRPr="00D64727">
        <w:rPr>
          <w:rFonts w:cs="Arial"/>
          <w:bCs/>
          <w:sz w:val="24"/>
          <w:szCs w:val="24"/>
        </w:rPr>
        <w:t>Chatzi, G., Mason, T., et al.</w:t>
      </w:r>
      <w:r w:rsidRPr="00D64727">
        <w:rPr>
          <w:rFonts w:cs="Arial"/>
          <w:sz w:val="24"/>
          <w:szCs w:val="24"/>
        </w:rPr>
        <w:t xml:space="preserve"> (2023) 'Could diabetes prevention programmes result in the widening of sociodemographic inequalities in type 2 diabetes? Comparison of survey and administrative data for England', </w:t>
      </w:r>
      <w:r w:rsidRPr="00D64727">
        <w:rPr>
          <w:rFonts w:cs="Arial"/>
          <w:i/>
          <w:iCs/>
          <w:sz w:val="24"/>
          <w:szCs w:val="24"/>
        </w:rPr>
        <w:t>Journal of Epidemiology and Community Health</w:t>
      </w:r>
      <w:r w:rsidRPr="00D64727">
        <w:rPr>
          <w:rFonts w:cs="Arial"/>
          <w:sz w:val="24"/>
          <w:szCs w:val="24"/>
        </w:rPr>
        <w:t xml:space="preserve">, 77(9), pp. 565-570. Available at: </w:t>
      </w:r>
      <w:hyperlink r:id="rId9" w:tgtFrame="_blank" w:history="1">
        <w:r w:rsidRPr="00D64727">
          <w:rPr>
            <w:rStyle w:val="Hyperlink"/>
            <w:rFonts w:eastAsia="Calibri Light" w:cs="Arial"/>
            <w:sz w:val="24"/>
            <w:szCs w:val="24"/>
          </w:rPr>
          <w:t>https://doi.org/10.1136/jech-2022-219654</w:t>
        </w:r>
      </w:hyperlink>
      <w:r w:rsidRPr="00D64727">
        <w:rPr>
          <w:rFonts w:cs="Arial"/>
          <w:sz w:val="24"/>
          <w:szCs w:val="24"/>
        </w:rPr>
        <w:t>.</w:t>
      </w:r>
    </w:p>
    <w:p w14:paraId="605F971A" w14:textId="516125D2" w:rsidR="00186D23" w:rsidRPr="00D64727" w:rsidRDefault="00186D23" w:rsidP="00D64727">
      <w:pPr>
        <w:ind w:left="720" w:hanging="720"/>
        <w:rPr>
          <w:rFonts w:eastAsia="Times New Roman" w:cs="Arial"/>
          <w:color w:val="000000" w:themeColor="text1"/>
          <w:sz w:val="24"/>
          <w:szCs w:val="24"/>
          <w:lang w:val="en-US" w:eastAsia="en-US"/>
        </w:rPr>
      </w:pPr>
      <w:r w:rsidRPr="00D64727">
        <w:rPr>
          <w:rFonts w:cs="Arial"/>
          <w:bCs/>
          <w:sz w:val="24"/>
          <w:szCs w:val="24"/>
        </w:rPr>
        <w:t>Age UK. (2024).</w:t>
      </w:r>
      <w:r w:rsidRPr="00D64727">
        <w:rPr>
          <w:rFonts w:cs="Arial"/>
          <w:sz w:val="24"/>
          <w:szCs w:val="24"/>
        </w:rPr>
        <w:t xml:space="preserve"> </w:t>
      </w:r>
      <w:r w:rsidRPr="00D64727">
        <w:rPr>
          <w:rFonts w:cs="Arial"/>
          <w:i/>
          <w:iCs/>
          <w:sz w:val="24"/>
          <w:szCs w:val="24"/>
        </w:rPr>
        <w:t>Offline and Overlooked: Digital exclusion and its impact on older people</w:t>
      </w:r>
      <w:r w:rsidRPr="00D64727">
        <w:rPr>
          <w:rFonts w:cs="Arial"/>
          <w:sz w:val="24"/>
          <w:szCs w:val="24"/>
        </w:rPr>
        <w:t xml:space="preserve">. Age UK. </w:t>
      </w:r>
      <w:hyperlink r:id="rId10" w:tgtFrame="_blank" w:history="1">
        <w:r w:rsidRPr="00D64727">
          <w:rPr>
            <w:rStyle w:val="Hyperlink"/>
            <w:rFonts w:cs="Arial"/>
            <w:sz w:val="24"/>
            <w:szCs w:val="24"/>
          </w:rPr>
          <w:t>https://www.ageuk.org.uk/siteassets/documents/reports-and-publications/reports-and-briefings/offline-and-overlooked-report.pdf</w:t>
        </w:r>
      </w:hyperlink>
    </w:p>
    <w:p w14:paraId="568C86C8" w14:textId="262319E8"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Brennan, H.M. and Furber, C. (2026). Understanding the barriers UK midwives face in leading research: A critical discussion paper. </w:t>
      </w:r>
      <w:r w:rsidRPr="00D64727">
        <w:rPr>
          <w:rFonts w:eastAsia="Times New Roman" w:cs="Arial"/>
          <w:i/>
          <w:iCs/>
          <w:color w:val="000000" w:themeColor="text1"/>
          <w:sz w:val="24"/>
          <w:szCs w:val="24"/>
          <w:lang w:val="en-US" w:eastAsia="en-US"/>
        </w:rPr>
        <w:t>Midwifery</w:t>
      </w:r>
      <w:r w:rsidRPr="00D64727">
        <w:rPr>
          <w:rFonts w:eastAsia="Times New Roman" w:cs="Arial"/>
          <w:color w:val="000000" w:themeColor="text1"/>
          <w:sz w:val="24"/>
          <w:szCs w:val="24"/>
          <w:lang w:val="en-US" w:eastAsia="en-US"/>
        </w:rPr>
        <w:t xml:space="preserve">, [online] 153, p.104688. </w:t>
      </w:r>
      <w:hyperlink r:id="rId11" w:history="1">
        <w:proofErr w:type="gramStart"/>
        <w:r w:rsidRPr="00D64727">
          <w:rPr>
            <w:rStyle w:val="Hyperlink"/>
            <w:rFonts w:eastAsia="Times New Roman" w:cs="Arial"/>
            <w:kern w:val="0"/>
            <w:sz w:val="24"/>
            <w:szCs w:val="24"/>
            <w:lang w:val="en-US" w:eastAsia="en-US"/>
            <w14:ligatures w14:val="none"/>
          </w:rPr>
          <w:t>doi:10.1016/j.midw</w:t>
        </w:r>
        <w:proofErr w:type="gramEnd"/>
        <w:r w:rsidRPr="00D64727">
          <w:rPr>
            <w:rStyle w:val="Hyperlink"/>
            <w:rFonts w:eastAsia="Times New Roman" w:cs="Arial"/>
            <w:kern w:val="0"/>
            <w:sz w:val="24"/>
            <w:szCs w:val="24"/>
            <w:lang w:val="en-US" w:eastAsia="en-US"/>
            <w14:ligatures w14:val="none"/>
          </w:rPr>
          <w:t>.2025.104688</w:t>
        </w:r>
      </w:hyperlink>
      <w:r w:rsidRPr="00D64727">
        <w:rPr>
          <w:rFonts w:eastAsia="Times New Roman" w:cs="Arial"/>
          <w:color w:val="000000" w:themeColor="text1"/>
          <w:sz w:val="24"/>
          <w:szCs w:val="24"/>
          <w:lang w:val="en-US" w:eastAsia="en-US"/>
        </w:rPr>
        <w:t xml:space="preserve"> </w:t>
      </w:r>
    </w:p>
    <w:p w14:paraId="681B8E5B" w14:textId="6E8EC34C"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w:t>
      </w:r>
      <w:r w:rsidRPr="00D64727">
        <w:rPr>
          <w:rFonts w:cs="Arial"/>
          <w:color w:val="000000" w:themeColor="text1"/>
          <w:sz w:val="24"/>
          <w:szCs w:val="24"/>
        </w:rPr>
        <w:t xml:space="preserve"> </w:t>
      </w:r>
      <w:r w:rsidRPr="00D64727">
        <w:rPr>
          <w:rFonts w:eastAsia="Times New Roman" w:cs="Arial"/>
          <w:color w:val="000000" w:themeColor="text1"/>
          <w:sz w:val="24"/>
          <w:szCs w:val="24"/>
          <w:lang w:val="en-US" w:eastAsia="en-US"/>
        </w:rPr>
        <w:t xml:space="preserve">Crear-Perry, J., Correa-de-Araujo, R., Lewis Johnson, T., McLemore, M.R., Neilson, E. and Wallace, M. (2021). </w:t>
      </w:r>
      <w:r w:rsidRPr="00D64727">
        <w:rPr>
          <w:rFonts w:eastAsia="Times New Roman" w:cs="Arial"/>
          <w:i/>
          <w:iCs/>
          <w:color w:val="000000" w:themeColor="text1"/>
          <w:sz w:val="24"/>
          <w:szCs w:val="24"/>
          <w:lang w:val="en-US" w:eastAsia="en-US"/>
        </w:rPr>
        <w:t>Social and Structural Determinants of Health Inequities in Maternal Health</w:t>
      </w:r>
      <w:r w:rsidRPr="00D64727">
        <w:rPr>
          <w:rFonts w:eastAsia="Times New Roman" w:cs="Arial"/>
          <w:color w:val="000000" w:themeColor="text1"/>
          <w:sz w:val="24"/>
          <w:szCs w:val="24"/>
          <w:lang w:val="en-US" w:eastAsia="en-US"/>
        </w:rPr>
        <w:t>. [online] Journal of women’s health (2002). doi:</w:t>
      </w:r>
      <w:hyperlink r:id="rId12" w:history="1">
        <w:r w:rsidRPr="00D64727">
          <w:rPr>
            <w:rStyle w:val="Hyperlink"/>
            <w:rFonts w:eastAsia="Times New Roman" w:cs="Arial"/>
            <w:kern w:val="0"/>
            <w:sz w:val="24"/>
            <w:szCs w:val="24"/>
            <w:lang w:val="en-US" w:eastAsia="en-US"/>
            <w14:ligatures w14:val="none"/>
          </w:rPr>
          <w:t>10.1089/jwh.2020.8882.</w:t>
        </w:r>
      </w:hyperlink>
    </w:p>
    <w:p w14:paraId="043121E3" w14:textId="77777777" w:rsidR="005A0B82" w:rsidRPr="00D64727" w:rsidRDefault="005A0B82" w:rsidP="00D64727">
      <w:pPr>
        <w:ind w:left="720" w:hanging="720"/>
        <w:rPr>
          <w:rFonts w:eastAsia="Times New Roman" w:cs="Arial"/>
          <w:color w:val="000000" w:themeColor="text1"/>
          <w:sz w:val="24"/>
          <w:szCs w:val="24"/>
          <w:lang w:val="en-US" w:eastAsia="en-US"/>
        </w:rPr>
      </w:pPr>
      <w:proofErr w:type="spellStart"/>
      <w:r w:rsidRPr="00D64727">
        <w:rPr>
          <w:rFonts w:cs="Arial"/>
          <w:color w:val="000000" w:themeColor="text1"/>
          <w:sz w:val="24"/>
          <w:szCs w:val="24"/>
          <w:shd w:val="clear" w:color="auto" w:fill="FFFFFF"/>
        </w:rPr>
        <w:t>Felmingham</w:t>
      </w:r>
      <w:proofErr w:type="spellEnd"/>
      <w:r w:rsidRPr="00D64727">
        <w:rPr>
          <w:rFonts w:cs="Arial"/>
          <w:color w:val="000000" w:themeColor="text1"/>
          <w:sz w:val="24"/>
          <w:szCs w:val="24"/>
          <w:shd w:val="clear" w:color="auto" w:fill="FFFFFF"/>
        </w:rPr>
        <w:t xml:space="preserve">, T., </w:t>
      </w:r>
      <w:proofErr w:type="spellStart"/>
      <w:r w:rsidRPr="00D64727">
        <w:rPr>
          <w:rFonts w:cs="Arial"/>
          <w:color w:val="000000" w:themeColor="text1"/>
          <w:sz w:val="24"/>
          <w:szCs w:val="24"/>
          <w:shd w:val="clear" w:color="auto" w:fill="FFFFFF"/>
        </w:rPr>
        <w:t>Backholer</w:t>
      </w:r>
      <w:proofErr w:type="spellEnd"/>
      <w:r w:rsidRPr="00D64727">
        <w:rPr>
          <w:rFonts w:cs="Arial"/>
          <w:color w:val="000000" w:themeColor="text1"/>
          <w:sz w:val="24"/>
          <w:szCs w:val="24"/>
          <w:shd w:val="clear" w:color="auto" w:fill="FFFFFF"/>
        </w:rPr>
        <w:t xml:space="preserve">, K., Hoban, E., Brown, A.D., </w:t>
      </w:r>
      <w:proofErr w:type="spellStart"/>
      <w:r w:rsidRPr="00D64727">
        <w:rPr>
          <w:rFonts w:cs="Arial"/>
          <w:color w:val="000000" w:themeColor="text1"/>
          <w:sz w:val="24"/>
          <w:szCs w:val="24"/>
          <w:shd w:val="clear" w:color="auto" w:fill="FFFFFF"/>
        </w:rPr>
        <w:t>Nagorcka</w:t>
      </w:r>
      <w:proofErr w:type="spellEnd"/>
      <w:r w:rsidRPr="00D64727">
        <w:rPr>
          <w:rFonts w:cs="Arial"/>
          <w:color w:val="000000" w:themeColor="text1"/>
          <w:sz w:val="24"/>
          <w:szCs w:val="24"/>
          <w:shd w:val="clear" w:color="auto" w:fill="FFFFFF"/>
        </w:rPr>
        <w:t xml:space="preserve">-Smith, P. and Allender, S., 2023. Success of community-based system dynamics in prevention interventions: A systematic review of the literature. </w:t>
      </w:r>
      <w:r w:rsidRPr="00D64727">
        <w:rPr>
          <w:rFonts w:cs="Arial"/>
          <w:i/>
          <w:iCs/>
          <w:color w:val="000000" w:themeColor="text1"/>
          <w:sz w:val="24"/>
          <w:szCs w:val="24"/>
          <w:shd w:val="clear" w:color="auto" w:fill="FFFFFF"/>
        </w:rPr>
        <w:t>Frontiers in Public Health</w:t>
      </w:r>
      <w:r w:rsidRPr="00D64727">
        <w:rPr>
          <w:rFonts w:cs="Arial"/>
          <w:color w:val="000000" w:themeColor="text1"/>
          <w:sz w:val="24"/>
          <w:szCs w:val="24"/>
          <w:shd w:val="clear" w:color="auto" w:fill="FFFFFF"/>
        </w:rPr>
        <w:t xml:space="preserve">, </w:t>
      </w:r>
      <w:r w:rsidRPr="00D64727">
        <w:rPr>
          <w:rFonts w:cs="Arial"/>
          <w:i/>
          <w:iCs/>
          <w:color w:val="000000" w:themeColor="text1"/>
          <w:sz w:val="24"/>
          <w:szCs w:val="24"/>
          <w:shd w:val="clear" w:color="auto" w:fill="FFFFFF"/>
        </w:rPr>
        <w:t>11</w:t>
      </w:r>
      <w:r w:rsidRPr="00D64727">
        <w:rPr>
          <w:rFonts w:cs="Arial"/>
          <w:color w:val="000000" w:themeColor="text1"/>
          <w:sz w:val="24"/>
          <w:szCs w:val="24"/>
          <w:shd w:val="clear" w:color="auto" w:fill="FFFFFF"/>
        </w:rPr>
        <w:t>, p.1103834.</w:t>
      </w:r>
    </w:p>
    <w:p w14:paraId="215F1458" w14:textId="694C16FA" w:rsidR="00186D23" w:rsidRPr="00D64727" w:rsidRDefault="00186D23" w:rsidP="00D64727">
      <w:pPr>
        <w:ind w:left="720" w:hanging="720"/>
        <w:rPr>
          <w:rFonts w:cs="Arial"/>
          <w:sz w:val="24"/>
          <w:szCs w:val="24"/>
        </w:rPr>
      </w:pPr>
      <w:r w:rsidRPr="00D64727">
        <w:rPr>
          <w:rFonts w:cs="Arial"/>
          <w:sz w:val="24"/>
          <w:szCs w:val="24"/>
        </w:rPr>
        <w:t xml:space="preserve">Featherstone, K., Northcott, A., Boddington, P., et al. (2022). Understanding approaches to continence care for people living with dementia in acute hospital settings: an ethnographic study. </w:t>
      </w:r>
      <w:r w:rsidRPr="00D64727">
        <w:rPr>
          <w:rFonts w:cs="Arial"/>
          <w:i/>
          <w:iCs/>
          <w:sz w:val="24"/>
          <w:szCs w:val="24"/>
        </w:rPr>
        <w:t>Health and Social Care Delivery Research</w:t>
      </w:r>
      <w:r w:rsidRPr="00D64727">
        <w:rPr>
          <w:rFonts w:cs="Arial"/>
          <w:sz w:val="24"/>
          <w:szCs w:val="24"/>
        </w:rPr>
        <w:t xml:space="preserve">, </w:t>
      </w:r>
      <w:r w:rsidRPr="00D64727">
        <w:rPr>
          <w:rFonts w:cs="Arial"/>
          <w:i/>
          <w:iCs/>
          <w:sz w:val="24"/>
          <w:szCs w:val="24"/>
        </w:rPr>
        <w:t>10</w:t>
      </w:r>
      <w:r w:rsidRPr="00D64727">
        <w:rPr>
          <w:rFonts w:cs="Arial"/>
          <w:sz w:val="24"/>
          <w:szCs w:val="24"/>
        </w:rPr>
        <w:t xml:space="preserve">, 1-142. </w:t>
      </w:r>
      <w:hyperlink r:id="rId13" w:tgtFrame="_blank" w:history="1">
        <w:r w:rsidRPr="00D64727">
          <w:rPr>
            <w:rStyle w:val="Hyperlink"/>
            <w:rFonts w:cs="Arial"/>
            <w:sz w:val="24"/>
            <w:szCs w:val="24"/>
          </w:rPr>
          <w:t>https://doi.org/10.3310/quvv2680</w:t>
        </w:r>
      </w:hyperlink>
    </w:p>
    <w:p w14:paraId="26F636D8" w14:textId="3B0FCD4B" w:rsidR="00971BF9" w:rsidRPr="00D64727" w:rsidRDefault="00971BF9" w:rsidP="00D64727">
      <w:pPr>
        <w:ind w:left="720" w:hanging="720"/>
        <w:rPr>
          <w:rFonts w:eastAsia="Times New Roman" w:cs="Arial"/>
          <w:color w:val="000000" w:themeColor="text1"/>
          <w:sz w:val="24"/>
          <w:szCs w:val="24"/>
          <w:lang w:val="en-US" w:eastAsia="en-US"/>
        </w:rPr>
      </w:pPr>
      <w:proofErr w:type="spellStart"/>
      <w:r w:rsidRPr="00D64727">
        <w:rPr>
          <w:rFonts w:cs="Arial"/>
          <w:sz w:val="24"/>
          <w:szCs w:val="24"/>
        </w:rPr>
        <w:t>Faitna</w:t>
      </w:r>
      <w:proofErr w:type="spellEnd"/>
      <w:r w:rsidRPr="00D64727">
        <w:rPr>
          <w:rFonts w:cs="Arial"/>
          <w:sz w:val="24"/>
          <w:szCs w:val="24"/>
        </w:rPr>
        <w:t xml:space="preserve">, P., Bottle, A., Klaber, B., &amp; Aylin, P. P. (2024). Has multimorbidity and frailty in adult hospital admissions changed over the last 15 years? A retrospective study of 107 million admissions in England. </w:t>
      </w:r>
      <w:r w:rsidRPr="00D64727">
        <w:rPr>
          <w:rFonts w:cs="Arial"/>
          <w:i/>
          <w:iCs/>
          <w:sz w:val="24"/>
          <w:szCs w:val="24"/>
        </w:rPr>
        <w:t>BMC Medicine</w:t>
      </w:r>
      <w:r w:rsidRPr="00D64727">
        <w:rPr>
          <w:rFonts w:cs="Arial"/>
          <w:sz w:val="24"/>
          <w:szCs w:val="24"/>
        </w:rPr>
        <w:t xml:space="preserve">, </w:t>
      </w:r>
      <w:r w:rsidRPr="00D64727">
        <w:rPr>
          <w:rFonts w:cs="Arial"/>
          <w:i/>
          <w:iCs/>
          <w:sz w:val="24"/>
          <w:szCs w:val="24"/>
        </w:rPr>
        <w:t>22</w:t>
      </w:r>
      <w:r w:rsidRPr="00D64727">
        <w:rPr>
          <w:rFonts w:cs="Arial"/>
          <w:sz w:val="24"/>
          <w:szCs w:val="24"/>
        </w:rPr>
        <w:t xml:space="preserve">. </w:t>
      </w:r>
      <w:hyperlink r:id="rId14" w:tgtFrame="_blank" w:history="1">
        <w:r w:rsidRPr="00D64727">
          <w:rPr>
            <w:rStyle w:val="Hyperlink"/>
            <w:rFonts w:cs="Arial"/>
            <w:sz w:val="24"/>
            <w:szCs w:val="24"/>
          </w:rPr>
          <w:t>https://doi.org/10.1186/s12916-024-03572-z</w:t>
        </w:r>
      </w:hyperlink>
    </w:p>
    <w:p w14:paraId="6BEDB95C" w14:textId="77777777"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McKee, M., Dunnell, K., Anderson, M., </w:t>
      </w:r>
      <w:proofErr w:type="spellStart"/>
      <w:r w:rsidRPr="00D64727">
        <w:rPr>
          <w:rFonts w:eastAsia="Times New Roman" w:cs="Arial"/>
          <w:color w:val="000000" w:themeColor="text1"/>
          <w:sz w:val="24"/>
          <w:szCs w:val="24"/>
          <w:lang w:val="en-US" w:eastAsia="en-US"/>
        </w:rPr>
        <w:t>Brayne</w:t>
      </w:r>
      <w:proofErr w:type="spellEnd"/>
      <w:r w:rsidRPr="00D64727">
        <w:rPr>
          <w:rFonts w:eastAsia="Times New Roman" w:cs="Arial"/>
          <w:color w:val="000000" w:themeColor="text1"/>
          <w:sz w:val="24"/>
          <w:szCs w:val="24"/>
          <w:lang w:val="en-US" w:eastAsia="en-US"/>
        </w:rPr>
        <w:t xml:space="preserve">, C., Charlesworth, A., Johnston-Webber, C., Knapp, M., McGuire, A., Newton, J.N., Taylor, D. and Watt, R.G. </w:t>
      </w:r>
      <w:r w:rsidRPr="00D64727">
        <w:rPr>
          <w:rFonts w:eastAsia="Times New Roman" w:cs="Arial"/>
          <w:color w:val="000000" w:themeColor="text1"/>
          <w:sz w:val="24"/>
          <w:szCs w:val="24"/>
          <w:lang w:val="en-US" w:eastAsia="en-US"/>
        </w:rPr>
        <w:lastRenderedPageBreak/>
        <w:t xml:space="preserve">(2021). The changing health needs of the UK population. </w:t>
      </w:r>
      <w:r w:rsidRPr="00D64727">
        <w:rPr>
          <w:rFonts w:eastAsia="Times New Roman" w:cs="Arial"/>
          <w:i/>
          <w:iCs/>
          <w:color w:val="000000" w:themeColor="text1"/>
          <w:sz w:val="24"/>
          <w:szCs w:val="24"/>
          <w:lang w:val="en-US" w:eastAsia="en-US"/>
        </w:rPr>
        <w:t>The Lancet</w:t>
      </w:r>
      <w:r w:rsidRPr="00D64727">
        <w:rPr>
          <w:rFonts w:eastAsia="Times New Roman" w:cs="Arial"/>
          <w:color w:val="000000" w:themeColor="text1"/>
          <w:sz w:val="24"/>
          <w:szCs w:val="24"/>
          <w:lang w:val="en-US" w:eastAsia="en-US"/>
        </w:rPr>
        <w:t>, 397(10288), pp.1979–1991.</w:t>
      </w:r>
    </w:p>
    <w:p w14:paraId="19ECEB98" w14:textId="22B0E560"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w:t>
      </w:r>
      <w:r w:rsidRPr="00D64727">
        <w:rPr>
          <w:rFonts w:cs="Arial"/>
          <w:color w:val="000000" w:themeColor="text1"/>
          <w:sz w:val="24"/>
          <w:szCs w:val="24"/>
        </w:rPr>
        <w:t xml:space="preserve"> </w:t>
      </w:r>
      <w:r w:rsidRPr="00D64727">
        <w:rPr>
          <w:rFonts w:eastAsia="Times New Roman" w:cs="Arial"/>
          <w:color w:val="000000" w:themeColor="text1"/>
          <w:sz w:val="24"/>
          <w:szCs w:val="24"/>
          <w:lang w:val="en-US" w:eastAsia="en-US"/>
        </w:rPr>
        <w:t xml:space="preserve">Smith, J.B. and Stenhouse, R. (2025). Navigating the System of Regulation and Practice in the </w:t>
      </w:r>
      <w:proofErr w:type="gramStart"/>
      <w:r w:rsidRPr="00D64727">
        <w:rPr>
          <w:rFonts w:eastAsia="Times New Roman" w:cs="Arial"/>
          <w:color w:val="000000" w:themeColor="text1"/>
          <w:sz w:val="24"/>
          <w:szCs w:val="24"/>
          <w:lang w:val="en-US" w:eastAsia="en-US"/>
        </w:rPr>
        <w:t>UK :</w:t>
      </w:r>
      <w:proofErr w:type="gramEnd"/>
      <w:r w:rsidRPr="00D64727">
        <w:rPr>
          <w:rFonts w:eastAsia="Times New Roman" w:cs="Arial"/>
          <w:color w:val="000000" w:themeColor="text1"/>
          <w:sz w:val="24"/>
          <w:szCs w:val="24"/>
          <w:lang w:val="en-US" w:eastAsia="en-US"/>
        </w:rPr>
        <w:t xml:space="preserve"> Towards a Posthuman Institutional </w:t>
      </w:r>
      <w:proofErr w:type="gramStart"/>
      <w:r w:rsidRPr="00D64727">
        <w:rPr>
          <w:rFonts w:eastAsia="Times New Roman" w:cs="Arial"/>
          <w:color w:val="000000" w:themeColor="text1"/>
          <w:sz w:val="24"/>
          <w:szCs w:val="24"/>
          <w:lang w:val="en-US" w:eastAsia="en-US"/>
        </w:rPr>
        <w:t>Ethnography of Nursing</w:t>
      </w:r>
      <w:proofErr w:type="gramEnd"/>
      <w:r w:rsidRPr="00D64727">
        <w:rPr>
          <w:rFonts w:eastAsia="Times New Roman" w:cs="Arial"/>
          <w:color w:val="000000" w:themeColor="text1"/>
          <w:sz w:val="24"/>
          <w:szCs w:val="24"/>
          <w:lang w:val="en-US" w:eastAsia="en-US"/>
        </w:rPr>
        <w:t xml:space="preserve">. </w:t>
      </w:r>
      <w:r w:rsidRPr="00D64727">
        <w:rPr>
          <w:rFonts w:eastAsia="Times New Roman" w:cs="Arial"/>
          <w:i/>
          <w:iCs/>
          <w:color w:val="000000" w:themeColor="text1"/>
          <w:sz w:val="24"/>
          <w:szCs w:val="24"/>
          <w:lang w:val="en-US" w:eastAsia="en-US"/>
        </w:rPr>
        <w:t>Journal of Advanced Nursing</w:t>
      </w:r>
      <w:r w:rsidRPr="00D64727">
        <w:rPr>
          <w:rFonts w:eastAsia="Times New Roman" w:cs="Arial"/>
          <w:color w:val="000000" w:themeColor="text1"/>
          <w:sz w:val="24"/>
          <w:szCs w:val="24"/>
          <w:lang w:val="en-US" w:eastAsia="en-US"/>
        </w:rPr>
        <w:t>, 82(2), pp.1601–1613. doi:</w:t>
      </w:r>
      <w:hyperlink r:id="rId15" w:history="1">
        <w:r w:rsidRPr="00D64727">
          <w:rPr>
            <w:rStyle w:val="Hyperlink"/>
            <w:rFonts w:eastAsia="Times New Roman" w:cs="Arial"/>
            <w:kern w:val="0"/>
            <w:sz w:val="24"/>
            <w:szCs w:val="24"/>
            <w:lang w:val="en-US" w:eastAsia="en-US"/>
            <w14:ligatures w14:val="none"/>
          </w:rPr>
          <w:t>10.1111/jan.17077.</w:t>
        </w:r>
      </w:hyperlink>
    </w:p>
    <w:p w14:paraId="3116F2B9" w14:textId="0EE694F9" w:rsidR="005A0B82" w:rsidRPr="00D64727" w:rsidRDefault="005A0B82" w:rsidP="00D64727">
      <w:pPr>
        <w:ind w:left="720" w:hanging="720"/>
        <w:rPr>
          <w:rFonts w:eastAsia="Times New Roman" w:cs="Arial"/>
          <w:color w:val="000000" w:themeColor="text1"/>
          <w:sz w:val="24"/>
          <w:szCs w:val="24"/>
          <w:lang w:val="en-US" w:eastAsia="en-US"/>
        </w:rPr>
      </w:pPr>
      <w:r w:rsidRPr="00D64727">
        <w:rPr>
          <w:rFonts w:eastAsia="Times New Roman" w:cs="Arial"/>
          <w:color w:val="000000" w:themeColor="text1"/>
          <w:sz w:val="24"/>
          <w:szCs w:val="24"/>
          <w:lang w:val="en-US" w:eastAsia="en-US"/>
        </w:rPr>
        <w:t xml:space="preserve">Tamaz </w:t>
      </w:r>
      <w:proofErr w:type="spellStart"/>
      <w:r w:rsidRPr="00D64727">
        <w:rPr>
          <w:rFonts w:eastAsia="Times New Roman" w:cs="Arial"/>
          <w:color w:val="000000" w:themeColor="text1"/>
          <w:sz w:val="24"/>
          <w:szCs w:val="24"/>
          <w:lang w:val="en-US" w:eastAsia="en-US"/>
        </w:rPr>
        <w:t>Zubiashvili</w:t>
      </w:r>
      <w:proofErr w:type="spellEnd"/>
      <w:r w:rsidRPr="00D64727">
        <w:rPr>
          <w:rFonts w:eastAsia="Times New Roman" w:cs="Arial"/>
          <w:color w:val="000000" w:themeColor="text1"/>
          <w:sz w:val="24"/>
          <w:szCs w:val="24"/>
          <w:lang w:val="en-US" w:eastAsia="en-US"/>
        </w:rPr>
        <w:t xml:space="preserve"> and Nino Zubiashvili (2021). POPULATION AGING -A GLOBAL CHALLENGE. </w:t>
      </w:r>
      <w:proofErr w:type="spellStart"/>
      <w:r w:rsidRPr="00D64727">
        <w:rPr>
          <w:rFonts w:eastAsia="Times New Roman" w:cs="Arial"/>
          <w:i/>
          <w:iCs/>
          <w:color w:val="000000" w:themeColor="text1"/>
          <w:sz w:val="24"/>
          <w:szCs w:val="24"/>
          <w:lang w:val="en-US" w:eastAsia="en-US"/>
        </w:rPr>
        <w:t>Ecoforum</w:t>
      </w:r>
      <w:proofErr w:type="spellEnd"/>
      <w:r w:rsidRPr="00D64727">
        <w:rPr>
          <w:rFonts w:eastAsia="Times New Roman" w:cs="Arial"/>
          <w:color w:val="000000" w:themeColor="text1"/>
          <w:sz w:val="24"/>
          <w:szCs w:val="24"/>
          <w:lang w:val="en-US" w:eastAsia="en-US"/>
        </w:rPr>
        <w:t xml:space="preserve">, [online] 10(2), p.2021. </w:t>
      </w:r>
    </w:p>
    <w:p w14:paraId="5CEA9774" w14:textId="77777777" w:rsidR="000A546E" w:rsidRPr="00D64727" w:rsidRDefault="000A546E" w:rsidP="00D64727">
      <w:pPr>
        <w:ind w:left="720" w:hanging="720"/>
        <w:rPr>
          <w:rFonts w:cs="Arial"/>
          <w:sz w:val="24"/>
          <w:szCs w:val="24"/>
          <w:lang w:val="en-US"/>
        </w:rPr>
      </w:pPr>
      <w:r w:rsidRPr="00D64727">
        <w:rPr>
          <w:rFonts w:cs="Arial"/>
          <w:sz w:val="24"/>
          <w:szCs w:val="24"/>
          <w:lang w:val="en-US"/>
        </w:rPr>
        <w:t xml:space="preserve">Lu, X., Yao, Y., &amp; Jin, Y. (2022). Digital Exclusion and functional dependence in older people: Findings from five longitudinal cohort studies. </w:t>
      </w:r>
      <w:proofErr w:type="spellStart"/>
      <w:r w:rsidRPr="00D64727">
        <w:rPr>
          <w:rFonts w:cs="Arial"/>
          <w:i/>
          <w:iCs/>
          <w:sz w:val="24"/>
          <w:szCs w:val="24"/>
          <w:lang w:val="en-US"/>
        </w:rPr>
        <w:t>eClinicalMedicine</w:t>
      </w:r>
      <w:proofErr w:type="spellEnd"/>
      <w:r w:rsidRPr="00D64727">
        <w:rPr>
          <w:rFonts w:cs="Arial"/>
          <w:sz w:val="24"/>
          <w:szCs w:val="24"/>
          <w:lang w:val="en-US"/>
        </w:rPr>
        <w:t xml:space="preserve">, </w:t>
      </w:r>
      <w:r w:rsidRPr="00D64727">
        <w:rPr>
          <w:rFonts w:cs="Arial"/>
          <w:i/>
          <w:iCs/>
          <w:sz w:val="24"/>
          <w:szCs w:val="24"/>
          <w:lang w:val="en-US"/>
        </w:rPr>
        <w:t>54</w:t>
      </w:r>
      <w:r w:rsidRPr="00D64727">
        <w:rPr>
          <w:rFonts w:cs="Arial"/>
          <w:sz w:val="24"/>
          <w:szCs w:val="24"/>
          <w:lang w:val="en-US"/>
        </w:rPr>
        <w:t xml:space="preserve">(54), 101708. </w:t>
      </w:r>
      <w:hyperlink r:id="rId16" w:history="1">
        <w:r w:rsidRPr="00D64727">
          <w:rPr>
            <w:rStyle w:val="Hyperlink"/>
            <w:rFonts w:cs="Arial"/>
            <w:sz w:val="24"/>
            <w:szCs w:val="24"/>
            <w:lang w:val="en-US"/>
          </w:rPr>
          <w:t>https://doi.org/10.1016/j.eclinm.2022.101708</w:t>
        </w:r>
      </w:hyperlink>
      <w:r w:rsidRPr="00D64727">
        <w:rPr>
          <w:rFonts w:cs="Arial"/>
          <w:sz w:val="24"/>
          <w:szCs w:val="24"/>
          <w:lang w:val="en-US"/>
        </w:rPr>
        <w:t xml:space="preserve"> </w:t>
      </w:r>
    </w:p>
    <w:p w14:paraId="4A1F2BBE" w14:textId="77777777" w:rsidR="000A546E" w:rsidRPr="00D64727" w:rsidRDefault="000A546E" w:rsidP="00D64727">
      <w:pPr>
        <w:ind w:left="720" w:hanging="720"/>
        <w:rPr>
          <w:rFonts w:cs="Arial"/>
          <w:sz w:val="24"/>
          <w:szCs w:val="24"/>
          <w:lang w:val="en-US"/>
        </w:rPr>
      </w:pPr>
      <w:r w:rsidRPr="00D64727">
        <w:rPr>
          <w:rFonts w:cs="Arial"/>
          <w:sz w:val="24"/>
          <w:szCs w:val="24"/>
          <w:lang w:val="en-US"/>
        </w:rPr>
        <w:t xml:space="preserve">Litchfield, I., Shukla, D., and Greenfield, S. (2026). Understanding digital inclusion through the transformation of services and users: A narrative review and novel framework. </w:t>
      </w:r>
      <w:r w:rsidRPr="00D64727">
        <w:rPr>
          <w:rFonts w:cs="Arial"/>
          <w:i/>
          <w:iCs/>
          <w:sz w:val="24"/>
          <w:szCs w:val="24"/>
          <w:lang w:val="en-US"/>
        </w:rPr>
        <w:t>BMJ Digital Health and AI</w:t>
      </w:r>
      <w:r w:rsidRPr="00D64727">
        <w:rPr>
          <w:rFonts w:cs="Arial"/>
          <w:sz w:val="24"/>
          <w:szCs w:val="24"/>
          <w:lang w:val="en-US"/>
        </w:rPr>
        <w:t xml:space="preserve">, </w:t>
      </w:r>
      <w:r w:rsidRPr="00D64727">
        <w:rPr>
          <w:rFonts w:cs="Arial"/>
          <w:i/>
          <w:iCs/>
          <w:sz w:val="24"/>
          <w:szCs w:val="24"/>
          <w:lang w:val="en-US"/>
        </w:rPr>
        <w:t>2</w:t>
      </w:r>
      <w:r w:rsidRPr="00D64727">
        <w:rPr>
          <w:rFonts w:cs="Arial"/>
          <w:sz w:val="24"/>
          <w:szCs w:val="24"/>
          <w:lang w:val="en-US"/>
        </w:rPr>
        <w:t xml:space="preserve">(1), e000051. </w:t>
      </w:r>
      <w:hyperlink r:id="rId17" w:history="1">
        <w:r w:rsidRPr="00D64727">
          <w:rPr>
            <w:rStyle w:val="Hyperlink"/>
            <w:rFonts w:cs="Arial"/>
            <w:sz w:val="24"/>
            <w:szCs w:val="24"/>
            <w:lang w:val="en-US"/>
          </w:rPr>
          <w:t>https://doi.org/10.1136/bmjdh-2026-000051</w:t>
        </w:r>
      </w:hyperlink>
      <w:r w:rsidRPr="00D64727">
        <w:rPr>
          <w:rFonts w:cs="Arial"/>
          <w:sz w:val="24"/>
          <w:szCs w:val="24"/>
          <w:lang w:val="en-US"/>
        </w:rPr>
        <w:t xml:space="preserve">  </w:t>
      </w:r>
    </w:p>
    <w:p w14:paraId="636E375B" w14:textId="53E47D21" w:rsidR="000A546E" w:rsidRPr="00D64727" w:rsidRDefault="000A546E" w:rsidP="00D64727">
      <w:pPr>
        <w:ind w:left="720" w:hanging="720"/>
        <w:rPr>
          <w:rFonts w:eastAsia="Times New Roman" w:cs="Arial"/>
          <w:color w:val="1F1F1F"/>
          <w:sz w:val="24"/>
          <w:szCs w:val="24"/>
          <w:lang w:val="en-US" w:eastAsia="en-US"/>
        </w:rPr>
      </w:pPr>
      <w:proofErr w:type="spellStart"/>
      <w:r w:rsidRPr="00D64727">
        <w:rPr>
          <w:rFonts w:eastAsia="Times New Roman" w:cs="Arial"/>
          <w:color w:val="1F1F1F"/>
          <w:sz w:val="24"/>
          <w:szCs w:val="24"/>
          <w:lang w:val="en-US" w:eastAsia="en-US"/>
        </w:rPr>
        <w:t>Alderwick</w:t>
      </w:r>
      <w:proofErr w:type="spellEnd"/>
      <w:r w:rsidRPr="00D64727">
        <w:rPr>
          <w:rFonts w:eastAsia="Times New Roman" w:cs="Arial"/>
          <w:color w:val="1F1F1F"/>
          <w:sz w:val="24"/>
          <w:szCs w:val="24"/>
          <w:lang w:val="en-US" w:eastAsia="en-US"/>
        </w:rPr>
        <w:t xml:space="preserve">, H., Hutchings, A., and Mays, N. (2022). A cure for everything and nothing? Local partnerships for improving health in England. </w:t>
      </w:r>
      <w:r w:rsidRPr="00D64727">
        <w:rPr>
          <w:rFonts w:eastAsia="Times New Roman" w:cs="Arial"/>
          <w:i/>
          <w:iCs/>
          <w:color w:val="1F1F1F"/>
          <w:sz w:val="24"/>
          <w:szCs w:val="24"/>
          <w:bdr w:val="none" w:sz="0" w:space="0" w:color="auto" w:frame="1"/>
          <w:lang w:val="en-US" w:eastAsia="en-US"/>
        </w:rPr>
        <w:t>BMJ</w:t>
      </w:r>
      <w:r w:rsidRPr="00D64727">
        <w:rPr>
          <w:rFonts w:eastAsia="Times New Roman" w:cs="Arial"/>
          <w:color w:val="1F1F1F"/>
          <w:sz w:val="24"/>
          <w:szCs w:val="24"/>
          <w:lang w:val="en-US" w:eastAsia="en-US"/>
        </w:rPr>
        <w:t xml:space="preserve">, e070910.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HYPERLINK "https://doi.org/10.1136/bmj-2022-070910 </w:instrText>
      </w:r>
    </w:p>
    <w:p w14:paraId="164E7FFE" w14:textId="77777777" w:rsidR="000A546E" w:rsidRPr="00D64727" w:rsidRDefault="000A546E" w:rsidP="00D64727">
      <w:pPr>
        <w:ind w:left="720" w:hanging="720"/>
        <w:rPr>
          <w:rStyle w:val="Hyperlink"/>
          <w:rFonts w:eastAsia="Times New Roman" w:cs="Arial"/>
          <w:kern w:val="0"/>
          <w:sz w:val="24"/>
          <w:szCs w:val="24"/>
          <w:bdr w:val="none" w:sz="0" w:space="0" w:color="auto" w:frame="1"/>
          <w:lang w:val="en-US" w:eastAsia="en-US"/>
          <w14:ligatures w14:val="none"/>
        </w:rPr>
      </w:pPr>
      <w:r w:rsidRPr="00D64727">
        <w:rPr>
          <w:rFonts w:eastAsia="Times New Roman" w:cs="Arial"/>
          <w:color w:val="000000"/>
          <w:sz w:val="24"/>
          <w:szCs w:val="24"/>
          <w:u w:val="single"/>
          <w:bdr w:val="none" w:sz="0" w:space="0" w:color="auto" w:frame="1"/>
          <w:lang w:val="en-US" w:eastAsia="en-US"/>
        </w:rPr>
        <w:instrText>"</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 xml:space="preserve">https://doi.org/10.1136/bmj-2022-070910 </w:t>
      </w:r>
    </w:p>
    <w:p w14:paraId="687E1770" w14:textId="494FE77F" w:rsidR="006160F3" w:rsidRPr="00D64727" w:rsidRDefault="000A546E" w:rsidP="00D64727">
      <w:pPr>
        <w:ind w:left="720" w:hanging="720"/>
        <w:rPr>
          <w:rFonts w:cs="Arial"/>
          <w:sz w:val="24"/>
          <w:szCs w:val="24"/>
        </w:rPr>
      </w:pPr>
      <w:r w:rsidRPr="00D64727">
        <w:rPr>
          <w:rFonts w:cs="Arial"/>
          <w:color w:val="000000"/>
          <w:sz w:val="24"/>
          <w:szCs w:val="24"/>
          <w:u w:val="single"/>
          <w:bdr w:val="none" w:sz="0" w:space="0" w:color="auto" w:frame="1"/>
          <w:lang w:val="en-US" w:eastAsia="en-US"/>
        </w:rPr>
        <w:fldChar w:fldCharType="end"/>
      </w:r>
      <w:r w:rsidR="006160F3" w:rsidRPr="00D64727">
        <w:rPr>
          <w:rFonts w:cs="Arial"/>
          <w:sz w:val="24"/>
          <w:szCs w:val="24"/>
        </w:rPr>
        <w:t xml:space="preserve"> </w:t>
      </w:r>
      <w:r w:rsidR="006160F3" w:rsidRPr="00D64727">
        <w:rPr>
          <w:rFonts w:cs="Arial"/>
          <w:bCs/>
          <w:sz w:val="24"/>
          <w:szCs w:val="24"/>
        </w:rPr>
        <w:t>Rangachari, P., Al Arkoubi, K. and Shindi, R.</w:t>
      </w:r>
      <w:r w:rsidR="006160F3" w:rsidRPr="00D64727">
        <w:rPr>
          <w:rFonts w:cs="Arial"/>
          <w:sz w:val="24"/>
          <w:szCs w:val="24"/>
        </w:rPr>
        <w:t xml:space="preserve"> (2025) 'A multi-level framework for advancing digital health equity in learning health systems: aligning practice and theory with the Quintuple Aim', </w:t>
      </w:r>
      <w:r w:rsidR="006160F3" w:rsidRPr="00D64727">
        <w:rPr>
          <w:rFonts w:cs="Arial"/>
          <w:i/>
          <w:iCs/>
          <w:sz w:val="24"/>
          <w:szCs w:val="24"/>
        </w:rPr>
        <w:t>BMC Health Services Research</w:t>
      </w:r>
      <w:r w:rsidR="006160F3" w:rsidRPr="00D64727">
        <w:rPr>
          <w:rFonts w:cs="Arial"/>
          <w:sz w:val="24"/>
          <w:szCs w:val="24"/>
        </w:rPr>
        <w:t xml:space="preserve">, 25, 1205. Available at: </w:t>
      </w:r>
      <w:hyperlink r:id="rId18" w:tgtFrame="_blank" w:history="1">
        <w:r w:rsidR="006160F3" w:rsidRPr="00D64727">
          <w:rPr>
            <w:rStyle w:val="Hyperlink"/>
            <w:rFonts w:eastAsia="Calibri Light" w:cs="Arial"/>
            <w:sz w:val="24"/>
            <w:szCs w:val="24"/>
          </w:rPr>
          <w:t>https://pubmed.ncbi.nlm.nih.gov/41057836/</w:t>
        </w:r>
      </w:hyperlink>
      <w:r w:rsidR="006160F3" w:rsidRPr="00D64727">
        <w:rPr>
          <w:rFonts w:cs="Arial"/>
          <w:sz w:val="24"/>
          <w:szCs w:val="24"/>
        </w:rPr>
        <w:t xml:space="preserve">.  </w:t>
      </w:r>
    </w:p>
    <w:p w14:paraId="40442AA7" w14:textId="48561BCC" w:rsidR="000A546E" w:rsidRPr="00D64727" w:rsidRDefault="000A546E" w:rsidP="00D64727">
      <w:pPr>
        <w:ind w:left="720" w:hanging="720"/>
        <w:rPr>
          <w:rStyle w:val="Hyperlink"/>
          <w:rFonts w:eastAsia="Times New Roman" w:cs="Arial"/>
          <w:color w:val="1F1F1F"/>
          <w:sz w:val="24"/>
          <w:szCs w:val="24"/>
          <w:u w:val="none"/>
          <w:lang w:val="de-DE" w:eastAsia="en-US"/>
        </w:rPr>
      </w:pPr>
      <w:r w:rsidRPr="00D64727">
        <w:rPr>
          <w:rFonts w:eastAsia="Times New Roman" w:cs="Arial"/>
          <w:color w:val="1F1F1F"/>
          <w:sz w:val="24"/>
          <w:szCs w:val="24"/>
          <w:lang w:val="de-DE" w:eastAsia="en-US"/>
        </w:rPr>
        <w:t xml:space="preserve">Boyer, B., Huber, K., Zimlichman, E., Saunders, R., McClellan, M., Kahn, C., Noach, R., and Salzberg, C. (2024). </w:t>
      </w:r>
      <w:r w:rsidRPr="00D64727">
        <w:rPr>
          <w:rFonts w:eastAsia="Times New Roman" w:cs="Arial"/>
          <w:color w:val="1F1F1F"/>
          <w:sz w:val="24"/>
          <w:szCs w:val="24"/>
          <w:lang w:val="en-US" w:eastAsia="en-US"/>
        </w:rPr>
        <w:t xml:space="preserve">Advancing the future of equitable access to health care: recommendations from international health care leaders. </w:t>
      </w:r>
      <w:r w:rsidRPr="00D64727">
        <w:rPr>
          <w:rFonts w:eastAsia="Times New Roman" w:cs="Arial"/>
          <w:i/>
          <w:iCs/>
          <w:color w:val="1F1F1F"/>
          <w:sz w:val="24"/>
          <w:szCs w:val="24"/>
          <w:bdr w:val="none" w:sz="0" w:space="0" w:color="auto" w:frame="1"/>
          <w:lang w:val="en-US" w:eastAsia="en-US"/>
        </w:rPr>
        <w:t>Health Affairs Scholar</w:t>
      </w:r>
      <w:r w:rsidRPr="00D64727">
        <w:rPr>
          <w:rFonts w:eastAsia="Times New Roman" w:cs="Arial"/>
          <w:color w:val="1F1F1F"/>
          <w:sz w:val="24"/>
          <w:szCs w:val="24"/>
          <w:lang w:val="en-US" w:eastAsia="en-US"/>
        </w:rPr>
        <w:t xml:space="preserve">, 2.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"https://doi.org/10.1093/haschl/qxae094?utm_source=gemini"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https://doi.org/10.1093/haschl/qxae094</w:t>
      </w:r>
    </w:p>
    <w:p w14:paraId="343C9753" w14:textId="3A2046C5"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000000"/>
          <w:sz w:val="24"/>
          <w:szCs w:val="24"/>
          <w:u w:val="single"/>
          <w:bdr w:val="none" w:sz="0" w:space="0" w:color="auto" w:frame="1"/>
          <w:lang w:val="en-US" w:eastAsia="en-US"/>
        </w:rPr>
        <w:fldChar w:fldCharType="end"/>
      </w:r>
      <w:r w:rsidRPr="00D64727">
        <w:rPr>
          <w:rFonts w:eastAsia="Times New Roman" w:cs="Arial"/>
          <w:color w:val="1F1F1F"/>
          <w:sz w:val="24"/>
          <w:szCs w:val="24"/>
          <w:lang w:val="en-US" w:eastAsia="en-US"/>
        </w:rPr>
        <w:t xml:space="preserve">Chaturvedi, A., Zhu, A., </w:t>
      </w:r>
      <w:proofErr w:type="spellStart"/>
      <w:r w:rsidRPr="00D64727">
        <w:rPr>
          <w:rFonts w:eastAsia="Times New Roman" w:cs="Arial"/>
          <w:color w:val="1F1F1F"/>
          <w:sz w:val="24"/>
          <w:szCs w:val="24"/>
          <w:lang w:val="en-US" w:eastAsia="en-US"/>
        </w:rPr>
        <w:t>Gadela</w:t>
      </w:r>
      <w:proofErr w:type="spellEnd"/>
      <w:r w:rsidRPr="00D64727">
        <w:rPr>
          <w:rFonts w:eastAsia="Times New Roman" w:cs="Arial"/>
          <w:color w:val="1F1F1F"/>
          <w:sz w:val="24"/>
          <w:szCs w:val="24"/>
          <w:lang w:val="en-US" w:eastAsia="en-US"/>
        </w:rPr>
        <w:t xml:space="preserve">, N. V., Prabhakaran, D., and Jafar, T. H. (2024). Social Determinants of Health and Disparities in Hypertension and Cardiovascular Diseases. </w:t>
      </w:r>
      <w:r w:rsidRPr="00D64727">
        <w:rPr>
          <w:rFonts w:eastAsia="Times New Roman" w:cs="Arial"/>
          <w:i/>
          <w:iCs/>
          <w:color w:val="1F1F1F"/>
          <w:sz w:val="24"/>
          <w:szCs w:val="24"/>
          <w:bdr w:val="none" w:sz="0" w:space="0" w:color="auto" w:frame="1"/>
          <w:lang w:val="en-US" w:eastAsia="en-US"/>
        </w:rPr>
        <w:t>Hypertension</w:t>
      </w:r>
      <w:r w:rsidRPr="00D64727">
        <w:rPr>
          <w:rFonts w:eastAsia="Times New Roman" w:cs="Arial"/>
          <w:color w:val="1F1F1F"/>
          <w:sz w:val="24"/>
          <w:szCs w:val="24"/>
          <w:lang w:val="en-US" w:eastAsia="en-US"/>
        </w:rPr>
        <w:t xml:space="preserve">, 81, 387-399.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"https://doi.org/10.1161/hypertensionaha.123.21354?utm_source=gemini"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https://doi.org/10.1161/hypertensionaha.123.21354</w:t>
      </w:r>
    </w:p>
    <w:p w14:paraId="1A26AE64" w14:textId="56C7D9B0" w:rsidR="000A546E" w:rsidRPr="00D64727" w:rsidRDefault="000A546E" w:rsidP="00D64727">
      <w:pPr>
        <w:ind w:left="720" w:hanging="720"/>
        <w:rPr>
          <w:rFonts w:eastAsia="Times New Roman" w:cs="Arial"/>
          <w:color w:val="1F1F1F"/>
          <w:sz w:val="24"/>
          <w:szCs w:val="24"/>
          <w:lang w:val="en-US" w:eastAsia="en-US"/>
        </w:rPr>
      </w:pPr>
      <w:r w:rsidRPr="00D64727">
        <w:rPr>
          <w:rFonts w:eastAsia="Times New Roman" w:cs="Arial"/>
          <w:color w:val="000000"/>
          <w:sz w:val="24"/>
          <w:szCs w:val="24"/>
          <w:u w:val="single"/>
          <w:bdr w:val="none" w:sz="0" w:space="0" w:color="auto" w:frame="1"/>
          <w:lang w:val="en-US" w:eastAsia="en-US"/>
        </w:rPr>
        <w:lastRenderedPageBreak/>
        <w:fldChar w:fldCharType="end"/>
      </w:r>
      <w:r w:rsidR="0084610B" w:rsidRPr="00D64727">
        <w:rPr>
          <w:rFonts w:eastAsia="Times New Roman" w:cs="Arial"/>
          <w:color w:val="1F1F1F"/>
          <w:sz w:val="24"/>
          <w:szCs w:val="24"/>
          <w:lang w:val="en-US" w:eastAsia="en-US"/>
        </w:rPr>
        <w:t xml:space="preserve"> </w:t>
      </w:r>
      <w:r w:rsidRPr="00D64727">
        <w:rPr>
          <w:rFonts w:eastAsia="Times New Roman" w:cs="Arial"/>
          <w:color w:val="1F1F1F"/>
          <w:sz w:val="24"/>
          <w:szCs w:val="24"/>
          <w:lang w:val="en-US" w:eastAsia="en-US"/>
        </w:rPr>
        <w:t xml:space="preserve">Chen, W.-H., Lee, Y.-A., Tang, H., Li, C., Lu, Y., Huang, Y., Yin, R., Armstrong, M. J., Yang, Y., </w:t>
      </w:r>
      <w:proofErr w:type="spellStart"/>
      <w:r w:rsidRPr="00D64727">
        <w:rPr>
          <w:rFonts w:eastAsia="Times New Roman" w:cs="Arial"/>
          <w:color w:val="1F1F1F"/>
          <w:sz w:val="24"/>
          <w:szCs w:val="24"/>
          <w:lang w:val="en-US" w:eastAsia="en-US"/>
        </w:rPr>
        <w:t>Štiglic</w:t>
      </w:r>
      <w:proofErr w:type="spellEnd"/>
      <w:r w:rsidRPr="00D64727">
        <w:rPr>
          <w:rFonts w:eastAsia="Times New Roman" w:cs="Arial"/>
          <w:color w:val="1F1F1F"/>
          <w:sz w:val="24"/>
          <w:szCs w:val="24"/>
          <w:lang w:val="en-US" w:eastAsia="en-US"/>
        </w:rPr>
        <w:t xml:space="preserve">, G., Bian, J., and Guo, J. (2025). Social Determinants of Healthy Aging: An Investigation using the All of Us Cohort. </w:t>
      </w:r>
      <w:r w:rsidRPr="00D64727">
        <w:rPr>
          <w:rFonts w:eastAsia="Times New Roman" w:cs="Arial"/>
          <w:i/>
          <w:iCs/>
          <w:color w:val="1F1F1F"/>
          <w:sz w:val="24"/>
          <w:szCs w:val="24"/>
          <w:bdr w:val="none" w:sz="0" w:space="0" w:color="auto" w:frame="1"/>
          <w:lang w:val="en-US" w:eastAsia="en-US"/>
        </w:rPr>
        <w:t>Cold Spring Harbor Laboratory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HYPERLINK "https://doi.org/10.1101/2025.01.02.25319907 </w:instrText>
      </w:r>
    </w:p>
    <w:p w14:paraId="58FCF0F8"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instrText>"</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 xml:space="preserve">https://doi.org/10.1101/2025.01.02.25319907 </w:t>
      </w:r>
    </w:p>
    <w:p w14:paraId="7BDE9931" w14:textId="5E51CC76" w:rsidR="00971BF9" w:rsidRPr="00D64727" w:rsidRDefault="000A546E" w:rsidP="00D64727">
      <w:pPr>
        <w:ind w:left="720" w:hanging="720"/>
        <w:rPr>
          <w:rFonts w:cs="Arial"/>
          <w:sz w:val="24"/>
          <w:szCs w:val="24"/>
        </w:rPr>
      </w:pPr>
      <w:r w:rsidRPr="00D64727">
        <w:rPr>
          <w:rFonts w:eastAsia="Times New Roman" w:cs="Arial"/>
          <w:color w:val="000000"/>
          <w:sz w:val="24"/>
          <w:szCs w:val="24"/>
          <w:u w:val="single"/>
          <w:bdr w:val="none" w:sz="0" w:space="0" w:color="auto" w:frame="1"/>
          <w:lang w:val="en-US" w:eastAsia="en-US"/>
        </w:rPr>
        <w:fldChar w:fldCharType="end"/>
      </w:r>
      <w:r w:rsidR="00971BF9" w:rsidRPr="00D64727">
        <w:rPr>
          <w:rFonts w:cs="Arial"/>
          <w:sz w:val="24"/>
          <w:szCs w:val="24"/>
        </w:rPr>
        <w:t xml:space="preserve"> Cooper-Moss, N., Umpleby, K., Roberts, C., et al. (2024). Barriers to Healthcare for People </w:t>
      </w:r>
      <w:proofErr w:type="gramStart"/>
      <w:r w:rsidR="00971BF9" w:rsidRPr="00D64727">
        <w:rPr>
          <w:rFonts w:cs="Arial"/>
          <w:sz w:val="24"/>
          <w:szCs w:val="24"/>
        </w:rPr>
        <w:t>With</w:t>
      </w:r>
      <w:proofErr w:type="gramEnd"/>
      <w:r w:rsidR="00971BF9" w:rsidRPr="00D64727">
        <w:rPr>
          <w:rFonts w:cs="Arial"/>
          <w:sz w:val="24"/>
          <w:szCs w:val="24"/>
        </w:rPr>
        <w:t xml:space="preserve"> a Learning Disability </w:t>
      </w:r>
      <w:proofErr w:type="gramStart"/>
      <w:r w:rsidR="00971BF9" w:rsidRPr="00D64727">
        <w:rPr>
          <w:rFonts w:cs="Arial"/>
          <w:sz w:val="24"/>
          <w:szCs w:val="24"/>
        </w:rPr>
        <w:t>From</w:t>
      </w:r>
      <w:proofErr w:type="gramEnd"/>
      <w:r w:rsidR="00971BF9" w:rsidRPr="00D64727">
        <w:rPr>
          <w:rFonts w:cs="Arial"/>
          <w:sz w:val="24"/>
          <w:szCs w:val="24"/>
        </w:rPr>
        <w:t xml:space="preserve"> Ethnic Minorities: Perspectives of Self-Advocates and Carers. </w:t>
      </w:r>
      <w:r w:rsidR="00971BF9" w:rsidRPr="00D64727">
        <w:rPr>
          <w:rFonts w:cs="Arial"/>
          <w:i/>
          <w:iCs/>
          <w:sz w:val="24"/>
          <w:szCs w:val="24"/>
        </w:rPr>
        <w:t>British Journal of Learning Disabilities</w:t>
      </w:r>
      <w:r w:rsidR="00971BF9" w:rsidRPr="00D64727">
        <w:rPr>
          <w:rFonts w:cs="Arial"/>
          <w:sz w:val="24"/>
          <w:szCs w:val="24"/>
        </w:rPr>
        <w:t xml:space="preserve">. </w:t>
      </w:r>
      <w:hyperlink r:id="rId19" w:tgtFrame="_blank" w:history="1">
        <w:r w:rsidR="00971BF9" w:rsidRPr="00D64727">
          <w:rPr>
            <w:rStyle w:val="Hyperlink"/>
            <w:rFonts w:cs="Arial"/>
            <w:sz w:val="24"/>
            <w:szCs w:val="24"/>
          </w:rPr>
          <w:t>https://doi.org/10.1111/bld.12636</w:t>
        </w:r>
      </w:hyperlink>
      <w:r w:rsidR="00971BF9" w:rsidRPr="00D64727">
        <w:rPr>
          <w:rFonts w:cs="Arial"/>
          <w:sz w:val="24"/>
          <w:szCs w:val="24"/>
        </w:rPr>
        <w:t xml:space="preserve"> </w:t>
      </w:r>
    </w:p>
    <w:p w14:paraId="78217A48" w14:textId="25A7E390" w:rsidR="00971BF9" w:rsidRPr="00D64727" w:rsidRDefault="00971BF9" w:rsidP="00D64727">
      <w:pPr>
        <w:ind w:left="720" w:hanging="720"/>
        <w:rPr>
          <w:rFonts w:cs="Arial"/>
          <w:color w:val="1F1F1F"/>
          <w:sz w:val="24"/>
          <w:szCs w:val="24"/>
          <w:lang w:val="en-US" w:eastAsia="en-US"/>
        </w:rPr>
      </w:pPr>
      <w:r w:rsidRPr="00D64727">
        <w:rPr>
          <w:rFonts w:cs="Arial"/>
          <w:sz w:val="24"/>
          <w:szCs w:val="24"/>
        </w:rPr>
        <w:t xml:space="preserve">Cheraghi-Sohi, S., </w:t>
      </w:r>
      <w:proofErr w:type="spellStart"/>
      <w:r w:rsidRPr="00D64727">
        <w:rPr>
          <w:rFonts w:cs="Arial"/>
          <w:sz w:val="24"/>
          <w:szCs w:val="24"/>
        </w:rPr>
        <w:t>Panagioti</w:t>
      </w:r>
      <w:proofErr w:type="spellEnd"/>
      <w:r w:rsidRPr="00D64727">
        <w:rPr>
          <w:rFonts w:cs="Arial"/>
          <w:sz w:val="24"/>
          <w:szCs w:val="24"/>
        </w:rPr>
        <w:t xml:space="preserve">, M., Daker-White, G., et al. (2020). Patient safety in marginalised groups: a narrative scoping review. </w:t>
      </w:r>
      <w:r w:rsidRPr="00D64727">
        <w:rPr>
          <w:rFonts w:cs="Arial"/>
          <w:i/>
          <w:iCs/>
          <w:sz w:val="24"/>
          <w:szCs w:val="24"/>
        </w:rPr>
        <w:t>International Journal for Equity in Health</w:t>
      </w:r>
      <w:r w:rsidRPr="00D64727">
        <w:rPr>
          <w:rFonts w:cs="Arial"/>
          <w:sz w:val="24"/>
          <w:szCs w:val="24"/>
        </w:rPr>
        <w:t xml:space="preserve">, </w:t>
      </w:r>
      <w:r w:rsidRPr="00D64727">
        <w:rPr>
          <w:rFonts w:cs="Arial"/>
          <w:i/>
          <w:iCs/>
          <w:sz w:val="24"/>
          <w:szCs w:val="24"/>
        </w:rPr>
        <w:t>19</w:t>
      </w:r>
      <w:r w:rsidRPr="00D64727">
        <w:rPr>
          <w:rFonts w:cs="Arial"/>
          <w:sz w:val="24"/>
          <w:szCs w:val="24"/>
        </w:rPr>
        <w:t xml:space="preserve">. </w:t>
      </w:r>
      <w:hyperlink r:id="rId20" w:tgtFrame="_blank" w:history="1">
        <w:r w:rsidRPr="00D64727">
          <w:rPr>
            <w:rStyle w:val="Hyperlink"/>
            <w:rFonts w:cs="Arial"/>
            <w:sz w:val="24"/>
            <w:szCs w:val="24"/>
          </w:rPr>
          <w:t>https://doi.org/10.1186/s12939-019-1103-2</w:t>
        </w:r>
      </w:hyperlink>
    </w:p>
    <w:p w14:paraId="0CEF50C9" w14:textId="375D274D"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cs="Arial"/>
          <w:color w:val="1F1F1F"/>
          <w:sz w:val="24"/>
          <w:szCs w:val="24"/>
          <w:lang w:val="en-US" w:eastAsia="en-US"/>
        </w:rPr>
        <w:t xml:space="preserve">French, M., Keegan, T., and Preston, N. (2022). Facilitating equitable access to hospice care in socially deprived areas: A mixed methods multiple case study. </w:t>
      </w:r>
      <w:r w:rsidRPr="00D64727">
        <w:rPr>
          <w:rFonts w:cs="Arial"/>
          <w:i/>
          <w:iCs/>
          <w:color w:val="1F1F1F"/>
          <w:sz w:val="24"/>
          <w:szCs w:val="24"/>
          <w:bdr w:val="none" w:sz="0" w:space="0" w:color="auto" w:frame="1"/>
          <w:lang w:val="en-US" w:eastAsia="en-US"/>
        </w:rPr>
        <w:t>Palliative Medicine</w:t>
      </w:r>
      <w:r w:rsidRPr="00D64727">
        <w:rPr>
          <w:rFonts w:cs="Arial"/>
          <w:color w:val="1F1F1F"/>
          <w:sz w:val="24"/>
          <w:szCs w:val="24"/>
          <w:lang w:val="en-US" w:eastAsia="en-US"/>
        </w:rPr>
        <w:t xml:space="preserve">, 37, 508-519. </w:t>
      </w:r>
      <w:r w:rsidRPr="00D64727">
        <w:rPr>
          <w:rFonts w:cs="Arial"/>
          <w:sz w:val="24"/>
          <w:szCs w:val="24"/>
          <w:bdr w:val="none" w:sz="0" w:space="0" w:color="auto" w:frame="1"/>
          <w:lang w:val="en-US" w:eastAsia="en-US"/>
        </w:rPr>
        <w:fldChar w:fldCharType="begin"/>
      </w:r>
      <w:r w:rsidRPr="00D64727">
        <w:rPr>
          <w:rFonts w:cs="Arial"/>
          <w:sz w:val="24"/>
          <w:szCs w:val="24"/>
          <w:bdr w:val="none" w:sz="0" w:space="0" w:color="auto" w:frame="1"/>
          <w:lang w:val="en-US" w:eastAsia="en-US"/>
        </w:rPr>
        <w:instrText xml:space="preserve"> HYPERLINK "https://doi.org/10.1177/02692163221133977?utm_source=gemini" \t "_blank" </w:instrText>
      </w:r>
      <w:r w:rsidRPr="00D64727">
        <w:rPr>
          <w:rFonts w:cs="Arial"/>
          <w:sz w:val="24"/>
          <w:szCs w:val="24"/>
          <w:bdr w:val="none" w:sz="0" w:space="0" w:color="auto" w:frame="1"/>
          <w:lang w:val="en-US" w:eastAsia="en-US"/>
        </w:rPr>
      </w:r>
      <w:r w:rsidRPr="00D64727">
        <w:rPr>
          <w:rFonts w:cs="Arial"/>
          <w:sz w:val="24"/>
          <w:szCs w:val="24"/>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https://doi.org/10.1177/02692163221133977</w:t>
      </w:r>
    </w:p>
    <w:p w14:paraId="086F7AB7" w14:textId="0DAD46B0" w:rsidR="00750D5B" w:rsidRPr="00D64727" w:rsidRDefault="000A546E" w:rsidP="00D64727">
      <w:pPr>
        <w:ind w:left="720" w:hanging="720"/>
        <w:rPr>
          <w:rFonts w:cs="Arial"/>
          <w:sz w:val="24"/>
          <w:szCs w:val="24"/>
        </w:rPr>
      </w:pPr>
      <w:r w:rsidRPr="00D64727">
        <w:rPr>
          <w:rFonts w:cs="Arial"/>
          <w:sz w:val="24"/>
          <w:szCs w:val="24"/>
          <w:bdr w:val="none" w:sz="0" w:space="0" w:color="auto" w:frame="1"/>
          <w:lang w:val="en-US" w:eastAsia="en-US"/>
        </w:rPr>
        <w:fldChar w:fldCharType="end"/>
      </w:r>
      <w:r w:rsidR="00750D5B" w:rsidRPr="00D64727">
        <w:rPr>
          <w:rFonts w:cs="Arial"/>
          <w:sz w:val="24"/>
          <w:szCs w:val="24"/>
        </w:rPr>
        <w:t xml:space="preserve"> </w:t>
      </w:r>
      <w:r w:rsidR="00750D5B" w:rsidRPr="00D64727">
        <w:rPr>
          <w:rFonts w:cs="Arial"/>
          <w:bCs/>
          <w:sz w:val="24"/>
          <w:szCs w:val="24"/>
        </w:rPr>
        <w:t xml:space="preserve">Husain, L., Greenhalgh, T., Hughes, G., Finlay, T. and </w:t>
      </w:r>
      <w:proofErr w:type="spellStart"/>
      <w:r w:rsidR="00750D5B" w:rsidRPr="00D64727">
        <w:rPr>
          <w:rFonts w:cs="Arial"/>
          <w:bCs/>
          <w:sz w:val="24"/>
          <w:szCs w:val="24"/>
        </w:rPr>
        <w:t>Wherton</w:t>
      </w:r>
      <w:proofErr w:type="spellEnd"/>
      <w:r w:rsidR="00750D5B" w:rsidRPr="00D64727">
        <w:rPr>
          <w:rFonts w:cs="Arial"/>
          <w:bCs/>
          <w:sz w:val="24"/>
          <w:szCs w:val="24"/>
        </w:rPr>
        <w:t>, J.</w:t>
      </w:r>
      <w:r w:rsidR="00750D5B" w:rsidRPr="00D64727">
        <w:rPr>
          <w:rFonts w:cs="Arial"/>
          <w:sz w:val="24"/>
          <w:szCs w:val="24"/>
        </w:rPr>
        <w:t xml:space="preserve"> (2022) 'Desperately Seeking Intersectionality in Digital Health Disparity Research: Narrative Review to Inform a Richer Theorization of Multiple Disadvantage', </w:t>
      </w:r>
      <w:r w:rsidR="00750D5B" w:rsidRPr="00D64727">
        <w:rPr>
          <w:rFonts w:cs="Arial"/>
          <w:i/>
          <w:iCs/>
          <w:sz w:val="24"/>
          <w:szCs w:val="24"/>
        </w:rPr>
        <w:t>Journal of Medical Internet Research</w:t>
      </w:r>
      <w:r w:rsidR="00750D5B" w:rsidRPr="00D64727">
        <w:rPr>
          <w:rFonts w:cs="Arial"/>
          <w:sz w:val="24"/>
          <w:szCs w:val="24"/>
        </w:rPr>
        <w:t xml:space="preserve">, 24(12), e42358. Available at: </w:t>
      </w:r>
      <w:hyperlink r:id="rId21" w:tgtFrame="_blank" w:history="1">
        <w:r w:rsidR="00750D5B" w:rsidRPr="00D64727">
          <w:rPr>
            <w:rStyle w:val="Hyperlink"/>
            <w:rFonts w:cs="Arial"/>
            <w:sz w:val="24"/>
            <w:szCs w:val="24"/>
          </w:rPr>
          <w:t>https://doi.org/10.2196/42358</w:t>
        </w:r>
      </w:hyperlink>
      <w:r w:rsidR="00750D5B" w:rsidRPr="00D64727">
        <w:rPr>
          <w:rFonts w:cs="Arial"/>
          <w:sz w:val="24"/>
          <w:szCs w:val="24"/>
        </w:rPr>
        <w:t xml:space="preserve">.  </w:t>
      </w:r>
    </w:p>
    <w:p w14:paraId="377E5D68" w14:textId="37C3710F"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1F1F1F"/>
          <w:sz w:val="24"/>
          <w:szCs w:val="24"/>
          <w:lang w:val="en-US" w:eastAsia="en-US"/>
        </w:rPr>
        <w:t xml:space="preserve">Kapadia, D. (2023). Ethnic Inequalities in Healthcare: A Rapid Evidence Review. </w:t>
      </w:r>
      <w:r w:rsidRPr="00D64727">
        <w:rPr>
          <w:rFonts w:eastAsia="Times New Roman" w:cs="Arial"/>
          <w:i/>
          <w:iCs/>
          <w:color w:val="1F1F1F"/>
          <w:sz w:val="24"/>
          <w:szCs w:val="24"/>
          <w:bdr w:val="none" w:sz="0" w:space="0" w:color="auto" w:frame="1"/>
          <w:lang w:val="en-US" w:eastAsia="en-US"/>
        </w:rPr>
        <w:t>NHS Race and Health Observatory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"https://nhsrho.org/wp-content/uploads/2023/05/RHO-Rapid-Review-Final-Report_.pdf"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https://nhsrho.org/wp-content/uploads/2023/05/RHO-Rapid-Review-Final-Report_.pdf</w:t>
      </w:r>
    </w:p>
    <w:p w14:paraId="05D23E18"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fldChar w:fldCharType="end"/>
      </w:r>
      <w:proofErr w:type="spellStart"/>
      <w:r w:rsidRPr="00D64727">
        <w:rPr>
          <w:rFonts w:eastAsia="Times New Roman" w:cs="Arial"/>
          <w:color w:val="1F1F1F"/>
          <w:sz w:val="24"/>
          <w:szCs w:val="24"/>
          <w:lang w:val="en-US" w:eastAsia="en-US"/>
        </w:rPr>
        <w:t>Knifton</w:t>
      </w:r>
      <w:proofErr w:type="spellEnd"/>
      <w:r w:rsidRPr="00D64727">
        <w:rPr>
          <w:rFonts w:eastAsia="Times New Roman" w:cs="Arial"/>
          <w:color w:val="1F1F1F"/>
          <w:sz w:val="24"/>
          <w:szCs w:val="24"/>
          <w:lang w:val="en-US" w:eastAsia="en-US"/>
        </w:rPr>
        <w:t xml:space="preserve">, L., and Inglis, G. (2020). Poverty and mental health: policy, practice and research implications. </w:t>
      </w:r>
      <w:proofErr w:type="spellStart"/>
      <w:r w:rsidRPr="00D64727">
        <w:rPr>
          <w:rFonts w:eastAsia="Times New Roman" w:cs="Arial"/>
          <w:i/>
          <w:iCs/>
          <w:color w:val="1F1F1F"/>
          <w:sz w:val="24"/>
          <w:szCs w:val="24"/>
          <w:bdr w:val="none" w:sz="0" w:space="0" w:color="auto" w:frame="1"/>
          <w:lang w:val="en-US" w:eastAsia="en-US"/>
        </w:rPr>
        <w:t>BJPsych</w:t>
      </w:r>
      <w:proofErr w:type="spellEnd"/>
      <w:r w:rsidRPr="00D64727">
        <w:rPr>
          <w:rFonts w:eastAsia="Times New Roman" w:cs="Arial"/>
          <w:i/>
          <w:iCs/>
          <w:color w:val="1F1F1F"/>
          <w:sz w:val="24"/>
          <w:szCs w:val="24"/>
          <w:bdr w:val="none" w:sz="0" w:space="0" w:color="auto" w:frame="1"/>
          <w:lang w:val="en-US" w:eastAsia="en-US"/>
        </w:rPr>
        <w:t xml:space="preserve"> Bulletin</w:t>
      </w:r>
      <w:r w:rsidRPr="00D64727">
        <w:rPr>
          <w:rFonts w:eastAsia="Times New Roman" w:cs="Arial"/>
          <w:color w:val="1F1F1F"/>
          <w:sz w:val="24"/>
          <w:szCs w:val="24"/>
          <w:lang w:val="en-US" w:eastAsia="en-US"/>
        </w:rPr>
        <w:t xml:space="preserve">, 44, 193-196.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"https://doi.org/10.1192/bjb.2020.78?utm_source=gemini"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https://doi.org/10.1192/bjb.2020.78</w:t>
      </w:r>
    </w:p>
    <w:p w14:paraId="6DA4D3FE"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fldChar w:fldCharType="end"/>
      </w:r>
      <w:r w:rsidRPr="00D64727">
        <w:rPr>
          <w:rFonts w:eastAsia="Times New Roman" w:cs="Arial"/>
          <w:color w:val="1F1F1F"/>
          <w:sz w:val="24"/>
          <w:szCs w:val="24"/>
          <w:lang w:val="en-US" w:eastAsia="en-US"/>
        </w:rPr>
        <w:t xml:space="preserve">Ng, L. (2025). Has the new Scottish GP contract improved GPs' working lives in. </w:t>
      </w:r>
      <w:r w:rsidRPr="00D64727">
        <w:rPr>
          <w:rFonts w:eastAsia="Times New Roman" w:cs="Arial"/>
          <w:i/>
          <w:iCs/>
          <w:color w:val="1F1F1F"/>
          <w:sz w:val="24"/>
          <w:szCs w:val="24"/>
          <w:bdr w:val="none" w:sz="0" w:space="0" w:color="auto" w:frame="1"/>
          <w:lang w:val="en-US" w:eastAsia="en-US"/>
        </w:rPr>
        <w:t>British Journal of General Practice</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"https://pmc.ncbi.nlm.nih.gov/articles/PMC13540343/?utm_source=gemini"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https://pmc.ncbi.nlm.nih.gov/articles/PMC13540343/</w:t>
      </w:r>
    </w:p>
    <w:p w14:paraId="6A979579" w14:textId="7A16C700" w:rsidR="000A546E" w:rsidRPr="00D64727" w:rsidRDefault="000A546E" w:rsidP="00D64727">
      <w:pPr>
        <w:ind w:left="720" w:hanging="720"/>
        <w:rPr>
          <w:rStyle w:val="Hyperlink"/>
          <w:rFonts w:eastAsia="Times New Roman" w:cs="Arial"/>
          <w:color w:val="1F1F1F"/>
          <w:sz w:val="24"/>
          <w:szCs w:val="24"/>
          <w:u w:val="none"/>
          <w:lang w:val="en-US" w:eastAsia="en-US"/>
        </w:rPr>
      </w:pPr>
      <w:r w:rsidRPr="00D64727">
        <w:rPr>
          <w:rFonts w:eastAsia="Times New Roman" w:cs="Arial"/>
          <w:color w:val="000000"/>
          <w:sz w:val="24"/>
          <w:szCs w:val="24"/>
          <w:u w:val="single"/>
          <w:bdr w:val="none" w:sz="0" w:space="0" w:color="auto" w:frame="1"/>
          <w:lang w:val="en-US" w:eastAsia="en-US"/>
        </w:rPr>
        <w:fldChar w:fldCharType="end"/>
      </w:r>
      <w:proofErr w:type="spellStart"/>
      <w:r w:rsidRPr="00D64727">
        <w:rPr>
          <w:rFonts w:eastAsia="Times New Roman" w:cs="Arial"/>
          <w:color w:val="1F1F1F"/>
          <w:sz w:val="24"/>
          <w:szCs w:val="24"/>
          <w:lang w:val="en-US" w:eastAsia="en-US"/>
        </w:rPr>
        <w:t>Torous</w:t>
      </w:r>
      <w:proofErr w:type="spellEnd"/>
      <w:r w:rsidRPr="00D64727">
        <w:rPr>
          <w:rFonts w:eastAsia="Times New Roman" w:cs="Arial"/>
          <w:color w:val="1F1F1F"/>
          <w:sz w:val="24"/>
          <w:szCs w:val="24"/>
          <w:lang w:val="en-US" w:eastAsia="en-US"/>
        </w:rPr>
        <w:t xml:space="preserve">, J. (2025). The evolving field of digital mental health: current evidence and. </w:t>
      </w:r>
      <w:r w:rsidRPr="00D64727">
        <w:rPr>
          <w:rFonts w:eastAsia="Times New Roman" w:cs="Arial"/>
          <w:i/>
          <w:iCs/>
          <w:color w:val="1F1F1F"/>
          <w:sz w:val="24"/>
          <w:szCs w:val="24"/>
          <w:bdr w:val="none" w:sz="0" w:space="0" w:color="auto" w:frame="1"/>
          <w:lang w:val="en-US" w:eastAsia="en-US"/>
        </w:rPr>
        <w:t>World Psychiatry</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"https://pmc.ncbi.nlm.nih.gov/articles/PMC12079407/?utm_source=gemini"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https://pmc.ncbi.nlm.nih.gov/articles/PMC12079407/</w:t>
      </w:r>
    </w:p>
    <w:p w14:paraId="544E317A" w14:textId="77777777" w:rsidR="000A546E" w:rsidRPr="00D64727" w:rsidRDefault="000A546E" w:rsidP="00D64727">
      <w:pPr>
        <w:ind w:left="720" w:hanging="720"/>
        <w:rPr>
          <w:rStyle w:val="Hyperlink"/>
          <w:rFonts w:eastAsia="Times New Roman" w:cs="Arial"/>
          <w:kern w:val="0"/>
          <w:sz w:val="24"/>
          <w:szCs w:val="24"/>
          <w:lang w:val="en-US" w:eastAsia="en-US"/>
          <w14:ligatures w14:val="none"/>
        </w:rPr>
      </w:pPr>
      <w:r w:rsidRPr="00D64727">
        <w:rPr>
          <w:rFonts w:eastAsia="Times New Roman" w:cs="Arial"/>
          <w:color w:val="000000"/>
          <w:sz w:val="24"/>
          <w:szCs w:val="24"/>
          <w:u w:val="single"/>
          <w:bdr w:val="none" w:sz="0" w:space="0" w:color="auto" w:frame="1"/>
          <w:lang w:val="en-US" w:eastAsia="en-US"/>
        </w:rPr>
        <w:lastRenderedPageBreak/>
        <w:fldChar w:fldCharType="end"/>
      </w:r>
      <w:r w:rsidRPr="00D64727">
        <w:rPr>
          <w:rFonts w:eastAsia="Times New Roman" w:cs="Arial"/>
          <w:color w:val="1F1F1F"/>
          <w:sz w:val="24"/>
          <w:szCs w:val="24"/>
          <w:lang w:val="en-US" w:eastAsia="en-US"/>
        </w:rPr>
        <w:t xml:space="preserve">Xue, Z. (2022). Digital exclusion in healthcare services: a scoping review. </w:t>
      </w:r>
      <w:r w:rsidRPr="00D64727">
        <w:rPr>
          <w:rFonts w:eastAsia="Times New Roman" w:cs="Arial"/>
          <w:i/>
          <w:iCs/>
          <w:color w:val="1F1F1F"/>
          <w:sz w:val="24"/>
          <w:szCs w:val="24"/>
          <w:bdr w:val="none" w:sz="0" w:space="0" w:color="auto" w:frame="1"/>
          <w:lang w:val="en-US" w:eastAsia="en-US"/>
        </w:rPr>
        <w:t>BMC Health Services Research</w:t>
      </w:r>
      <w:r w:rsidRPr="00D64727">
        <w:rPr>
          <w:rFonts w:eastAsia="Times New Roman" w:cs="Arial"/>
          <w:color w:val="1F1F1F"/>
          <w:sz w:val="24"/>
          <w:szCs w:val="24"/>
          <w:lang w:val="en-US" w:eastAsia="en-US"/>
        </w:rPr>
        <w:t xml:space="preserve">. </w:t>
      </w:r>
      <w:r w:rsidRPr="00D64727">
        <w:rPr>
          <w:rFonts w:eastAsia="Times New Roman" w:cs="Arial"/>
          <w:color w:val="000000"/>
          <w:sz w:val="24"/>
          <w:szCs w:val="24"/>
          <w:u w:val="single"/>
          <w:bdr w:val="none" w:sz="0" w:space="0" w:color="auto" w:frame="1"/>
          <w:lang w:val="en-US" w:eastAsia="en-US"/>
        </w:rPr>
        <w:fldChar w:fldCharType="begin"/>
      </w:r>
      <w:r w:rsidRPr="00D64727">
        <w:rPr>
          <w:rFonts w:eastAsia="Times New Roman" w:cs="Arial"/>
          <w:color w:val="000000"/>
          <w:sz w:val="24"/>
          <w:szCs w:val="24"/>
          <w:u w:val="single"/>
          <w:bdr w:val="none" w:sz="0" w:space="0" w:color="auto" w:frame="1"/>
          <w:lang w:val="en-US" w:eastAsia="en-US"/>
        </w:rPr>
        <w:instrText xml:space="preserve"> HYPERLINK "https://pmc.ncbi.nlm.nih.gov/articles/PMC12895809/?utm_source=gemini" \t "_blank" </w:instrText>
      </w:r>
      <w:r w:rsidRPr="00D64727">
        <w:rPr>
          <w:rFonts w:eastAsia="Times New Roman" w:cs="Arial"/>
          <w:color w:val="000000"/>
          <w:sz w:val="24"/>
          <w:szCs w:val="24"/>
          <w:u w:val="single"/>
          <w:bdr w:val="none" w:sz="0" w:space="0" w:color="auto" w:frame="1"/>
          <w:lang w:val="en-US" w:eastAsia="en-US"/>
        </w:rPr>
      </w:r>
      <w:r w:rsidRPr="00D64727">
        <w:rPr>
          <w:rFonts w:eastAsia="Times New Roman" w:cs="Arial"/>
          <w:color w:val="000000"/>
          <w:sz w:val="24"/>
          <w:szCs w:val="24"/>
          <w:u w:val="single"/>
          <w:bdr w:val="none" w:sz="0" w:space="0" w:color="auto" w:frame="1"/>
          <w:lang w:val="en-US" w:eastAsia="en-US"/>
        </w:rPr>
        <w:fldChar w:fldCharType="separate"/>
      </w:r>
      <w:r w:rsidRPr="00D64727">
        <w:rPr>
          <w:rStyle w:val="Hyperlink"/>
          <w:rFonts w:eastAsia="Times New Roman" w:cs="Arial"/>
          <w:kern w:val="0"/>
          <w:sz w:val="24"/>
          <w:szCs w:val="24"/>
          <w:bdr w:val="none" w:sz="0" w:space="0" w:color="auto" w:frame="1"/>
          <w:lang w:val="en-US" w:eastAsia="en-US"/>
          <w14:ligatures w14:val="none"/>
        </w:rPr>
        <w:t>https://pmc.ncbi.nlm.nih.gov/articles/PMC12895809/</w:t>
      </w:r>
    </w:p>
    <w:p w14:paraId="6A15BD98" w14:textId="464529F1" w:rsidR="0059481D" w:rsidRPr="00D64727" w:rsidRDefault="000A546E" w:rsidP="00D64727">
      <w:pPr>
        <w:ind w:left="720" w:hanging="720"/>
        <w:rPr>
          <w:rFonts w:cs="Arial"/>
          <w:sz w:val="24"/>
          <w:szCs w:val="24"/>
        </w:rPr>
      </w:pPr>
      <w:r w:rsidRPr="00D64727">
        <w:rPr>
          <w:rFonts w:cs="Arial"/>
          <w:color w:val="000000"/>
          <w:sz w:val="24"/>
          <w:szCs w:val="24"/>
          <w:u w:val="single"/>
          <w:bdr w:val="none" w:sz="0" w:space="0" w:color="auto" w:frame="1"/>
          <w:lang w:val="en-US" w:eastAsia="en-US"/>
        </w:rPr>
        <w:fldChar w:fldCharType="end"/>
      </w:r>
      <w:r w:rsidR="0059481D" w:rsidRPr="00D64727">
        <w:rPr>
          <w:rFonts w:cs="Arial"/>
          <w:sz w:val="24"/>
          <w:szCs w:val="24"/>
        </w:rPr>
        <w:t xml:space="preserve"> </w:t>
      </w:r>
      <w:proofErr w:type="spellStart"/>
      <w:r w:rsidR="0059481D" w:rsidRPr="00D64727">
        <w:rPr>
          <w:rFonts w:cs="Arial"/>
          <w:sz w:val="24"/>
          <w:szCs w:val="24"/>
        </w:rPr>
        <w:t>Alarilla</w:t>
      </w:r>
      <w:proofErr w:type="spellEnd"/>
      <w:r w:rsidR="0059481D" w:rsidRPr="00D64727">
        <w:rPr>
          <w:rFonts w:cs="Arial"/>
          <w:sz w:val="24"/>
          <w:szCs w:val="24"/>
        </w:rPr>
        <w:t xml:space="preserve">, A., Mondor, L., Knight, H., et al. (2023). Socioeconomic gradient in mortality of working age and older adults with multiple long-term conditions in England and Ontario, Canada. </w:t>
      </w:r>
      <w:r w:rsidR="0059481D" w:rsidRPr="00D64727">
        <w:rPr>
          <w:rFonts w:cs="Arial"/>
          <w:i/>
          <w:iCs/>
          <w:sz w:val="24"/>
          <w:szCs w:val="24"/>
        </w:rPr>
        <w:t>BMC Public Health</w:t>
      </w:r>
      <w:r w:rsidR="0059481D" w:rsidRPr="00D64727">
        <w:rPr>
          <w:rFonts w:cs="Arial"/>
          <w:sz w:val="24"/>
          <w:szCs w:val="24"/>
        </w:rPr>
        <w:t xml:space="preserve">, </w:t>
      </w:r>
      <w:r w:rsidR="0059481D" w:rsidRPr="00D64727">
        <w:rPr>
          <w:rFonts w:cs="Arial"/>
          <w:i/>
          <w:iCs/>
          <w:sz w:val="24"/>
          <w:szCs w:val="24"/>
        </w:rPr>
        <w:t>23</w:t>
      </w:r>
      <w:r w:rsidR="0059481D" w:rsidRPr="00D64727">
        <w:rPr>
          <w:rFonts w:cs="Arial"/>
          <w:sz w:val="24"/>
          <w:szCs w:val="24"/>
        </w:rPr>
        <w:t xml:space="preserve">. </w:t>
      </w:r>
      <w:hyperlink r:id="rId22" w:tgtFrame="_blank" w:history="1">
        <w:r w:rsidR="0059481D" w:rsidRPr="00D64727">
          <w:rPr>
            <w:rStyle w:val="Hyperlink"/>
            <w:rFonts w:cs="Arial"/>
            <w:sz w:val="24"/>
            <w:szCs w:val="24"/>
          </w:rPr>
          <w:t>https://doi.org/10.1186/s12889-023-15370-y</w:t>
        </w:r>
      </w:hyperlink>
    </w:p>
    <w:p w14:paraId="5F1762EF" w14:textId="77777777" w:rsidR="0059481D" w:rsidRPr="00D64727" w:rsidRDefault="0059481D" w:rsidP="00D64727">
      <w:pPr>
        <w:ind w:left="720" w:hanging="720"/>
        <w:rPr>
          <w:rFonts w:cs="Arial"/>
          <w:sz w:val="24"/>
          <w:szCs w:val="24"/>
        </w:rPr>
      </w:pPr>
      <w:r w:rsidRPr="00D64727">
        <w:rPr>
          <w:rFonts w:cs="Arial"/>
          <w:sz w:val="24"/>
          <w:szCs w:val="24"/>
        </w:rPr>
        <w:t xml:space="preserve">Cotterell, N., Buffel, T., </w:t>
      </w:r>
      <w:proofErr w:type="spellStart"/>
      <w:r w:rsidRPr="00D64727">
        <w:rPr>
          <w:rFonts w:cs="Arial"/>
          <w:sz w:val="24"/>
          <w:szCs w:val="24"/>
        </w:rPr>
        <w:t>Nazroo</w:t>
      </w:r>
      <w:proofErr w:type="spellEnd"/>
      <w:r w:rsidRPr="00D64727">
        <w:rPr>
          <w:rFonts w:cs="Arial"/>
          <w:sz w:val="24"/>
          <w:szCs w:val="24"/>
        </w:rPr>
        <w:t xml:space="preserve">, J., &amp; Qualter, P. (2024). Loneliness among older ethnic minority people: exploring the role of structural disadvantage and place using a co-research methodology. </w:t>
      </w:r>
      <w:r w:rsidRPr="00D64727">
        <w:rPr>
          <w:rFonts w:cs="Arial"/>
          <w:i/>
          <w:iCs/>
          <w:sz w:val="24"/>
          <w:szCs w:val="24"/>
        </w:rPr>
        <w:t>Ethnic and Racial Studies</w:t>
      </w:r>
      <w:r w:rsidRPr="00D64727">
        <w:rPr>
          <w:rFonts w:cs="Arial"/>
          <w:sz w:val="24"/>
          <w:szCs w:val="24"/>
        </w:rPr>
        <w:t xml:space="preserve">, </w:t>
      </w:r>
      <w:r w:rsidRPr="00D64727">
        <w:rPr>
          <w:rFonts w:cs="Arial"/>
          <w:i/>
          <w:iCs/>
          <w:sz w:val="24"/>
          <w:szCs w:val="24"/>
        </w:rPr>
        <w:t>48</w:t>
      </w:r>
      <w:r w:rsidRPr="00D64727">
        <w:rPr>
          <w:rFonts w:cs="Arial"/>
          <w:sz w:val="24"/>
          <w:szCs w:val="24"/>
        </w:rPr>
        <w:t xml:space="preserve">, 206–228. </w:t>
      </w:r>
      <w:hyperlink r:id="rId23" w:tgtFrame="_blank" w:history="1">
        <w:r w:rsidRPr="00D64727">
          <w:rPr>
            <w:rStyle w:val="Hyperlink"/>
            <w:rFonts w:cs="Arial"/>
            <w:sz w:val="24"/>
            <w:szCs w:val="24"/>
          </w:rPr>
          <w:t>https://doi.org/10.1080/01419870.2024.2311833</w:t>
        </w:r>
      </w:hyperlink>
    </w:p>
    <w:p w14:paraId="1F3B4830" w14:textId="77777777" w:rsidR="0059481D" w:rsidRPr="00D64727" w:rsidRDefault="0059481D" w:rsidP="00D64727">
      <w:pPr>
        <w:ind w:left="720" w:hanging="720"/>
        <w:rPr>
          <w:rFonts w:cs="Arial"/>
          <w:sz w:val="24"/>
          <w:szCs w:val="24"/>
        </w:rPr>
      </w:pPr>
      <w:r w:rsidRPr="00D64727">
        <w:rPr>
          <w:rFonts w:cs="Arial"/>
          <w:sz w:val="24"/>
          <w:szCs w:val="24"/>
        </w:rPr>
        <w:t xml:space="preserve">Comolli, C. L., Bernardi, L., &amp; </w:t>
      </w:r>
      <w:proofErr w:type="spellStart"/>
      <w:r w:rsidRPr="00D64727">
        <w:rPr>
          <w:rFonts w:cs="Arial"/>
          <w:sz w:val="24"/>
          <w:szCs w:val="24"/>
        </w:rPr>
        <w:t>Voorpostel</w:t>
      </w:r>
      <w:proofErr w:type="spellEnd"/>
      <w:r w:rsidRPr="00D64727">
        <w:rPr>
          <w:rFonts w:cs="Arial"/>
          <w:sz w:val="24"/>
          <w:szCs w:val="24"/>
        </w:rPr>
        <w:t xml:space="preserve">, M. (2021). Joint Family and Work Trajectories and Multidimensional Wellbeing. </w:t>
      </w:r>
      <w:r w:rsidRPr="00D64727">
        <w:rPr>
          <w:rFonts w:cs="Arial"/>
          <w:i/>
          <w:iCs/>
          <w:sz w:val="24"/>
          <w:szCs w:val="24"/>
        </w:rPr>
        <w:t>European Journal of Population</w:t>
      </w:r>
      <w:r w:rsidRPr="00D64727">
        <w:rPr>
          <w:rFonts w:cs="Arial"/>
          <w:sz w:val="24"/>
          <w:szCs w:val="24"/>
        </w:rPr>
        <w:t xml:space="preserve">, </w:t>
      </w:r>
      <w:r w:rsidRPr="00D64727">
        <w:rPr>
          <w:rFonts w:cs="Arial"/>
          <w:i/>
          <w:iCs/>
          <w:sz w:val="24"/>
          <w:szCs w:val="24"/>
        </w:rPr>
        <w:t>37</w:t>
      </w:r>
      <w:r w:rsidRPr="00D64727">
        <w:rPr>
          <w:rFonts w:cs="Arial"/>
          <w:sz w:val="24"/>
          <w:szCs w:val="24"/>
        </w:rPr>
        <w:t xml:space="preserve">, 643-696. </w:t>
      </w:r>
      <w:hyperlink r:id="rId24" w:tgtFrame="_blank" w:history="1">
        <w:r w:rsidRPr="00D64727">
          <w:rPr>
            <w:rStyle w:val="Hyperlink"/>
            <w:rFonts w:cs="Arial"/>
            <w:sz w:val="24"/>
            <w:szCs w:val="24"/>
          </w:rPr>
          <w:t>https://doi.org/10.1007/s10680-021-09583-3</w:t>
        </w:r>
      </w:hyperlink>
    </w:p>
    <w:p w14:paraId="404D195A" w14:textId="77777777" w:rsidR="0059481D" w:rsidRPr="00D64727" w:rsidRDefault="0059481D" w:rsidP="00D64727">
      <w:pPr>
        <w:ind w:left="720" w:hanging="720"/>
        <w:rPr>
          <w:rFonts w:cs="Arial"/>
          <w:sz w:val="24"/>
          <w:szCs w:val="24"/>
        </w:rPr>
      </w:pPr>
      <w:r w:rsidRPr="00D64727">
        <w:rPr>
          <w:rFonts w:cs="Arial"/>
          <w:sz w:val="24"/>
          <w:szCs w:val="24"/>
        </w:rPr>
        <w:t xml:space="preserve">Boyer, B., Huber, K., </w:t>
      </w:r>
      <w:proofErr w:type="spellStart"/>
      <w:r w:rsidRPr="00D64727">
        <w:rPr>
          <w:rFonts w:cs="Arial"/>
          <w:sz w:val="24"/>
          <w:szCs w:val="24"/>
        </w:rPr>
        <w:t>Zimlichman</w:t>
      </w:r>
      <w:proofErr w:type="spellEnd"/>
      <w:r w:rsidRPr="00D64727">
        <w:rPr>
          <w:rFonts w:cs="Arial"/>
          <w:sz w:val="24"/>
          <w:szCs w:val="24"/>
        </w:rPr>
        <w:t xml:space="preserve">, E., et al. (2024). Advancing the future of equitable access to health care: recommendations from international health care leaders. </w:t>
      </w:r>
      <w:r w:rsidRPr="00D64727">
        <w:rPr>
          <w:rFonts w:cs="Arial"/>
          <w:i/>
          <w:iCs/>
          <w:sz w:val="24"/>
          <w:szCs w:val="24"/>
        </w:rPr>
        <w:t>Health Affairs Scholar</w:t>
      </w:r>
      <w:r w:rsidRPr="00D64727">
        <w:rPr>
          <w:rFonts w:cs="Arial"/>
          <w:sz w:val="24"/>
          <w:szCs w:val="24"/>
        </w:rPr>
        <w:t xml:space="preserve">, </w:t>
      </w:r>
      <w:r w:rsidRPr="00D64727">
        <w:rPr>
          <w:rFonts w:cs="Arial"/>
          <w:i/>
          <w:iCs/>
          <w:sz w:val="24"/>
          <w:szCs w:val="24"/>
        </w:rPr>
        <w:t>2</w:t>
      </w:r>
      <w:r w:rsidRPr="00D64727">
        <w:rPr>
          <w:rFonts w:cs="Arial"/>
          <w:sz w:val="24"/>
          <w:szCs w:val="24"/>
        </w:rPr>
        <w:t xml:space="preserve">. </w:t>
      </w:r>
      <w:hyperlink r:id="rId25" w:tgtFrame="_blank" w:history="1">
        <w:r w:rsidRPr="00D64727">
          <w:rPr>
            <w:rStyle w:val="Hyperlink"/>
            <w:rFonts w:cs="Arial"/>
            <w:sz w:val="24"/>
            <w:szCs w:val="24"/>
          </w:rPr>
          <w:t>https://doi.org/10.1093/haschl/qxae094</w:t>
        </w:r>
      </w:hyperlink>
    </w:p>
    <w:p w14:paraId="68D26936" w14:textId="77777777" w:rsidR="0059481D" w:rsidRPr="00D64727" w:rsidRDefault="0059481D" w:rsidP="00D64727">
      <w:pPr>
        <w:ind w:left="720" w:hanging="720"/>
        <w:rPr>
          <w:rFonts w:cs="Arial"/>
          <w:sz w:val="24"/>
          <w:szCs w:val="24"/>
        </w:rPr>
      </w:pPr>
      <w:r w:rsidRPr="00D64727">
        <w:rPr>
          <w:rFonts w:cs="Arial"/>
          <w:sz w:val="24"/>
          <w:szCs w:val="24"/>
        </w:rPr>
        <w:t xml:space="preserve">Duan, S., Chen, D., Wang, J., et al. (2024). Digital Exclusion and Cognitive Function in Elderly Populations in Developing Countries: Insights Derived From 2 Longitudinal Cohort Studies. </w:t>
      </w:r>
      <w:r w:rsidRPr="00D64727">
        <w:rPr>
          <w:rFonts w:cs="Arial"/>
          <w:i/>
          <w:iCs/>
          <w:sz w:val="24"/>
          <w:szCs w:val="24"/>
        </w:rPr>
        <w:t>Journal of Medical Internet Research</w:t>
      </w:r>
      <w:r w:rsidRPr="00D64727">
        <w:rPr>
          <w:rFonts w:cs="Arial"/>
          <w:sz w:val="24"/>
          <w:szCs w:val="24"/>
        </w:rPr>
        <w:t xml:space="preserve">, </w:t>
      </w:r>
      <w:r w:rsidRPr="00D64727">
        <w:rPr>
          <w:rFonts w:cs="Arial"/>
          <w:i/>
          <w:iCs/>
          <w:sz w:val="24"/>
          <w:szCs w:val="24"/>
        </w:rPr>
        <w:t>26</w:t>
      </w:r>
      <w:r w:rsidRPr="00D64727">
        <w:rPr>
          <w:rFonts w:cs="Arial"/>
          <w:sz w:val="24"/>
          <w:szCs w:val="24"/>
        </w:rPr>
        <w:t xml:space="preserve">, e56636. </w:t>
      </w:r>
      <w:hyperlink r:id="rId26" w:tgtFrame="_blank" w:history="1">
        <w:r w:rsidRPr="00D64727">
          <w:rPr>
            <w:rStyle w:val="Hyperlink"/>
            <w:rFonts w:cs="Arial"/>
            <w:sz w:val="24"/>
            <w:szCs w:val="24"/>
          </w:rPr>
          <w:t>https://doi.org/10.2196/56636</w:t>
        </w:r>
      </w:hyperlink>
    </w:p>
    <w:p w14:paraId="6B1B1C73" w14:textId="77777777" w:rsidR="0059481D" w:rsidRPr="00D64727" w:rsidRDefault="0059481D" w:rsidP="00D64727">
      <w:pPr>
        <w:ind w:left="720" w:hanging="720"/>
        <w:rPr>
          <w:rFonts w:cs="Arial"/>
          <w:sz w:val="24"/>
          <w:szCs w:val="24"/>
        </w:rPr>
      </w:pPr>
      <w:r w:rsidRPr="00D64727">
        <w:rPr>
          <w:rFonts w:cs="Arial"/>
          <w:sz w:val="24"/>
          <w:szCs w:val="24"/>
        </w:rPr>
        <w:t xml:space="preserve">Chatzi, G., Whittaker, W., Chandola, T., et al. (2023). Could diabetes prevention programmes result in the widening of sociodemographic inequalities in type 2 diabetes? Comparison of survey and administrative data for England. </w:t>
      </w:r>
      <w:r w:rsidRPr="00D64727">
        <w:rPr>
          <w:rFonts w:cs="Arial"/>
          <w:i/>
          <w:iCs/>
          <w:sz w:val="24"/>
          <w:szCs w:val="24"/>
        </w:rPr>
        <w:t>Journal of Epidemiology and Community Health</w:t>
      </w:r>
      <w:r w:rsidRPr="00D64727">
        <w:rPr>
          <w:rFonts w:cs="Arial"/>
          <w:sz w:val="24"/>
          <w:szCs w:val="24"/>
        </w:rPr>
        <w:t xml:space="preserve">, </w:t>
      </w:r>
      <w:r w:rsidRPr="00D64727">
        <w:rPr>
          <w:rFonts w:cs="Arial"/>
          <w:i/>
          <w:iCs/>
          <w:sz w:val="24"/>
          <w:szCs w:val="24"/>
        </w:rPr>
        <w:t>77</w:t>
      </w:r>
      <w:r w:rsidRPr="00D64727">
        <w:rPr>
          <w:rFonts w:cs="Arial"/>
          <w:sz w:val="24"/>
          <w:szCs w:val="24"/>
        </w:rPr>
        <w:t xml:space="preserve">, 565-570. </w:t>
      </w:r>
      <w:hyperlink r:id="rId27" w:tgtFrame="_blank" w:history="1">
        <w:r w:rsidRPr="00D64727">
          <w:rPr>
            <w:rStyle w:val="Hyperlink"/>
            <w:rFonts w:cs="Arial"/>
            <w:sz w:val="24"/>
            <w:szCs w:val="24"/>
          </w:rPr>
          <w:t>https://doi.org/10.1136/jech-2022-219654</w:t>
        </w:r>
      </w:hyperlink>
    </w:p>
    <w:p w14:paraId="1D8DE3DA" w14:textId="77777777" w:rsidR="0059481D" w:rsidRPr="00D64727" w:rsidRDefault="0059481D" w:rsidP="00D64727">
      <w:pPr>
        <w:ind w:left="720" w:hanging="720"/>
        <w:rPr>
          <w:rFonts w:cs="Arial"/>
          <w:sz w:val="24"/>
          <w:szCs w:val="24"/>
        </w:rPr>
      </w:pPr>
      <w:r w:rsidRPr="00D64727">
        <w:rPr>
          <w:rFonts w:cs="Arial"/>
          <w:sz w:val="24"/>
          <w:szCs w:val="24"/>
        </w:rPr>
        <w:t xml:space="preserve">Ismail, M. (2023). The Effect of Social Contacts on the Uptake of Health Innovations among Older Ethnic Minorities in the UK: A Mixed Methods Study. </w:t>
      </w:r>
      <w:r w:rsidRPr="00D64727">
        <w:rPr>
          <w:rFonts w:cs="Arial"/>
          <w:i/>
          <w:iCs/>
          <w:sz w:val="24"/>
          <w:szCs w:val="24"/>
        </w:rPr>
        <w:t>Sustainability</w:t>
      </w:r>
      <w:r w:rsidRPr="00D64727">
        <w:rPr>
          <w:rFonts w:cs="Arial"/>
          <w:sz w:val="24"/>
          <w:szCs w:val="24"/>
        </w:rPr>
        <w:t xml:space="preserve">, </w:t>
      </w:r>
      <w:r w:rsidRPr="00D64727">
        <w:rPr>
          <w:rFonts w:cs="Arial"/>
          <w:i/>
          <w:iCs/>
          <w:sz w:val="24"/>
          <w:szCs w:val="24"/>
        </w:rPr>
        <w:t>15</w:t>
      </w:r>
      <w:r w:rsidRPr="00D64727">
        <w:rPr>
          <w:rFonts w:cs="Arial"/>
          <w:sz w:val="24"/>
          <w:szCs w:val="24"/>
        </w:rPr>
        <w:t xml:space="preserve">, 10839. </w:t>
      </w:r>
      <w:hyperlink r:id="rId28" w:tgtFrame="_blank" w:history="1">
        <w:r w:rsidRPr="00D64727">
          <w:rPr>
            <w:rStyle w:val="Hyperlink"/>
            <w:rFonts w:cs="Arial"/>
            <w:sz w:val="24"/>
            <w:szCs w:val="24"/>
          </w:rPr>
          <w:t>https://doi.org/10.3390/su151410839</w:t>
        </w:r>
      </w:hyperlink>
    </w:p>
    <w:p w14:paraId="53590700" w14:textId="395416DE" w:rsidR="00971BF9" w:rsidRPr="00D64727" w:rsidRDefault="00971BF9" w:rsidP="00D64727">
      <w:pPr>
        <w:ind w:left="720" w:hanging="720"/>
        <w:rPr>
          <w:rFonts w:cs="Arial"/>
          <w:sz w:val="24"/>
          <w:szCs w:val="24"/>
        </w:rPr>
      </w:pPr>
      <w:r w:rsidRPr="00D64727">
        <w:rPr>
          <w:rFonts w:cs="Arial"/>
          <w:sz w:val="24"/>
          <w:szCs w:val="24"/>
        </w:rPr>
        <w:lastRenderedPageBreak/>
        <w:t xml:space="preserve">Islam, F., Bailey, S., &amp; Netto, G. (2024). Digitalised primary care in the UK: a qualitative study of the experiences of minoritised ethnic communities. </w:t>
      </w:r>
      <w:r w:rsidRPr="00D64727">
        <w:rPr>
          <w:rFonts w:cs="Arial"/>
          <w:i/>
          <w:iCs/>
          <w:sz w:val="24"/>
          <w:szCs w:val="24"/>
        </w:rPr>
        <w:t>British Journal of General Practice</w:t>
      </w:r>
      <w:r w:rsidRPr="00D64727">
        <w:rPr>
          <w:rFonts w:cs="Arial"/>
          <w:sz w:val="24"/>
          <w:szCs w:val="24"/>
        </w:rPr>
        <w:t xml:space="preserve">, </w:t>
      </w:r>
      <w:r w:rsidRPr="00D64727">
        <w:rPr>
          <w:rFonts w:cs="Arial"/>
          <w:i/>
          <w:iCs/>
          <w:sz w:val="24"/>
          <w:szCs w:val="24"/>
        </w:rPr>
        <w:t>74</w:t>
      </w:r>
      <w:r w:rsidRPr="00D64727">
        <w:rPr>
          <w:rFonts w:cs="Arial"/>
          <w:sz w:val="24"/>
          <w:szCs w:val="24"/>
        </w:rPr>
        <w:t xml:space="preserve">, e823-e831. </w:t>
      </w:r>
      <w:hyperlink r:id="rId29" w:tgtFrame="_blank" w:history="1">
        <w:r w:rsidRPr="00D64727">
          <w:rPr>
            <w:rStyle w:val="Hyperlink"/>
            <w:rFonts w:cs="Arial"/>
            <w:sz w:val="24"/>
            <w:szCs w:val="24"/>
          </w:rPr>
          <w:t>https://doi.org/10.3399/bjgp.2024.0308</w:t>
        </w:r>
      </w:hyperlink>
    </w:p>
    <w:p w14:paraId="676AD8AB" w14:textId="77777777" w:rsidR="0059481D" w:rsidRPr="00D64727" w:rsidRDefault="0059481D" w:rsidP="00D64727">
      <w:pPr>
        <w:ind w:left="720" w:hanging="720"/>
        <w:rPr>
          <w:rFonts w:cs="Arial"/>
          <w:sz w:val="24"/>
          <w:szCs w:val="24"/>
        </w:rPr>
      </w:pPr>
      <w:r w:rsidRPr="00D64727">
        <w:rPr>
          <w:rFonts w:cs="Arial"/>
          <w:sz w:val="24"/>
          <w:szCs w:val="24"/>
        </w:rPr>
        <w:t xml:space="preserve">Mercer, S. W., Patterson, J., Robson, J. P., Smith, S. M., Walton, E., &amp; Watt, G. (2021). The inverse care law and the potential of primary care in deprived areas. </w:t>
      </w:r>
      <w:r w:rsidRPr="00D64727">
        <w:rPr>
          <w:rFonts w:cs="Arial"/>
          <w:i/>
          <w:iCs/>
          <w:sz w:val="24"/>
          <w:szCs w:val="24"/>
        </w:rPr>
        <w:t>The Lancet</w:t>
      </w:r>
      <w:r w:rsidRPr="00D64727">
        <w:rPr>
          <w:rFonts w:cs="Arial"/>
          <w:sz w:val="24"/>
          <w:szCs w:val="24"/>
        </w:rPr>
        <w:t xml:space="preserve">, </w:t>
      </w:r>
      <w:r w:rsidRPr="00D64727">
        <w:rPr>
          <w:rFonts w:cs="Arial"/>
          <w:i/>
          <w:iCs/>
          <w:sz w:val="24"/>
          <w:szCs w:val="24"/>
        </w:rPr>
        <w:t>397</w:t>
      </w:r>
      <w:r w:rsidRPr="00D64727">
        <w:rPr>
          <w:rFonts w:cs="Arial"/>
          <w:sz w:val="24"/>
          <w:szCs w:val="24"/>
        </w:rPr>
        <w:t xml:space="preserve">, 775–776. </w:t>
      </w:r>
      <w:hyperlink r:id="rId30" w:tgtFrame="_blank" w:history="1">
        <w:r w:rsidRPr="00D64727">
          <w:rPr>
            <w:rStyle w:val="Hyperlink"/>
            <w:rFonts w:cs="Arial"/>
            <w:sz w:val="24"/>
            <w:szCs w:val="24"/>
          </w:rPr>
          <w:t>https://doi.org/10.1016/s0140-6736(21)00317-2</w:t>
        </w:r>
      </w:hyperlink>
    </w:p>
    <w:p w14:paraId="0906F3FD" w14:textId="77777777" w:rsidR="0059481D" w:rsidRPr="00D64727" w:rsidRDefault="0059481D" w:rsidP="00D64727">
      <w:pPr>
        <w:ind w:left="720" w:hanging="720"/>
        <w:rPr>
          <w:rFonts w:cs="Arial"/>
          <w:sz w:val="24"/>
          <w:szCs w:val="24"/>
        </w:rPr>
      </w:pPr>
      <w:r w:rsidRPr="00D64727">
        <w:rPr>
          <w:rFonts w:cs="Arial"/>
          <w:sz w:val="24"/>
          <w:szCs w:val="24"/>
        </w:rPr>
        <w:t xml:space="preserve">Mukhtar, T., Muhammad Naveed Babur, Roohi Abbas, Asima Irshad, &amp; </w:t>
      </w:r>
      <w:proofErr w:type="spellStart"/>
      <w:r w:rsidRPr="00D64727">
        <w:rPr>
          <w:rFonts w:cs="Arial"/>
          <w:sz w:val="24"/>
          <w:szCs w:val="24"/>
        </w:rPr>
        <w:t>Qurba</w:t>
      </w:r>
      <w:proofErr w:type="spellEnd"/>
      <w:r w:rsidRPr="00D64727">
        <w:rPr>
          <w:rFonts w:cs="Arial"/>
          <w:sz w:val="24"/>
          <w:szCs w:val="24"/>
        </w:rPr>
        <w:t xml:space="preserve"> Kiran. (2025). Digital Health Literacy: A systematic review of interventions and their influence on healthcare access and sustainable development Goal-3 (SDG-3). </w:t>
      </w:r>
      <w:r w:rsidRPr="00D64727">
        <w:rPr>
          <w:rFonts w:cs="Arial"/>
          <w:i/>
          <w:iCs/>
          <w:sz w:val="24"/>
          <w:szCs w:val="24"/>
        </w:rPr>
        <w:t>Pakistan Journal of Medical Sciences</w:t>
      </w:r>
      <w:r w:rsidRPr="00D64727">
        <w:rPr>
          <w:rFonts w:cs="Arial"/>
          <w:sz w:val="24"/>
          <w:szCs w:val="24"/>
        </w:rPr>
        <w:t xml:space="preserve">, </w:t>
      </w:r>
      <w:r w:rsidRPr="00D64727">
        <w:rPr>
          <w:rFonts w:cs="Arial"/>
          <w:i/>
          <w:iCs/>
          <w:sz w:val="24"/>
          <w:szCs w:val="24"/>
        </w:rPr>
        <w:t>41</w:t>
      </w:r>
      <w:r w:rsidRPr="00D64727">
        <w:rPr>
          <w:rFonts w:cs="Arial"/>
          <w:sz w:val="24"/>
          <w:szCs w:val="24"/>
        </w:rPr>
        <w:t xml:space="preserve">, 910-918. </w:t>
      </w:r>
      <w:hyperlink r:id="rId31" w:tgtFrame="_blank" w:history="1">
        <w:r w:rsidRPr="00D64727">
          <w:rPr>
            <w:rStyle w:val="Hyperlink"/>
            <w:rFonts w:cs="Arial"/>
            <w:sz w:val="24"/>
            <w:szCs w:val="24"/>
          </w:rPr>
          <w:t>https://doi.org/10.12669/pjms.41.3.10639</w:t>
        </w:r>
      </w:hyperlink>
    </w:p>
    <w:p w14:paraId="6ACAD88C" w14:textId="77777777" w:rsidR="0059481D" w:rsidRPr="00D64727" w:rsidRDefault="0059481D" w:rsidP="00D64727">
      <w:pPr>
        <w:ind w:left="720" w:hanging="720"/>
        <w:rPr>
          <w:rFonts w:cs="Arial"/>
          <w:sz w:val="24"/>
          <w:szCs w:val="24"/>
        </w:rPr>
      </w:pPr>
      <w:r w:rsidRPr="00D64727">
        <w:rPr>
          <w:rFonts w:cs="Arial"/>
          <w:sz w:val="24"/>
          <w:szCs w:val="24"/>
        </w:rPr>
        <w:t xml:space="preserve">Holman, D., &amp; Walker, A. (2020). Understanding unequal ageing: towards a synthesis of intersectionality and life course analyses. </w:t>
      </w:r>
      <w:r w:rsidRPr="00D64727">
        <w:rPr>
          <w:rFonts w:cs="Arial"/>
          <w:i/>
          <w:iCs/>
          <w:sz w:val="24"/>
          <w:szCs w:val="24"/>
        </w:rPr>
        <w:t>European Journal of Ageing</w:t>
      </w:r>
      <w:r w:rsidRPr="00D64727">
        <w:rPr>
          <w:rFonts w:cs="Arial"/>
          <w:sz w:val="24"/>
          <w:szCs w:val="24"/>
        </w:rPr>
        <w:t xml:space="preserve">, </w:t>
      </w:r>
      <w:r w:rsidRPr="00D64727">
        <w:rPr>
          <w:rFonts w:cs="Arial"/>
          <w:i/>
          <w:iCs/>
          <w:sz w:val="24"/>
          <w:szCs w:val="24"/>
        </w:rPr>
        <w:t>18</w:t>
      </w:r>
      <w:r w:rsidRPr="00D64727">
        <w:rPr>
          <w:rFonts w:cs="Arial"/>
          <w:sz w:val="24"/>
          <w:szCs w:val="24"/>
        </w:rPr>
        <w:t xml:space="preserve">, 239-255. </w:t>
      </w:r>
      <w:hyperlink r:id="rId32" w:tgtFrame="_blank" w:history="1">
        <w:r w:rsidRPr="00D64727">
          <w:rPr>
            <w:rStyle w:val="Hyperlink"/>
            <w:rFonts w:cs="Arial"/>
            <w:sz w:val="24"/>
            <w:szCs w:val="24"/>
          </w:rPr>
          <w:t>https://doi.org/10.1007/s10433-020-00582-7</w:t>
        </w:r>
      </w:hyperlink>
    </w:p>
    <w:p w14:paraId="02E25013" w14:textId="77777777" w:rsidR="0059481D" w:rsidRPr="00D64727" w:rsidRDefault="0059481D" w:rsidP="00D64727">
      <w:pPr>
        <w:ind w:left="720" w:hanging="720"/>
        <w:rPr>
          <w:rFonts w:cs="Arial"/>
          <w:sz w:val="24"/>
          <w:szCs w:val="24"/>
        </w:rPr>
      </w:pPr>
      <w:r w:rsidRPr="00D64727">
        <w:rPr>
          <w:rFonts w:cs="Arial"/>
          <w:sz w:val="24"/>
          <w:szCs w:val="24"/>
        </w:rPr>
        <w:t xml:space="preserve">Joshi, M., Finney, N., &amp; Hale, J. M. (2024). Loneliness and social isolation of ethnic minority/immigrant older adults: a scoping review. </w:t>
      </w:r>
      <w:r w:rsidRPr="00D64727">
        <w:rPr>
          <w:rFonts w:cs="Arial"/>
          <w:i/>
          <w:iCs/>
          <w:sz w:val="24"/>
          <w:szCs w:val="24"/>
        </w:rPr>
        <w:t>Ageing and Society</w:t>
      </w:r>
      <w:r w:rsidRPr="00D64727">
        <w:rPr>
          <w:rFonts w:cs="Arial"/>
          <w:sz w:val="24"/>
          <w:szCs w:val="24"/>
        </w:rPr>
        <w:t xml:space="preserve">, 1–31. </w:t>
      </w:r>
      <w:hyperlink r:id="rId33" w:tgtFrame="_blank" w:history="1">
        <w:r w:rsidRPr="00D64727">
          <w:rPr>
            <w:rStyle w:val="Hyperlink"/>
            <w:rFonts w:cs="Arial"/>
            <w:sz w:val="24"/>
            <w:szCs w:val="24"/>
          </w:rPr>
          <w:t>https://doi.org/10.1017/s0144686x24000205</w:t>
        </w:r>
      </w:hyperlink>
    </w:p>
    <w:p w14:paraId="7F8CEF6E" w14:textId="4FCA3726" w:rsidR="00186D23" w:rsidRPr="00D64727" w:rsidRDefault="00186D23" w:rsidP="00D64727">
      <w:pPr>
        <w:ind w:left="720" w:hanging="720"/>
        <w:rPr>
          <w:rFonts w:cs="Arial"/>
          <w:sz w:val="24"/>
          <w:szCs w:val="24"/>
        </w:rPr>
      </w:pPr>
      <w:r w:rsidRPr="00D64727">
        <w:rPr>
          <w:rFonts w:cs="Arial"/>
          <w:sz w:val="24"/>
          <w:szCs w:val="24"/>
        </w:rPr>
        <w:t xml:space="preserve">Sundareswaran, M., Martignetti, L., &amp; Purkey, E. (2024). Barriers to primary care among immigrants and refugees in Peterborough, Ontario: a qualitative study of provider perspectives. </w:t>
      </w:r>
      <w:r w:rsidRPr="00D64727">
        <w:rPr>
          <w:rFonts w:cs="Arial"/>
          <w:i/>
          <w:iCs/>
          <w:sz w:val="24"/>
          <w:szCs w:val="24"/>
        </w:rPr>
        <w:t>BMC Primary Care</w:t>
      </w:r>
      <w:r w:rsidRPr="00D64727">
        <w:rPr>
          <w:rFonts w:cs="Arial"/>
          <w:sz w:val="24"/>
          <w:szCs w:val="24"/>
        </w:rPr>
        <w:t xml:space="preserve">, </w:t>
      </w:r>
      <w:r w:rsidRPr="00D64727">
        <w:rPr>
          <w:rFonts w:cs="Arial"/>
          <w:i/>
          <w:iCs/>
          <w:sz w:val="24"/>
          <w:szCs w:val="24"/>
        </w:rPr>
        <w:t>25</w:t>
      </w:r>
      <w:r w:rsidRPr="00D64727">
        <w:rPr>
          <w:rFonts w:cs="Arial"/>
          <w:sz w:val="24"/>
          <w:szCs w:val="24"/>
        </w:rPr>
        <w:t xml:space="preserve">. </w:t>
      </w:r>
      <w:hyperlink r:id="rId34" w:tgtFrame="_blank" w:history="1">
        <w:r w:rsidRPr="00D64727">
          <w:rPr>
            <w:rStyle w:val="Hyperlink"/>
            <w:rFonts w:cs="Arial"/>
            <w:sz w:val="24"/>
            <w:szCs w:val="24"/>
          </w:rPr>
          <w:t>https://doi.org/10.1186/s12875-024-02453-x</w:t>
        </w:r>
      </w:hyperlink>
      <w:r w:rsidRPr="00D64727">
        <w:rPr>
          <w:rFonts w:cs="Arial"/>
          <w:sz w:val="24"/>
          <w:szCs w:val="24"/>
        </w:rPr>
        <w:t xml:space="preserve"> </w:t>
      </w:r>
    </w:p>
    <w:p w14:paraId="16F4D32A" w14:textId="1BB2940F" w:rsidR="00186D23" w:rsidRPr="00D64727" w:rsidRDefault="00186D23" w:rsidP="00D64727">
      <w:pPr>
        <w:ind w:left="720" w:hanging="720"/>
        <w:rPr>
          <w:rFonts w:cs="Arial"/>
          <w:sz w:val="24"/>
          <w:szCs w:val="24"/>
        </w:rPr>
      </w:pPr>
      <w:r w:rsidRPr="00D64727">
        <w:rPr>
          <w:rFonts w:cs="Arial"/>
          <w:sz w:val="24"/>
          <w:szCs w:val="24"/>
        </w:rPr>
        <w:t xml:space="preserve">Jain, S., Bey, G. S., Forrester, S. N., et al. (2024). Aging, Race, and Health Disparities: Recommendations </w:t>
      </w:r>
      <w:proofErr w:type="gramStart"/>
      <w:r w:rsidRPr="00D64727">
        <w:rPr>
          <w:rFonts w:cs="Arial"/>
          <w:sz w:val="24"/>
          <w:szCs w:val="24"/>
        </w:rPr>
        <w:t>From</w:t>
      </w:r>
      <w:proofErr w:type="gramEnd"/>
      <w:r w:rsidRPr="00D64727">
        <w:rPr>
          <w:rFonts w:cs="Arial"/>
          <w:sz w:val="24"/>
          <w:szCs w:val="24"/>
        </w:rPr>
        <w:t xml:space="preserve"> the Research </w:t>
      </w:r>
      <w:proofErr w:type="spellStart"/>
      <w:r w:rsidRPr="00D64727">
        <w:rPr>
          <w:rFonts w:cs="Arial"/>
          <w:sz w:val="24"/>
          <w:szCs w:val="24"/>
        </w:rPr>
        <w:t>Centers</w:t>
      </w:r>
      <w:proofErr w:type="spellEnd"/>
      <w:r w:rsidRPr="00D64727">
        <w:rPr>
          <w:rFonts w:cs="Arial"/>
          <w:sz w:val="24"/>
          <w:szCs w:val="24"/>
        </w:rPr>
        <w:t xml:space="preserve"> Collaborative Network. </w:t>
      </w:r>
      <w:r w:rsidRPr="00D64727">
        <w:rPr>
          <w:rFonts w:cs="Arial"/>
          <w:i/>
          <w:iCs/>
          <w:sz w:val="24"/>
          <w:szCs w:val="24"/>
        </w:rPr>
        <w:t>The Journals of Gerontology, Series B: Psychological Sciences and Social Sciences</w:t>
      </w:r>
      <w:r w:rsidRPr="00D64727">
        <w:rPr>
          <w:rFonts w:cs="Arial"/>
          <w:sz w:val="24"/>
          <w:szCs w:val="24"/>
        </w:rPr>
        <w:t xml:space="preserve">, </w:t>
      </w:r>
      <w:r w:rsidRPr="00D64727">
        <w:rPr>
          <w:rFonts w:cs="Arial"/>
          <w:i/>
          <w:iCs/>
          <w:sz w:val="24"/>
          <w:szCs w:val="24"/>
        </w:rPr>
        <w:t>79</w:t>
      </w:r>
      <w:r w:rsidRPr="00D64727">
        <w:rPr>
          <w:rFonts w:cs="Arial"/>
          <w:sz w:val="24"/>
          <w:szCs w:val="24"/>
        </w:rPr>
        <w:t xml:space="preserve">. </w:t>
      </w:r>
      <w:hyperlink r:id="rId35" w:tgtFrame="_blank" w:history="1">
        <w:r w:rsidRPr="00D64727">
          <w:rPr>
            <w:rStyle w:val="Hyperlink"/>
            <w:rFonts w:cs="Arial"/>
            <w:sz w:val="24"/>
            <w:szCs w:val="24"/>
          </w:rPr>
          <w:t>https://doi.org/10.1093/geronb/gbae028</w:t>
        </w:r>
      </w:hyperlink>
    </w:p>
    <w:p w14:paraId="3F269AE1" w14:textId="77777777" w:rsidR="0059481D" w:rsidRPr="00D64727" w:rsidRDefault="0059481D" w:rsidP="00D64727">
      <w:pPr>
        <w:ind w:left="720" w:hanging="720"/>
        <w:rPr>
          <w:rFonts w:cs="Arial"/>
          <w:sz w:val="24"/>
          <w:szCs w:val="24"/>
        </w:rPr>
      </w:pPr>
      <w:r w:rsidRPr="00D64727">
        <w:rPr>
          <w:rFonts w:cs="Arial"/>
          <w:sz w:val="24"/>
          <w:szCs w:val="24"/>
        </w:rPr>
        <w:t xml:space="preserve">Victor, C. R., Dobbs, C., Gilhooly, K., &amp; Burholt, V. (2020). Loneliness in mid-life and older adults from ethnic minority communities in England and Wales: measure validation and prevalence estimates. </w:t>
      </w:r>
      <w:r w:rsidRPr="00D64727">
        <w:rPr>
          <w:rFonts w:cs="Arial"/>
          <w:i/>
          <w:iCs/>
          <w:sz w:val="24"/>
          <w:szCs w:val="24"/>
        </w:rPr>
        <w:t>European Journal of Ageing</w:t>
      </w:r>
      <w:r w:rsidRPr="00D64727">
        <w:rPr>
          <w:rFonts w:cs="Arial"/>
          <w:sz w:val="24"/>
          <w:szCs w:val="24"/>
        </w:rPr>
        <w:t xml:space="preserve">, </w:t>
      </w:r>
      <w:r w:rsidRPr="00D64727">
        <w:rPr>
          <w:rFonts w:cs="Arial"/>
          <w:i/>
          <w:iCs/>
          <w:sz w:val="24"/>
          <w:szCs w:val="24"/>
        </w:rPr>
        <w:t>18</w:t>
      </w:r>
      <w:r w:rsidRPr="00D64727">
        <w:rPr>
          <w:rFonts w:cs="Arial"/>
          <w:sz w:val="24"/>
          <w:szCs w:val="24"/>
        </w:rPr>
        <w:t xml:space="preserve">, 5–16. </w:t>
      </w:r>
      <w:hyperlink r:id="rId36" w:tgtFrame="_blank" w:history="1">
        <w:r w:rsidRPr="00D64727">
          <w:rPr>
            <w:rStyle w:val="Hyperlink"/>
            <w:rFonts w:cs="Arial"/>
            <w:sz w:val="24"/>
            <w:szCs w:val="24"/>
          </w:rPr>
          <w:t>https://doi.org/10.1007/s10433-020-00564-9</w:t>
        </w:r>
      </w:hyperlink>
    </w:p>
    <w:p w14:paraId="47108980" w14:textId="77777777" w:rsidR="0059481D" w:rsidRPr="00D64727" w:rsidRDefault="0059481D" w:rsidP="00D64727">
      <w:pPr>
        <w:ind w:left="720" w:hanging="720"/>
        <w:rPr>
          <w:rFonts w:cs="Arial"/>
          <w:sz w:val="24"/>
          <w:szCs w:val="24"/>
        </w:rPr>
      </w:pPr>
      <w:r w:rsidRPr="00D64727">
        <w:rPr>
          <w:rFonts w:cs="Arial"/>
          <w:sz w:val="24"/>
          <w:szCs w:val="24"/>
        </w:rPr>
        <w:lastRenderedPageBreak/>
        <w:t>Wilson-</w:t>
      </w:r>
      <w:proofErr w:type="spellStart"/>
      <w:r w:rsidRPr="00D64727">
        <w:rPr>
          <w:rFonts w:cs="Arial"/>
          <w:sz w:val="24"/>
          <w:szCs w:val="24"/>
        </w:rPr>
        <w:t>Menzfeld</w:t>
      </w:r>
      <w:proofErr w:type="spellEnd"/>
      <w:r w:rsidRPr="00D64727">
        <w:rPr>
          <w:rFonts w:cs="Arial"/>
          <w:sz w:val="24"/>
          <w:szCs w:val="24"/>
        </w:rPr>
        <w:t xml:space="preserve">, G., Erfani, G., Young-Murphy, L., et al. (2024). Identifying and understanding digital exclusion: a mixed-methods study. </w:t>
      </w:r>
      <w:r w:rsidRPr="00D64727">
        <w:rPr>
          <w:rFonts w:cs="Arial"/>
          <w:i/>
          <w:iCs/>
          <w:sz w:val="24"/>
          <w:szCs w:val="24"/>
        </w:rPr>
        <w:t>Behaviour &amp; Information Technology</w:t>
      </w:r>
      <w:r w:rsidRPr="00D64727">
        <w:rPr>
          <w:rFonts w:cs="Arial"/>
          <w:sz w:val="24"/>
          <w:szCs w:val="24"/>
        </w:rPr>
        <w:t xml:space="preserve">, 1-18. </w:t>
      </w:r>
      <w:hyperlink r:id="rId37" w:tgtFrame="_blank" w:history="1">
        <w:r w:rsidRPr="00D64727">
          <w:rPr>
            <w:rStyle w:val="Hyperlink"/>
            <w:rFonts w:cs="Arial"/>
            <w:sz w:val="24"/>
            <w:szCs w:val="24"/>
          </w:rPr>
          <w:t>https://doi.org/10.1080/0144929x.2024.2368087</w:t>
        </w:r>
      </w:hyperlink>
    </w:p>
    <w:p w14:paraId="6077C339" w14:textId="77777777" w:rsidR="0059481D" w:rsidRPr="00D64727" w:rsidRDefault="0059481D" w:rsidP="00D64727">
      <w:pPr>
        <w:ind w:left="720" w:hanging="720"/>
        <w:rPr>
          <w:rFonts w:cs="Arial"/>
          <w:sz w:val="24"/>
          <w:szCs w:val="24"/>
        </w:rPr>
      </w:pPr>
      <w:r w:rsidRPr="00D64727">
        <w:rPr>
          <w:rFonts w:cs="Arial"/>
          <w:sz w:val="24"/>
          <w:szCs w:val="24"/>
        </w:rPr>
        <w:t xml:space="preserve">Wang, X., &amp; Luan, W. (2022). Research progress on digital health literacy of older adults: A scoping review. </w:t>
      </w:r>
      <w:r w:rsidRPr="00D64727">
        <w:rPr>
          <w:rFonts w:cs="Arial"/>
          <w:i/>
          <w:iCs/>
          <w:sz w:val="24"/>
          <w:szCs w:val="24"/>
        </w:rPr>
        <w:t>Frontiers in Public Health</w:t>
      </w:r>
      <w:r w:rsidRPr="00D64727">
        <w:rPr>
          <w:rFonts w:cs="Arial"/>
          <w:sz w:val="24"/>
          <w:szCs w:val="24"/>
        </w:rPr>
        <w:t xml:space="preserve">, </w:t>
      </w:r>
      <w:r w:rsidRPr="00D64727">
        <w:rPr>
          <w:rFonts w:cs="Arial"/>
          <w:i/>
          <w:iCs/>
          <w:sz w:val="24"/>
          <w:szCs w:val="24"/>
        </w:rPr>
        <w:t>10</w:t>
      </w:r>
      <w:r w:rsidRPr="00D64727">
        <w:rPr>
          <w:rFonts w:cs="Arial"/>
          <w:sz w:val="24"/>
          <w:szCs w:val="24"/>
        </w:rPr>
        <w:t xml:space="preserve">. </w:t>
      </w:r>
      <w:hyperlink r:id="rId38" w:tgtFrame="_blank" w:history="1">
        <w:r w:rsidRPr="00D64727">
          <w:rPr>
            <w:rStyle w:val="Hyperlink"/>
            <w:rFonts w:cs="Arial"/>
            <w:sz w:val="24"/>
            <w:szCs w:val="24"/>
          </w:rPr>
          <w:t>https://doi.org/10.3389/fpubh.2022.906089</w:t>
        </w:r>
      </w:hyperlink>
    </w:p>
    <w:p w14:paraId="051473D3" w14:textId="51A005DA" w:rsidR="00186D23" w:rsidRPr="00D64727" w:rsidRDefault="00186D23" w:rsidP="00D64727">
      <w:pPr>
        <w:ind w:left="720" w:hanging="720"/>
        <w:rPr>
          <w:rFonts w:cs="Arial"/>
          <w:sz w:val="24"/>
          <w:szCs w:val="24"/>
        </w:rPr>
      </w:pPr>
      <w:r w:rsidRPr="00D64727">
        <w:rPr>
          <w:rFonts w:cs="Arial"/>
          <w:sz w:val="24"/>
          <w:szCs w:val="24"/>
        </w:rPr>
        <w:t xml:space="preserve">Woolley, K. E., Bright, D., Ayres, T., et al. (2023). Mapping Inequities in Digital Health Technology Within the World Health Organization’s European Region Using PROGRESS PLUS: Scoping Review. </w:t>
      </w:r>
      <w:r w:rsidRPr="00D64727">
        <w:rPr>
          <w:rFonts w:cs="Arial"/>
          <w:i/>
          <w:iCs/>
          <w:sz w:val="24"/>
          <w:szCs w:val="24"/>
        </w:rPr>
        <w:t>Journal of Medical Internet Research</w:t>
      </w:r>
      <w:r w:rsidRPr="00D64727">
        <w:rPr>
          <w:rFonts w:cs="Arial"/>
          <w:sz w:val="24"/>
          <w:szCs w:val="24"/>
        </w:rPr>
        <w:t xml:space="preserve">, </w:t>
      </w:r>
      <w:r w:rsidRPr="00D64727">
        <w:rPr>
          <w:rFonts w:cs="Arial"/>
          <w:i/>
          <w:iCs/>
          <w:sz w:val="24"/>
          <w:szCs w:val="24"/>
        </w:rPr>
        <w:t>25</w:t>
      </w:r>
      <w:r w:rsidRPr="00D64727">
        <w:rPr>
          <w:rFonts w:cs="Arial"/>
          <w:sz w:val="24"/>
          <w:szCs w:val="24"/>
        </w:rPr>
        <w:t xml:space="preserve">, e44181. </w:t>
      </w:r>
      <w:hyperlink r:id="rId39" w:tgtFrame="_blank" w:history="1">
        <w:r w:rsidRPr="00D64727">
          <w:rPr>
            <w:rStyle w:val="Hyperlink"/>
            <w:rFonts w:cs="Arial"/>
            <w:sz w:val="24"/>
            <w:szCs w:val="24"/>
          </w:rPr>
          <w:t>https://doi.org/10.2196/44181</w:t>
        </w:r>
      </w:hyperlink>
    </w:p>
    <w:p w14:paraId="69FE167E" w14:textId="452D0CD0" w:rsidR="00971BF9" w:rsidRPr="00D64727" w:rsidRDefault="00971BF9" w:rsidP="00D64727">
      <w:pPr>
        <w:ind w:left="720" w:hanging="720"/>
        <w:rPr>
          <w:rFonts w:cs="Arial"/>
          <w:sz w:val="24"/>
          <w:szCs w:val="24"/>
          <w:lang w:val="en-US" w:eastAsia="en-US"/>
        </w:rPr>
      </w:pPr>
      <w:r w:rsidRPr="00D64727">
        <w:rPr>
          <w:rFonts w:cs="Arial"/>
          <w:sz w:val="24"/>
          <w:szCs w:val="24"/>
        </w:rPr>
        <w:t xml:space="preserve">Watkinson, R. E., Sutton, M., &amp; Turner, A. J. (2021). Ethnic inequalities in health-related quality of life among older adults in England: secondary analysis of a national cross-sectional survey. </w:t>
      </w:r>
      <w:r w:rsidRPr="00D64727">
        <w:rPr>
          <w:rFonts w:cs="Arial"/>
          <w:i/>
          <w:iCs/>
          <w:sz w:val="24"/>
          <w:szCs w:val="24"/>
        </w:rPr>
        <w:t>The Lancet Public Health</w:t>
      </w:r>
      <w:r w:rsidRPr="00D64727">
        <w:rPr>
          <w:rFonts w:cs="Arial"/>
          <w:sz w:val="24"/>
          <w:szCs w:val="24"/>
        </w:rPr>
        <w:t xml:space="preserve">, </w:t>
      </w:r>
      <w:r w:rsidRPr="00D64727">
        <w:rPr>
          <w:rFonts w:cs="Arial"/>
          <w:i/>
          <w:iCs/>
          <w:sz w:val="24"/>
          <w:szCs w:val="24"/>
        </w:rPr>
        <w:t>6</w:t>
      </w:r>
      <w:r w:rsidRPr="00D64727">
        <w:rPr>
          <w:rFonts w:cs="Arial"/>
          <w:sz w:val="24"/>
          <w:szCs w:val="24"/>
        </w:rPr>
        <w:t xml:space="preserve">, e145-e154. </w:t>
      </w:r>
      <w:hyperlink r:id="rId40" w:tgtFrame="_blank" w:history="1">
        <w:r w:rsidRPr="00D64727">
          <w:rPr>
            <w:rStyle w:val="Hyperlink"/>
            <w:rFonts w:cs="Arial"/>
            <w:sz w:val="24"/>
            <w:szCs w:val="24"/>
          </w:rPr>
          <w:t>https://doi.org/10.1016/s2468-2667(20)30287-5</w:t>
        </w:r>
      </w:hyperlink>
    </w:p>
    <w:p w14:paraId="5000BA73" w14:textId="27E6C12B" w:rsidR="00BB7C89" w:rsidRPr="00D64727" w:rsidRDefault="000A546E" w:rsidP="00D64727">
      <w:pPr>
        <w:pStyle w:val="Heading1"/>
        <w:spacing w:line="360" w:lineRule="auto"/>
        <w:jc w:val="both"/>
        <w:rPr>
          <w:b w:val="0"/>
          <w:sz w:val="24"/>
          <w:szCs w:val="24"/>
          <w:lang w:val="en-US"/>
        </w:rPr>
      </w:pPr>
      <w:r w:rsidRPr="00D64727">
        <w:rPr>
          <w:b w:val="0"/>
          <w:sz w:val="24"/>
          <w:szCs w:val="24"/>
          <w:lang w:val="en-US"/>
        </w:rPr>
        <w:t xml:space="preserve">Zhong, S. (2025). Digital exclusion and loneliness in older people: panel data analysis. </w:t>
      </w:r>
      <w:r w:rsidRPr="00D64727">
        <w:rPr>
          <w:b w:val="0"/>
          <w:i/>
          <w:iCs/>
          <w:sz w:val="24"/>
          <w:szCs w:val="24"/>
          <w:bdr w:val="none" w:sz="0" w:space="0" w:color="auto" w:frame="1"/>
          <w:lang w:val="en-US"/>
        </w:rPr>
        <w:t>BMC Geriatrics</w:t>
      </w:r>
      <w:r w:rsidRPr="00D64727">
        <w:rPr>
          <w:b w:val="0"/>
          <w:sz w:val="24"/>
          <w:szCs w:val="24"/>
          <w:lang w:val="en-US"/>
        </w:rPr>
        <w:t xml:space="preserve">. </w:t>
      </w:r>
      <w:r w:rsidR="00BB7C89" w:rsidRPr="00D64727">
        <w:rPr>
          <w:b w:val="0"/>
          <w:sz w:val="24"/>
          <w:szCs w:val="24"/>
          <w:bdr w:val="none" w:sz="0" w:space="0" w:color="auto" w:frame="1"/>
          <w:lang w:val="en-US"/>
        </w:rPr>
        <w:fldChar w:fldCharType="begin"/>
      </w:r>
      <w:r w:rsidR="00BB7C89" w:rsidRPr="00D64727">
        <w:rPr>
          <w:b w:val="0"/>
          <w:sz w:val="24"/>
          <w:szCs w:val="24"/>
          <w:bdr w:val="none" w:sz="0" w:space="0" w:color="auto" w:frame="1"/>
          <w:lang w:val="en-US"/>
        </w:rPr>
        <w:instrText xml:space="preserve"> HYPERLINK "https://pmc.ncbi.nlm.nih.gov/articles/PMC12379439/</w:instrText>
      </w:r>
    </w:p>
    <w:p w14:paraId="46FDBF4B" w14:textId="77777777" w:rsidR="00BB7C89" w:rsidRPr="00D64727" w:rsidRDefault="00BB7C89" w:rsidP="00D64727">
      <w:pPr>
        <w:pStyle w:val="Heading1"/>
        <w:spacing w:line="360" w:lineRule="auto"/>
        <w:jc w:val="both"/>
        <w:rPr>
          <w:b w:val="0"/>
          <w:bCs/>
          <w:i/>
          <w:iCs/>
          <w:sz w:val="24"/>
          <w:szCs w:val="24"/>
          <w:lang w:val="en-US"/>
        </w:rPr>
      </w:pPr>
      <w:r w:rsidRPr="00D64727">
        <w:rPr>
          <w:b w:val="0"/>
          <w:bCs/>
          <w:i/>
          <w:iCs/>
          <w:sz w:val="24"/>
          <w:szCs w:val="24"/>
          <w:lang w:val="en-US"/>
        </w:rPr>
        <w:br w:type="page"/>
      </w:r>
    </w:p>
    <w:p w14:paraId="0FA08135" w14:textId="77777777" w:rsidR="00BB7C89" w:rsidRPr="00D64727" w:rsidRDefault="00BB7C89" w:rsidP="00D64727">
      <w:pPr>
        <w:pStyle w:val="Heading1"/>
        <w:spacing w:line="360" w:lineRule="auto"/>
        <w:jc w:val="both"/>
        <w:rPr>
          <w:b w:val="0"/>
          <w:bCs/>
          <w:i/>
          <w:iCs/>
          <w:sz w:val="24"/>
          <w:szCs w:val="24"/>
          <w:lang w:val="en-US"/>
        </w:rPr>
      </w:pPr>
    </w:p>
    <w:p w14:paraId="0581F1C4" w14:textId="1FC47B17" w:rsidR="00BB7C89" w:rsidRPr="00D64727" w:rsidRDefault="00BB7C89" w:rsidP="00D64727">
      <w:pPr>
        <w:pStyle w:val="Heading1"/>
        <w:spacing w:line="360" w:lineRule="auto"/>
        <w:jc w:val="both"/>
        <w:rPr>
          <w:rStyle w:val="Hyperlink"/>
          <w:rFonts w:eastAsia="Times New Roman" w:cs="Arial"/>
          <w:b w:val="0"/>
          <w:sz w:val="24"/>
          <w:szCs w:val="24"/>
          <w:lang w:val="en-US" w:eastAsia="en-US"/>
        </w:rPr>
      </w:pPr>
      <w:r w:rsidRPr="00D64727">
        <w:rPr>
          <w:b w:val="0"/>
          <w:sz w:val="24"/>
          <w:szCs w:val="24"/>
          <w:bdr w:val="none" w:sz="0" w:space="0" w:color="auto" w:frame="1"/>
          <w:lang w:val="en-US"/>
        </w:rPr>
        <w:instrText xml:space="preserve">" </w:instrText>
      </w:r>
      <w:r w:rsidRPr="00D64727">
        <w:rPr>
          <w:b w:val="0"/>
          <w:sz w:val="24"/>
          <w:szCs w:val="24"/>
          <w:bdr w:val="none" w:sz="0" w:space="0" w:color="auto" w:frame="1"/>
          <w:lang w:val="en-US"/>
        </w:rPr>
      </w:r>
      <w:r w:rsidRPr="00D64727">
        <w:rPr>
          <w:b w:val="0"/>
          <w:sz w:val="24"/>
          <w:szCs w:val="24"/>
          <w:bdr w:val="none" w:sz="0" w:space="0" w:color="auto" w:frame="1"/>
          <w:lang w:val="en-US"/>
        </w:rPr>
        <w:fldChar w:fldCharType="separate"/>
      </w:r>
      <w:r w:rsidRPr="00D64727">
        <w:rPr>
          <w:rStyle w:val="Hyperlink"/>
          <w:rFonts w:eastAsia="Times New Roman" w:cs="Arial"/>
          <w:b w:val="0"/>
          <w:sz w:val="24"/>
          <w:szCs w:val="24"/>
          <w:bdr w:val="none" w:sz="0" w:space="0" w:color="auto" w:frame="1"/>
          <w:lang w:val="en-US" w:eastAsia="en-US"/>
        </w:rPr>
        <w:t>https://pmc.ncbi.nlm.nih.gov/articles/PMC12379439/</w:t>
      </w:r>
      <w:r w:rsidRPr="00D64727">
        <w:rPr>
          <w:rStyle w:val="Hyperlink"/>
          <w:rFonts w:eastAsia="Times New Roman" w:cs="Arial"/>
          <w:b w:val="0"/>
          <w:bCs/>
          <w:i/>
          <w:iCs/>
          <w:sz w:val="24"/>
          <w:szCs w:val="24"/>
          <w:lang w:val="en-US" w:eastAsia="en-US"/>
        </w:rPr>
        <w:br w:type="page"/>
      </w:r>
    </w:p>
    <w:p w14:paraId="6524914A" w14:textId="77777777" w:rsidR="00BB7C89" w:rsidRPr="00D64727" w:rsidRDefault="00BB7C89" w:rsidP="00D64727">
      <w:pPr>
        <w:pStyle w:val="Heading1"/>
        <w:numPr>
          <w:ilvl w:val="0"/>
          <w:numId w:val="0"/>
        </w:numPr>
        <w:spacing w:line="360" w:lineRule="auto"/>
        <w:ind w:left="432"/>
        <w:jc w:val="both"/>
        <w:rPr>
          <w:rStyle w:val="Hyperlink"/>
          <w:rFonts w:eastAsia="Times New Roman" w:cs="Arial"/>
          <w:b w:val="0"/>
          <w:bCs/>
          <w:i/>
          <w:iCs/>
          <w:sz w:val="24"/>
          <w:szCs w:val="24"/>
          <w:lang w:val="en-US" w:eastAsia="en-US"/>
        </w:rPr>
      </w:pPr>
    </w:p>
    <w:p w14:paraId="0A4CF8B4" w14:textId="46E6C0B7" w:rsidR="00EF135B" w:rsidRDefault="00BB7C89" w:rsidP="00D64727">
      <w:pPr>
        <w:pStyle w:val="Heading1"/>
        <w:numPr>
          <w:ilvl w:val="0"/>
          <w:numId w:val="0"/>
        </w:numPr>
        <w:spacing w:line="360" w:lineRule="auto"/>
        <w:jc w:val="both"/>
      </w:pPr>
      <w:r w:rsidRPr="00D64727">
        <w:rPr>
          <w:b w:val="0"/>
          <w:sz w:val="24"/>
          <w:szCs w:val="24"/>
          <w:bdr w:val="none" w:sz="0" w:space="0" w:color="auto" w:frame="1"/>
          <w:lang w:val="en-US"/>
        </w:rPr>
        <w:fldChar w:fldCharType="end"/>
      </w:r>
      <w:bookmarkStart w:id="82" w:name="_Toc241246340"/>
      <w:proofErr w:type="gramStart"/>
      <w:r w:rsidR="00EF135B" w:rsidRPr="00FA2D6F">
        <w:rPr>
          <w:rStyle w:val="Heading2Char"/>
          <w:rFonts w:ascii="Arial" w:hAnsi="Arial" w:cs="Arial"/>
          <w:b/>
          <w:szCs w:val="24"/>
        </w:rPr>
        <w:t>Appendix</w:t>
      </w:r>
      <w:r w:rsidR="00EF135B" w:rsidRPr="00FA2D6F">
        <w:t xml:space="preserve">  </w:t>
      </w:r>
      <w:r w:rsidR="00EF135B" w:rsidRPr="00FA2D6F">
        <w:rPr>
          <w:rStyle w:val="Heading2Char"/>
          <w:rFonts w:ascii="Arial" w:hAnsi="Arial" w:cs="Arial"/>
          <w:b/>
          <w:szCs w:val="24"/>
        </w:rPr>
        <w:t>A</w:t>
      </w:r>
      <w:proofErr w:type="gramEnd"/>
      <w:r w:rsidR="00EF135B" w:rsidRPr="00FA2D6F">
        <w:rPr>
          <w:rStyle w:val="Heading2Char"/>
          <w:rFonts w:ascii="Arial" w:hAnsi="Arial" w:cs="Arial"/>
          <w:b/>
          <w:szCs w:val="24"/>
        </w:rPr>
        <w:t xml:space="preserve">: </w:t>
      </w:r>
      <w:r w:rsidR="00EF135B" w:rsidRPr="00FA2D6F">
        <w:t>Independent Project Source Tracking Table</w:t>
      </w:r>
      <w:bookmarkEnd w:id="82"/>
    </w:p>
    <w:tbl>
      <w:tblPr>
        <w:tblStyle w:val="TableGrid"/>
        <w:tblW w:w="0" w:type="auto"/>
        <w:tblLayout w:type="fixed"/>
        <w:tblLook w:val="04A0" w:firstRow="1" w:lastRow="0" w:firstColumn="1" w:lastColumn="0" w:noHBand="0" w:noVBand="1"/>
      </w:tblPr>
      <w:tblGrid>
        <w:gridCol w:w="918"/>
        <w:gridCol w:w="1080"/>
        <w:gridCol w:w="1350"/>
        <w:gridCol w:w="1440"/>
        <w:gridCol w:w="1530"/>
        <w:gridCol w:w="2924"/>
      </w:tblGrid>
      <w:tr w:rsidR="00E76F6F" w14:paraId="2776B473" w14:textId="77777777" w:rsidTr="00F6263A">
        <w:tc>
          <w:tcPr>
            <w:tcW w:w="918" w:type="dxa"/>
            <w:hideMark/>
          </w:tcPr>
          <w:p w14:paraId="53632544"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Saved</w:t>
            </w:r>
          </w:p>
        </w:tc>
        <w:tc>
          <w:tcPr>
            <w:tcW w:w="1080" w:type="dxa"/>
            <w:hideMark/>
          </w:tcPr>
          <w:p w14:paraId="1D997A32"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Author &amp; Year</w:t>
            </w:r>
          </w:p>
        </w:tc>
        <w:tc>
          <w:tcPr>
            <w:tcW w:w="1350" w:type="dxa"/>
            <w:hideMark/>
          </w:tcPr>
          <w:p w14:paraId="23F1977F"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Title</w:t>
            </w:r>
          </w:p>
        </w:tc>
        <w:tc>
          <w:tcPr>
            <w:tcW w:w="1440" w:type="dxa"/>
            <w:hideMark/>
          </w:tcPr>
          <w:p w14:paraId="064DB9FC"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Summary</w:t>
            </w:r>
          </w:p>
        </w:tc>
        <w:tc>
          <w:tcPr>
            <w:tcW w:w="1530" w:type="dxa"/>
            <w:hideMark/>
          </w:tcPr>
          <w:p w14:paraId="6EE499AA"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CRAAP Notes</w:t>
            </w:r>
          </w:p>
        </w:tc>
        <w:tc>
          <w:tcPr>
            <w:tcW w:w="2924" w:type="dxa"/>
            <w:hideMark/>
          </w:tcPr>
          <w:p w14:paraId="52E7F389" w14:textId="77777777" w:rsidR="00E76F6F" w:rsidRDefault="00E76F6F">
            <w:pPr>
              <w:pStyle w:val="NormalWeb"/>
              <w:spacing w:before="120" w:beforeAutospacing="0" w:after="120" w:afterAutospacing="0" w:line="0" w:lineRule="atLeast"/>
            </w:pPr>
            <w:r>
              <w:rPr>
                <w:rFonts w:ascii="Arial" w:hAnsi="Arial" w:cs="Arial"/>
                <w:b/>
                <w:bCs/>
                <w:color w:val="1F1F1F"/>
                <w:sz w:val="22"/>
                <w:szCs w:val="22"/>
              </w:rPr>
              <w:t>Source</w:t>
            </w:r>
          </w:p>
        </w:tc>
      </w:tr>
      <w:tr w:rsidR="00E76F6F" w14:paraId="5260E021" w14:textId="77777777" w:rsidTr="00F6263A">
        <w:tc>
          <w:tcPr>
            <w:tcW w:w="918" w:type="dxa"/>
            <w:hideMark/>
          </w:tcPr>
          <w:p w14:paraId="0FF565E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453761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Chatzi et al. (2023)</w:t>
            </w:r>
          </w:p>
        </w:tc>
        <w:tc>
          <w:tcPr>
            <w:tcW w:w="1350" w:type="dxa"/>
            <w:hideMark/>
          </w:tcPr>
          <w:p w14:paraId="20E5E6B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Could diabetes prevention programmes result in the widening of sociodemographic inequalities in type 2 diabetes?</w:t>
            </w:r>
          </w:p>
        </w:tc>
        <w:tc>
          <w:tcPr>
            <w:tcW w:w="1440" w:type="dxa"/>
            <w:hideMark/>
          </w:tcPr>
          <w:p w14:paraId="2ECFA65C"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Analyzes</w:t>
            </w:r>
            <w:proofErr w:type="spellEnd"/>
            <w:r>
              <w:rPr>
                <w:rFonts w:ascii="Arial" w:hAnsi="Arial" w:cs="Arial"/>
                <w:color w:val="1F1F1F"/>
                <w:sz w:val="22"/>
                <w:szCs w:val="22"/>
              </w:rPr>
              <w:t xml:space="preserve"> survey and administrative data to evaluate if prevention interventions inadvertently widen health inequalities in England.</w:t>
            </w:r>
          </w:p>
        </w:tc>
        <w:tc>
          <w:tcPr>
            <w:tcW w:w="1530" w:type="dxa"/>
            <w:hideMark/>
          </w:tcPr>
          <w:p w14:paraId="6F2DE8A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(peer-reviewed journal); current; highly relevant to structural inequality themes.</w:t>
            </w:r>
          </w:p>
        </w:tc>
        <w:tc>
          <w:tcPr>
            <w:tcW w:w="2924" w:type="dxa"/>
            <w:hideMark/>
          </w:tcPr>
          <w:p w14:paraId="4F42D7E2" w14:textId="0B1C5EC7" w:rsidR="00E76F6F" w:rsidRDefault="00E76F6F">
            <w:pPr>
              <w:pStyle w:val="NormalWeb"/>
              <w:spacing w:before="120" w:beforeAutospacing="0" w:after="120" w:afterAutospacing="0" w:line="0" w:lineRule="atLeast"/>
            </w:pPr>
            <w:hyperlink r:id="rId41" w:history="1">
              <w:r>
                <w:rPr>
                  <w:rStyle w:val="Hyperlink"/>
                  <w:rFonts w:eastAsia="Calibri Light" w:cs="Arial"/>
                  <w:color w:val="000000"/>
                  <w:sz w:val="22"/>
                  <w:szCs w:val="22"/>
                </w:rPr>
                <w:t>https://doi.org/10.1136/jech-2022-219654</w:t>
              </w:r>
            </w:hyperlink>
          </w:p>
        </w:tc>
      </w:tr>
      <w:tr w:rsidR="00E76F6F" w14:paraId="2940BCA5" w14:textId="77777777" w:rsidTr="00F6263A">
        <w:tc>
          <w:tcPr>
            <w:tcW w:w="918" w:type="dxa"/>
            <w:hideMark/>
          </w:tcPr>
          <w:p w14:paraId="6983227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6CDE5D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Age UK (2024)</w:t>
            </w:r>
          </w:p>
        </w:tc>
        <w:tc>
          <w:tcPr>
            <w:tcW w:w="1350" w:type="dxa"/>
            <w:hideMark/>
          </w:tcPr>
          <w:p w14:paraId="03F7C60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Offline and Overlooked: Digital exclusion and its impact on older people</w:t>
            </w:r>
          </w:p>
        </w:tc>
        <w:tc>
          <w:tcPr>
            <w:tcW w:w="1440" w:type="dxa"/>
            <w:hideMark/>
          </w:tcPr>
          <w:p w14:paraId="53738D6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Institutional report detailing the scope and consequences of digital exclusion among older UK demographics.</w:t>
            </w:r>
          </w:p>
        </w:tc>
        <w:tc>
          <w:tcPr>
            <w:tcW w:w="1530" w:type="dxa"/>
            <w:hideMark/>
          </w:tcPr>
          <w:p w14:paraId="130439A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(leading UK charity); highly current; directly addresses digital exclusion.</w:t>
            </w:r>
          </w:p>
        </w:tc>
        <w:tc>
          <w:tcPr>
            <w:tcW w:w="2924" w:type="dxa"/>
            <w:hideMark/>
          </w:tcPr>
          <w:p w14:paraId="24248CF8" w14:textId="77777777" w:rsidR="00E76F6F" w:rsidRDefault="00E76F6F">
            <w:pPr>
              <w:pStyle w:val="NormalWeb"/>
              <w:spacing w:before="120" w:beforeAutospacing="0" w:after="120" w:afterAutospacing="0" w:line="0" w:lineRule="atLeast"/>
            </w:pPr>
            <w:hyperlink r:id="rId42" w:history="1">
              <w:r>
                <w:rPr>
                  <w:rStyle w:val="Hyperlink"/>
                  <w:rFonts w:eastAsia="Calibri Light" w:cs="Arial"/>
                  <w:color w:val="000000"/>
                  <w:sz w:val="22"/>
                  <w:szCs w:val="22"/>
                </w:rPr>
                <w:t>https://www.ageuk.org.uk/siteassets/documents/reports-and-publications/reports-and-briefings/offline-and-overlooked-report.pdf</w:t>
              </w:r>
            </w:hyperlink>
          </w:p>
        </w:tc>
      </w:tr>
      <w:tr w:rsidR="00E76F6F" w14:paraId="6952766E" w14:textId="77777777" w:rsidTr="00F6263A">
        <w:tc>
          <w:tcPr>
            <w:tcW w:w="918" w:type="dxa"/>
            <w:hideMark/>
          </w:tcPr>
          <w:p w14:paraId="3391C26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9DC000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Brennan &amp; Furber (2026)</w:t>
            </w:r>
          </w:p>
        </w:tc>
        <w:tc>
          <w:tcPr>
            <w:tcW w:w="1350" w:type="dxa"/>
            <w:hideMark/>
          </w:tcPr>
          <w:p w14:paraId="07F9C3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the barriers UK midwives face in leading research: A critical discussion paper</w:t>
            </w:r>
          </w:p>
        </w:tc>
        <w:tc>
          <w:tcPr>
            <w:tcW w:w="1440" w:type="dxa"/>
            <w:hideMark/>
          </w:tcPr>
          <w:p w14:paraId="13D80B1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Discusses structural and systemic obstacles limiting research leadership and practice within UK healthcare settings.</w:t>
            </w:r>
          </w:p>
        </w:tc>
        <w:tc>
          <w:tcPr>
            <w:tcW w:w="1530" w:type="dxa"/>
            <w:hideMark/>
          </w:tcPr>
          <w:p w14:paraId="622E903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Peer-reviewed; current; useful for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workforce capacity constraints.</w:t>
            </w:r>
          </w:p>
        </w:tc>
        <w:tc>
          <w:tcPr>
            <w:tcW w:w="2924" w:type="dxa"/>
            <w:hideMark/>
          </w:tcPr>
          <w:p w14:paraId="2F5EF7BA" w14:textId="77777777" w:rsidR="00E76F6F" w:rsidRDefault="00E76F6F">
            <w:pPr>
              <w:pStyle w:val="NormalWeb"/>
              <w:spacing w:before="120" w:beforeAutospacing="0" w:after="120" w:afterAutospacing="0" w:line="0" w:lineRule="atLeast"/>
            </w:pPr>
            <w:proofErr w:type="gramStart"/>
            <w:r>
              <w:rPr>
                <w:rFonts w:ascii="Arial" w:hAnsi="Arial" w:cs="Arial"/>
                <w:color w:val="1F1F1F"/>
                <w:sz w:val="22"/>
                <w:szCs w:val="22"/>
              </w:rPr>
              <w:t>doi:10.1016/j.midw</w:t>
            </w:r>
            <w:proofErr w:type="gramEnd"/>
            <w:r>
              <w:rPr>
                <w:rFonts w:ascii="Arial" w:hAnsi="Arial" w:cs="Arial"/>
                <w:color w:val="1F1F1F"/>
                <w:sz w:val="22"/>
                <w:szCs w:val="22"/>
              </w:rPr>
              <w:t>.2025.104688</w:t>
            </w:r>
          </w:p>
        </w:tc>
      </w:tr>
      <w:tr w:rsidR="00E76F6F" w14:paraId="6313AE25" w14:textId="77777777" w:rsidTr="00F6263A">
        <w:tc>
          <w:tcPr>
            <w:tcW w:w="918" w:type="dxa"/>
            <w:hideMark/>
          </w:tcPr>
          <w:p w14:paraId="1B964E5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047A3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Crear-Perry et al. (2021)</w:t>
            </w:r>
          </w:p>
        </w:tc>
        <w:tc>
          <w:tcPr>
            <w:tcW w:w="1350" w:type="dxa"/>
            <w:hideMark/>
          </w:tcPr>
          <w:p w14:paraId="0752FF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Social and Structural Determinants of Health Inequities in Maternal Health</w:t>
            </w:r>
          </w:p>
        </w:tc>
        <w:tc>
          <w:tcPr>
            <w:tcW w:w="1440" w:type="dxa"/>
            <w:hideMark/>
          </w:tcPr>
          <w:p w14:paraId="16124E7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Explores how systemic racism and socioeconomic factors drive deep health </w:t>
            </w:r>
            <w:r>
              <w:rPr>
                <w:rFonts w:ascii="Arial" w:hAnsi="Arial" w:cs="Arial"/>
                <w:color w:val="1F1F1F"/>
                <w:sz w:val="22"/>
                <w:szCs w:val="22"/>
              </w:rPr>
              <w:lastRenderedPageBreak/>
              <w:t>inequities.</w:t>
            </w:r>
          </w:p>
        </w:tc>
        <w:tc>
          <w:tcPr>
            <w:tcW w:w="1530" w:type="dxa"/>
            <w:hideMark/>
          </w:tcPr>
          <w:p w14:paraId="5758C48E"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Strong theoretical framework (SDH); authoritative peer-reviewed source.</w:t>
            </w:r>
          </w:p>
        </w:tc>
        <w:tc>
          <w:tcPr>
            <w:tcW w:w="2924" w:type="dxa"/>
            <w:hideMark/>
          </w:tcPr>
          <w:p w14:paraId="037964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doi:10.1089/jwh.2020.8882</w:t>
            </w:r>
          </w:p>
        </w:tc>
      </w:tr>
      <w:tr w:rsidR="00E76F6F" w14:paraId="1C9FC94A" w14:textId="77777777" w:rsidTr="00F6263A">
        <w:tc>
          <w:tcPr>
            <w:tcW w:w="918" w:type="dxa"/>
            <w:hideMark/>
          </w:tcPr>
          <w:p w14:paraId="050CA66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15757B0"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Felmingham</w:t>
            </w:r>
            <w:proofErr w:type="spellEnd"/>
            <w:r>
              <w:rPr>
                <w:rFonts w:ascii="Arial" w:hAnsi="Arial" w:cs="Arial"/>
                <w:color w:val="1F1F1F"/>
                <w:sz w:val="22"/>
                <w:szCs w:val="22"/>
              </w:rPr>
              <w:t xml:space="preserve"> et al. (2023)</w:t>
            </w:r>
          </w:p>
        </w:tc>
        <w:tc>
          <w:tcPr>
            <w:tcW w:w="1350" w:type="dxa"/>
            <w:hideMark/>
          </w:tcPr>
          <w:p w14:paraId="1ECBD83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Success of community-based system dynamics in prevention interventions: A systematic review</w:t>
            </w:r>
          </w:p>
        </w:tc>
        <w:tc>
          <w:tcPr>
            <w:tcW w:w="1440" w:type="dxa"/>
            <w:hideMark/>
          </w:tcPr>
          <w:p w14:paraId="0D32E20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Systematically reviews the effectiveness of localized, community-based health prevention frameworks.</w:t>
            </w:r>
          </w:p>
        </w:tc>
        <w:tc>
          <w:tcPr>
            <w:tcW w:w="1530" w:type="dxa"/>
            <w:hideMark/>
          </w:tcPr>
          <w:p w14:paraId="74158F1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accuracy (systematic review); relevant to local policy implementation.</w:t>
            </w:r>
          </w:p>
        </w:tc>
        <w:tc>
          <w:tcPr>
            <w:tcW w:w="2924" w:type="dxa"/>
            <w:hideMark/>
          </w:tcPr>
          <w:p w14:paraId="7A1F44D0" w14:textId="77777777" w:rsidR="00E76F6F" w:rsidRDefault="00E76F6F">
            <w:pPr>
              <w:pStyle w:val="NormalWeb"/>
              <w:spacing w:before="120" w:beforeAutospacing="0" w:after="120" w:afterAutospacing="0" w:line="0" w:lineRule="atLeast"/>
            </w:pPr>
            <w:r>
              <w:rPr>
                <w:rFonts w:ascii="Arial" w:hAnsi="Arial" w:cs="Arial"/>
                <w:i/>
                <w:iCs/>
                <w:color w:val="1F1F1F"/>
                <w:sz w:val="22"/>
                <w:szCs w:val="22"/>
              </w:rPr>
              <w:t>Frontiers in Public Health</w:t>
            </w:r>
            <w:r>
              <w:rPr>
                <w:rFonts w:ascii="Arial" w:hAnsi="Arial" w:cs="Arial"/>
                <w:color w:val="1F1F1F"/>
                <w:sz w:val="22"/>
                <w:szCs w:val="22"/>
              </w:rPr>
              <w:t>, 11, p.1103834</w:t>
            </w:r>
          </w:p>
        </w:tc>
      </w:tr>
      <w:tr w:rsidR="00E76F6F" w14:paraId="53D11FB5" w14:textId="77777777" w:rsidTr="00F6263A">
        <w:tc>
          <w:tcPr>
            <w:tcW w:w="918" w:type="dxa"/>
            <w:hideMark/>
          </w:tcPr>
          <w:p w14:paraId="38F9DAC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449BA6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Featherstone et al. (2022)</w:t>
            </w:r>
          </w:p>
        </w:tc>
        <w:tc>
          <w:tcPr>
            <w:tcW w:w="1350" w:type="dxa"/>
            <w:hideMark/>
          </w:tcPr>
          <w:p w14:paraId="7B82277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approaches to continence care for people living with dementia in acute hospital settings</w:t>
            </w:r>
          </w:p>
        </w:tc>
        <w:tc>
          <w:tcPr>
            <w:tcW w:w="1440" w:type="dxa"/>
            <w:hideMark/>
          </w:tcPr>
          <w:p w14:paraId="4B31C73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Ethnographic study highlighting structural access barriers and institutional cultures affecting complex older adult care.</w:t>
            </w:r>
          </w:p>
        </w:tc>
        <w:tc>
          <w:tcPr>
            <w:tcW w:w="1530" w:type="dxa"/>
            <w:hideMark/>
          </w:tcPr>
          <w:p w14:paraId="4FB47C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empirical rigor; explicitly covers complex needs/multimorbidity in older adults.</w:t>
            </w:r>
          </w:p>
        </w:tc>
        <w:tc>
          <w:tcPr>
            <w:tcW w:w="2924" w:type="dxa"/>
            <w:hideMark/>
          </w:tcPr>
          <w:p w14:paraId="5A2836F4" w14:textId="77777777" w:rsidR="00E76F6F" w:rsidRDefault="00E76F6F">
            <w:pPr>
              <w:pStyle w:val="NormalWeb"/>
              <w:spacing w:before="120" w:beforeAutospacing="0" w:after="120" w:afterAutospacing="0" w:line="0" w:lineRule="atLeast"/>
            </w:pPr>
            <w:hyperlink r:id="rId43" w:history="1">
              <w:r>
                <w:rPr>
                  <w:rStyle w:val="Hyperlink"/>
                  <w:rFonts w:eastAsia="Calibri Light" w:cs="Arial"/>
                  <w:color w:val="000000"/>
                  <w:sz w:val="22"/>
                  <w:szCs w:val="22"/>
                </w:rPr>
                <w:t>https://doi.org/10.3310/quvv2680</w:t>
              </w:r>
            </w:hyperlink>
          </w:p>
        </w:tc>
      </w:tr>
      <w:tr w:rsidR="00E76F6F" w14:paraId="112F3AA9" w14:textId="77777777" w:rsidTr="00F6263A">
        <w:tc>
          <w:tcPr>
            <w:tcW w:w="918" w:type="dxa"/>
            <w:hideMark/>
          </w:tcPr>
          <w:p w14:paraId="18BA404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C403E8E"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Faitna</w:t>
            </w:r>
            <w:proofErr w:type="spellEnd"/>
            <w:r>
              <w:rPr>
                <w:rFonts w:ascii="Arial" w:hAnsi="Arial" w:cs="Arial"/>
                <w:color w:val="1F1F1F"/>
                <w:sz w:val="22"/>
                <w:szCs w:val="22"/>
              </w:rPr>
              <w:t xml:space="preserve"> et al. (2024)</w:t>
            </w:r>
          </w:p>
        </w:tc>
        <w:tc>
          <w:tcPr>
            <w:tcW w:w="1350" w:type="dxa"/>
            <w:hideMark/>
          </w:tcPr>
          <w:p w14:paraId="07AC9CD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Has multimorbidity and frailty in adult hospital admissions changed over the last 15 years?</w:t>
            </w:r>
          </w:p>
        </w:tc>
        <w:tc>
          <w:tcPr>
            <w:tcW w:w="1440" w:type="dxa"/>
            <w:hideMark/>
          </w:tcPr>
          <w:p w14:paraId="040A848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Retrospective cohort study tracking the rising prevalence of physical frailty and multiple chronic conditions in England.</w:t>
            </w:r>
          </w:p>
        </w:tc>
        <w:tc>
          <w:tcPr>
            <w:tcW w:w="1530" w:type="dxa"/>
            <w:hideMark/>
          </w:tcPr>
          <w:p w14:paraId="228A27E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Massive dataset (107M admissions); highly accurate and relevant to 72-80 age bracket.</w:t>
            </w:r>
          </w:p>
        </w:tc>
        <w:tc>
          <w:tcPr>
            <w:tcW w:w="2924" w:type="dxa"/>
            <w:hideMark/>
          </w:tcPr>
          <w:p w14:paraId="29287C24" w14:textId="77777777" w:rsidR="00E76F6F" w:rsidRDefault="00E76F6F">
            <w:pPr>
              <w:pStyle w:val="NormalWeb"/>
              <w:spacing w:before="120" w:beforeAutospacing="0" w:after="120" w:afterAutospacing="0" w:line="0" w:lineRule="atLeast"/>
            </w:pPr>
            <w:hyperlink r:id="rId44" w:history="1">
              <w:r>
                <w:rPr>
                  <w:rStyle w:val="Hyperlink"/>
                  <w:rFonts w:eastAsia="Calibri Light" w:cs="Arial"/>
                  <w:color w:val="000000"/>
                  <w:sz w:val="22"/>
                  <w:szCs w:val="22"/>
                </w:rPr>
                <w:t>https://doi.org/10.1186/s12916-024-03572-z</w:t>
              </w:r>
            </w:hyperlink>
          </w:p>
        </w:tc>
      </w:tr>
      <w:tr w:rsidR="00E76F6F" w14:paraId="5329233D" w14:textId="77777777" w:rsidTr="00F6263A">
        <w:tc>
          <w:tcPr>
            <w:tcW w:w="918" w:type="dxa"/>
            <w:hideMark/>
          </w:tcPr>
          <w:p w14:paraId="5BEA271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0EB1C1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McKee et al. (2021)</w:t>
            </w:r>
          </w:p>
        </w:tc>
        <w:tc>
          <w:tcPr>
            <w:tcW w:w="1350" w:type="dxa"/>
            <w:hideMark/>
          </w:tcPr>
          <w:p w14:paraId="16A24E3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changing health needs of the UK population</w:t>
            </w:r>
          </w:p>
        </w:tc>
        <w:tc>
          <w:tcPr>
            <w:tcW w:w="1440" w:type="dxa"/>
            <w:hideMark/>
          </w:tcPr>
          <w:p w14:paraId="6B9E767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overview of the demographic shift, aging population, and escalating pressures on NHS delivery.</w:t>
            </w:r>
          </w:p>
        </w:tc>
        <w:tc>
          <w:tcPr>
            <w:tcW w:w="1530" w:type="dxa"/>
            <w:hideMark/>
          </w:tcPr>
          <w:p w14:paraId="39342D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w:t>
            </w:r>
            <w:r>
              <w:rPr>
                <w:rFonts w:ascii="Arial" w:hAnsi="Arial" w:cs="Arial"/>
                <w:i/>
                <w:iCs/>
                <w:color w:val="1F1F1F"/>
                <w:sz w:val="22"/>
                <w:szCs w:val="22"/>
              </w:rPr>
              <w:t>The Lancet</w:t>
            </w:r>
            <w:r>
              <w:rPr>
                <w:rFonts w:ascii="Arial" w:hAnsi="Arial" w:cs="Arial"/>
                <w:color w:val="1F1F1F"/>
                <w:sz w:val="22"/>
                <w:szCs w:val="22"/>
              </w:rPr>
              <w:t>); foundational context for UK healthcare demand.</w:t>
            </w:r>
          </w:p>
        </w:tc>
        <w:tc>
          <w:tcPr>
            <w:tcW w:w="2924" w:type="dxa"/>
            <w:hideMark/>
          </w:tcPr>
          <w:p w14:paraId="21D067C1" w14:textId="77777777" w:rsidR="00E76F6F" w:rsidRDefault="00E76F6F">
            <w:pPr>
              <w:pStyle w:val="NormalWeb"/>
              <w:spacing w:before="120" w:beforeAutospacing="0" w:after="120" w:afterAutospacing="0" w:line="0" w:lineRule="atLeast"/>
            </w:pPr>
            <w:r>
              <w:rPr>
                <w:rFonts w:ascii="Arial" w:hAnsi="Arial" w:cs="Arial"/>
                <w:i/>
                <w:iCs/>
                <w:color w:val="1F1F1F"/>
                <w:sz w:val="22"/>
                <w:szCs w:val="22"/>
              </w:rPr>
              <w:t>The Lancet</w:t>
            </w:r>
            <w:r>
              <w:rPr>
                <w:rFonts w:ascii="Arial" w:hAnsi="Arial" w:cs="Arial"/>
                <w:color w:val="1F1F1F"/>
                <w:sz w:val="22"/>
                <w:szCs w:val="22"/>
              </w:rPr>
              <w:t>, 397(10288), pp.1979-1991</w:t>
            </w:r>
          </w:p>
        </w:tc>
      </w:tr>
      <w:tr w:rsidR="00E76F6F" w14:paraId="5719B9E9" w14:textId="77777777" w:rsidTr="00F6263A">
        <w:tc>
          <w:tcPr>
            <w:tcW w:w="918" w:type="dxa"/>
            <w:hideMark/>
          </w:tcPr>
          <w:p w14:paraId="6C39C9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Yes</w:t>
            </w:r>
          </w:p>
        </w:tc>
        <w:tc>
          <w:tcPr>
            <w:tcW w:w="1080" w:type="dxa"/>
            <w:hideMark/>
          </w:tcPr>
          <w:p w14:paraId="00066E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Smith &amp; Stenhouse (2025)</w:t>
            </w:r>
          </w:p>
        </w:tc>
        <w:tc>
          <w:tcPr>
            <w:tcW w:w="1350" w:type="dxa"/>
            <w:hideMark/>
          </w:tcPr>
          <w:p w14:paraId="11C87B6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Navigating the System of Regulation and Practice in the UK: Towards a Posthuman Institutional Ethnography</w:t>
            </w:r>
          </w:p>
        </w:tc>
        <w:tc>
          <w:tcPr>
            <w:tcW w:w="1440" w:type="dxa"/>
            <w:hideMark/>
          </w:tcPr>
          <w:p w14:paraId="53333D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Institutional ethnography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fragmented healthcare systems, regulation, and workforce environments in the UK.</w:t>
            </w:r>
          </w:p>
        </w:tc>
        <w:tc>
          <w:tcPr>
            <w:tcW w:w="1530" w:type="dxa"/>
            <w:hideMark/>
          </w:tcPr>
          <w:p w14:paraId="6FBC84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Current peer-reviewed research; supports the "fragmented healthcare services" theme.</w:t>
            </w:r>
          </w:p>
        </w:tc>
        <w:tc>
          <w:tcPr>
            <w:tcW w:w="2924" w:type="dxa"/>
            <w:hideMark/>
          </w:tcPr>
          <w:p w14:paraId="2E3234A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doi:10.1111/jan.17077</w:t>
            </w:r>
          </w:p>
        </w:tc>
      </w:tr>
      <w:tr w:rsidR="00E76F6F" w14:paraId="1F81AE27" w14:textId="77777777" w:rsidTr="00F6263A">
        <w:tc>
          <w:tcPr>
            <w:tcW w:w="918" w:type="dxa"/>
            <w:hideMark/>
          </w:tcPr>
          <w:p w14:paraId="10FE0D0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D4719F6"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Zubiashvili</w:t>
            </w:r>
            <w:proofErr w:type="spellEnd"/>
            <w:r>
              <w:rPr>
                <w:rFonts w:ascii="Arial" w:hAnsi="Arial" w:cs="Arial"/>
                <w:color w:val="1F1F1F"/>
                <w:sz w:val="22"/>
                <w:szCs w:val="22"/>
              </w:rPr>
              <w:t xml:space="preserve"> &amp; </w:t>
            </w:r>
            <w:proofErr w:type="spellStart"/>
            <w:r>
              <w:rPr>
                <w:rFonts w:ascii="Arial" w:hAnsi="Arial" w:cs="Arial"/>
                <w:color w:val="1F1F1F"/>
                <w:sz w:val="22"/>
                <w:szCs w:val="22"/>
              </w:rPr>
              <w:t>Zubiashvili</w:t>
            </w:r>
            <w:proofErr w:type="spellEnd"/>
            <w:r>
              <w:rPr>
                <w:rFonts w:ascii="Arial" w:hAnsi="Arial" w:cs="Arial"/>
                <w:color w:val="1F1F1F"/>
                <w:sz w:val="22"/>
                <w:szCs w:val="22"/>
              </w:rPr>
              <w:t xml:space="preserve"> (2021)</w:t>
            </w:r>
          </w:p>
        </w:tc>
        <w:tc>
          <w:tcPr>
            <w:tcW w:w="1350" w:type="dxa"/>
            <w:hideMark/>
          </w:tcPr>
          <w:p w14:paraId="2BBBF0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POPULATION AGING - A GLOBAL CHALLENGE</w:t>
            </w:r>
          </w:p>
        </w:tc>
        <w:tc>
          <w:tcPr>
            <w:tcW w:w="1440" w:type="dxa"/>
            <w:hideMark/>
          </w:tcPr>
          <w:p w14:paraId="640DC018"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Analyzes</w:t>
            </w:r>
            <w:proofErr w:type="spellEnd"/>
            <w:r>
              <w:rPr>
                <w:rFonts w:ascii="Arial" w:hAnsi="Arial" w:cs="Arial"/>
                <w:color w:val="1F1F1F"/>
                <w:sz w:val="22"/>
                <w:szCs w:val="22"/>
              </w:rPr>
              <w:t xml:space="preserve"> the broader international socioeconomic impacts and systemic demands created by an aging global population.</w:t>
            </w:r>
          </w:p>
        </w:tc>
        <w:tc>
          <w:tcPr>
            <w:tcW w:w="1530" w:type="dxa"/>
            <w:hideMark/>
          </w:tcPr>
          <w:p w14:paraId="7E8F33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Academic journal source; provides international comparative context.</w:t>
            </w:r>
          </w:p>
        </w:tc>
        <w:tc>
          <w:tcPr>
            <w:tcW w:w="2924" w:type="dxa"/>
            <w:hideMark/>
          </w:tcPr>
          <w:p w14:paraId="56CA072A" w14:textId="77777777" w:rsidR="00E76F6F" w:rsidRDefault="00E76F6F">
            <w:pPr>
              <w:pStyle w:val="NormalWeb"/>
              <w:spacing w:before="120" w:beforeAutospacing="0" w:after="120" w:afterAutospacing="0" w:line="0" w:lineRule="atLeast"/>
            </w:pPr>
            <w:proofErr w:type="spellStart"/>
            <w:r>
              <w:rPr>
                <w:rFonts w:ascii="Arial" w:hAnsi="Arial" w:cs="Arial"/>
                <w:i/>
                <w:iCs/>
                <w:color w:val="1F1F1F"/>
                <w:sz w:val="22"/>
                <w:szCs w:val="22"/>
              </w:rPr>
              <w:t>Ecoforum</w:t>
            </w:r>
            <w:proofErr w:type="spellEnd"/>
            <w:r>
              <w:rPr>
                <w:rFonts w:ascii="Arial" w:hAnsi="Arial" w:cs="Arial"/>
                <w:color w:val="1F1F1F"/>
                <w:sz w:val="22"/>
                <w:szCs w:val="22"/>
              </w:rPr>
              <w:t>, 10(2), p.2021</w:t>
            </w:r>
          </w:p>
        </w:tc>
      </w:tr>
      <w:tr w:rsidR="00E76F6F" w14:paraId="7EB5D402" w14:textId="77777777" w:rsidTr="00F6263A">
        <w:tc>
          <w:tcPr>
            <w:tcW w:w="918" w:type="dxa"/>
            <w:hideMark/>
          </w:tcPr>
          <w:p w14:paraId="4D02C4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E2A845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Lu et al. (2022)</w:t>
            </w:r>
          </w:p>
        </w:tc>
        <w:tc>
          <w:tcPr>
            <w:tcW w:w="1350" w:type="dxa"/>
            <w:hideMark/>
          </w:tcPr>
          <w:p w14:paraId="40240ED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functional dependence in older people: Findings from five longitudinal cohort studies</w:t>
            </w:r>
          </w:p>
        </w:tc>
        <w:tc>
          <w:tcPr>
            <w:tcW w:w="1440" w:type="dxa"/>
            <w:hideMark/>
          </w:tcPr>
          <w:p w14:paraId="425942AA" w14:textId="77777777" w:rsidR="00E76F6F" w:rsidRDefault="00E76F6F">
            <w:pPr>
              <w:pStyle w:val="NormalWeb"/>
              <w:spacing w:before="0" w:beforeAutospacing="0" w:after="0" w:afterAutospacing="0" w:line="0" w:lineRule="atLeast"/>
            </w:pPr>
            <w:r>
              <w:rPr>
                <w:rFonts w:ascii="Arial" w:hAnsi="Arial" w:cs="Arial"/>
                <w:color w:val="1F1F1F"/>
                <w:sz w:val="22"/>
                <w:szCs w:val="22"/>
              </w:rPr>
              <w:t>Identifies direct links between an older adult's lack of digital access and their increased functional dependence.</w:t>
            </w:r>
          </w:p>
        </w:tc>
        <w:tc>
          <w:tcPr>
            <w:tcW w:w="1530" w:type="dxa"/>
            <w:hideMark/>
          </w:tcPr>
          <w:p w14:paraId="755F4C52" w14:textId="77777777" w:rsidR="00E76F6F" w:rsidRDefault="00E76F6F">
            <w:pPr>
              <w:pStyle w:val="NormalWeb"/>
              <w:spacing w:before="0" w:beforeAutospacing="0" w:after="0" w:afterAutospacing="0" w:line="0" w:lineRule="atLeast"/>
            </w:pPr>
            <w:r>
              <w:rPr>
                <w:rFonts w:ascii="Arial" w:hAnsi="Arial" w:cs="Arial"/>
                <w:color w:val="1F1F1F"/>
                <w:sz w:val="22"/>
                <w:szCs w:val="22"/>
              </w:rPr>
              <w:t>Strong longitudinal methodology; highly relevant to systemic digital barriers.</w:t>
            </w:r>
          </w:p>
        </w:tc>
        <w:tc>
          <w:tcPr>
            <w:tcW w:w="2924" w:type="dxa"/>
            <w:hideMark/>
          </w:tcPr>
          <w:p w14:paraId="63FFDA73" w14:textId="77777777" w:rsidR="00E76F6F" w:rsidRDefault="00E76F6F">
            <w:pPr>
              <w:pStyle w:val="NormalWeb"/>
              <w:spacing w:before="0" w:beforeAutospacing="0" w:after="0" w:afterAutospacing="0"/>
            </w:pPr>
            <w:hyperlink r:id="rId45" w:history="1">
              <w:r>
                <w:rPr>
                  <w:rStyle w:val="Hyperlink"/>
                  <w:rFonts w:eastAsia="Calibri Light" w:cs="Arial"/>
                  <w:color w:val="000000"/>
                  <w:sz w:val="22"/>
                  <w:szCs w:val="22"/>
                </w:rPr>
                <w:t>https://doi.org/10.1016/j.eclinm.2022.101708</w:t>
              </w:r>
            </w:hyperlink>
          </w:p>
          <w:p w14:paraId="696C66EF" w14:textId="77777777" w:rsidR="00E76F6F" w:rsidRDefault="00E76F6F">
            <w:pPr>
              <w:spacing w:line="0" w:lineRule="atLeast"/>
              <w:rPr>
                <w:sz w:val="24"/>
                <w:szCs w:val="24"/>
              </w:rPr>
            </w:pPr>
          </w:p>
        </w:tc>
      </w:tr>
      <w:tr w:rsidR="00E76F6F" w14:paraId="2F949931" w14:textId="77777777" w:rsidTr="00F6263A">
        <w:tc>
          <w:tcPr>
            <w:tcW w:w="918" w:type="dxa"/>
            <w:hideMark/>
          </w:tcPr>
          <w:p w14:paraId="2093543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F13068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Litchfield et al. (2026)</w:t>
            </w:r>
          </w:p>
        </w:tc>
        <w:tc>
          <w:tcPr>
            <w:tcW w:w="1350" w:type="dxa"/>
            <w:hideMark/>
          </w:tcPr>
          <w:p w14:paraId="27EDE0C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digital inclusion through the transformation of services and users: A narrative review</w:t>
            </w:r>
          </w:p>
        </w:tc>
        <w:tc>
          <w:tcPr>
            <w:tcW w:w="1440" w:type="dxa"/>
            <w:hideMark/>
          </w:tcPr>
          <w:p w14:paraId="6BD5F30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Evaluates modern digital health innovations and the exclusionary frameworks impacting marginalized populations.</w:t>
            </w:r>
          </w:p>
        </w:tc>
        <w:tc>
          <w:tcPr>
            <w:tcW w:w="1530" w:type="dxa"/>
            <w:hideMark/>
          </w:tcPr>
          <w:p w14:paraId="09DA777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current; directly maps to the digital transformation policy critique.</w:t>
            </w:r>
          </w:p>
        </w:tc>
        <w:tc>
          <w:tcPr>
            <w:tcW w:w="2924" w:type="dxa"/>
            <w:hideMark/>
          </w:tcPr>
          <w:p w14:paraId="1D250098" w14:textId="77777777" w:rsidR="00E76F6F" w:rsidRDefault="00E76F6F">
            <w:pPr>
              <w:pStyle w:val="NormalWeb"/>
              <w:spacing w:before="120" w:beforeAutospacing="0" w:after="120" w:afterAutospacing="0" w:line="0" w:lineRule="atLeast"/>
            </w:pPr>
            <w:hyperlink r:id="rId46" w:history="1">
              <w:r>
                <w:rPr>
                  <w:rStyle w:val="Hyperlink"/>
                  <w:rFonts w:eastAsia="Calibri Light" w:cs="Arial"/>
                  <w:color w:val="000000"/>
                  <w:sz w:val="22"/>
                  <w:szCs w:val="22"/>
                </w:rPr>
                <w:t>https://doi.org/10.1136/bmjdh-2026-000051</w:t>
              </w:r>
            </w:hyperlink>
          </w:p>
        </w:tc>
      </w:tr>
      <w:tr w:rsidR="00E76F6F" w14:paraId="2073EB7E" w14:textId="77777777" w:rsidTr="00F6263A">
        <w:tc>
          <w:tcPr>
            <w:tcW w:w="918" w:type="dxa"/>
            <w:hideMark/>
          </w:tcPr>
          <w:p w14:paraId="72C5BB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6BEA622"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Alderwick</w:t>
            </w:r>
            <w:proofErr w:type="spellEnd"/>
            <w:r>
              <w:rPr>
                <w:rFonts w:ascii="Arial" w:hAnsi="Arial" w:cs="Arial"/>
                <w:color w:val="1F1F1F"/>
                <w:sz w:val="22"/>
                <w:szCs w:val="22"/>
              </w:rPr>
              <w:t xml:space="preserve"> et al. </w:t>
            </w:r>
            <w:r>
              <w:rPr>
                <w:rFonts w:ascii="Arial" w:hAnsi="Arial" w:cs="Arial"/>
                <w:color w:val="1F1F1F"/>
                <w:sz w:val="22"/>
                <w:szCs w:val="22"/>
              </w:rPr>
              <w:lastRenderedPageBreak/>
              <w:t>(2022)</w:t>
            </w:r>
          </w:p>
        </w:tc>
        <w:tc>
          <w:tcPr>
            <w:tcW w:w="1350" w:type="dxa"/>
            <w:hideMark/>
          </w:tcPr>
          <w:p w14:paraId="7AF83399"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A cure for everything </w:t>
            </w:r>
            <w:r>
              <w:rPr>
                <w:rFonts w:ascii="Arial" w:hAnsi="Arial" w:cs="Arial"/>
                <w:color w:val="1F1F1F"/>
                <w:sz w:val="22"/>
                <w:szCs w:val="22"/>
              </w:rPr>
              <w:lastRenderedPageBreak/>
              <w:t>and nothing? Local partnerships for improving health in England</w:t>
            </w:r>
          </w:p>
        </w:tc>
        <w:tc>
          <w:tcPr>
            <w:tcW w:w="1440" w:type="dxa"/>
            <w:hideMark/>
          </w:tcPr>
          <w:p w14:paraId="1EE07F34"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Critiques the local </w:t>
            </w:r>
            <w:r>
              <w:rPr>
                <w:rFonts w:ascii="Arial" w:hAnsi="Arial" w:cs="Arial"/>
                <w:color w:val="1F1F1F"/>
                <w:sz w:val="22"/>
                <w:szCs w:val="22"/>
              </w:rPr>
              <w:lastRenderedPageBreak/>
              <w:t>implementation and practical shortfalls of national health integration policies (e.g., NHS Long Term Plan).</w:t>
            </w:r>
          </w:p>
        </w:tc>
        <w:tc>
          <w:tcPr>
            <w:tcW w:w="1530" w:type="dxa"/>
            <w:hideMark/>
          </w:tcPr>
          <w:p w14:paraId="257CA2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Reputable journal </w:t>
            </w:r>
            <w:r>
              <w:rPr>
                <w:rFonts w:ascii="Arial" w:hAnsi="Arial" w:cs="Arial"/>
                <w:color w:val="1F1F1F"/>
                <w:sz w:val="22"/>
                <w:szCs w:val="22"/>
              </w:rPr>
              <w:lastRenderedPageBreak/>
              <w:t>(</w:t>
            </w:r>
            <w:r>
              <w:rPr>
                <w:rFonts w:ascii="Arial" w:hAnsi="Arial" w:cs="Arial"/>
                <w:i/>
                <w:iCs/>
                <w:color w:val="1F1F1F"/>
                <w:sz w:val="22"/>
                <w:szCs w:val="22"/>
              </w:rPr>
              <w:t>BMJ</w:t>
            </w:r>
            <w:r>
              <w:rPr>
                <w:rFonts w:ascii="Arial" w:hAnsi="Arial" w:cs="Arial"/>
                <w:color w:val="1F1F1F"/>
                <w:sz w:val="22"/>
                <w:szCs w:val="22"/>
              </w:rPr>
              <w:t>); addresses the policy vs. practice implementation gap.</w:t>
            </w:r>
          </w:p>
        </w:tc>
        <w:tc>
          <w:tcPr>
            <w:tcW w:w="2924" w:type="dxa"/>
            <w:hideMark/>
          </w:tcPr>
          <w:p w14:paraId="3980E23C" w14:textId="77777777" w:rsidR="00E76F6F" w:rsidRDefault="00E76F6F">
            <w:pPr>
              <w:pStyle w:val="NormalWeb"/>
              <w:spacing w:before="120" w:beforeAutospacing="0" w:after="120" w:afterAutospacing="0" w:line="0" w:lineRule="atLeast"/>
            </w:pPr>
            <w:hyperlink r:id="rId47" w:history="1">
              <w:r>
                <w:rPr>
                  <w:rStyle w:val="Hyperlink"/>
                  <w:rFonts w:eastAsia="Calibri Light" w:cs="Arial"/>
                  <w:color w:val="000000"/>
                  <w:sz w:val="22"/>
                  <w:szCs w:val="22"/>
                </w:rPr>
                <w:t>https://doi.org/10.1136/bmj-2022-070910</w:t>
              </w:r>
            </w:hyperlink>
          </w:p>
        </w:tc>
      </w:tr>
      <w:tr w:rsidR="00E76F6F" w14:paraId="2C7EE929" w14:textId="77777777" w:rsidTr="00F6263A">
        <w:tc>
          <w:tcPr>
            <w:tcW w:w="918" w:type="dxa"/>
            <w:hideMark/>
          </w:tcPr>
          <w:p w14:paraId="1A1E167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F51B1D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Rangachari et al. (2025)</w:t>
            </w:r>
          </w:p>
        </w:tc>
        <w:tc>
          <w:tcPr>
            <w:tcW w:w="1350" w:type="dxa"/>
            <w:hideMark/>
          </w:tcPr>
          <w:p w14:paraId="4C1F9B2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 multi-level framework for advancing digital health equity in learning health systems</w:t>
            </w:r>
          </w:p>
        </w:tc>
        <w:tc>
          <w:tcPr>
            <w:tcW w:w="1440" w:type="dxa"/>
            <w:hideMark/>
          </w:tcPr>
          <w:p w14:paraId="73902D8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Proposes actionable structural frameworks to mitigate digital health disparities and align policy with practice.</w:t>
            </w:r>
          </w:p>
        </w:tc>
        <w:tc>
          <w:tcPr>
            <w:tcW w:w="1530" w:type="dxa"/>
            <w:hideMark/>
          </w:tcPr>
          <w:p w14:paraId="7D2EEE9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Peer-reviewed; offers evidence-based recommendations for digital equity.</w:t>
            </w:r>
          </w:p>
        </w:tc>
        <w:tc>
          <w:tcPr>
            <w:tcW w:w="2924" w:type="dxa"/>
            <w:hideMark/>
          </w:tcPr>
          <w:p w14:paraId="0C838480" w14:textId="77777777" w:rsidR="00E76F6F" w:rsidRDefault="00E76F6F">
            <w:pPr>
              <w:pStyle w:val="NormalWeb"/>
              <w:spacing w:before="120" w:beforeAutospacing="0" w:after="120" w:afterAutospacing="0" w:line="0" w:lineRule="atLeast"/>
            </w:pPr>
            <w:hyperlink r:id="rId48" w:history="1">
              <w:r>
                <w:rPr>
                  <w:rStyle w:val="Hyperlink"/>
                  <w:rFonts w:eastAsia="Calibri Light" w:cs="Arial"/>
                  <w:color w:val="000000"/>
                  <w:sz w:val="22"/>
                  <w:szCs w:val="22"/>
                </w:rPr>
                <w:t>https://pubmed.ncbi.nlm.nih.gov/41057836/</w:t>
              </w:r>
            </w:hyperlink>
          </w:p>
        </w:tc>
      </w:tr>
      <w:tr w:rsidR="00E76F6F" w14:paraId="3B0CCD3B" w14:textId="77777777" w:rsidTr="00F6263A">
        <w:tc>
          <w:tcPr>
            <w:tcW w:w="918" w:type="dxa"/>
            <w:hideMark/>
          </w:tcPr>
          <w:p w14:paraId="1BC3886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754042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Boyer et al. (2024)</w:t>
            </w:r>
          </w:p>
        </w:tc>
        <w:tc>
          <w:tcPr>
            <w:tcW w:w="1350" w:type="dxa"/>
            <w:hideMark/>
          </w:tcPr>
          <w:p w14:paraId="2D30ED6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Advancing the future of equitable access to health care: recommendations from international health care leaders</w:t>
            </w:r>
          </w:p>
        </w:tc>
        <w:tc>
          <w:tcPr>
            <w:tcW w:w="1440" w:type="dxa"/>
            <w:hideMark/>
          </w:tcPr>
          <w:p w14:paraId="490FF44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Synthesizes international policy recommendations for overcoming structural healthcare inequalities.</w:t>
            </w:r>
          </w:p>
        </w:tc>
        <w:tc>
          <w:tcPr>
            <w:tcW w:w="1530" w:type="dxa"/>
            <w:hideMark/>
          </w:tcPr>
          <w:p w14:paraId="041A8D8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Strong authority; valuable for comparing international integration models.</w:t>
            </w:r>
          </w:p>
        </w:tc>
        <w:tc>
          <w:tcPr>
            <w:tcW w:w="2924" w:type="dxa"/>
            <w:hideMark/>
          </w:tcPr>
          <w:p w14:paraId="09B33534" w14:textId="77777777" w:rsidR="00E76F6F" w:rsidRDefault="00E76F6F">
            <w:pPr>
              <w:pStyle w:val="NormalWeb"/>
              <w:spacing w:before="120" w:beforeAutospacing="0" w:after="120" w:afterAutospacing="0" w:line="0" w:lineRule="atLeast"/>
            </w:pPr>
            <w:hyperlink r:id="rId49" w:history="1">
              <w:r>
                <w:rPr>
                  <w:rStyle w:val="Hyperlink"/>
                  <w:rFonts w:eastAsia="Calibri Light" w:cs="Arial"/>
                  <w:color w:val="000000"/>
                  <w:sz w:val="22"/>
                  <w:szCs w:val="22"/>
                </w:rPr>
                <w:t>https://doi.org/10.1093/haschl/qxae094</w:t>
              </w:r>
            </w:hyperlink>
          </w:p>
        </w:tc>
      </w:tr>
      <w:tr w:rsidR="00E76F6F" w14:paraId="062C5B6B" w14:textId="77777777" w:rsidTr="00F6263A">
        <w:tc>
          <w:tcPr>
            <w:tcW w:w="918" w:type="dxa"/>
            <w:hideMark/>
          </w:tcPr>
          <w:p w14:paraId="752A12E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A23B9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Chaturvedi et al. (2024)</w:t>
            </w:r>
          </w:p>
        </w:tc>
        <w:tc>
          <w:tcPr>
            <w:tcW w:w="1350" w:type="dxa"/>
            <w:hideMark/>
          </w:tcPr>
          <w:p w14:paraId="778E5E1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Social Determinants of Health and Disparities in Hypertension and Cardiovascular Diseases</w:t>
            </w:r>
          </w:p>
        </w:tc>
        <w:tc>
          <w:tcPr>
            <w:tcW w:w="1440" w:type="dxa"/>
            <w:hideMark/>
          </w:tcPr>
          <w:p w14:paraId="2BBCBF7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Assesses how socioeconomic status and structural disadvantage escalate the risk of chronic conditions.</w:t>
            </w:r>
          </w:p>
        </w:tc>
        <w:tc>
          <w:tcPr>
            <w:tcW w:w="1530" w:type="dxa"/>
            <w:hideMark/>
          </w:tcPr>
          <w:p w14:paraId="030954A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Current peer-reviewed data; directly supports the SDH framework.</w:t>
            </w:r>
          </w:p>
        </w:tc>
        <w:tc>
          <w:tcPr>
            <w:tcW w:w="2924" w:type="dxa"/>
            <w:hideMark/>
          </w:tcPr>
          <w:p w14:paraId="18015526" w14:textId="77777777" w:rsidR="00E76F6F" w:rsidRDefault="00E76F6F">
            <w:pPr>
              <w:pStyle w:val="NormalWeb"/>
              <w:spacing w:before="120" w:beforeAutospacing="0" w:after="120" w:afterAutospacing="0" w:line="0" w:lineRule="atLeast"/>
            </w:pPr>
            <w:hyperlink r:id="rId50" w:history="1">
              <w:r>
                <w:rPr>
                  <w:rStyle w:val="Hyperlink"/>
                  <w:rFonts w:eastAsia="Calibri Light" w:cs="Arial"/>
                  <w:color w:val="000000"/>
                  <w:sz w:val="22"/>
                  <w:szCs w:val="22"/>
                </w:rPr>
                <w:t>https://doi.org/10.1161/hypertensionaha.123.21354</w:t>
              </w:r>
            </w:hyperlink>
          </w:p>
        </w:tc>
      </w:tr>
      <w:tr w:rsidR="00E76F6F" w14:paraId="07AAC3CA" w14:textId="77777777" w:rsidTr="00F6263A">
        <w:tc>
          <w:tcPr>
            <w:tcW w:w="918" w:type="dxa"/>
            <w:hideMark/>
          </w:tcPr>
          <w:p w14:paraId="6EBBBC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33600D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Chen et al. (2025)</w:t>
            </w:r>
          </w:p>
        </w:tc>
        <w:tc>
          <w:tcPr>
            <w:tcW w:w="1350" w:type="dxa"/>
            <w:hideMark/>
          </w:tcPr>
          <w:p w14:paraId="39CC30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Social Determinants of Healthy </w:t>
            </w:r>
            <w:r>
              <w:rPr>
                <w:rFonts w:ascii="Arial" w:hAnsi="Arial" w:cs="Arial"/>
                <w:color w:val="1F1F1F"/>
                <w:sz w:val="22"/>
                <w:szCs w:val="22"/>
              </w:rPr>
              <w:lastRenderedPageBreak/>
              <w:t>Aging: An Investigation using the All of Us Cohort</w:t>
            </w:r>
          </w:p>
        </w:tc>
        <w:tc>
          <w:tcPr>
            <w:tcW w:w="1440" w:type="dxa"/>
            <w:hideMark/>
          </w:tcPr>
          <w:p w14:paraId="6977D3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Cohort study establishing the link </w:t>
            </w:r>
            <w:r>
              <w:rPr>
                <w:rFonts w:ascii="Arial" w:hAnsi="Arial" w:cs="Arial"/>
                <w:color w:val="1F1F1F"/>
                <w:sz w:val="22"/>
                <w:szCs w:val="22"/>
              </w:rPr>
              <w:lastRenderedPageBreak/>
              <w:t>between lifelong social determinants and health outcomes in aging populations.</w:t>
            </w:r>
          </w:p>
        </w:tc>
        <w:tc>
          <w:tcPr>
            <w:tcW w:w="1530" w:type="dxa"/>
            <w:hideMark/>
          </w:tcPr>
          <w:p w14:paraId="34FAB357"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Robust cohort analysis; strongly </w:t>
            </w:r>
            <w:r>
              <w:rPr>
                <w:rFonts w:ascii="Arial" w:hAnsi="Arial" w:cs="Arial"/>
                <w:color w:val="1F1F1F"/>
                <w:sz w:val="22"/>
                <w:szCs w:val="22"/>
              </w:rPr>
              <w:lastRenderedPageBreak/>
              <w:t>supports cumulative disadvantage theories.</w:t>
            </w:r>
          </w:p>
        </w:tc>
        <w:tc>
          <w:tcPr>
            <w:tcW w:w="2924" w:type="dxa"/>
            <w:hideMark/>
          </w:tcPr>
          <w:p w14:paraId="10BEED85" w14:textId="77777777" w:rsidR="00E76F6F" w:rsidRDefault="00E76F6F">
            <w:pPr>
              <w:pStyle w:val="NormalWeb"/>
              <w:spacing w:before="120" w:beforeAutospacing="0" w:after="120" w:afterAutospacing="0" w:line="0" w:lineRule="atLeast"/>
            </w:pPr>
            <w:hyperlink r:id="rId51" w:history="1">
              <w:r>
                <w:rPr>
                  <w:rStyle w:val="Hyperlink"/>
                  <w:rFonts w:eastAsia="Calibri Light" w:cs="Arial"/>
                  <w:color w:val="000000"/>
                  <w:sz w:val="22"/>
                  <w:szCs w:val="22"/>
                </w:rPr>
                <w:t>https://doi.org/10.1101/2025.01.02.25319907</w:t>
              </w:r>
            </w:hyperlink>
          </w:p>
        </w:tc>
      </w:tr>
      <w:tr w:rsidR="00E76F6F" w14:paraId="4274F392" w14:textId="77777777" w:rsidTr="00F6263A">
        <w:tc>
          <w:tcPr>
            <w:tcW w:w="918" w:type="dxa"/>
            <w:hideMark/>
          </w:tcPr>
          <w:p w14:paraId="3D25BFE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C3FB8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Cooper-Moss et al. (2024)</w:t>
            </w:r>
          </w:p>
        </w:tc>
        <w:tc>
          <w:tcPr>
            <w:tcW w:w="1350" w:type="dxa"/>
            <w:hideMark/>
          </w:tcPr>
          <w:p w14:paraId="638811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Barriers to Healthcare for People </w:t>
            </w:r>
            <w:proofErr w:type="gramStart"/>
            <w:r>
              <w:rPr>
                <w:rFonts w:ascii="Arial" w:hAnsi="Arial" w:cs="Arial"/>
                <w:color w:val="1F1F1F"/>
                <w:sz w:val="22"/>
                <w:szCs w:val="22"/>
              </w:rPr>
              <w:t>With</w:t>
            </w:r>
            <w:proofErr w:type="gramEnd"/>
            <w:r>
              <w:rPr>
                <w:rFonts w:ascii="Arial" w:hAnsi="Arial" w:cs="Arial"/>
                <w:color w:val="1F1F1F"/>
                <w:sz w:val="22"/>
                <w:szCs w:val="22"/>
              </w:rPr>
              <w:t xml:space="preserve"> a Learning Disability </w:t>
            </w:r>
            <w:proofErr w:type="gramStart"/>
            <w:r>
              <w:rPr>
                <w:rFonts w:ascii="Arial" w:hAnsi="Arial" w:cs="Arial"/>
                <w:color w:val="1F1F1F"/>
                <w:sz w:val="22"/>
                <w:szCs w:val="22"/>
              </w:rPr>
              <w:t>From</w:t>
            </w:r>
            <w:proofErr w:type="gramEnd"/>
            <w:r>
              <w:rPr>
                <w:rFonts w:ascii="Arial" w:hAnsi="Arial" w:cs="Arial"/>
                <w:color w:val="1F1F1F"/>
                <w:sz w:val="22"/>
                <w:szCs w:val="22"/>
              </w:rPr>
              <w:t xml:space="preserve"> Ethnic Minorities</w:t>
            </w:r>
          </w:p>
        </w:tc>
        <w:tc>
          <w:tcPr>
            <w:tcW w:w="1440" w:type="dxa"/>
            <w:hideMark/>
          </w:tcPr>
          <w:p w14:paraId="76236FB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Explores intersectional barriers (race, disability) constraining access to adequate and culturally competent care.</w:t>
            </w:r>
          </w:p>
        </w:tc>
        <w:tc>
          <w:tcPr>
            <w:tcW w:w="1530" w:type="dxa"/>
            <w:hideMark/>
          </w:tcPr>
          <w:p w14:paraId="488153B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qualitative relevance; validates the concept of compounding marginalization.</w:t>
            </w:r>
          </w:p>
        </w:tc>
        <w:tc>
          <w:tcPr>
            <w:tcW w:w="2924" w:type="dxa"/>
            <w:hideMark/>
          </w:tcPr>
          <w:p w14:paraId="247548C2" w14:textId="77777777" w:rsidR="00E76F6F" w:rsidRDefault="00E76F6F">
            <w:pPr>
              <w:pStyle w:val="NormalWeb"/>
              <w:spacing w:before="120" w:beforeAutospacing="0" w:after="120" w:afterAutospacing="0" w:line="0" w:lineRule="atLeast"/>
            </w:pPr>
            <w:hyperlink r:id="rId52" w:history="1">
              <w:r>
                <w:rPr>
                  <w:rStyle w:val="Hyperlink"/>
                  <w:rFonts w:eastAsia="Calibri Light" w:cs="Arial"/>
                  <w:color w:val="000000"/>
                  <w:sz w:val="22"/>
                  <w:szCs w:val="22"/>
                </w:rPr>
                <w:t>https://doi.org/10.1111/bld.12636</w:t>
              </w:r>
            </w:hyperlink>
          </w:p>
        </w:tc>
      </w:tr>
      <w:tr w:rsidR="00E76F6F" w14:paraId="71DFB798" w14:textId="77777777" w:rsidTr="00F6263A">
        <w:tc>
          <w:tcPr>
            <w:tcW w:w="918" w:type="dxa"/>
            <w:hideMark/>
          </w:tcPr>
          <w:p w14:paraId="1BB1119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72FD8B4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Cheraghi-Sohi et al. (2020)</w:t>
            </w:r>
          </w:p>
        </w:tc>
        <w:tc>
          <w:tcPr>
            <w:tcW w:w="1350" w:type="dxa"/>
            <w:hideMark/>
          </w:tcPr>
          <w:p w14:paraId="03D4009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Patient safety in marginalised groups: a narrative scoping review</w:t>
            </w:r>
          </w:p>
        </w:tc>
        <w:tc>
          <w:tcPr>
            <w:tcW w:w="1440" w:type="dxa"/>
            <w:hideMark/>
          </w:tcPr>
          <w:p w14:paraId="7726D7A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Scoping review mapping how systemic barriers directly compromise patient safety among low-income and ethnic minority groups.</w:t>
            </w:r>
          </w:p>
        </w:tc>
        <w:tc>
          <w:tcPr>
            <w:tcW w:w="1530" w:type="dxa"/>
            <w:hideMark/>
          </w:tcPr>
          <w:p w14:paraId="282BE9C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scoping methodology; strong evidence of system failures.</w:t>
            </w:r>
          </w:p>
        </w:tc>
        <w:tc>
          <w:tcPr>
            <w:tcW w:w="2924" w:type="dxa"/>
            <w:hideMark/>
          </w:tcPr>
          <w:p w14:paraId="37B33AB3" w14:textId="77777777" w:rsidR="00E76F6F" w:rsidRDefault="00E76F6F">
            <w:pPr>
              <w:pStyle w:val="NormalWeb"/>
              <w:spacing w:before="120" w:beforeAutospacing="0" w:after="120" w:afterAutospacing="0" w:line="0" w:lineRule="atLeast"/>
            </w:pPr>
            <w:hyperlink r:id="rId53" w:history="1">
              <w:r>
                <w:rPr>
                  <w:rStyle w:val="Hyperlink"/>
                  <w:rFonts w:eastAsia="Calibri Light" w:cs="Arial"/>
                  <w:color w:val="000000"/>
                  <w:sz w:val="22"/>
                  <w:szCs w:val="22"/>
                </w:rPr>
                <w:t>https://doi.org/10.1186/s12939-019-1103-2</w:t>
              </w:r>
            </w:hyperlink>
          </w:p>
        </w:tc>
      </w:tr>
      <w:tr w:rsidR="00E76F6F" w14:paraId="11A714FC" w14:textId="77777777" w:rsidTr="00F6263A">
        <w:tc>
          <w:tcPr>
            <w:tcW w:w="918" w:type="dxa"/>
            <w:hideMark/>
          </w:tcPr>
          <w:p w14:paraId="2E9348D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35F2FD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French et al. (2022)</w:t>
            </w:r>
          </w:p>
        </w:tc>
        <w:tc>
          <w:tcPr>
            <w:tcW w:w="1350" w:type="dxa"/>
            <w:hideMark/>
          </w:tcPr>
          <w:p w14:paraId="55BBE2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Facilitating equitable access to hospice care in socially deprived areas: A mixed methods multiple case study</w:t>
            </w:r>
          </w:p>
        </w:tc>
        <w:tc>
          <w:tcPr>
            <w:tcW w:w="1440" w:type="dxa"/>
            <w:hideMark/>
          </w:tcPr>
          <w:p w14:paraId="23DF430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Investigates how socioeconomic deprivation limits access to coordinated, high-quality palliative care.</w:t>
            </w:r>
          </w:p>
        </w:tc>
        <w:tc>
          <w:tcPr>
            <w:tcW w:w="1530" w:type="dxa"/>
            <w:hideMark/>
          </w:tcPr>
          <w:p w14:paraId="471BA6C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Mixed-methods rigor; demonstrates failure of universal access at the point of need.</w:t>
            </w:r>
          </w:p>
        </w:tc>
        <w:tc>
          <w:tcPr>
            <w:tcW w:w="2924" w:type="dxa"/>
            <w:hideMark/>
          </w:tcPr>
          <w:p w14:paraId="0ADB1451" w14:textId="77777777" w:rsidR="00E76F6F" w:rsidRDefault="00E76F6F">
            <w:pPr>
              <w:pStyle w:val="NormalWeb"/>
              <w:spacing w:before="120" w:beforeAutospacing="0" w:after="120" w:afterAutospacing="0" w:line="0" w:lineRule="atLeast"/>
            </w:pPr>
            <w:hyperlink r:id="rId54" w:history="1">
              <w:r>
                <w:rPr>
                  <w:rStyle w:val="Hyperlink"/>
                  <w:rFonts w:eastAsia="Calibri Light" w:cs="Arial"/>
                  <w:color w:val="000000"/>
                  <w:sz w:val="22"/>
                  <w:szCs w:val="22"/>
                </w:rPr>
                <w:t>https://doi.org/10.1177/02692163221133977</w:t>
              </w:r>
            </w:hyperlink>
          </w:p>
        </w:tc>
      </w:tr>
      <w:tr w:rsidR="00E76F6F" w14:paraId="269C4E6F" w14:textId="77777777" w:rsidTr="00F6263A">
        <w:tc>
          <w:tcPr>
            <w:tcW w:w="918" w:type="dxa"/>
            <w:hideMark/>
          </w:tcPr>
          <w:p w14:paraId="51DCCBC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1E8389E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Husain et al. (2022)</w:t>
            </w:r>
          </w:p>
        </w:tc>
        <w:tc>
          <w:tcPr>
            <w:tcW w:w="1350" w:type="dxa"/>
            <w:hideMark/>
          </w:tcPr>
          <w:p w14:paraId="374D7A1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Desperately Seeking Intersectionality in </w:t>
            </w:r>
            <w:r>
              <w:rPr>
                <w:rFonts w:ascii="Arial" w:hAnsi="Arial" w:cs="Arial"/>
                <w:color w:val="1F1F1F"/>
                <w:sz w:val="22"/>
                <w:szCs w:val="22"/>
              </w:rPr>
              <w:lastRenderedPageBreak/>
              <w:t>Digital Health Disparity Research</w:t>
            </w:r>
          </w:p>
        </w:tc>
        <w:tc>
          <w:tcPr>
            <w:tcW w:w="1440" w:type="dxa"/>
            <w:hideMark/>
          </w:tcPr>
          <w:p w14:paraId="3251C023"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Narrative review arguing for richer </w:t>
            </w:r>
            <w:r>
              <w:rPr>
                <w:rFonts w:ascii="Arial" w:hAnsi="Arial" w:cs="Arial"/>
                <w:color w:val="1F1F1F"/>
                <w:sz w:val="22"/>
                <w:szCs w:val="22"/>
              </w:rPr>
              <w:lastRenderedPageBreak/>
              <w:t>theorization of how age, ethnicity, and class multiply digital disadvantage.</w:t>
            </w:r>
          </w:p>
        </w:tc>
        <w:tc>
          <w:tcPr>
            <w:tcW w:w="1530" w:type="dxa"/>
            <w:hideMark/>
          </w:tcPr>
          <w:p w14:paraId="0544DB41"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Strong theoretical contribution; perfectly </w:t>
            </w:r>
            <w:r>
              <w:rPr>
                <w:rFonts w:ascii="Arial" w:hAnsi="Arial" w:cs="Arial"/>
                <w:color w:val="1F1F1F"/>
                <w:sz w:val="22"/>
                <w:szCs w:val="22"/>
              </w:rPr>
              <w:lastRenderedPageBreak/>
              <w:t>aligns with intersectional methodology gaps.</w:t>
            </w:r>
          </w:p>
        </w:tc>
        <w:tc>
          <w:tcPr>
            <w:tcW w:w="2924" w:type="dxa"/>
            <w:hideMark/>
          </w:tcPr>
          <w:p w14:paraId="3D9C0C9A" w14:textId="77777777" w:rsidR="00E76F6F" w:rsidRDefault="00E76F6F">
            <w:pPr>
              <w:pStyle w:val="NormalWeb"/>
              <w:spacing w:before="120" w:beforeAutospacing="0" w:after="120" w:afterAutospacing="0" w:line="0" w:lineRule="atLeast"/>
            </w:pPr>
            <w:hyperlink r:id="rId55" w:history="1">
              <w:r>
                <w:rPr>
                  <w:rStyle w:val="Hyperlink"/>
                  <w:rFonts w:eastAsia="Calibri Light" w:cs="Arial"/>
                  <w:color w:val="000000"/>
                  <w:sz w:val="22"/>
                  <w:szCs w:val="22"/>
                </w:rPr>
                <w:t>https://doi.org/10.2196/42358</w:t>
              </w:r>
            </w:hyperlink>
          </w:p>
        </w:tc>
      </w:tr>
      <w:tr w:rsidR="00E76F6F" w14:paraId="02D32321" w14:textId="77777777" w:rsidTr="00F6263A">
        <w:tc>
          <w:tcPr>
            <w:tcW w:w="918" w:type="dxa"/>
            <w:hideMark/>
          </w:tcPr>
          <w:p w14:paraId="5579ADA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80885E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Kapadia (2023)</w:t>
            </w:r>
          </w:p>
        </w:tc>
        <w:tc>
          <w:tcPr>
            <w:tcW w:w="1350" w:type="dxa"/>
            <w:hideMark/>
          </w:tcPr>
          <w:p w14:paraId="3A06211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Ethnic Inequalities in Healthcare: A Rapid Evidence Review</w:t>
            </w:r>
          </w:p>
        </w:tc>
        <w:tc>
          <w:tcPr>
            <w:tcW w:w="1440" w:type="dxa"/>
            <w:hideMark/>
          </w:tcPr>
          <w:p w14:paraId="183093A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Reviews persistent racial and ethnic disparities within NHS healthcare provision and clinical outcomes.</w:t>
            </w:r>
          </w:p>
        </w:tc>
        <w:tc>
          <w:tcPr>
            <w:tcW w:w="1530" w:type="dxa"/>
            <w:hideMark/>
          </w:tcPr>
          <w:p w14:paraId="1A9E144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Very high authority (NHS Race and Health Observatory); key policy text.</w:t>
            </w:r>
          </w:p>
        </w:tc>
        <w:tc>
          <w:tcPr>
            <w:tcW w:w="2924" w:type="dxa"/>
            <w:hideMark/>
          </w:tcPr>
          <w:p w14:paraId="3D7D1674" w14:textId="77777777" w:rsidR="00E76F6F" w:rsidRDefault="00E76F6F">
            <w:pPr>
              <w:pStyle w:val="NormalWeb"/>
              <w:spacing w:before="120" w:beforeAutospacing="0" w:after="120" w:afterAutospacing="0" w:line="0" w:lineRule="atLeast"/>
            </w:pPr>
            <w:hyperlink r:id="rId56" w:history="1">
              <w:r>
                <w:rPr>
                  <w:rStyle w:val="Hyperlink"/>
                  <w:rFonts w:eastAsia="Calibri Light" w:cs="Arial"/>
                  <w:color w:val="000000"/>
                  <w:sz w:val="22"/>
                  <w:szCs w:val="22"/>
                </w:rPr>
                <w:t>https://nhsrho.org/wp-content/uploads/2023/05/RHO-Rapid-Review-Final-Report_.pdf</w:t>
              </w:r>
            </w:hyperlink>
          </w:p>
        </w:tc>
      </w:tr>
      <w:tr w:rsidR="00E76F6F" w14:paraId="007E7C1B" w14:textId="77777777" w:rsidTr="00F6263A">
        <w:tc>
          <w:tcPr>
            <w:tcW w:w="918" w:type="dxa"/>
            <w:hideMark/>
          </w:tcPr>
          <w:p w14:paraId="78F76B4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6DC394C"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Knifton</w:t>
            </w:r>
            <w:proofErr w:type="spellEnd"/>
            <w:r>
              <w:rPr>
                <w:rFonts w:ascii="Arial" w:hAnsi="Arial" w:cs="Arial"/>
                <w:color w:val="1F1F1F"/>
                <w:sz w:val="22"/>
                <w:szCs w:val="22"/>
              </w:rPr>
              <w:t xml:space="preserve"> &amp; Inglis (2020)</w:t>
            </w:r>
          </w:p>
        </w:tc>
        <w:tc>
          <w:tcPr>
            <w:tcW w:w="1350" w:type="dxa"/>
            <w:hideMark/>
          </w:tcPr>
          <w:p w14:paraId="098EFEB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Poverty and mental health: policy, practice and research implications</w:t>
            </w:r>
          </w:p>
        </w:tc>
        <w:tc>
          <w:tcPr>
            <w:tcW w:w="1440" w:type="dxa"/>
            <w:hideMark/>
          </w:tcPr>
          <w:p w14:paraId="4DCF623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Highlights how systemic poverty exacerbates health deterioration and restricts access to supportive care networks.</w:t>
            </w:r>
          </w:p>
        </w:tc>
        <w:tc>
          <w:tcPr>
            <w:tcW w:w="1530" w:type="dxa"/>
            <w:hideMark/>
          </w:tcPr>
          <w:p w14:paraId="27F8A63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Authoritative peer-reviewed perspective on financial barriers to healthcare.</w:t>
            </w:r>
          </w:p>
        </w:tc>
        <w:tc>
          <w:tcPr>
            <w:tcW w:w="2924" w:type="dxa"/>
            <w:hideMark/>
          </w:tcPr>
          <w:p w14:paraId="090E311B" w14:textId="77777777" w:rsidR="00E76F6F" w:rsidRDefault="00E76F6F">
            <w:pPr>
              <w:pStyle w:val="NormalWeb"/>
              <w:spacing w:before="120" w:beforeAutospacing="0" w:after="120" w:afterAutospacing="0" w:line="0" w:lineRule="atLeast"/>
            </w:pPr>
            <w:hyperlink r:id="rId57" w:history="1">
              <w:r>
                <w:rPr>
                  <w:rStyle w:val="Hyperlink"/>
                  <w:rFonts w:eastAsia="Calibri Light" w:cs="Arial"/>
                  <w:color w:val="000000"/>
                  <w:sz w:val="22"/>
                  <w:szCs w:val="22"/>
                </w:rPr>
                <w:t>https://doi.org/10.1192/bjb.2020.78</w:t>
              </w:r>
            </w:hyperlink>
          </w:p>
        </w:tc>
      </w:tr>
      <w:tr w:rsidR="00E76F6F" w14:paraId="10BD10FC" w14:textId="77777777" w:rsidTr="00F6263A">
        <w:tc>
          <w:tcPr>
            <w:tcW w:w="918" w:type="dxa"/>
            <w:hideMark/>
          </w:tcPr>
          <w:p w14:paraId="0F6BBA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2D03EC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Ng (2025)</w:t>
            </w:r>
          </w:p>
        </w:tc>
        <w:tc>
          <w:tcPr>
            <w:tcW w:w="1350" w:type="dxa"/>
            <w:hideMark/>
          </w:tcPr>
          <w:p w14:paraId="7A0660B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Has the new Scottish GP contract improved GPs' working lives</w:t>
            </w:r>
          </w:p>
        </w:tc>
        <w:tc>
          <w:tcPr>
            <w:tcW w:w="1440" w:type="dxa"/>
            <w:hideMark/>
          </w:tcPr>
          <w:p w14:paraId="61B9B9B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Evaluates structural pressures on the primary care workforce and how contract changes impact service capacity.</w:t>
            </w:r>
          </w:p>
        </w:tc>
        <w:tc>
          <w:tcPr>
            <w:tcW w:w="1530" w:type="dxa"/>
            <w:hideMark/>
          </w:tcPr>
          <w:p w14:paraId="2D177B2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Validates the workforce shortage theme and the Inverse Care Law in practice.</w:t>
            </w:r>
          </w:p>
        </w:tc>
        <w:tc>
          <w:tcPr>
            <w:tcW w:w="2924" w:type="dxa"/>
            <w:hideMark/>
          </w:tcPr>
          <w:p w14:paraId="78DB50F0" w14:textId="77777777" w:rsidR="00E76F6F" w:rsidRDefault="00E76F6F">
            <w:pPr>
              <w:pStyle w:val="NormalWeb"/>
              <w:spacing w:before="120" w:beforeAutospacing="0" w:after="120" w:afterAutospacing="0" w:line="0" w:lineRule="atLeast"/>
            </w:pPr>
            <w:hyperlink r:id="rId58" w:history="1">
              <w:r>
                <w:rPr>
                  <w:rStyle w:val="Hyperlink"/>
                  <w:rFonts w:eastAsia="Calibri Light" w:cs="Arial"/>
                  <w:color w:val="000000"/>
                  <w:sz w:val="22"/>
                  <w:szCs w:val="22"/>
                </w:rPr>
                <w:t>https://pmc.ncbi.nlm.nih.gov/articles/PMC13540343/</w:t>
              </w:r>
            </w:hyperlink>
          </w:p>
        </w:tc>
      </w:tr>
      <w:tr w:rsidR="00E76F6F" w14:paraId="47A4DAEC" w14:textId="77777777" w:rsidTr="00F6263A">
        <w:tc>
          <w:tcPr>
            <w:tcW w:w="918" w:type="dxa"/>
            <w:hideMark/>
          </w:tcPr>
          <w:p w14:paraId="404148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3880044"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Torous</w:t>
            </w:r>
            <w:proofErr w:type="spellEnd"/>
            <w:r>
              <w:rPr>
                <w:rFonts w:ascii="Arial" w:hAnsi="Arial" w:cs="Arial"/>
                <w:color w:val="1F1F1F"/>
                <w:sz w:val="22"/>
                <w:szCs w:val="22"/>
              </w:rPr>
              <w:t xml:space="preserve"> (2025)</w:t>
            </w:r>
          </w:p>
        </w:tc>
        <w:tc>
          <w:tcPr>
            <w:tcW w:w="1350" w:type="dxa"/>
            <w:hideMark/>
          </w:tcPr>
          <w:p w14:paraId="337F046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evolving field of digital mental health: current evidence</w:t>
            </w:r>
          </w:p>
        </w:tc>
        <w:tc>
          <w:tcPr>
            <w:tcW w:w="1440" w:type="dxa"/>
            <w:hideMark/>
          </w:tcPr>
          <w:p w14:paraId="2AD892C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Critiques assumptions surrounding digital health innovations, noting they often lack </w:t>
            </w:r>
            <w:r>
              <w:rPr>
                <w:rFonts w:ascii="Arial" w:hAnsi="Arial" w:cs="Arial"/>
                <w:color w:val="1F1F1F"/>
                <w:sz w:val="22"/>
                <w:szCs w:val="22"/>
              </w:rPr>
              <w:lastRenderedPageBreak/>
              <w:t>essential usability for marginalized groups.</w:t>
            </w:r>
          </w:p>
        </w:tc>
        <w:tc>
          <w:tcPr>
            <w:tcW w:w="1530" w:type="dxa"/>
            <w:hideMark/>
          </w:tcPr>
          <w:p w14:paraId="518387FA"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Peer-reviewed clinical evidence; disputes the "digital equalizes access" </w:t>
            </w:r>
            <w:r>
              <w:rPr>
                <w:rFonts w:ascii="Arial" w:hAnsi="Arial" w:cs="Arial"/>
                <w:color w:val="1F1F1F"/>
                <w:sz w:val="22"/>
                <w:szCs w:val="22"/>
              </w:rPr>
              <w:lastRenderedPageBreak/>
              <w:t>narrative.</w:t>
            </w:r>
          </w:p>
        </w:tc>
        <w:tc>
          <w:tcPr>
            <w:tcW w:w="2924" w:type="dxa"/>
            <w:hideMark/>
          </w:tcPr>
          <w:p w14:paraId="3E0457B0" w14:textId="77777777" w:rsidR="00E76F6F" w:rsidRDefault="00E76F6F">
            <w:pPr>
              <w:pStyle w:val="NormalWeb"/>
              <w:spacing w:before="120" w:beforeAutospacing="0" w:after="120" w:afterAutospacing="0" w:line="0" w:lineRule="atLeast"/>
            </w:pPr>
            <w:hyperlink r:id="rId59" w:history="1">
              <w:r>
                <w:rPr>
                  <w:rStyle w:val="Hyperlink"/>
                  <w:rFonts w:eastAsia="Calibri Light" w:cs="Arial"/>
                  <w:color w:val="000000"/>
                  <w:sz w:val="22"/>
                  <w:szCs w:val="22"/>
                </w:rPr>
                <w:t>https://pmc.ncbi.nlm.nih.gov/articles/PMC12079407/</w:t>
              </w:r>
            </w:hyperlink>
          </w:p>
        </w:tc>
      </w:tr>
      <w:tr w:rsidR="00E76F6F" w14:paraId="65A46E6C" w14:textId="77777777" w:rsidTr="00F6263A">
        <w:tc>
          <w:tcPr>
            <w:tcW w:w="918" w:type="dxa"/>
            <w:hideMark/>
          </w:tcPr>
          <w:p w14:paraId="1A6F5D5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D5D732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Xue (2022)</w:t>
            </w:r>
          </w:p>
        </w:tc>
        <w:tc>
          <w:tcPr>
            <w:tcW w:w="1350" w:type="dxa"/>
            <w:hideMark/>
          </w:tcPr>
          <w:p w14:paraId="45178C1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in healthcare services: a scoping review</w:t>
            </w:r>
          </w:p>
        </w:tc>
        <w:tc>
          <w:tcPr>
            <w:tcW w:w="1440" w:type="dxa"/>
            <w:hideMark/>
          </w:tcPr>
          <w:p w14:paraId="3367126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Scoping review identifying the specific systemic, technological, and literacy barriers causing healthcare digital exclusion.</w:t>
            </w:r>
          </w:p>
        </w:tc>
        <w:tc>
          <w:tcPr>
            <w:tcW w:w="1530" w:type="dxa"/>
            <w:hideMark/>
          </w:tcPr>
          <w:p w14:paraId="143A83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relevance; forms the foundational argument for digital structural barriers.</w:t>
            </w:r>
          </w:p>
        </w:tc>
        <w:tc>
          <w:tcPr>
            <w:tcW w:w="2924" w:type="dxa"/>
            <w:hideMark/>
          </w:tcPr>
          <w:p w14:paraId="23D60C59" w14:textId="77777777" w:rsidR="00E76F6F" w:rsidRDefault="00E76F6F">
            <w:pPr>
              <w:pStyle w:val="NormalWeb"/>
              <w:spacing w:before="120" w:beforeAutospacing="0" w:after="120" w:afterAutospacing="0" w:line="0" w:lineRule="atLeast"/>
            </w:pPr>
            <w:hyperlink r:id="rId60" w:history="1">
              <w:r>
                <w:rPr>
                  <w:rStyle w:val="Hyperlink"/>
                  <w:rFonts w:eastAsia="Calibri Light" w:cs="Arial"/>
                  <w:color w:val="000000"/>
                  <w:sz w:val="22"/>
                  <w:szCs w:val="22"/>
                </w:rPr>
                <w:t>https://pmc.ncbi.nlm.nih.gov/articles/PMC12895809/</w:t>
              </w:r>
            </w:hyperlink>
          </w:p>
        </w:tc>
      </w:tr>
      <w:tr w:rsidR="00E76F6F" w14:paraId="3262168B" w14:textId="77777777" w:rsidTr="00F6263A">
        <w:tc>
          <w:tcPr>
            <w:tcW w:w="918" w:type="dxa"/>
            <w:hideMark/>
          </w:tcPr>
          <w:p w14:paraId="702D18F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D24E0D5" w14:textId="77777777" w:rsidR="00E76F6F" w:rsidRDefault="00E76F6F">
            <w:pPr>
              <w:pStyle w:val="NormalWeb"/>
              <w:spacing w:before="120" w:beforeAutospacing="0" w:after="120" w:afterAutospacing="0" w:line="0" w:lineRule="atLeast"/>
            </w:pPr>
            <w:proofErr w:type="spellStart"/>
            <w:r>
              <w:rPr>
                <w:rFonts w:ascii="Arial" w:hAnsi="Arial" w:cs="Arial"/>
                <w:color w:val="1F1F1F"/>
                <w:sz w:val="22"/>
                <w:szCs w:val="22"/>
              </w:rPr>
              <w:t>Alarilla</w:t>
            </w:r>
            <w:proofErr w:type="spellEnd"/>
            <w:r>
              <w:rPr>
                <w:rFonts w:ascii="Arial" w:hAnsi="Arial" w:cs="Arial"/>
                <w:color w:val="1F1F1F"/>
                <w:sz w:val="22"/>
                <w:szCs w:val="22"/>
              </w:rPr>
              <w:t xml:space="preserve"> et al. (2023)</w:t>
            </w:r>
          </w:p>
        </w:tc>
        <w:tc>
          <w:tcPr>
            <w:tcW w:w="1350" w:type="dxa"/>
            <w:hideMark/>
          </w:tcPr>
          <w:p w14:paraId="5AD1F7F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Socioeconomic gradient in mortality of working age and older adults with multiple long-term conditions</w:t>
            </w:r>
          </w:p>
        </w:tc>
        <w:tc>
          <w:tcPr>
            <w:tcW w:w="1440" w:type="dxa"/>
            <w:hideMark/>
          </w:tcPr>
          <w:p w14:paraId="4422752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Quantitative analysis linking socioeconomic gradients with higher mortality rates among older adults with complex health needs.</w:t>
            </w:r>
          </w:p>
        </w:tc>
        <w:tc>
          <w:tcPr>
            <w:tcW w:w="1530" w:type="dxa"/>
            <w:hideMark/>
          </w:tcPr>
          <w:p w14:paraId="78F447E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Robust multi-national data; strongly anchors the SDH discussion.</w:t>
            </w:r>
          </w:p>
        </w:tc>
        <w:tc>
          <w:tcPr>
            <w:tcW w:w="2924" w:type="dxa"/>
            <w:hideMark/>
          </w:tcPr>
          <w:p w14:paraId="4E767B39" w14:textId="77777777" w:rsidR="00E76F6F" w:rsidRDefault="00E76F6F">
            <w:pPr>
              <w:pStyle w:val="NormalWeb"/>
              <w:spacing w:before="120" w:beforeAutospacing="0" w:after="120" w:afterAutospacing="0" w:line="0" w:lineRule="atLeast"/>
            </w:pPr>
            <w:hyperlink r:id="rId61" w:history="1">
              <w:r>
                <w:rPr>
                  <w:rStyle w:val="Hyperlink"/>
                  <w:rFonts w:eastAsia="Calibri Light" w:cs="Arial"/>
                  <w:color w:val="000000"/>
                  <w:sz w:val="22"/>
                  <w:szCs w:val="22"/>
                </w:rPr>
                <w:t>https://doi.org/10.1186/s12889-023-15370-y</w:t>
              </w:r>
            </w:hyperlink>
          </w:p>
        </w:tc>
      </w:tr>
      <w:tr w:rsidR="00E76F6F" w14:paraId="3317D82F" w14:textId="77777777" w:rsidTr="00F6263A">
        <w:tc>
          <w:tcPr>
            <w:tcW w:w="918" w:type="dxa"/>
            <w:hideMark/>
          </w:tcPr>
          <w:p w14:paraId="7807AE5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9B8CD6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Cotterell et al. (2024)</w:t>
            </w:r>
          </w:p>
        </w:tc>
        <w:tc>
          <w:tcPr>
            <w:tcW w:w="1350" w:type="dxa"/>
            <w:hideMark/>
          </w:tcPr>
          <w:p w14:paraId="21AD858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among older ethnic minority people: exploring the role of structural disadvantage and place</w:t>
            </w:r>
          </w:p>
        </w:tc>
        <w:tc>
          <w:tcPr>
            <w:tcW w:w="1440" w:type="dxa"/>
            <w:hideMark/>
          </w:tcPr>
          <w:p w14:paraId="18E81EA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Co-research study isolating how </w:t>
            </w:r>
            <w:proofErr w:type="spellStart"/>
            <w:r>
              <w:rPr>
                <w:rFonts w:ascii="Arial" w:hAnsi="Arial" w:cs="Arial"/>
                <w:color w:val="1F1F1F"/>
                <w:sz w:val="22"/>
                <w:szCs w:val="22"/>
              </w:rPr>
              <w:t>neighborhood</w:t>
            </w:r>
            <w:proofErr w:type="spellEnd"/>
            <w:r>
              <w:rPr>
                <w:rFonts w:ascii="Arial" w:hAnsi="Arial" w:cs="Arial"/>
                <w:color w:val="1F1F1F"/>
                <w:sz w:val="22"/>
                <w:szCs w:val="22"/>
              </w:rPr>
              <w:t>-level structural disadvantage and migration history drive late-life loneliness.</w:t>
            </w:r>
          </w:p>
        </w:tc>
        <w:tc>
          <w:tcPr>
            <w:tcW w:w="1530" w:type="dxa"/>
            <w:hideMark/>
          </w:tcPr>
          <w:p w14:paraId="1BEBBBC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focused qualitative methodology; essential for the social isolation theme.</w:t>
            </w:r>
          </w:p>
        </w:tc>
        <w:tc>
          <w:tcPr>
            <w:tcW w:w="2924" w:type="dxa"/>
            <w:hideMark/>
          </w:tcPr>
          <w:p w14:paraId="3D8F074D" w14:textId="77777777" w:rsidR="00E76F6F" w:rsidRDefault="00E76F6F">
            <w:pPr>
              <w:pStyle w:val="NormalWeb"/>
              <w:spacing w:before="120" w:beforeAutospacing="0" w:after="120" w:afterAutospacing="0" w:line="0" w:lineRule="atLeast"/>
            </w:pPr>
            <w:hyperlink r:id="rId62" w:history="1">
              <w:r>
                <w:rPr>
                  <w:rStyle w:val="Hyperlink"/>
                  <w:rFonts w:eastAsia="Calibri Light" w:cs="Arial"/>
                  <w:color w:val="000000"/>
                  <w:sz w:val="22"/>
                  <w:szCs w:val="22"/>
                </w:rPr>
                <w:t>https://doi.org/10.1080/01419870.2024.2311833</w:t>
              </w:r>
            </w:hyperlink>
          </w:p>
        </w:tc>
      </w:tr>
      <w:tr w:rsidR="00E76F6F" w14:paraId="191AF5C5" w14:textId="77777777" w:rsidTr="00F6263A">
        <w:tc>
          <w:tcPr>
            <w:tcW w:w="918" w:type="dxa"/>
            <w:hideMark/>
          </w:tcPr>
          <w:p w14:paraId="34CD5A4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450DB33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Comolli et al. (2021)</w:t>
            </w:r>
          </w:p>
        </w:tc>
        <w:tc>
          <w:tcPr>
            <w:tcW w:w="1350" w:type="dxa"/>
            <w:hideMark/>
          </w:tcPr>
          <w:p w14:paraId="39A0C86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Joint Family and Work Trajectories and Multidimensional </w:t>
            </w:r>
            <w:r>
              <w:rPr>
                <w:rFonts w:ascii="Arial" w:hAnsi="Arial" w:cs="Arial"/>
                <w:color w:val="1F1F1F"/>
                <w:sz w:val="22"/>
                <w:szCs w:val="22"/>
              </w:rPr>
              <w:lastRenderedPageBreak/>
              <w:t>Wellbeing</w:t>
            </w:r>
          </w:p>
        </w:tc>
        <w:tc>
          <w:tcPr>
            <w:tcW w:w="1440" w:type="dxa"/>
            <w:hideMark/>
          </w:tcPr>
          <w:p w14:paraId="6835E512"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Demonstrates how compounding life-course trajectories (work, family) </w:t>
            </w:r>
            <w:r>
              <w:rPr>
                <w:rFonts w:ascii="Arial" w:hAnsi="Arial" w:cs="Arial"/>
                <w:color w:val="1F1F1F"/>
                <w:sz w:val="22"/>
                <w:szCs w:val="22"/>
              </w:rPr>
              <w:lastRenderedPageBreak/>
              <w:t>influence later-life health and multidimensional wellbeing.</w:t>
            </w:r>
          </w:p>
        </w:tc>
        <w:tc>
          <w:tcPr>
            <w:tcW w:w="1530" w:type="dxa"/>
            <w:hideMark/>
          </w:tcPr>
          <w:p w14:paraId="76A1DDD2"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Peer-reviewed European data; supports the life-course cumulative </w:t>
            </w:r>
            <w:r>
              <w:rPr>
                <w:rFonts w:ascii="Arial" w:hAnsi="Arial" w:cs="Arial"/>
                <w:color w:val="1F1F1F"/>
                <w:sz w:val="22"/>
                <w:szCs w:val="22"/>
              </w:rPr>
              <w:lastRenderedPageBreak/>
              <w:t>disadvantage model.</w:t>
            </w:r>
          </w:p>
        </w:tc>
        <w:tc>
          <w:tcPr>
            <w:tcW w:w="2924" w:type="dxa"/>
            <w:hideMark/>
          </w:tcPr>
          <w:p w14:paraId="3AC7ABEA" w14:textId="77777777" w:rsidR="00E76F6F" w:rsidRDefault="00E76F6F">
            <w:pPr>
              <w:pStyle w:val="NormalWeb"/>
              <w:spacing w:before="120" w:beforeAutospacing="0" w:after="120" w:afterAutospacing="0" w:line="0" w:lineRule="atLeast"/>
            </w:pPr>
            <w:hyperlink r:id="rId63" w:history="1">
              <w:r>
                <w:rPr>
                  <w:rStyle w:val="Hyperlink"/>
                  <w:rFonts w:eastAsia="Calibri Light" w:cs="Arial"/>
                  <w:color w:val="000000"/>
                  <w:sz w:val="22"/>
                  <w:szCs w:val="22"/>
                </w:rPr>
                <w:t>https://doi.org/10.1007/s10680-021-09583-3</w:t>
              </w:r>
            </w:hyperlink>
          </w:p>
        </w:tc>
      </w:tr>
      <w:tr w:rsidR="00E76F6F" w14:paraId="5A48EBE3" w14:textId="77777777" w:rsidTr="00F6263A">
        <w:tc>
          <w:tcPr>
            <w:tcW w:w="918" w:type="dxa"/>
            <w:hideMark/>
          </w:tcPr>
          <w:p w14:paraId="3A533E2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2684A2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Duan et al. (2024)</w:t>
            </w:r>
          </w:p>
        </w:tc>
        <w:tc>
          <w:tcPr>
            <w:tcW w:w="1350" w:type="dxa"/>
            <w:hideMark/>
          </w:tcPr>
          <w:p w14:paraId="495CFE7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Cognitive Function in Elderly Populations</w:t>
            </w:r>
          </w:p>
        </w:tc>
        <w:tc>
          <w:tcPr>
            <w:tcW w:w="1440" w:type="dxa"/>
            <w:hideMark/>
          </w:tcPr>
          <w:p w14:paraId="0F9C30F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Longitudinal cohort analysis showing how digital isolation correlates with diminished cognitive functioning in older adults.</w:t>
            </w:r>
          </w:p>
        </w:tc>
        <w:tc>
          <w:tcPr>
            <w:tcW w:w="1530" w:type="dxa"/>
            <w:hideMark/>
          </w:tcPr>
          <w:p w14:paraId="760F63F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Strong empirical data; underscores the medical risks of digital precarity.</w:t>
            </w:r>
          </w:p>
        </w:tc>
        <w:tc>
          <w:tcPr>
            <w:tcW w:w="2924" w:type="dxa"/>
            <w:hideMark/>
          </w:tcPr>
          <w:p w14:paraId="477B250B" w14:textId="77777777" w:rsidR="00E76F6F" w:rsidRDefault="00E76F6F">
            <w:pPr>
              <w:pStyle w:val="NormalWeb"/>
              <w:spacing w:before="120" w:beforeAutospacing="0" w:after="120" w:afterAutospacing="0" w:line="0" w:lineRule="atLeast"/>
            </w:pPr>
            <w:hyperlink r:id="rId64" w:history="1">
              <w:r>
                <w:rPr>
                  <w:rStyle w:val="Hyperlink"/>
                  <w:rFonts w:eastAsia="Calibri Light" w:cs="Arial"/>
                  <w:color w:val="000000"/>
                  <w:sz w:val="22"/>
                  <w:szCs w:val="22"/>
                </w:rPr>
                <w:t>https://doi.org/10.2196/56636</w:t>
              </w:r>
            </w:hyperlink>
          </w:p>
        </w:tc>
      </w:tr>
      <w:tr w:rsidR="00E76F6F" w14:paraId="59A46078" w14:textId="77777777" w:rsidTr="00F6263A">
        <w:tc>
          <w:tcPr>
            <w:tcW w:w="918" w:type="dxa"/>
            <w:hideMark/>
          </w:tcPr>
          <w:p w14:paraId="3A8E5BF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26A56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Ismail (2023)</w:t>
            </w:r>
          </w:p>
        </w:tc>
        <w:tc>
          <w:tcPr>
            <w:tcW w:w="1350" w:type="dxa"/>
            <w:hideMark/>
          </w:tcPr>
          <w:p w14:paraId="4476726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The Effect of Social Contacts on the Uptake of Health Innovations among Older Ethnic Minorities</w:t>
            </w:r>
          </w:p>
        </w:tc>
        <w:tc>
          <w:tcPr>
            <w:tcW w:w="1440" w:type="dxa"/>
            <w:hideMark/>
          </w:tcPr>
          <w:p w14:paraId="0F0F811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Mixed-methods study proving that reduced social capital severely limits health </w:t>
            </w:r>
            <w:proofErr w:type="spellStart"/>
            <w:r>
              <w:rPr>
                <w:rFonts w:ascii="Arial" w:hAnsi="Arial" w:cs="Arial"/>
                <w:color w:val="1F1F1F"/>
                <w:sz w:val="22"/>
                <w:szCs w:val="22"/>
              </w:rPr>
              <w:t>behavior</w:t>
            </w:r>
            <w:proofErr w:type="spellEnd"/>
            <w:r>
              <w:rPr>
                <w:rFonts w:ascii="Arial" w:hAnsi="Arial" w:cs="Arial"/>
                <w:color w:val="1F1F1F"/>
                <w:sz w:val="22"/>
                <w:szCs w:val="22"/>
              </w:rPr>
              <w:t xml:space="preserve"> uptake among UK older minorities.</w:t>
            </w:r>
          </w:p>
        </w:tc>
        <w:tc>
          <w:tcPr>
            <w:tcW w:w="1530" w:type="dxa"/>
            <w:hideMark/>
          </w:tcPr>
          <w:p w14:paraId="60D6EA4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Directly targets the specific demographic (UK older ethnic minorities); highly valid.</w:t>
            </w:r>
          </w:p>
        </w:tc>
        <w:tc>
          <w:tcPr>
            <w:tcW w:w="2924" w:type="dxa"/>
            <w:hideMark/>
          </w:tcPr>
          <w:p w14:paraId="2FE75B40" w14:textId="77777777" w:rsidR="00E76F6F" w:rsidRDefault="00E76F6F">
            <w:pPr>
              <w:pStyle w:val="NormalWeb"/>
              <w:spacing w:before="120" w:beforeAutospacing="0" w:after="120" w:afterAutospacing="0" w:line="0" w:lineRule="atLeast"/>
            </w:pPr>
            <w:hyperlink r:id="rId65" w:history="1">
              <w:r>
                <w:rPr>
                  <w:rStyle w:val="Hyperlink"/>
                  <w:rFonts w:eastAsia="Calibri Light" w:cs="Arial"/>
                  <w:color w:val="000000"/>
                  <w:sz w:val="22"/>
                  <w:szCs w:val="22"/>
                </w:rPr>
                <w:t>https://doi.org/10.3390/su151410839</w:t>
              </w:r>
            </w:hyperlink>
          </w:p>
        </w:tc>
      </w:tr>
      <w:tr w:rsidR="00E76F6F" w14:paraId="769EBABD" w14:textId="77777777" w:rsidTr="00F6263A">
        <w:tc>
          <w:tcPr>
            <w:tcW w:w="918" w:type="dxa"/>
            <w:hideMark/>
          </w:tcPr>
          <w:p w14:paraId="1215BA9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6A48C1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Islam et al. (2024)</w:t>
            </w:r>
          </w:p>
        </w:tc>
        <w:tc>
          <w:tcPr>
            <w:tcW w:w="1350" w:type="dxa"/>
            <w:hideMark/>
          </w:tcPr>
          <w:p w14:paraId="519E7E7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Digitalised primary care in the UK: a qualitative study of the experiences of minoritised ethnic communities</w:t>
            </w:r>
          </w:p>
        </w:tc>
        <w:tc>
          <w:tcPr>
            <w:tcW w:w="1440" w:type="dxa"/>
            <w:hideMark/>
          </w:tcPr>
          <w:p w14:paraId="48671CC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Captures the lived friction ethnic minority groups experience when navigating new UK digital primary care triage systems.</w:t>
            </w:r>
          </w:p>
        </w:tc>
        <w:tc>
          <w:tcPr>
            <w:tcW w:w="1530" w:type="dxa"/>
            <w:hideMark/>
          </w:tcPr>
          <w:p w14:paraId="36C723C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Highly specific qualitative evidence exposing generational and linguistic digital gaps.</w:t>
            </w:r>
          </w:p>
        </w:tc>
        <w:tc>
          <w:tcPr>
            <w:tcW w:w="2924" w:type="dxa"/>
            <w:hideMark/>
          </w:tcPr>
          <w:p w14:paraId="10B47950" w14:textId="77777777" w:rsidR="00E76F6F" w:rsidRDefault="00E76F6F">
            <w:pPr>
              <w:pStyle w:val="NormalWeb"/>
              <w:spacing w:before="120" w:beforeAutospacing="0" w:after="120" w:afterAutospacing="0" w:line="0" w:lineRule="atLeast"/>
            </w:pPr>
            <w:hyperlink r:id="rId66" w:history="1">
              <w:r>
                <w:rPr>
                  <w:rStyle w:val="Hyperlink"/>
                  <w:rFonts w:eastAsia="Calibri Light" w:cs="Arial"/>
                  <w:color w:val="000000"/>
                  <w:sz w:val="22"/>
                  <w:szCs w:val="22"/>
                </w:rPr>
                <w:t>https://doi.org/10.3399/bjgp.2024.0308</w:t>
              </w:r>
            </w:hyperlink>
          </w:p>
        </w:tc>
      </w:tr>
      <w:tr w:rsidR="00E76F6F" w14:paraId="2BC9839D" w14:textId="77777777" w:rsidTr="00F6263A">
        <w:tc>
          <w:tcPr>
            <w:tcW w:w="918" w:type="dxa"/>
            <w:hideMark/>
          </w:tcPr>
          <w:p w14:paraId="426EEC3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468775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Mercer et al. (2021)</w:t>
            </w:r>
          </w:p>
        </w:tc>
        <w:tc>
          <w:tcPr>
            <w:tcW w:w="1350" w:type="dxa"/>
            <w:hideMark/>
          </w:tcPr>
          <w:p w14:paraId="26B7D08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The inverse care law and the </w:t>
            </w:r>
            <w:r>
              <w:rPr>
                <w:rFonts w:ascii="Arial" w:hAnsi="Arial" w:cs="Arial"/>
                <w:color w:val="1F1F1F"/>
                <w:sz w:val="22"/>
                <w:szCs w:val="22"/>
              </w:rPr>
              <w:lastRenderedPageBreak/>
              <w:t>potential of primary care in deprived areas</w:t>
            </w:r>
          </w:p>
        </w:tc>
        <w:tc>
          <w:tcPr>
            <w:tcW w:w="1440" w:type="dxa"/>
            <w:hideMark/>
          </w:tcPr>
          <w:p w14:paraId="74C879AD"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Modern application of the Inverse </w:t>
            </w:r>
            <w:r>
              <w:rPr>
                <w:rFonts w:ascii="Arial" w:hAnsi="Arial" w:cs="Arial"/>
                <w:color w:val="1F1F1F"/>
                <w:sz w:val="22"/>
                <w:szCs w:val="22"/>
              </w:rPr>
              <w:lastRenderedPageBreak/>
              <w:t>Care Law, showing how deprived communities receive under-resourced primary care.</w:t>
            </w:r>
          </w:p>
        </w:tc>
        <w:tc>
          <w:tcPr>
            <w:tcW w:w="1530" w:type="dxa"/>
            <w:hideMark/>
          </w:tcPr>
          <w:p w14:paraId="49F0D47D"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High authority (</w:t>
            </w:r>
            <w:r>
              <w:rPr>
                <w:rFonts w:ascii="Arial" w:hAnsi="Arial" w:cs="Arial"/>
                <w:i/>
                <w:iCs/>
                <w:color w:val="1F1F1F"/>
                <w:sz w:val="22"/>
                <w:szCs w:val="22"/>
              </w:rPr>
              <w:t>The Lancet</w:t>
            </w:r>
            <w:r>
              <w:rPr>
                <w:rFonts w:ascii="Arial" w:hAnsi="Arial" w:cs="Arial"/>
                <w:color w:val="1F1F1F"/>
                <w:sz w:val="22"/>
                <w:szCs w:val="22"/>
              </w:rPr>
              <w:t xml:space="preserve">); crucial </w:t>
            </w:r>
            <w:r>
              <w:rPr>
                <w:rFonts w:ascii="Arial" w:hAnsi="Arial" w:cs="Arial"/>
                <w:color w:val="1F1F1F"/>
                <w:sz w:val="22"/>
                <w:szCs w:val="22"/>
              </w:rPr>
              <w:lastRenderedPageBreak/>
              <w:t>theoretical framework for the dissertation.</w:t>
            </w:r>
          </w:p>
        </w:tc>
        <w:tc>
          <w:tcPr>
            <w:tcW w:w="2924" w:type="dxa"/>
            <w:hideMark/>
          </w:tcPr>
          <w:p w14:paraId="371495F4" w14:textId="77777777" w:rsidR="00E76F6F" w:rsidRDefault="00E76F6F">
            <w:pPr>
              <w:pStyle w:val="NormalWeb"/>
              <w:spacing w:before="120" w:beforeAutospacing="0" w:after="120" w:afterAutospacing="0" w:line="0" w:lineRule="atLeast"/>
            </w:pPr>
            <w:hyperlink r:id="rId67" w:history="1">
              <w:r>
                <w:rPr>
                  <w:rStyle w:val="Hyperlink"/>
                  <w:rFonts w:eastAsia="Calibri Light" w:cs="Arial"/>
                  <w:color w:val="000000"/>
                  <w:sz w:val="22"/>
                  <w:szCs w:val="22"/>
                </w:rPr>
                <w:t>https://doi.org/10.1016/s0140-6736(21)00317-2</w:t>
              </w:r>
            </w:hyperlink>
          </w:p>
        </w:tc>
      </w:tr>
      <w:tr w:rsidR="00E76F6F" w14:paraId="4A988671" w14:textId="77777777" w:rsidTr="00F6263A">
        <w:tc>
          <w:tcPr>
            <w:tcW w:w="918" w:type="dxa"/>
            <w:hideMark/>
          </w:tcPr>
          <w:p w14:paraId="6CCAECE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FF070E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Mukhtar et al. (2025)</w:t>
            </w:r>
          </w:p>
        </w:tc>
        <w:tc>
          <w:tcPr>
            <w:tcW w:w="1350" w:type="dxa"/>
            <w:hideMark/>
          </w:tcPr>
          <w:p w14:paraId="062927B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Health Literacy: A systematic review of interventions and their influence on healthcare access</w:t>
            </w:r>
          </w:p>
        </w:tc>
        <w:tc>
          <w:tcPr>
            <w:tcW w:w="1440" w:type="dxa"/>
            <w:hideMark/>
          </w:tcPr>
          <w:p w14:paraId="73E5555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 review of interventions designed to improve digital health literacy and access across vulnerable populations.</w:t>
            </w:r>
          </w:p>
        </w:tc>
        <w:tc>
          <w:tcPr>
            <w:tcW w:w="1530" w:type="dxa"/>
            <w:hideMark/>
          </w:tcPr>
          <w:p w14:paraId="4008F8B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Systematic rigor; offers evidence-based solutions for RO4 recommendations.</w:t>
            </w:r>
          </w:p>
        </w:tc>
        <w:tc>
          <w:tcPr>
            <w:tcW w:w="2924" w:type="dxa"/>
            <w:hideMark/>
          </w:tcPr>
          <w:p w14:paraId="3339C71E" w14:textId="77777777" w:rsidR="00E76F6F" w:rsidRDefault="00E76F6F">
            <w:pPr>
              <w:pStyle w:val="NormalWeb"/>
              <w:spacing w:before="120" w:beforeAutospacing="0" w:after="120" w:afterAutospacing="0" w:line="0" w:lineRule="atLeast"/>
            </w:pPr>
            <w:hyperlink r:id="rId68" w:history="1">
              <w:r>
                <w:rPr>
                  <w:rStyle w:val="Hyperlink"/>
                  <w:rFonts w:eastAsia="Calibri Light" w:cs="Arial"/>
                  <w:color w:val="000000"/>
                  <w:sz w:val="22"/>
                  <w:szCs w:val="22"/>
                </w:rPr>
                <w:t>https://doi.org/10.12669/pjms.41.3.10639</w:t>
              </w:r>
            </w:hyperlink>
          </w:p>
        </w:tc>
      </w:tr>
      <w:tr w:rsidR="00E76F6F" w14:paraId="118BD1FB" w14:textId="77777777" w:rsidTr="00F6263A">
        <w:tc>
          <w:tcPr>
            <w:tcW w:w="918" w:type="dxa"/>
            <w:hideMark/>
          </w:tcPr>
          <w:p w14:paraId="586A6DE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606EA0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Holman &amp; Walker (2020)</w:t>
            </w:r>
          </w:p>
        </w:tc>
        <w:tc>
          <w:tcPr>
            <w:tcW w:w="1350" w:type="dxa"/>
            <w:hideMark/>
          </w:tcPr>
          <w:p w14:paraId="524C9702" w14:textId="77777777" w:rsidR="00E76F6F" w:rsidRDefault="00E76F6F">
            <w:pPr>
              <w:pStyle w:val="NormalWeb"/>
              <w:spacing w:before="120" w:beforeAutospacing="0" w:after="120" w:afterAutospacing="0" w:line="0" w:lineRule="atLeast"/>
            </w:pPr>
            <w:r>
              <w:rPr>
                <w:rFonts w:ascii="Arial" w:hAnsi="Arial" w:cs="Arial"/>
                <w:color w:val="1F1F1F"/>
                <w:sz w:val="22"/>
                <w:szCs w:val="22"/>
              </w:rPr>
              <w:t>Understanding unequal ageing: towards a synthesis of intersectionality and life course analyses</w:t>
            </w:r>
          </w:p>
        </w:tc>
        <w:tc>
          <w:tcPr>
            <w:tcW w:w="1440" w:type="dxa"/>
            <w:hideMark/>
          </w:tcPr>
          <w:p w14:paraId="5F4A15B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Synthesizes life-course sociology with intersectionality to explain how aging disparities are structurally produced.</w:t>
            </w:r>
          </w:p>
        </w:tc>
        <w:tc>
          <w:tcPr>
            <w:tcW w:w="1530" w:type="dxa"/>
            <w:hideMark/>
          </w:tcPr>
          <w:p w14:paraId="383026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Strong theoretical foundation for </w:t>
            </w:r>
            <w:proofErr w:type="spellStart"/>
            <w:r>
              <w:rPr>
                <w:rFonts w:ascii="Arial" w:hAnsi="Arial" w:cs="Arial"/>
                <w:color w:val="1F1F1F"/>
                <w:sz w:val="22"/>
                <w:szCs w:val="22"/>
              </w:rPr>
              <w:t>analyzing</w:t>
            </w:r>
            <w:proofErr w:type="spellEnd"/>
            <w:r>
              <w:rPr>
                <w:rFonts w:ascii="Arial" w:hAnsi="Arial" w:cs="Arial"/>
                <w:color w:val="1F1F1F"/>
                <w:sz w:val="22"/>
                <w:szCs w:val="22"/>
              </w:rPr>
              <w:t xml:space="preserve"> the 72-80 age demographic.</w:t>
            </w:r>
          </w:p>
        </w:tc>
        <w:tc>
          <w:tcPr>
            <w:tcW w:w="2924" w:type="dxa"/>
            <w:hideMark/>
          </w:tcPr>
          <w:p w14:paraId="2A441950" w14:textId="77777777" w:rsidR="00E76F6F" w:rsidRDefault="00E76F6F">
            <w:pPr>
              <w:pStyle w:val="NormalWeb"/>
              <w:spacing w:before="120" w:beforeAutospacing="0" w:after="120" w:afterAutospacing="0" w:line="0" w:lineRule="atLeast"/>
            </w:pPr>
            <w:hyperlink r:id="rId69" w:history="1">
              <w:r>
                <w:rPr>
                  <w:rStyle w:val="Hyperlink"/>
                  <w:rFonts w:eastAsia="Calibri Light" w:cs="Arial"/>
                  <w:color w:val="000000"/>
                  <w:sz w:val="22"/>
                  <w:szCs w:val="22"/>
                </w:rPr>
                <w:t>https://doi.org/10.1007/s10433-020-00582-7</w:t>
              </w:r>
            </w:hyperlink>
          </w:p>
        </w:tc>
      </w:tr>
      <w:tr w:rsidR="00E76F6F" w14:paraId="778718F6" w14:textId="77777777" w:rsidTr="00F6263A">
        <w:tc>
          <w:tcPr>
            <w:tcW w:w="918" w:type="dxa"/>
            <w:hideMark/>
          </w:tcPr>
          <w:p w14:paraId="3C033B5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308321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Joshi et al. (2024)</w:t>
            </w:r>
          </w:p>
        </w:tc>
        <w:tc>
          <w:tcPr>
            <w:tcW w:w="1350" w:type="dxa"/>
            <w:hideMark/>
          </w:tcPr>
          <w:p w14:paraId="4C75E8F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and social isolation of ethnic minority/immigrant older adults: a scoping review</w:t>
            </w:r>
          </w:p>
        </w:tc>
        <w:tc>
          <w:tcPr>
            <w:tcW w:w="1440" w:type="dxa"/>
            <w:hideMark/>
          </w:tcPr>
          <w:p w14:paraId="6276C19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Reviews the literature on isolation risk factors unique to aging immigrants, such as linguistic barriers and systemic racism.</w:t>
            </w:r>
          </w:p>
        </w:tc>
        <w:tc>
          <w:tcPr>
            <w:tcW w:w="1530" w:type="dxa"/>
            <w:hideMark/>
          </w:tcPr>
          <w:p w14:paraId="00EE903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Comprehensive scoping review; highly relevant to social support network themes.</w:t>
            </w:r>
          </w:p>
        </w:tc>
        <w:tc>
          <w:tcPr>
            <w:tcW w:w="2924" w:type="dxa"/>
            <w:hideMark/>
          </w:tcPr>
          <w:p w14:paraId="5B200C5C" w14:textId="77777777" w:rsidR="00E76F6F" w:rsidRDefault="00E76F6F">
            <w:pPr>
              <w:pStyle w:val="NormalWeb"/>
              <w:spacing w:before="120" w:beforeAutospacing="0" w:after="120" w:afterAutospacing="0" w:line="0" w:lineRule="atLeast"/>
            </w:pPr>
            <w:hyperlink r:id="rId70" w:history="1">
              <w:r>
                <w:rPr>
                  <w:rStyle w:val="Hyperlink"/>
                  <w:rFonts w:eastAsia="Calibri Light" w:cs="Arial"/>
                  <w:color w:val="000000"/>
                  <w:sz w:val="22"/>
                  <w:szCs w:val="22"/>
                </w:rPr>
                <w:t>https://doi.org/10.1017/s0144686x24000205</w:t>
              </w:r>
            </w:hyperlink>
          </w:p>
        </w:tc>
      </w:tr>
      <w:tr w:rsidR="00E76F6F" w14:paraId="4DC342DD" w14:textId="77777777" w:rsidTr="00F6263A">
        <w:tc>
          <w:tcPr>
            <w:tcW w:w="918" w:type="dxa"/>
            <w:hideMark/>
          </w:tcPr>
          <w:p w14:paraId="14D57E1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D541C5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Sundareswaran et al. (2024)</w:t>
            </w:r>
          </w:p>
        </w:tc>
        <w:tc>
          <w:tcPr>
            <w:tcW w:w="1350" w:type="dxa"/>
            <w:hideMark/>
          </w:tcPr>
          <w:p w14:paraId="7ED00E7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Barriers to primary care among immigrants </w:t>
            </w:r>
            <w:r>
              <w:rPr>
                <w:rFonts w:ascii="Arial" w:hAnsi="Arial" w:cs="Arial"/>
                <w:color w:val="1F1F1F"/>
                <w:sz w:val="22"/>
                <w:szCs w:val="22"/>
              </w:rPr>
              <w:lastRenderedPageBreak/>
              <w:t>and refugees: a qualitative study of provider perspectives</w:t>
            </w:r>
          </w:p>
        </w:tc>
        <w:tc>
          <w:tcPr>
            <w:tcW w:w="1440" w:type="dxa"/>
            <w:hideMark/>
          </w:tcPr>
          <w:p w14:paraId="0EC7FBC5"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Highlights provider-identified barriers, including </w:t>
            </w:r>
            <w:r>
              <w:rPr>
                <w:rFonts w:ascii="Arial" w:hAnsi="Arial" w:cs="Arial"/>
                <w:color w:val="1F1F1F"/>
                <w:sz w:val="22"/>
                <w:szCs w:val="22"/>
              </w:rPr>
              <w:lastRenderedPageBreak/>
              <w:t>language, digital access, and lack of culturally competent administration.</w:t>
            </w:r>
          </w:p>
        </w:tc>
        <w:tc>
          <w:tcPr>
            <w:tcW w:w="1530" w:type="dxa"/>
            <w:hideMark/>
          </w:tcPr>
          <w:p w14:paraId="291276E1"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Qualitative insight into structural service delivery </w:t>
            </w:r>
            <w:r>
              <w:rPr>
                <w:rFonts w:ascii="Arial" w:hAnsi="Arial" w:cs="Arial"/>
                <w:color w:val="1F1F1F"/>
                <w:sz w:val="22"/>
                <w:szCs w:val="22"/>
              </w:rPr>
              <w:lastRenderedPageBreak/>
              <w:t>flaws.</w:t>
            </w:r>
          </w:p>
        </w:tc>
        <w:tc>
          <w:tcPr>
            <w:tcW w:w="2924" w:type="dxa"/>
            <w:hideMark/>
          </w:tcPr>
          <w:p w14:paraId="44676610" w14:textId="77777777" w:rsidR="00E76F6F" w:rsidRDefault="00E76F6F">
            <w:pPr>
              <w:pStyle w:val="NormalWeb"/>
              <w:spacing w:before="120" w:beforeAutospacing="0" w:after="120" w:afterAutospacing="0" w:line="0" w:lineRule="atLeast"/>
            </w:pPr>
            <w:hyperlink r:id="rId71" w:history="1">
              <w:r>
                <w:rPr>
                  <w:rStyle w:val="Hyperlink"/>
                  <w:rFonts w:eastAsia="Calibri Light" w:cs="Arial"/>
                  <w:color w:val="000000"/>
                  <w:sz w:val="22"/>
                  <w:szCs w:val="22"/>
                </w:rPr>
                <w:t>https://doi.org/10.1186/s12875-024-02453-x</w:t>
              </w:r>
            </w:hyperlink>
          </w:p>
        </w:tc>
      </w:tr>
      <w:tr w:rsidR="00E76F6F" w14:paraId="599AD02D" w14:textId="77777777" w:rsidTr="00F6263A">
        <w:tc>
          <w:tcPr>
            <w:tcW w:w="918" w:type="dxa"/>
            <w:hideMark/>
          </w:tcPr>
          <w:p w14:paraId="56E8E3F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F7E3FB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Jain et al. (2024)</w:t>
            </w:r>
          </w:p>
        </w:tc>
        <w:tc>
          <w:tcPr>
            <w:tcW w:w="1350" w:type="dxa"/>
            <w:hideMark/>
          </w:tcPr>
          <w:p w14:paraId="69601AA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Aging, Race, and Health Disparities: Recommendations </w:t>
            </w:r>
            <w:proofErr w:type="gramStart"/>
            <w:r>
              <w:rPr>
                <w:rFonts w:ascii="Arial" w:hAnsi="Arial" w:cs="Arial"/>
                <w:color w:val="1F1F1F"/>
                <w:sz w:val="22"/>
                <w:szCs w:val="22"/>
              </w:rPr>
              <w:t>From</w:t>
            </w:r>
            <w:proofErr w:type="gramEnd"/>
            <w:r>
              <w:rPr>
                <w:rFonts w:ascii="Arial" w:hAnsi="Arial" w:cs="Arial"/>
                <w:color w:val="1F1F1F"/>
                <w:sz w:val="22"/>
                <w:szCs w:val="22"/>
              </w:rPr>
              <w:t xml:space="preserve"> the Research </w:t>
            </w:r>
            <w:proofErr w:type="spellStart"/>
            <w:r>
              <w:rPr>
                <w:rFonts w:ascii="Arial" w:hAnsi="Arial" w:cs="Arial"/>
                <w:color w:val="1F1F1F"/>
                <w:sz w:val="22"/>
                <w:szCs w:val="22"/>
              </w:rPr>
              <w:t>Centers</w:t>
            </w:r>
            <w:proofErr w:type="spellEnd"/>
            <w:r>
              <w:rPr>
                <w:rFonts w:ascii="Arial" w:hAnsi="Arial" w:cs="Arial"/>
                <w:color w:val="1F1F1F"/>
                <w:sz w:val="22"/>
                <w:szCs w:val="22"/>
              </w:rPr>
              <w:t xml:space="preserve"> Collaborative Network</w:t>
            </w:r>
          </w:p>
        </w:tc>
        <w:tc>
          <w:tcPr>
            <w:tcW w:w="1440" w:type="dxa"/>
            <w:hideMark/>
          </w:tcPr>
          <w:p w14:paraId="26EBBFE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Consolidated expert recommendations on how to dismantle structural and systemic drivers of racial health disparities in aging.</w:t>
            </w:r>
          </w:p>
        </w:tc>
        <w:tc>
          <w:tcPr>
            <w:tcW w:w="1530" w:type="dxa"/>
            <w:hideMark/>
          </w:tcPr>
          <w:p w14:paraId="3D2DDA1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authority consensus paper; validates policy recommendations.</w:t>
            </w:r>
          </w:p>
        </w:tc>
        <w:tc>
          <w:tcPr>
            <w:tcW w:w="2924" w:type="dxa"/>
            <w:hideMark/>
          </w:tcPr>
          <w:p w14:paraId="23143750" w14:textId="77777777" w:rsidR="00E76F6F" w:rsidRDefault="00E76F6F">
            <w:pPr>
              <w:pStyle w:val="NormalWeb"/>
              <w:spacing w:before="120" w:beforeAutospacing="0" w:after="120" w:afterAutospacing="0" w:line="0" w:lineRule="atLeast"/>
            </w:pPr>
            <w:hyperlink r:id="rId72" w:history="1">
              <w:r>
                <w:rPr>
                  <w:rStyle w:val="Hyperlink"/>
                  <w:rFonts w:eastAsia="Calibri Light" w:cs="Arial"/>
                  <w:color w:val="000000"/>
                  <w:sz w:val="22"/>
                  <w:szCs w:val="22"/>
                </w:rPr>
                <w:t>https://doi.org/10.1093/geronb/gbae028</w:t>
              </w:r>
            </w:hyperlink>
          </w:p>
        </w:tc>
      </w:tr>
      <w:tr w:rsidR="00E76F6F" w14:paraId="2E812520" w14:textId="77777777" w:rsidTr="00F6263A">
        <w:tc>
          <w:tcPr>
            <w:tcW w:w="918" w:type="dxa"/>
            <w:hideMark/>
          </w:tcPr>
          <w:p w14:paraId="23313F9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336062C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Victor et al. (2020)</w:t>
            </w:r>
          </w:p>
        </w:tc>
        <w:tc>
          <w:tcPr>
            <w:tcW w:w="1350" w:type="dxa"/>
            <w:hideMark/>
          </w:tcPr>
          <w:p w14:paraId="13B99874" w14:textId="77777777" w:rsidR="00E76F6F" w:rsidRDefault="00E76F6F">
            <w:pPr>
              <w:pStyle w:val="NormalWeb"/>
              <w:spacing w:before="120" w:beforeAutospacing="0" w:after="120" w:afterAutospacing="0" w:line="0" w:lineRule="atLeast"/>
            </w:pPr>
            <w:r>
              <w:rPr>
                <w:rFonts w:ascii="Arial" w:hAnsi="Arial" w:cs="Arial"/>
                <w:color w:val="1F1F1F"/>
                <w:sz w:val="22"/>
                <w:szCs w:val="22"/>
              </w:rPr>
              <w:t>Loneliness in mid-life and older adults from ethnic minority communities in England and Wales</w:t>
            </w:r>
          </w:p>
        </w:tc>
        <w:tc>
          <w:tcPr>
            <w:tcW w:w="1440" w:type="dxa"/>
            <w:hideMark/>
          </w:tcPr>
          <w:p w14:paraId="521A43C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Validates loneliness measures and establishes prevalence rates specifically within UK ethnic minority communities.</w:t>
            </w:r>
          </w:p>
        </w:tc>
        <w:tc>
          <w:tcPr>
            <w:tcW w:w="1530" w:type="dxa"/>
            <w:hideMark/>
          </w:tcPr>
          <w:p w14:paraId="54A7E90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Methodologically strong validation study; provides accurate prevalence context.</w:t>
            </w:r>
          </w:p>
        </w:tc>
        <w:tc>
          <w:tcPr>
            <w:tcW w:w="2924" w:type="dxa"/>
            <w:hideMark/>
          </w:tcPr>
          <w:p w14:paraId="48A2F440" w14:textId="77777777" w:rsidR="00E76F6F" w:rsidRDefault="00E76F6F">
            <w:pPr>
              <w:pStyle w:val="NormalWeb"/>
              <w:spacing w:before="120" w:beforeAutospacing="0" w:after="120" w:afterAutospacing="0" w:line="0" w:lineRule="atLeast"/>
            </w:pPr>
            <w:hyperlink r:id="rId73" w:history="1">
              <w:r>
                <w:rPr>
                  <w:rStyle w:val="Hyperlink"/>
                  <w:rFonts w:eastAsia="Calibri Light" w:cs="Arial"/>
                  <w:color w:val="000000"/>
                  <w:sz w:val="22"/>
                  <w:szCs w:val="22"/>
                </w:rPr>
                <w:t>https://doi.org/10.1007/s10433-020-00564-9</w:t>
              </w:r>
            </w:hyperlink>
          </w:p>
        </w:tc>
      </w:tr>
      <w:tr w:rsidR="00E76F6F" w14:paraId="79A38ED5" w14:textId="77777777" w:rsidTr="00F6263A">
        <w:tc>
          <w:tcPr>
            <w:tcW w:w="918" w:type="dxa"/>
            <w:hideMark/>
          </w:tcPr>
          <w:p w14:paraId="2B7A095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03C59B8A"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Wilson-</w:t>
            </w:r>
            <w:proofErr w:type="spellStart"/>
            <w:r>
              <w:rPr>
                <w:rFonts w:ascii="Arial" w:hAnsi="Arial" w:cs="Arial"/>
                <w:color w:val="1F1F1F"/>
                <w:sz w:val="22"/>
                <w:szCs w:val="22"/>
              </w:rPr>
              <w:t>Menzfeld</w:t>
            </w:r>
            <w:proofErr w:type="spellEnd"/>
            <w:r>
              <w:rPr>
                <w:rFonts w:ascii="Arial" w:hAnsi="Arial" w:cs="Arial"/>
                <w:color w:val="1F1F1F"/>
                <w:sz w:val="22"/>
                <w:szCs w:val="22"/>
              </w:rPr>
              <w:t xml:space="preserve"> et al. (2024)</w:t>
            </w:r>
          </w:p>
        </w:tc>
        <w:tc>
          <w:tcPr>
            <w:tcW w:w="1350" w:type="dxa"/>
            <w:hideMark/>
          </w:tcPr>
          <w:p w14:paraId="4EECA87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Identifying and understanding digital exclusion: a mixed-methods study</w:t>
            </w:r>
          </w:p>
        </w:tc>
        <w:tc>
          <w:tcPr>
            <w:tcW w:w="1440" w:type="dxa"/>
            <w:hideMark/>
          </w:tcPr>
          <w:p w14:paraId="6806D070" w14:textId="77777777" w:rsidR="00E76F6F" w:rsidRDefault="00E76F6F">
            <w:pPr>
              <w:pStyle w:val="NormalWeb"/>
              <w:spacing w:before="120" w:beforeAutospacing="0" w:after="120" w:afterAutospacing="0" w:line="0" w:lineRule="atLeast"/>
            </w:pPr>
            <w:r>
              <w:rPr>
                <w:rFonts w:ascii="Arial" w:hAnsi="Arial" w:cs="Arial"/>
                <w:color w:val="1F1F1F"/>
                <w:sz w:val="22"/>
                <w:szCs w:val="22"/>
              </w:rPr>
              <w:t>Blends quantitative and qualitative data to unpack the multi-layered factors preventing populations from utilizing digital services.</w:t>
            </w:r>
          </w:p>
        </w:tc>
        <w:tc>
          <w:tcPr>
            <w:tcW w:w="1530" w:type="dxa"/>
            <w:hideMark/>
          </w:tcPr>
          <w:p w14:paraId="68774D46"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Rigorous mixed-methods approach; very current analysis of digital divides.</w:t>
            </w:r>
          </w:p>
        </w:tc>
        <w:tc>
          <w:tcPr>
            <w:tcW w:w="2924" w:type="dxa"/>
            <w:hideMark/>
          </w:tcPr>
          <w:p w14:paraId="43DC688C" w14:textId="77777777" w:rsidR="00E76F6F" w:rsidRDefault="00E76F6F">
            <w:pPr>
              <w:pStyle w:val="NormalWeb"/>
              <w:spacing w:before="120" w:beforeAutospacing="0" w:after="120" w:afterAutospacing="0" w:line="0" w:lineRule="atLeast"/>
            </w:pPr>
            <w:hyperlink r:id="rId74" w:history="1">
              <w:r>
                <w:rPr>
                  <w:rStyle w:val="Hyperlink"/>
                  <w:rFonts w:eastAsia="Calibri Light" w:cs="Arial"/>
                  <w:color w:val="000000"/>
                  <w:sz w:val="22"/>
                  <w:szCs w:val="22"/>
                </w:rPr>
                <w:t>https://doi.org/10.1080/0144929x.2024.2368087</w:t>
              </w:r>
            </w:hyperlink>
          </w:p>
        </w:tc>
      </w:tr>
      <w:tr w:rsidR="00E76F6F" w14:paraId="60499138" w14:textId="77777777" w:rsidTr="00F6263A">
        <w:tc>
          <w:tcPr>
            <w:tcW w:w="918" w:type="dxa"/>
            <w:hideMark/>
          </w:tcPr>
          <w:p w14:paraId="12AB88A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59A536B8"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Wang &amp; Luan </w:t>
            </w:r>
            <w:r>
              <w:rPr>
                <w:rFonts w:ascii="Arial" w:hAnsi="Arial" w:cs="Arial"/>
                <w:color w:val="1F1F1F"/>
                <w:sz w:val="22"/>
                <w:szCs w:val="22"/>
              </w:rPr>
              <w:lastRenderedPageBreak/>
              <w:t>(2022)</w:t>
            </w:r>
          </w:p>
        </w:tc>
        <w:tc>
          <w:tcPr>
            <w:tcW w:w="1350" w:type="dxa"/>
            <w:hideMark/>
          </w:tcPr>
          <w:p w14:paraId="32310D75"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Research progress </w:t>
            </w:r>
            <w:r>
              <w:rPr>
                <w:rFonts w:ascii="Arial" w:hAnsi="Arial" w:cs="Arial"/>
                <w:color w:val="1F1F1F"/>
                <w:sz w:val="22"/>
                <w:szCs w:val="22"/>
              </w:rPr>
              <w:lastRenderedPageBreak/>
              <w:t>on digital health literacy of older adults: A scoping review</w:t>
            </w:r>
          </w:p>
        </w:tc>
        <w:tc>
          <w:tcPr>
            <w:tcW w:w="1440" w:type="dxa"/>
            <w:hideMark/>
          </w:tcPr>
          <w:p w14:paraId="1EDE08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Evaluates the global </w:t>
            </w:r>
            <w:r>
              <w:rPr>
                <w:rFonts w:ascii="Arial" w:hAnsi="Arial" w:cs="Arial"/>
                <w:color w:val="1F1F1F"/>
                <w:sz w:val="22"/>
                <w:szCs w:val="22"/>
              </w:rPr>
              <w:lastRenderedPageBreak/>
              <w:t>research landscape regarding older adults' ability to find, understand, and apply digital health information.</w:t>
            </w:r>
          </w:p>
        </w:tc>
        <w:tc>
          <w:tcPr>
            <w:tcW w:w="1530" w:type="dxa"/>
            <w:hideMark/>
          </w:tcPr>
          <w:p w14:paraId="46F7713B"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 xml:space="preserve">Broad scoping </w:t>
            </w:r>
            <w:r>
              <w:rPr>
                <w:rFonts w:ascii="Arial" w:hAnsi="Arial" w:cs="Arial"/>
                <w:color w:val="1F1F1F"/>
                <w:sz w:val="22"/>
                <w:szCs w:val="22"/>
              </w:rPr>
              <w:lastRenderedPageBreak/>
              <w:t>methodology; verifies literacy as a primary access barrier.</w:t>
            </w:r>
          </w:p>
        </w:tc>
        <w:tc>
          <w:tcPr>
            <w:tcW w:w="2924" w:type="dxa"/>
            <w:hideMark/>
          </w:tcPr>
          <w:p w14:paraId="1DBFC086" w14:textId="77777777" w:rsidR="00E76F6F" w:rsidRDefault="00E76F6F">
            <w:pPr>
              <w:pStyle w:val="NormalWeb"/>
              <w:spacing w:before="120" w:beforeAutospacing="0" w:after="120" w:afterAutospacing="0" w:line="0" w:lineRule="atLeast"/>
            </w:pPr>
            <w:hyperlink r:id="rId75" w:history="1">
              <w:r>
                <w:rPr>
                  <w:rStyle w:val="Hyperlink"/>
                  <w:rFonts w:eastAsia="Calibri Light" w:cs="Arial"/>
                  <w:color w:val="000000"/>
                  <w:sz w:val="22"/>
                  <w:szCs w:val="22"/>
                </w:rPr>
                <w:t>https://doi.org/10.3389/fpubh.</w:t>
              </w:r>
              <w:r>
                <w:rPr>
                  <w:rStyle w:val="Hyperlink"/>
                  <w:rFonts w:eastAsia="Calibri Light" w:cs="Arial"/>
                  <w:color w:val="000000"/>
                  <w:sz w:val="22"/>
                  <w:szCs w:val="22"/>
                </w:rPr>
                <w:lastRenderedPageBreak/>
                <w:t>2022.906089</w:t>
              </w:r>
            </w:hyperlink>
          </w:p>
        </w:tc>
      </w:tr>
      <w:tr w:rsidR="00E76F6F" w14:paraId="60015B7B" w14:textId="77777777" w:rsidTr="00F6263A">
        <w:tc>
          <w:tcPr>
            <w:tcW w:w="918" w:type="dxa"/>
            <w:hideMark/>
          </w:tcPr>
          <w:p w14:paraId="015508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Yes</w:t>
            </w:r>
          </w:p>
        </w:tc>
        <w:tc>
          <w:tcPr>
            <w:tcW w:w="1080" w:type="dxa"/>
            <w:hideMark/>
          </w:tcPr>
          <w:p w14:paraId="3636090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Woolley et al. (2023)</w:t>
            </w:r>
          </w:p>
        </w:tc>
        <w:tc>
          <w:tcPr>
            <w:tcW w:w="1350" w:type="dxa"/>
            <w:hideMark/>
          </w:tcPr>
          <w:p w14:paraId="52060CEB" w14:textId="77777777" w:rsidR="00E76F6F" w:rsidRDefault="00E76F6F">
            <w:pPr>
              <w:pStyle w:val="NormalWeb"/>
              <w:spacing w:before="120" w:beforeAutospacing="0" w:after="120" w:afterAutospacing="0" w:line="0" w:lineRule="atLeast"/>
            </w:pPr>
            <w:r>
              <w:rPr>
                <w:rFonts w:ascii="Arial" w:hAnsi="Arial" w:cs="Arial"/>
                <w:color w:val="1F1F1F"/>
                <w:sz w:val="22"/>
                <w:szCs w:val="22"/>
              </w:rPr>
              <w:t>Mapping Inequities in Digital Health Technology Within the World Health Organization’s European Region</w:t>
            </w:r>
          </w:p>
        </w:tc>
        <w:tc>
          <w:tcPr>
            <w:tcW w:w="1440" w:type="dxa"/>
            <w:hideMark/>
          </w:tcPr>
          <w:p w14:paraId="4D2A6677"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Highlights how digital technology rollout across the UK and Europe heavily excludes lower socioeconomic and older demographics.</w:t>
            </w:r>
          </w:p>
        </w:tc>
        <w:tc>
          <w:tcPr>
            <w:tcW w:w="1530" w:type="dxa"/>
            <w:hideMark/>
          </w:tcPr>
          <w:p w14:paraId="6EA9CDED" w14:textId="77777777" w:rsidR="00E76F6F" w:rsidRDefault="00E76F6F">
            <w:pPr>
              <w:pStyle w:val="NormalWeb"/>
              <w:spacing w:before="120" w:beforeAutospacing="0" w:after="120" w:afterAutospacing="0" w:line="0" w:lineRule="atLeast"/>
            </w:pPr>
            <w:r>
              <w:rPr>
                <w:rFonts w:ascii="Arial" w:hAnsi="Arial" w:cs="Arial"/>
                <w:color w:val="1F1F1F"/>
                <w:sz w:val="22"/>
                <w:szCs w:val="22"/>
              </w:rPr>
              <w:t>High geographic relevance; strong structural analysis of systemic exclusion.</w:t>
            </w:r>
          </w:p>
        </w:tc>
        <w:tc>
          <w:tcPr>
            <w:tcW w:w="2924" w:type="dxa"/>
            <w:hideMark/>
          </w:tcPr>
          <w:p w14:paraId="034DF01E" w14:textId="77777777" w:rsidR="00E76F6F" w:rsidRDefault="00E76F6F">
            <w:pPr>
              <w:pStyle w:val="NormalWeb"/>
              <w:spacing w:before="120" w:beforeAutospacing="0" w:after="120" w:afterAutospacing="0" w:line="0" w:lineRule="atLeast"/>
            </w:pPr>
            <w:hyperlink r:id="rId76" w:history="1">
              <w:r>
                <w:rPr>
                  <w:rStyle w:val="Hyperlink"/>
                  <w:rFonts w:eastAsia="Calibri Light" w:cs="Arial"/>
                  <w:color w:val="000000"/>
                  <w:sz w:val="22"/>
                  <w:szCs w:val="22"/>
                </w:rPr>
                <w:t>https://doi.org/10.2196/44181</w:t>
              </w:r>
            </w:hyperlink>
          </w:p>
        </w:tc>
      </w:tr>
      <w:tr w:rsidR="00E76F6F" w14:paraId="1068F6A3" w14:textId="77777777" w:rsidTr="00F6263A">
        <w:tc>
          <w:tcPr>
            <w:tcW w:w="918" w:type="dxa"/>
            <w:hideMark/>
          </w:tcPr>
          <w:p w14:paraId="2F1F5A7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0DDB34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Watkinson et al. (2021)</w:t>
            </w:r>
          </w:p>
        </w:tc>
        <w:tc>
          <w:tcPr>
            <w:tcW w:w="1350" w:type="dxa"/>
            <w:hideMark/>
          </w:tcPr>
          <w:p w14:paraId="3434CD1E" w14:textId="77777777" w:rsidR="00E76F6F" w:rsidRDefault="00E76F6F">
            <w:pPr>
              <w:pStyle w:val="NormalWeb"/>
              <w:spacing w:before="120" w:beforeAutospacing="0" w:after="120" w:afterAutospacing="0" w:line="0" w:lineRule="atLeast"/>
            </w:pPr>
            <w:r>
              <w:rPr>
                <w:rFonts w:ascii="Arial" w:hAnsi="Arial" w:cs="Arial"/>
                <w:color w:val="1F1F1F"/>
                <w:sz w:val="22"/>
                <w:szCs w:val="22"/>
              </w:rPr>
              <w:t>Ethnic inequalities in health-related quality of life among older adults in England</w:t>
            </w:r>
          </w:p>
        </w:tc>
        <w:tc>
          <w:tcPr>
            <w:tcW w:w="1440" w:type="dxa"/>
            <w:hideMark/>
          </w:tcPr>
          <w:p w14:paraId="68ADD58F" w14:textId="77777777" w:rsidR="00E76F6F" w:rsidRDefault="00E76F6F">
            <w:pPr>
              <w:pStyle w:val="NormalWeb"/>
              <w:spacing w:before="120" w:beforeAutospacing="0" w:after="120" w:afterAutospacing="0" w:line="0" w:lineRule="atLeast"/>
            </w:pPr>
            <w:r>
              <w:rPr>
                <w:rFonts w:ascii="Arial" w:hAnsi="Arial" w:cs="Arial"/>
                <w:color w:val="1F1F1F"/>
                <w:sz w:val="22"/>
                <w:szCs w:val="22"/>
              </w:rPr>
              <w:t>Secondary analysis of a national survey confirming that older ethnic minority adults experience worse health-related quality of life.</w:t>
            </w:r>
          </w:p>
        </w:tc>
        <w:tc>
          <w:tcPr>
            <w:tcW w:w="1530" w:type="dxa"/>
            <w:hideMark/>
          </w:tcPr>
          <w:p w14:paraId="6FE6AABC" w14:textId="77777777" w:rsidR="00E76F6F" w:rsidRDefault="00E76F6F">
            <w:pPr>
              <w:pStyle w:val="NormalWeb"/>
              <w:spacing w:before="120" w:beforeAutospacing="0" w:after="120" w:afterAutospacing="0" w:line="0" w:lineRule="atLeast"/>
            </w:pPr>
            <w:r>
              <w:rPr>
                <w:rFonts w:ascii="Arial" w:hAnsi="Arial" w:cs="Arial"/>
                <w:color w:val="1F1F1F"/>
                <w:sz w:val="22"/>
                <w:szCs w:val="22"/>
              </w:rPr>
              <w:t>Robust national data (</w:t>
            </w:r>
            <w:r>
              <w:rPr>
                <w:rFonts w:ascii="Arial" w:hAnsi="Arial" w:cs="Arial"/>
                <w:i/>
                <w:iCs/>
                <w:color w:val="1F1F1F"/>
                <w:sz w:val="22"/>
                <w:szCs w:val="22"/>
              </w:rPr>
              <w:t>The Lancet Public Health</w:t>
            </w:r>
            <w:r>
              <w:rPr>
                <w:rFonts w:ascii="Arial" w:hAnsi="Arial" w:cs="Arial"/>
                <w:color w:val="1F1F1F"/>
                <w:sz w:val="22"/>
                <w:szCs w:val="22"/>
              </w:rPr>
              <w:t>); essential demographic validation.</w:t>
            </w:r>
          </w:p>
        </w:tc>
        <w:tc>
          <w:tcPr>
            <w:tcW w:w="2924" w:type="dxa"/>
            <w:hideMark/>
          </w:tcPr>
          <w:p w14:paraId="7F30DBB0" w14:textId="77777777" w:rsidR="00E76F6F" w:rsidRDefault="00E76F6F">
            <w:pPr>
              <w:pStyle w:val="NormalWeb"/>
              <w:spacing w:before="120" w:beforeAutospacing="0" w:after="120" w:afterAutospacing="0" w:line="0" w:lineRule="atLeast"/>
            </w:pPr>
            <w:hyperlink r:id="rId77" w:history="1">
              <w:r>
                <w:rPr>
                  <w:rStyle w:val="Hyperlink"/>
                  <w:rFonts w:eastAsia="Calibri Light" w:cs="Arial"/>
                  <w:color w:val="000000"/>
                  <w:sz w:val="22"/>
                  <w:szCs w:val="22"/>
                </w:rPr>
                <w:t>https://doi.org/10.1016/s2468-2667(20)30287-5</w:t>
              </w:r>
            </w:hyperlink>
          </w:p>
        </w:tc>
      </w:tr>
      <w:tr w:rsidR="00E76F6F" w14:paraId="378C33D3" w14:textId="77777777" w:rsidTr="00F6263A">
        <w:tc>
          <w:tcPr>
            <w:tcW w:w="918" w:type="dxa"/>
            <w:hideMark/>
          </w:tcPr>
          <w:p w14:paraId="25CA7CE5" w14:textId="77777777" w:rsidR="00E76F6F" w:rsidRDefault="00E76F6F">
            <w:pPr>
              <w:pStyle w:val="NormalWeb"/>
              <w:spacing w:before="120" w:beforeAutospacing="0" w:after="120" w:afterAutospacing="0" w:line="0" w:lineRule="atLeast"/>
            </w:pPr>
            <w:r>
              <w:rPr>
                <w:rFonts w:ascii="Arial" w:hAnsi="Arial" w:cs="Arial"/>
                <w:color w:val="1F1F1F"/>
                <w:sz w:val="22"/>
                <w:szCs w:val="22"/>
              </w:rPr>
              <w:t>Yes</w:t>
            </w:r>
          </w:p>
        </w:tc>
        <w:tc>
          <w:tcPr>
            <w:tcW w:w="1080" w:type="dxa"/>
            <w:hideMark/>
          </w:tcPr>
          <w:p w14:paraId="64262113" w14:textId="77777777" w:rsidR="00E76F6F" w:rsidRDefault="00E76F6F">
            <w:pPr>
              <w:pStyle w:val="NormalWeb"/>
              <w:spacing w:before="120" w:beforeAutospacing="0" w:after="120" w:afterAutospacing="0" w:line="0" w:lineRule="atLeast"/>
            </w:pPr>
            <w:r>
              <w:rPr>
                <w:rFonts w:ascii="Arial" w:hAnsi="Arial" w:cs="Arial"/>
                <w:color w:val="1F1F1F"/>
                <w:sz w:val="22"/>
                <w:szCs w:val="22"/>
              </w:rPr>
              <w:t>Zhong (2025)</w:t>
            </w:r>
          </w:p>
        </w:tc>
        <w:tc>
          <w:tcPr>
            <w:tcW w:w="1350" w:type="dxa"/>
            <w:hideMark/>
          </w:tcPr>
          <w:p w14:paraId="25CFC579" w14:textId="77777777" w:rsidR="00E76F6F" w:rsidRDefault="00E76F6F">
            <w:pPr>
              <w:pStyle w:val="NormalWeb"/>
              <w:spacing w:before="120" w:beforeAutospacing="0" w:after="120" w:afterAutospacing="0" w:line="0" w:lineRule="atLeast"/>
            </w:pPr>
            <w:r>
              <w:rPr>
                <w:rFonts w:ascii="Arial" w:hAnsi="Arial" w:cs="Arial"/>
                <w:color w:val="1F1F1F"/>
                <w:sz w:val="22"/>
                <w:szCs w:val="22"/>
              </w:rPr>
              <w:t>Digital exclusion and loneliness in older people: panel data analysis</w:t>
            </w:r>
          </w:p>
        </w:tc>
        <w:tc>
          <w:tcPr>
            <w:tcW w:w="1440" w:type="dxa"/>
            <w:hideMark/>
          </w:tcPr>
          <w:p w14:paraId="2ED77831" w14:textId="77777777" w:rsidR="00E76F6F" w:rsidRDefault="00E76F6F">
            <w:pPr>
              <w:pStyle w:val="NormalWeb"/>
              <w:spacing w:before="120" w:beforeAutospacing="0" w:after="120" w:afterAutospacing="0" w:line="0" w:lineRule="atLeast"/>
            </w:pPr>
            <w:r>
              <w:rPr>
                <w:rFonts w:ascii="Arial" w:hAnsi="Arial" w:cs="Arial"/>
                <w:color w:val="1F1F1F"/>
                <w:sz w:val="22"/>
                <w:szCs w:val="22"/>
              </w:rPr>
              <w:t xml:space="preserve">Uses panel data to confirm that lack of internet access directly exacerbates feelings of severe loneliness in </w:t>
            </w:r>
            <w:r>
              <w:rPr>
                <w:rFonts w:ascii="Arial" w:hAnsi="Arial" w:cs="Arial"/>
                <w:color w:val="1F1F1F"/>
                <w:sz w:val="22"/>
                <w:szCs w:val="22"/>
              </w:rPr>
              <w:lastRenderedPageBreak/>
              <w:t>older populations.</w:t>
            </w:r>
          </w:p>
        </w:tc>
        <w:tc>
          <w:tcPr>
            <w:tcW w:w="1530" w:type="dxa"/>
            <w:hideMark/>
          </w:tcPr>
          <w:p w14:paraId="1B2AC359" w14:textId="77777777" w:rsidR="00E76F6F" w:rsidRDefault="00E76F6F">
            <w:pPr>
              <w:pStyle w:val="NormalWeb"/>
              <w:spacing w:before="120" w:beforeAutospacing="0" w:after="120" w:afterAutospacing="0" w:line="0" w:lineRule="atLeast"/>
            </w:pPr>
            <w:r>
              <w:rPr>
                <w:rFonts w:ascii="Arial" w:hAnsi="Arial" w:cs="Arial"/>
                <w:color w:val="1F1F1F"/>
                <w:sz w:val="22"/>
                <w:szCs w:val="22"/>
              </w:rPr>
              <w:lastRenderedPageBreak/>
              <w:t>Strong quantitative linkage between digital deficits and psychosocial decline.</w:t>
            </w:r>
          </w:p>
        </w:tc>
        <w:tc>
          <w:tcPr>
            <w:tcW w:w="2924" w:type="dxa"/>
            <w:hideMark/>
          </w:tcPr>
          <w:p w14:paraId="5294F51D" w14:textId="77777777" w:rsidR="00E76F6F" w:rsidRDefault="00E76F6F">
            <w:pPr>
              <w:pStyle w:val="NormalWeb"/>
              <w:spacing w:before="120" w:beforeAutospacing="0" w:after="120" w:afterAutospacing="0" w:line="0" w:lineRule="atLeast"/>
            </w:pPr>
            <w:hyperlink r:id="rId78" w:history="1">
              <w:r>
                <w:rPr>
                  <w:rStyle w:val="Hyperlink"/>
                  <w:rFonts w:eastAsia="Calibri Light" w:cs="Arial"/>
                  <w:color w:val="000000"/>
                  <w:sz w:val="22"/>
                  <w:szCs w:val="22"/>
                </w:rPr>
                <w:t>https://pmc.ncbi.nlm.nih.gov/articles/PMC12379439/</w:t>
              </w:r>
            </w:hyperlink>
          </w:p>
        </w:tc>
      </w:tr>
    </w:tbl>
    <w:p w14:paraId="2BE9E8ED" w14:textId="77777777" w:rsidR="00E76F6F" w:rsidRPr="00FA2D6F" w:rsidRDefault="00E76F6F" w:rsidP="00D64727">
      <w:pPr>
        <w:pStyle w:val="Heading1"/>
        <w:numPr>
          <w:ilvl w:val="0"/>
          <w:numId w:val="0"/>
        </w:numPr>
        <w:spacing w:line="360" w:lineRule="auto"/>
        <w:jc w:val="both"/>
      </w:pPr>
    </w:p>
    <w:p w14:paraId="52B9C160" w14:textId="356500B4" w:rsidR="00EF135B" w:rsidRPr="00FA2D6F" w:rsidRDefault="00EF135B" w:rsidP="00750D5B">
      <w:pPr>
        <w:pStyle w:val="Heading2"/>
        <w:rPr>
          <w:rFonts w:cs="Arial"/>
          <w:szCs w:val="24"/>
        </w:rPr>
      </w:pPr>
      <w:bookmarkStart w:id="83" w:name="_Toc241246341"/>
      <w:r w:rsidRPr="00FA2D6F">
        <w:rPr>
          <w:rFonts w:cs="Arial"/>
          <w:szCs w:val="24"/>
        </w:rPr>
        <w:t>Appendix B: BMHP6020 Independent Project Results Summary Table</w:t>
      </w:r>
      <w:bookmarkEnd w:id="83"/>
    </w:p>
    <w:tbl>
      <w:tblPr>
        <w:tblStyle w:val="TableGrid"/>
        <w:tblW w:w="0" w:type="auto"/>
        <w:tblLayout w:type="fixed"/>
        <w:tblLook w:val="04A0" w:firstRow="1" w:lastRow="0" w:firstColumn="1" w:lastColumn="0" w:noHBand="0" w:noVBand="1"/>
      </w:tblPr>
      <w:tblGrid>
        <w:gridCol w:w="953"/>
        <w:gridCol w:w="1105"/>
        <w:gridCol w:w="1042"/>
        <w:gridCol w:w="1409"/>
        <w:gridCol w:w="1078"/>
        <w:gridCol w:w="1271"/>
        <w:gridCol w:w="1342"/>
        <w:gridCol w:w="1042"/>
      </w:tblGrid>
      <w:tr w:rsidR="00750D5B" w:rsidRPr="00FA2D6F" w14:paraId="43DCDB25" w14:textId="77777777" w:rsidTr="00332080">
        <w:tc>
          <w:tcPr>
            <w:tcW w:w="953" w:type="dxa"/>
          </w:tcPr>
          <w:p w14:paraId="5600B707" w14:textId="77777777" w:rsidR="0067499F" w:rsidRPr="00FA2D6F" w:rsidRDefault="0067499F" w:rsidP="00750D5B">
            <w:pPr>
              <w:rPr>
                <w:rFonts w:cs="Arial"/>
                <w:b/>
                <w:bCs/>
                <w:sz w:val="24"/>
                <w:szCs w:val="24"/>
              </w:rPr>
            </w:pPr>
            <w:r w:rsidRPr="00FA2D6F">
              <w:rPr>
                <w:rFonts w:cs="Arial"/>
                <w:b/>
                <w:bCs/>
                <w:sz w:val="24"/>
                <w:szCs w:val="24"/>
              </w:rPr>
              <w:t>Author &amp; Year</w:t>
            </w:r>
          </w:p>
        </w:tc>
        <w:tc>
          <w:tcPr>
            <w:tcW w:w="1105" w:type="dxa"/>
          </w:tcPr>
          <w:p w14:paraId="747A6EA4" w14:textId="77777777" w:rsidR="0067499F" w:rsidRPr="00FA2D6F" w:rsidRDefault="0067499F" w:rsidP="00750D5B">
            <w:pPr>
              <w:rPr>
                <w:rFonts w:cs="Arial"/>
                <w:b/>
                <w:bCs/>
                <w:sz w:val="24"/>
                <w:szCs w:val="24"/>
              </w:rPr>
            </w:pPr>
            <w:r w:rsidRPr="00FA2D6F">
              <w:rPr>
                <w:rFonts w:cs="Arial"/>
                <w:b/>
                <w:bCs/>
                <w:sz w:val="24"/>
                <w:szCs w:val="24"/>
              </w:rPr>
              <w:t>Article Title</w:t>
            </w:r>
          </w:p>
        </w:tc>
        <w:tc>
          <w:tcPr>
            <w:tcW w:w="1042" w:type="dxa"/>
          </w:tcPr>
          <w:p w14:paraId="17F38763" w14:textId="77777777" w:rsidR="0067499F" w:rsidRPr="00FA2D6F" w:rsidRDefault="0067499F" w:rsidP="00750D5B">
            <w:pPr>
              <w:rPr>
                <w:rFonts w:cs="Arial"/>
                <w:b/>
                <w:bCs/>
                <w:sz w:val="24"/>
                <w:szCs w:val="24"/>
              </w:rPr>
            </w:pPr>
            <w:r w:rsidRPr="00FA2D6F">
              <w:rPr>
                <w:rFonts w:cs="Arial"/>
                <w:b/>
                <w:bCs/>
                <w:sz w:val="24"/>
                <w:szCs w:val="24"/>
              </w:rPr>
              <w:t>Study Type</w:t>
            </w:r>
          </w:p>
        </w:tc>
        <w:tc>
          <w:tcPr>
            <w:tcW w:w="1409" w:type="dxa"/>
          </w:tcPr>
          <w:p w14:paraId="749D938A" w14:textId="77777777" w:rsidR="0067499F" w:rsidRPr="00FA2D6F" w:rsidRDefault="0067499F" w:rsidP="00750D5B">
            <w:pPr>
              <w:rPr>
                <w:rFonts w:cs="Arial"/>
                <w:b/>
                <w:bCs/>
                <w:sz w:val="24"/>
                <w:szCs w:val="24"/>
              </w:rPr>
            </w:pPr>
            <w:r w:rsidRPr="00FA2D6F">
              <w:rPr>
                <w:rFonts w:cs="Arial"/>
                <w:b/>
                <w:bCs/>
                <w:sz w:val="24"/>
                <w:szCs w:val="24"/>
              </w:rPr>
              <w:t>Method/Sample</w:t>
            </w:r>
          </w:p>
        </w:tc>
        <w:tc>
          <w:tcPr>
            <w:tcW w:w="1078" w:type="dxa"/>
          </w:tcPr>
          <w:p w14:paraId="5C320646" w14:textId="77777777" w:rsidR="0067499F" w:rsidRPr="00FA2D6F" w:rsidRDefault="0067499F" w:rsidP="00750D5B">
            <w:pPr>
              <w:rPr>
                <w:rFonts w:cs="Arial"/>
                <w:b/>
                <w:bCs/>
                <w:sz w:val="24"/>
                <w:szCs w:val="24"/>
              </w:rPr>
            </w:pPr>
            <w:r w:rsidRPr="00FA2D6F">
              <w:rPr>
                <w:rFonts w:cs="Arial"/>
                <w:b/>
                <w:bCs/>
                <w:sz w:val="24"/>
                <w:szCs w:val="24"/>
              </w:rPr>
              <w:t>Strengths &amp; Limitations</w:t>
            </w:r>
          </w:p>
        </w:tc>
        <w:tc>
          <w:tcPr>
            <w:tcW w:w="1271" w:type="dxa"/>
          </w:tcPr>
          <w:p w14:paraId="06279010" w14:textId="77777777" w:rsidR="0067499F" w:rsidRPr="00FA2D6F" w:rsidRDefault="0067499F" w:rsidP="00750D5B">
            <w:pPr>
              <w:rPr>
                <w:rFonts w:cs="Arial"/>
                <w:b/>
                <w:bCs/>
                <w:sz w:val="24"/>
                <w:szCs w:val="24"/>
              </w:rPr>
            </w:pPr>
            <w:r w:rsidRPr="00FA2D6F">
              <w:rPr>
                <w:rFonts w:cs="Arial"/>
                <w:b/>
                <w:bCs/>
                <w:sz w:val="24"/>
                <w:szCs w:val="24"/>
              </w:rPr>
              <w:t>Main Findings</w:t>
            </w:r>
          </w:p>
        </w:tc>
        <w:tc>
          <w:tcPr>
            <w:tcW w:w="1342" w:type="dxa"/>
          </w:tcPr>
          <w:p w14:paraId="36CE671E" w14:textId="77777777" w:rsidR="0067499F" w:rsidRPr="00FA2D6F" w:rsidRDefault="0067499F" w:rsidP="00750D5B">
            <w:pPr>
              <w:rPr>
                <w:rFonts w:cs="Arial"/>
                <w:b/>
                <w:bCs/>
                <w:sz w:val="24"/>
                <w:szCs w:val="24"/>
              </w:rPr>
            </w:pPr>
            <w:r w:rsidRPr="00FA2D6F">
              <w:rPr>
                <w:rFonts w:cs="Arial"/>
                <w:b/>
                <w:bCs/>
                <w:sz w:val="24"/>
                <w:szCs w:val="24"/>
              </w:rPr>
              <w:t>Keywords/Codes</w:t>
            </w:r>
          </w:p>
        </w:tc>
        <w:tc>
          <w:tcPr>
            <w:tcW w:w="1042" w:type="dxa"/>
          </w:tcPr>
          <w:p w14:paraId="2756B14F" w14:textId="77777777" w:rsidR="0067499F" w:rsidRPr="00FA2D6F" w:rsidRDefault="0067499F" w:rsidP="00750D5B">
            <w:pPr>
              <w:rPr>
                <w:rFonts w:cs="Arial"/>
                <w:b/>
                <w:bCs/>
                <w:sz w:val="24"/>
                <w:szCs w:val="24"/>
              </w:rPr>
            </w:pPr>
            <w:r w:rsidRPr="00FA2D6F">
              <w:rPr>
                <w:rFonts w:cs="Arial"/>
                <w:b/>
                <w:bCs/>
                <w:sz w:val="24"/>
                <w:szCs w:val="24"/>
              </w:rPr>
              <w:t>Notes</w:t>
            </w:r>
          </w:p>
        </w:tc>
      </w:tr>
      <w:tr w:rsidR="00750D5B" w:rsidRPr="00FA2D6F" w14:paraId="0632C30D" w14:textId="77777777" w:rsidTr="00332080">
        <w:tc>
          <w:tcPr>
            <w:tcW w:w="953" w:type="dxa"/>
          </w:tcPr>
          <w:p w14:paraId="0AD0042B" w14:textId="77777777" w:rsidR="0067499F" w:rsidRPr="00FA2D6F" w:rsidRDefault="0067499F" w:rsidP="00750D5B">
            <w:pPr>
              <w:rPr>
                <w:rFonts w:cs="Arial"/>
                <w:sz w:val="24"/>
                <w:szCs w:val="24"/>
              </w:rPr>
            </w:pPr>
            <w:r w:rsidRPr="00FA2D6F">
              <w:rPr>
                <w:rFonts w:cs="Arial"/>
                <w:sz w:val="24"/>
                <w:szCs w:val="24"/>
              </w:rPr>
              <w:t>Ahmed et al. (2024)</w:t>
            </w:r>
          </w:p>
        </w:tc>
        <w:tc>
          <w:tcPr>
            <w:tcW w:w="1105" w:type="dxa"/>
          </w:tcPr>
          <w:p w14:paraId="693CA469" w14:textId="067BC70A" w:rsidR="0067499F" w:rsidRPr="00FA2D6F" w:rsidRDefault="0067499F" w:rsidP="00750D5B">
            <w:pPr>
              <w:rPr>
                <w:rFonts w:cs="Arial"/>
                <w:sz w:val="24"/>
                <w:szCs w:val="24"/>
              </w:rPr>
            </w:pPr>
            <w:r w:rsidRPr="00FA2D6F">
              <w:rPr>
                <w:rFonts w:cs="Arial"/>
                <w:sz w:val="24"/>
                <w:szCs w:val="24"/>
              </w:rPr>
              <w:t xml:space="preserve">Experiences and views of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xml:space="preserve"> about digitalisation of primary care services</w:t>
            </w:r>
          </w:p>
        </w:tc>
        <w:tc>
          <w:tcPr>
            <w:tcW w:w="1042" w:type="dxa"/>
          </w:tcPr>
          <w:p w14:paraId="567C323A"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759FABFD"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09960FB6"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5CE563E6" w14:textId="77777777" w:rsidR="0067499F" w:rsidRPr="00FA2D6F" w:rsidRDefault="0067499F" w:rsidP="00750D5B">
            <w:pPr>
              <w:rPr>
                <w:rFonts w:cs="Arial"/>
                <w:sz w:val="24"/>
                <w:szCs w:val="24"/>
              </w:rPr>
            </w:pPr>
            <w:r w:rsidRPr="00FA2D6F">
              <w:rPr>
                <w:rFonts w:cs="Arial"/>
                <w:sz w:val="24"/>
                <w:szCs w:val="24"/>
              </w:rPr>
              <w:t>Qualitative study on older South Asian, Black African and Caribbean adults' experiences of digital primary care. identified barriers and inequalities relevant to healthcare access.</w:t>
            </w:r>
          </w:p>
        </w:tc>
        <w:tc>
          <w:tcPr>
            <w:tcW w:w="1342" w:type="dxa"/>
          </w:tcPr>
          <w:p w14:paraId="673663E4"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2CA30CE7"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7912B534" w14:textId="77777777" w:rsidTr="00332080">
        <w:tc>
          <w:tcPr>
            <w:tcW w:w="953" w:type="dxa"/>
          </w:tcPr>
          <w:p w14:paraId="12B4C41D" w14:textId="77777777" w:rsidR="0067499F" w:rsidRPr="00FA2D6F" w:rsidRDefault="0067499F" w:rsidP="00750D5B">
            <w:pPr>
              <w:rPr>
                <w:rFonts w:cs="Arial"/>
                <w:sz w:val="24"/>
                <w:szCs w:val="24"/>
              </w:rPr>
            </w:pPr>
            <w:r w:rsidRPr="00FA2D6F">
              <w:rPr>
                <w:rFonts w:cs="Arial"/>
                <w:sz w:val="24"/>
                <w:szCs w:val="24"/>
              </w:rPr>
              <w:t xml:space="preserve">Lu et </w:t>
            </w:r>
            <w:r w:rsidRPr="00FA2D6F">
              <w:rPr>
                <w:rFonts w:cs="Arial"/>
                <w:sz w:val="24"/>
                <w:szCs w:val="24"/>
              </w:rPr>
              <w:lastRenderedPageBreak/>
              <w:t>al. (2022)</w:t>
            </w:r>
          </w:p>
        </w:tc>
        <w:tc>
          <w:tcPr>
            <w:tcW w:w="1105" w:type="dxa"/>
          </w:tcPr>
          <w:p w14:paraId="3BD44FD2" w14:textId="77777777" w:rsidR="0067499F" w:rsidRPr="00FA2D6F" w:rsidRDefault="0067499F" w:rsidP="00750D5B">
            <w:pPr>
              <w:rPr>
                <w:rFonts w:cs="Arial"/>
                <w:sz w:val="24"/>
                <w:szCs w:val="24"/>
              </w:rPr>
            </w:pPr>
            <w:r w:rsidRPr="00FA2D6F">
              <w:rPr>
                <w:rFonts w:cs="Arial"/>
                <w:sz w:val="24"/>
                <w:szCs w:val="24"/>
              </w:rPr>
              <w:lastRenderedPageBreak/>
              <w:t xml:space="preserve">Digital </w:t>
            </w:r>
            <w:r w:rsidRPr="00FA2D6F">
              <w:rPr>
                <w:rFonts w:cs="Arial"/>
                <w:sz w:val="24"/>
                <w:szCs w:val="24"/>
              </w:rPr>
              <w:lastRenderedPageBreak/>
              <w:t>Exclusion and functional dependence in older people</w:t>
            </w:r>
          </w:p>
        </w:tc>
        <w:tc>
          <w:tcPr>
            <w:tcW w:w="1042" w:type="dxa"/>
          </w:tcPr>
          <w:p w14:paraId="5B070979" w14:textId="77777777" w:rsidR="0067499F" w:rsidRPr="00FA2D6F" w:rsidRDefault="0067499F" w:rsidP="00750D5B">
            <w:pPr>
              <w:rPr>
                <w:rFonts w:cs="Arial"/>
                <w:sz w:val="24"/>
                <w:szCs w:val="24"/>
              </w:rPr>
            </w:pPr>
            <w:r w:rsidRPr="00FA2D6F">
              <w:rPr>
                <w:rFonts w:cs="Arial"/>
                <w:sz w:val="24"/>
                <w:szCs w:val="24"/>
              </w:rPr>
              <w:lastRenderedPageBreak/>
              <w:t>Literatu</w:t>
            </w:r>
            <w:r w:rsidRPr="00FA2D6F">
              <w:rPr>
                <w:rFonts w:cs="Arial"/>
                <w:sz w:val="24"/>
                <w:szCs w:val="24"/>
              </w:rPr>
              <w:lastRenderedPageBreak/>
              <w:t>re review / qualitative / quantitative</w:t>
            </w:r>
          </w:p>
        </w:tc>
        <w:tc>
          <w:tcPr>
            <w:tcW w:w="1409" w:type="dxa"/>
          </w:tcPr>
          <w:p w14:paraId="38034D29" w14:textId="77777777" w:rsidR="0067499F" w:rsidRPr="00FA2D6F" w:rsidRDefault="0067499F" w:rsidP="00750D5B">
            <w:pPr>
              <w:rPr>
                <w:rFonts w:cs="Arial"/>
                <w:sz w:val="24"/>
                <w:szCs w:val="24"/>
              </w:rPr>
            </w:pPr>
            <w:r w:rsidRPr="00FA2D6F">
              <w:rPr>
                <w:rFonts w:cs="Arial"/>
                <w:sz w:val="24"/>
                <w:szCs w:val="24"/>
              </w:rPr>
              <w:lastRenderedPageBreak/>
              <w:t xml:space="preserve">Published </w:t>
            </w:r>
            <w:r w:rsidRPr="00FA2D6F">
              <w:rPr>
                <w:rFonts w:cs="Arial"/>
                <w:sz w:val="24"/>
                <w:szCs w:val="24"/>
              </w:rPr>
              <w:lastRenderedPageBreak/>
              <w:t>evidence from relevant populations</w:t>
            </w:r>
          </w:p>
        </w:tc>
        <w:tc>
          <w:tcPr>
            <w:tcW w:w="1078" w:type="dxa"/>
          </w:tcPr>
          <w:p w14:paraId="71B3EE71" w14:textId="77777777" w:rsidR="0067499F" w:rsidRPr="00FA2D6F" w:rsidRDefault="0067499F" w:rsidP="00750D5B">
            <w:pPr>
              <w:rPr>
                <w:rFonts w:cs="Arial"/>
                <w:sz w:val="24"/>
                <w:szCs w:val="24"/>
              </w:rPr>
            </w:pPr>
            <w:r w:rsidRPr="00FA2D6F">
              <w:rPr>
                <w:rFonts w:cs="Arial"/>
                <w:sz w:val="24"/>
                <w:szCs w:val="24"/>
              </w:rPr>
              <w:lastRenderedPageBreak/>
              <w:t>Releva</w:t>
            </w:r>
            <w:r w:rsidRPr="00FA2D6F">
              <w:rPr>
                <w:rFonts w:cs="Arial"/>
                <w:sz w:val="24"/>
                <w:szCs w:val="24"/>
              </w:rPr>
              <w:lastRenderedPageBreak/>
              <w:t>nt evidence; limitations depend on study design</w:t>
            </w:r>
          </w:p>
        </w:tc>
        <w:tc>
          <w:tcPr>
            <w:tcW w:w="1271" w:type="dxa"/>
          </w:tcPr>
          <w:p w14:paraId="1ECF4902" w14:textId="715E7370" w:rsidR="0067499F" w:rsidRPr="00FA2D6F" w:rsidRDefault="0067499F" w:rsidP="00750D5B">
            <w:pPr>
              <w:rPr>
                <w:rFonts w:cs="Arial"/>
                <w:sz w:val="24"/>
                <w:szCs w:val="24"/>
              </w:rPr>
            </w:pPr>
            <w:r w:rsidRPr="00FA2D6F">
              <w:rPr>
                <w:rFonts w:cs="Arial"/>
                <w:sz w:val="24"/>
                <w:szCs w:val="24"/>
              </w:rPr>
              <w:lastRenderedPageBreak/>
              <w:t>Longitudi</w:t>
            </w:r>
            <w:r w:rsidRPr="00FA2D6F">
              <w:rPr>
                <w:rFonts w:cs="Arial"/>
                <w:sz w:val="24"/>
                <w:szCs w:val="24"/>
              </w:rPr>
              <w:lastRenderedPageBreak/>
              <w:t xml:space="preserve">nal studies examining digital exclusion and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identified barriers and inequalities relevant to healthcare access.</w:t>
            </w:r>
          </w:p>
        </w:tc>
        <w:tc>
          <w:tcPr>
            <w:tcW w:w="1342" w:type="dxa"/>
          </w:tcPr>
          <w:p w14:paraId="11309132" w14:textId="77777777" w:rsidR="0067499F" w:rsidRPr="00FA2D6F" w:rsidRDefault="0067499F" w:rsidP="00750D5B">
            <w:pPr>
              <w:rPr>
                <w:rFonts w:cs="Arial"/>
                <w:sz w:val="24"/>
                <w:szCs w:val="24"/>
              </w:rPr>
            </w:pPr>
            <w:r w:rsidRPr="00FA2D6F">
              <w:rPr>
                <w:rFonts w:cs="Arial"/>
                <w:sz w:val="24"/>
                <w:szCs w:val="24"/>
              </w:rPr>
              <w:lastRenderedPageBreak/>
              <w:t xml:space="preserve">health </w:t>
            </w:r>
            <w:r w:rsidRPr="00FA2D6F">
              <w:rPr>
                <w:rFonts w:cs="Arial"/>
                <w:sz w:val="24"/>
                <w:szCs w:val="24"/>
              </w:rPr>
              <w:lastRenderedPageBreak/>
              <w:t>inequalities; access; ethnicity</w:t>
            </w:r>
          </w:p>
        </w:tc>
        <w:tc>
          <w:tcPr>
            <w:tcW w:w="1042" w:type="dxa"/>
          </w:tcPr>
          <w:p w14:paraId="0F3ED8E0" w14:textId="77777777" w:rsidR="0067499F" w:rsidRPr="00FA2D6F" w:rsidRDefault="0067499F" w:rsidP="00750D5B">
            <w:pPr>
              <w:rPr>
                <w:rFonts w:cs="Arial"/>
                <w:sz w:val="24"/>
                <w:szCs w:val="24"/>
              </w:rPr>
            </w:pPr>
            <w:r w:rsidRPr="00FA2D6F">
              <w:rPr>
                <w:rFonts w:cs="Arial"/>
                <w:sz w:val="24"/>
                <w:szCs w:val="24"/>
              </w:rPr>
              <w:lastRenderedPageBreak/>
              <w:t>Suppor</w:t>
            </w:r>
            <w:r w:rsidRPr="00FA2D6F">
              <w:rPr>
                <w:rFonts w:cs="Arial"/>
                <w:sz w:val="24"/>
                <w:szCs w:val="24"/>
              </w:rPr>
              <w:lastRenderedPageBreak/>
              <w:t>ts dissertation themes</w:t>
            </w:r>
          </w:p>
        </w:tc>
      </w:tr>
      <w:tr w:rsidR="00750D5B" w:rsidRPr="00FA2D6F" w14:paraId="2E6A91DA" w14:textId="77777777" w:rsidTr="00332080">
        <w:tc>
          <w:tcPr>
            <w:tcW w:w="953" w:type="dxa"/>
          </w:tcPr>
          <w:p w14:paraId="16E285D6" w14:textId="77777777" w:rsidR="0067499F" w:rsidRPr="00FA2D6F" w:rsidRDefault="0067499F" w:rsidP="00750D5B">
            <w:pPr>
              <w:rPr>
                <w:rFonts w:cs="Arial"/>
                <w:sz w:val="24"/>
                <w:szCs w:val="24"/>
              </w:rPr>
            </w:pPr>
            <w:r w:rsidRPr="00FA2D6F">
              <w:rPr>
                <w:rFonts w:cs="Arial"/>
                <w:sz w:val="24"/>
                <w:szCs w:val="24"/>
              </w:rPr>
              <w:lastRenderedPageBreak/>
              <w:t>Jasinski &amp; Bakowska (2021)</w:t>
            </w:r>
          </w:p>
        </w:tc>
        <w:tc>
          <w:tcPr>
            <w:tcW w:w="1105" w:type="dxa"/>
          </w:tcPr>
          <w:p w14:paraId="0B352402" w14:textId="77777777" w:rsidR="0067499F" w:rsidRPr="00FA2D6F" w:rsidRDefault="0067499F" w:rsidP="00750D5B">
            <w:pPr>
              <w:rPr>
                <w:rFonts w:cs="Arial"/>
                <w:sz w:val="24"/>
                <w:szCs w:val="24"/>
              </w:rPr>
            </w:pPr>
            <w:r w:rsidRPr="00FA2D6F">
              <w:rPr>
                <w:rFonts w:cs="Arial"/>
                <w:sz w:val="24"/>
                <w:szCs w:val="24"/>
              </w:rPr>
              <w:t>Are seniors digitally excluded?</w:t>
            </w:r>
          </w:p>
        </w:tc>
        <w:tc>
          <w:tcPr>
            <w:tcW w:w="1042" w:type="dxa"/>
          </w:tcPr>
          <w:p w14:paraId="10B31C39"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424E72BA"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56941000"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0936C651" w14:textId="562BE264" w:rsidR="0067499F" w:rsidRPr="00FA2D6F" w:rsidRDefault="0067499F" w:rsidP="00750D5B">
            <w:pPr>
              <w:rPr>
                <w:rFonts w:cs="Arial"/>
                <w:sz w:val="24"/>
                <w:szCs w:val="24"/>
              </w:rPr>
            </w:pPr>
            <w:r w:rsidRPr="00FA2D6F">
              <w:rPr>
                <w:rFonts w:cs="Arial"/>
                <w:sz w:val="24"/>
                <w:szCs w:val="24"/>
              </w:rPr>
              <w:t xml:space="preserve">Examines information support needs of </w:t>
            </w:r>
            <w:r w:rsidR="00332080" w:rsidRPr="00FA2D6F">
              <w:rPr>
                <w:rFonts w:cs="Arial"/>
                <w:sz w:val="24"/>
                <w:szCs w:val="24"/>
              </w:rPr>
              <w:t>ethnic</w:t>
            </w:r>
            <w:r w:rsidR="0082073D" w:rsidRPr="00FA2D6F">
              <w:rPr>
                <w:rFonts w:cs="Arial"/>
                <w:sz w:val="24"/>
                <w:szCs w:val="24"/>
              </w:rPr>
              <w:t xml:space="preserve"> </w:t>
            </w:r>
            <w:r w:rsidR="00332080" w:rsidRPr="00FA2D6F">
              <w:rPr>
                <w:rFonts w:cs="Arial"/>
                <w:sz w:val="24"/>
                <w:szCs w:val="24"/>
              </w:rPr>
              <w:t>minority</w:t>
            </w:r>
            <w:r w:rsidR="0082073D" w:rsidRPr="00FA2D6F">
              <w:rPr>
                <w:rFonts w:cs="Arial"/>
                <w:sz w:val="24"/>
                <w:szCs w:val="24"/>
              </w:rPr>
              <w:t xml:space="preserve"> adults</w:t>
            </w:r>
            <w:r w:rsidRPr="00FA2D6F">
              <w:rPr>
                <w:rFonts w:cs="Arial"/>
                <w:sz w:val="24"/>
                <w:szCs w:val="24"/>
              </w:rPr>
              <w:t>. identified barriers and inequalities relevant to healthcar</w:t>
            </w:r>
            <w:r w:rsidRPr="00FA2D6F">
              <w:rPr>
                <w:rFonts w:cs="Arial"/>
                <w:sz w:val="24"/>
                <w:szCs w:val="24"/>
              </w:rPr>
              <w:lastRenderedPageBreak/>
              <w:t>e access.</w:t>
            </w:r>
          </w:p>
        </w:tc>
        <w:tc>
          <w:tcPr>
            <w:tcW w:w="1342" w:type="dxa"/>
          </w:tcPr>
          <w:p w14:paraId="1562BDA3" w14:textId="77777777" w:rsidR="0067499F" w:rsidRPr="00FA2D6F" w:rsidRDefault="0067499F" w:rsidP="00750D5B">
            <w:pPr>
              <w:rPr>
                <w:rFonts w:cs="Arial"/>
                <w:sz w:val="24"/>
                <w:szCs w:val="24"/>
              </w:rPr>
            </w:pPr>
            <w:r w:rsidRPr="00FA2D6F">
              <w:rPr>
                <w:rFonts w:cs="Arial"/>
                <w:sz w:val="24"/>
                <w:szCs w:val="24"/>
              </w:rPr>
              <w:lastRenderedPageBreak/>
              <w:t>health inequalities; access; ethnicity</w:t>
            </w:r>
          </w:p>
        </w:tc>
        <w:tc>
          <w:tcPr>
            <w:tcW w:w="1042" w:type="dxa"/>
          </w:tcPr>
          <w:p w14:paraId="0811D023"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01B9EDF7" w14:textId="77777777" w:rsidTr="00332080">
        <w:tc>
          <w:tcPr>
            <w:tcW w:w="953" w:type="dxa"/>
          </w:tcPr>
          <w:p w14:paraId="496A2871" w14:textId="77777777" w:rsidR="0067499F" w:rsidRPr="00FA2D6F" w:rsidRDefault="0067499F" w:rsidP="00750D5B">
            <w:pPr>
              <w:rPr>
                <w:rFonts w:cs="Arial"/>
                <w:sz w:val="24"/>
                <w:szCs w:val="24"/>
              </w:rPr>
            </w:pPr>
            <w:r w:rsidRPr="00FA2D6F">
              <w:rPr>
                <w:rFonts w:cs="Arial"/>
                <w:sz w:val="24"/>
                <w:szCs w:val="24"/>
              </w:rPr>
              <w:t>Litchfield et al. (2021)</w:t>
            </w:r>
          </w:p>
        </w:tc>
        <w:tc>
          <w:tcPr>
            <w:tcW w:w="1105" w:type="dxa"/>
          </w:tcPr>
          <w:p w14:paraId="089E6580" w14:textId="77777777" w:rsidR="0067499F" w:rsidRPr="00FA2D6F" w:rsidRDefault="0067499F" w:rsidP="00750D5B">
            <w:pPr>
              <w:rPr>
                <w:rFonts w:cs="Arial"/>
                <w:sz w:val="24"/>
                <w:szCs w:val="24"/>
              </w:rPr>
            </w:pPr>
            <w:r w:rsidRPr="00FA2D6F">
              <w:rPr>
                <w:rFonts w:cs="Arial"/>
                <w:sz w:val="24"/>
                <w:szCs w:val="24"/>
              </w:rPr>
              <w:t>Impact of COVID-19 on the digital divide</w:t>
            </w:r>
          </w:p>
        </w:tc>
        <w:tc>
          <w:tcPr>
            <w:tcW w:w="1042" w:type="dxa"/>
          </w:tcPr>
          <w:p w14:paraId="3FA888F0"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3F9A23D2"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175D17D1"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69676F4F" w14:textId="77777777" w:rsidR="0067499F" w:rsidRPr="00FA2D6F" w:rsidRDefault="0067499F" w:rsidP="00750D5B">
            <w:pPr>
              <w:rPr>
                <w:rFonts w:cs="Arial"/>
                <w:sz w:val="24"/>
                <w:szCs w:val="24"/>
              </w:rPr>
            </w:pPr>
            <w:r w:rsidRPr="00FA2D6F">
              <w:rPr>
                <w:rFonts w:cs="Arial"/>
                <w:sz w:val="24"/>
                <w:szCs w:val="24"/>
              </w:rPr>
              <w:t>Rapid review of digital inequalities. identified barriers and inequalities relevant to healthcare access.</w:t>
            </w:r>
          </w:p>
        </w:tc>
        <w:tc>
          <w:tcPr>
            <w:tcW w:w="1342" w:type="dxa"/>
          </w:tcPr>
          <w:p w14:paraId="4026275B"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12C098FD" w14:textId="77777777" w:rsidR="0067499F" w:rsidRPr="00FA2D6F" w:rsidRDefault="0067499F" w:rsidP="00750D5B">
            <w:pPr>
              <w:rPr>
                <w:rFonts w:cs="Arial"/>
                <w:sz w:val="24"/>
                <w:szCs w:val="24"/>
              </w:rPr>
            </w:pPr>
            <w:r w:rsidRPr="00FA2D6F">
              <w:rPr>
                <w:rFonts w:cs="Arial"/>
                <w:sz w:val="24"/>
                <w:szCs w:val="24"/>
              </w:rPr>
              <w:t>Supports dissertation themes</w:t>
            </w:r>
          </w:p>
        </w:tc>
      </w:tr>
      <w:tr w:rsidR="00750D5B" w:rsidRPr="00FA2D6F" w14:paraId="2A2307F2" w14:textId="77777777" w:rsidTr="00332080">
        <w:tc>
          <w:tcPr>
            <w:tcW w:w="953" w:type="dxa"/>
          </w:tcPr>
          <w:p w14:paraId="3368214C" w14:textId="77777777" w:rsidR="0067499F" w:rsidRPr="00FA2D6F" w:rsidRDefault="0067499F" w:rsidP="00750D5B">
            <w:pPr>
              <w:rPr>
                <w:rFonts w:cs="Arial"/>
                <w:sz w:val="24"/>
                <w:szCs w:val="24"/>
              </w:rPr>
            </w:pPr>
            <w:r w:rsidRPr="00FA2D6F">
              <w:rPr>
                <w:rFonts w:cs="Arial"/>
                <w:sz w:val="24"/>
                <w:szCs w:val="24"/>
              </w:rPr>
              <w:t>Kapadia (2023)</w:t>
            </w:r>
          </w:p>
        </w:tc>
        <w:tc>
          <w:tcPr>
            <w:tcW w:w="1105" w:type="dxa"/>
          </w:tcPr>
          <w:p w14:paraId="3CD232BB" w14:textId="77777777" w:rsidR="0067499F" w:rsidRPr="00FA2D6F" w:rsidRDefault="0067499F" w:rsidP="00750D5B">
            <w:pPr>
              <w:rPr>
                <w:rFonts w:cs="Arial"/>
                <w:sz w:val="24"/>
                <w:szCs w:val="24"/>
              </w:rPr>
            </w:pPr>
            <w:r w:rsidRPr="00FA2D6F">
              <w:rPr>
                <w:rFonts w:cs="Arial"/>
                <w:sz w:val="24"/>
                <w:szCs w:val="24"/>
              </w:rPr>
              <w:t>Ethnic Inequalities in Healthcare: A Rapid Evidence Review</w:t>
            </w:r>
          </w:p>
        </w:tc>
        <w:tc>
          <w:tcPr>
            <w:tcW w:w="1042" w:type="dxa"/>
          </w:tcPr>
          <w:p w14:paraId="66F10CC5" w14:textId="77777777" w:rsidR="0067499F" w:rsidRPr="00FA2D6F" w:rsidRDefault="0067499F" w:rsidP="00750D5B">
            <w:pPr>
              <w:rPr>
                <w:rFonts w:cs="Arial"/>
                <w:sz w:val="24"/>
                <w:szCs w:val="24"/>
              </w:rPr>
            </w:pPr>
            <w:r w:rsidRPr="00FA2D6F">
              <w:rPr>
                <w:rFonts w:cs="Arial"/>
                <w:sz w:val="24"/>
                <w:szCs w:val="24"/>
              </w:rPr>
              <w:t>Literature review / qualitative / quantitative</w:t>
            </w:r>
          </w:p>
        </w:tc>
        <w:tc>
          <w:tcPr>
            <w:tcW w:w="1409" w:type="dxa"/>
          </w:tcPr>
          <w:p w14:paraId="4883BD6E" w14:textId="77777777" w:rsidR="0067499F" w:rsidRPr="00FA2D6F" w:rsidRDefault="0067499F" w:rsidP="00750D5B">
            <w:pPr>
              <w:rPr>
                <w:rFonts w:cs="Arial"/>
                <w:sz w:val="24"/>
                <w:szCs w:val="24"/>
              </w:rPr>
            </w:pPr>
            <w:r w:rsidRPr="00FA2D6F">
              <w:rPr>
                <w:rFonts w:cs="Arial"/>
                <w:sz w:val="24"/>
                <w:szCs w:val="24"/>
              </w:rPr>
              <w:t>Published evidence from relevant populations</w:t>
            </w:r>
          </w:p>
        </w:tc>
        <w:tc>
          <w:tcPr>
            <w:tcW w:w="1078" w:type="dxa"/>
          </w:tcPr>
          <w:p w14:paraId="0106F2F7" w14:textId="77777777" w:rsidR="0067499F" w:rsidRPr="00FA2D6F" w:rsidRDefault="0067499F" w:rsidP="00750D5B">
            <w:pPr>
              <w:rPr>
                <w:rFonts w:cs="Arial"/>
                <w:sz w:val="24"/>
                <w:szCs w:val="24"/>
              </w:rPr>
            </w:pPr>
            <w:r w:rsidRPr="00FA2D6F">
              <w:rPr>
                <w:rFonts w:cs="Arial"/>
                <w:sz w:val="24"/>
                <w:szCs w:val="24"/>
              </w:rPr>
              <w:t>Relevant evidence; limitations depend on study design</w:t>
            </w:r>
          </w:p>
        </w:tc>
        <w:tc>
          <w:tcPr>
            <w:tcW w:w="1271" w:type="dxa"/>
          </w:tcPr>
          <w:p w14:paraId="02A3A495" w14:textId="77777777" w:rsidR="0067499F" w:rsidRPr="00FA2D6F" w:rsidRDefault="0067499F" w:rsidP="00750D5B">
            <w:pPr>
              <w:rPr>
                <w:rFonts w:cs="Arial"/>
                <w:sz w:val="24"/>
                <w:szCs w:val="24"/>
              </w:rPr>
            </w:pPr>
            <w:r w:rsidRPr="00FA2D6F">
              <w:rPr>
                <w:rFonts w:cs="Arial"/>
                <w:sz w:val="24"/>
                <w:szCs w:val="24"/>
              </w:rPr>
              <w:t>Reviews ethnic inequalities in UK healthcare. identified barriers and inequalities relevant to healthcare access.</w:t>
            </w:r>
          </w:p>
        </w:tc>
        <w:tc>
          <w:tcPr>
            <w:tcW w:w="1342" w:type="dxa"/>
          </w:tcPr>
          <w:p w14:paraId="5AED9A1B" w14:textId="77777777" w:rsidR="0067499F" w:rsidRPr="00FA2D6F" w:rsidRDefault="0067499F" w:rsidP="00750D5B">
            <w:pPr>
              <w:rPr>
                <w:rFonts w:cs="Arial"/>
                <w:sz w:val="24"/>
                <w:szCs w:val="24"/>
              </w:rPr>
            </w:pPr>
            <w:r w:rsidRPr="00FA2D6F">
              <w:rPr>
                <w:rFonts w:cs="Arial"/>
                <w:sz w:val="24"/>
                <w:szCs w:val="24"/>
              </w:rPr>
              <w:t>health inequalities; access; ethnicity</w:t>
            </w:r>
          </w:p>
        </w:tc>
        <w:tc>
          <w:tcPr>
            <w:tcW w:w="1042" w:type="dxa"/>
          </w:tcPr>
          <w:p w14:paraId="683DE910" w14:textId="77777777" w:rsidR="0067499F" w:rsidRPr="00FA2D6F" w:rsidRDefault="0067499F" w:rsidP="00750D5B">
            <w:pPr>
              <w:rPr>
                <w:rFonts w:cs="Arial"/>
                <w:sz w:val="24"/>
                <w:szCs w:val="24"/>
              </w:rPr>
            </w:pPr>
            <w:r w:rsidRPr="00FA2D6F">
              <w:rPr>
                <w:rFonts w:cs="Arial"/>
                <w:sz w:val="24"/>
                <w:szCs w:val="24"/>
              </w:rPr>
              <w:t>Supports dissertation themes</w:t>
            </w:r>
          </w:p>
        </w:tc>
      </w:tr>
    </w:tbl>
    <w:p w14:paraId="1C428699" w14:textId="77777777" w:rsidR="00487D83" w:rsidRPr="00FA2D6F" w:rsidRDefault="00487D83" w:rsidP="00750D5B">
      <w:pPr>
        <w:rPr>
          <w:rFonts w:cs="Arial"/>
          <w:sz w:val="24"/>
          <w:szCs w:val="24"/>
        </w:rPr>
      </w:pPr>
    </w:p>
    <w:sectPr w:rsidR="00487D83" w:rsidRPr="00FA2D6F">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46ACE" w14:textId="77777777" w:rsidR="00DB39BC" w:rsidRDefault="00DB39BC" w:rsidP="00211184">
      <w:pPr>
        <w:spacing w:after="0" w:line="240" w:lineRule="auto"/>
      </w:pPr>
      <w:r>
        <w:separator/>
      </w:r>
    </w:p>
  </w:endnote>
  <w:endnote w:type="continuationSeparator" w:id="0">
    <w:p w14:paraId="088C82C2" w14:textId="77777777" w:rsidR="00DB39BC" w:rsidRDefault="00DB39BC"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E76F6F" w:rsidRDefault="00E76F6F">
        <w:pPr>
          <w:pStyle w:val="Footer"/>
          <w:jc w:val="center"/>
        </w:pPr>
        <w:r>
          <w:fldChar w:fldCharType="begin"/>
        </w:r>
        <w:r>
          <w:instrText xml:space="preserve"> PAGE   \* MERGEFORMAT </w:instrText>
        </w:r>
        <w:r>
          <w:fldChar w:fldCharType="separate"/>
        </w:r>
        <w:r w:rsidR="0019321E">
          <w:rPr>
            <w:noProof/>
          </w:rPr>
          <w:t>47</w:t>
        </w:r>
        <w:r>
          <w:rPr>
            <w:noProof/>
          </w:rPr>
          <w:fldChar w:fldCharType="end"/>
        </w:r>
      </w:p>
    </w:sdtContent>
  </w:sdt>
  <w:p w14:paraId="2DC1A861" w14:textId="77777777" w:rsidR="00E76F6F" w:rsidRDefault="00E76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13525" w14:textId="77777777" w:rsidR="00DB39BC" w:rsidRDefault="00DB39BC" w:rsidP="00211184">
      <w:pPr>
        <w:spacing w:after="0" w:line="240" w:lineRule="auto"/>
      </w:pPr>
      <w:r>
        <w:separator/>
      </w:r>
    </w:p>
  </w:footnote>
  <w:footnote w:type="continuationSeparator" w:id="0">
    <w:p w14:paraId="0CE509F6" w14:textId="77777777" w:rsidR="00DB39BC" w:rsidRDefault="00DB39BC"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D1283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85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9415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65AC"/>
    <w:rsid w:val="00007B68"/>
    <w:rsid w:val="00014665"/>
    <w:rsid w:val="000264A2"/>
    <w:rsid w:val="0003715E"/>
    <w:rsid w:val="000400E4"/>
    <w:rsid w:val="000631A0"/>
    <w:rsid w:val="00063B4C"/>
    <w:rsid w:val="000828F2"/>
    <w:rsid w:val="00091764"/>
    <w:rsid w:val="000A546E"/>
    <w:rsid w:val="000B6F34"/>
    <w:rsid w:val="000C3913"/>
    <w:rsid w:val="000D05D8"/>
    <w:rsid w:val="000D0641"/>
    <w:rsid w:val="000D2B00"/>
    <w:rsid w:val="000D4CC6"/>
    <w:rsid w:val="000E4D70"/>
    <w:rsid w:val="00103CBC"/>
    <w:rsid w:val="001057C1"/>
    <w:rsid w:val="00113502"/>
    <w:rsid w:val="001173FB"/>
    <w:rsid w:val="0012668C"/>
    <w:rsid w:val="001601E6"/>
    <w:rsid w:val="00173CE0"/>
    <w:rsid w:val="00186D23"/>
    <w:rsid w:val="0019321E"/>
    <w:rsid w:val="001C3AF6"/>
    <w:rsid w:val="001D1485"/>
    <w:rsid w:val="001F0343"/>
    <w:rsid w:val="001F19A6"/>
    <w:rsid w:val="00211184"/>
    <w:rsid w:val="0021364B"/>
    <w:rsid w:val="00227506"/>
    <w:rsid w:val="002468F4"/>
    <w:rsid w:val="0025020C"/>
    <w:rsid w:val="00253239"/>
    <w:rsid w:val="00256951"/>
    <w:rsid w:val="002753EA"/>
    <w:rsid w:val="002865F5"/>
    <w:rsid w:val="00292A36"/>
    <w:rsid w:val="00294A66"/>
    <w:rsid w:val="002B0D97"/>
    <w:rsid w:val="002B2823"/>
    <w:rsid w:val="002D28E3"/>
    <w:rsid w:val="002D52F1"/>
    <w:rsid w:val="002D64A3"/>
    <w:rsid w:val="002D777D"/>
    <w:rsid w:val="002E3F30"/>
    <w:rsid w:val="002F5E53"/>
    <w:rsid w:val="00310350"/>
    <w:rsid w:val="003112A4"/>
    <w:rsid w:val="00312A5A"/>
    <w:rsid w:val="003135AD"/>
    <w:rsid w:val="0032623F"/>
    <w:rsid w:val="00332080"/>
    <w:rsid w:val="0033781D"/>
    <w:rsid w:val="003810D5"/>
    <w:rsid w:val="00393F39"/>
    <w:rsid w:val="00394C3E"/>
    <w:rsid w:val="003A66FD"/>
    <w:rsid w:val="003B1E32"/>
    <w:rsid w:val="003D05C8"/>
    <w:rsid w:val="003E21B0"/>
    <w:rsid w:val="003E474D"/>
    <w:rsid w:val="003E5C6C"/>
    <w:rsid w:val="003F363D"/>
    <w:rsid w:val="004057D8"/>
    <w:rsid w:val="00461639"/>
    <w:rsid w:val="00471194"/>
    <w:rsid w:val="00477BC2"/>
    <w:rsid w:val="00487D83"/>
    <w:rsid w:val="004A724E"/>
    <w:rsid w:val="004D4021"/>
    <w:rsid w:val="004E35C1"/>
    <w:rsid w:val="004F5630"/>
    <w:rsid w:val="005119DE"/>
    <w:rsid w:val="00523B0E"/>
    <w:rsid w:val="00533134"/>
    <w:rsid w:val="00533FA1"/>
    <w:rsid w:val="00541299"/>
    <w:rsid w:val="005446BF"/>
    <w:rsid w:val="00546071"/>
    <w:rsid w:val="0055147E"/>
    <w:rsid w:val="0055785F"/>
    <w:rsid w:val="00561BC6"/>
    <w:rsid w:val="0059481D"/>
    <w:rsid w:val="005968D5"/>
    <w:rsid w:val="005A0B82"/>
    <w:rsid w:val="005B3EDE"/>
    <w:rsid w:val="005B6E67"/>
    <w:rsid w:val="005B785C"/>
    <w:rsid w:val="005C5E80"/>
    <w:rsid w:val="005D7A1E"/>
    <w:rsid w:val="005E0E06"/>
    <w:rsid w:val="005E1650"/>
    <w:rsid w:val="00604A87"/>
    <w:rsid w:val="00605472"/>
    <w:rsid w:val="006160F3"/>
    <w:rsid w:val="00621776"/>
    <w:rsid w:val="00621872"/>
    <w:rsid w:val="00625967"/>
    <w:rsid w:val="00636D9A"/>
    <w:rsid w:val="00672FB8"/>
    <w:rsid w:val="0067499F"/>
    <w:rsid w:val="006866C8"/>
    <w:rsid w:val="00692238"/>
    <w:rsid w:val="0069237F"/>
    <w:rsid w:val="006A3F0D"/>
    <w:rsid w:val="006A4515"/>
    <w:rsid w:val="006B48D5"/>
    <w:rsid w:val="006B60CF"/>
    <w:rsid w:val="006B68DA"/>
    <w:rsid w:val="006C78AA"/>
    <w:rsid w:val="006D5E9F"/>
    <w:rsid w:val="006D6DBA"/>
    <w:rsid w:val="006E4C35"/>
    <w:rsid w:val="006E7B03"/>
    <w:rsid w:val="006F04D4"/>
    <w:rsid w:val="006F4AB2"/>
    <w:rsid w:val="007063BA"/>
    <w:rsid w:val="00715336"/>
    <w:rsid w:val="00730C3C"/>
    <w:rsid w:val="0073280B"/>
    <w:rsid w:val="00746418"/>
    <w:rsid w:val="00750B5B"/>
    <w:rsid w:val="00750D5B"/>
    <w:rsid w:val="0075704C"/>
    <w:rsid w:val="0077163A"/>
    <w:rsid w:val="007741A3"/>
    <w:rsid w:val="00782716"/>
    <w:rsid w:val="00785752"/>
    <w:rsid w:val="007943D8"/>
    <w:rsid w:val="00794588"/>
    <w:rsid w:val="007A59C8"/>
    <w:rsid w:val="007A5CBE"/>
    <w:rsid w:val="007A68D2"/>
    <w:rsid w:val="007A712E"/>
    <w:rsid w:val="007C1E6D"/>
    <w:rsid w:val="007C246B"/>
    <w:rsid w:val="007C685B"/>
    <w:rsid w:val="007D6848"/>
    <w:rsid w:val="007F7847"/>
    <w:rsid w:val="00801934"/>
    <w:rsid w:val="00804B94"/>
    <w:rsid w:val="00807B11"/>
    <w:rsid w:val="00807FEA"/>
    <w:rsid w:val="0082073D"/>
    <w:rsid w:val="00825A87"/>
    <w:rsid w:val="0082760D"/>
    <w:rsid w:val="0083439F"/>
    <w:rsid w:val="0084367D"/>
    <w:rsid w:val="0084610B"/>
    <w:rsid w:val="00877B0F"/>
    <w:rsid w:val="00880B2D"/>
    <w:rsid w:val="00883AB0"/>
    <w:rsid w:val="00894108"/>
    <w:rsid w:val="008B1DFA"/>
    <w:rsid w:val="008C38C3"/>
    <w:rsid w:val="008D6F0F"/>
    <w:rsid w:val="008E7B2E"/>
    <w:rsid w:val="00901FB9"/>
    <w:rsid w:val="00903A58"/>
    <w:rsid w:val="00916814"/>
    <w:rsid w:val="00947B44"/>
    <w:rsid w:val="00950C38"/>
    <w:rsid w:val="00971BF9"/>
    <w:rsid w:val="00985BF8"/>
    <w:rsid w:val="00985E9B"/>
    <w:rsid w:val="00995444"/>
    <w:rsid w:val="009B2A49"/>
    <w:rsid w:val="009D06C5"/>
    <w:rsid w:val="009D534C"/>
    <w:rsid w:val="009D728C"/>
    <w:rsid w:val="009E5B14"/>
    <w:rsid w:val="00A41238"/>
    <w:rsid w:val="00A90A7A"/>
    <w:rsid w:val="00AA25DC"/>
    <w:rsid w:val="00AA3541"/>
    <w:rsid w:val="00AA437C"/>
    <w:rsid w:val="00AB2C7F"/>
    <w:rsid w:val="00AB78F0"/>
    <w:rsid w:val="00AE3CFC"/>
    <w:rsid w:val="00AF6163"/>
    <w:rsid w:val="00AF7C71"/>
    <w:rsid w:val="00B00152"/>
    <w:rsid w:val="00B01396"/>
    <w:rsid w:val="00B02AE3"/>
    <w:rsid w:val="00B2418B"/>
    <w:rsid w:val="00B26973"/>
    <w:rsid w:val="00B27607"/>
    <w:rsid w:val="00B27E90"/>
    <w:rsid w:val="00B575E2"/>
    <w:rsid w:val="00B61086"/>
    <w:rsid w:val="00B7073C"/>
    <w:rsid w:val="00B75372"/>
    <w:rsid w:val="00B85270"/>
    <w:rsid w:val="00B858A1"/>
    <w:rsid w:val="00B85A21"/>
    <w:rsid w:val="00BB65AC"/>
    <w:rsid w:val="00BB7C89"/>
    <w:rsid w:val="00BC4C2E"/>
    <w:rsid w:val="00BD2909"/>
    <w:rsid w:val="00BE1DBC"/>
    <w:rsid w:val="00BE3915"/>
    <w:rsid w:val="00BE6BDE"/>
    <w:rsid w:val="00C15857"/>
    <w:rsid w:val="00C17A49"/>
    <w:rsid w:val="00C432ED"/>
    <w:rsid w:val="00C63C6C"/>
    <w:rsid w:val="00C76555"/>
    <w:rsid w:val="00C7775F"/>
    <w:rsid w:val="00C90CB5"/>
    <w:rsid w:val="00C91479"/>
    <w:rsid w:val="00C9481D"/>
    <w:rsid w:val="00CA301A"/>
    <w:rsid w:val="00CB3AF6"/>
    <w:rsid w:val="00CB3C13"/>
    <w:rsid w:val="00CD3D70"/>
    <w:rsid w:val="00CD5086"/>
    <w:rsid w:val="00CE3FD1"/>
    <w:rsid w:val="00CE620E"/>
    <w:rsid w:val="00CF1ED5"/>
    <w:rsid w:val="00CF4ED3"/>
    <w:rsid w:val="00D10987"/>
    <w:rsid w:val="00D13A82"/>
    <w:rsid w:val="00D13DB7"/>
    <w:rsid w:val="00D21B58"/>
    <w:rsid w:val="00D33CB2"/>
    <w:rsid w:val="00D37424"/>
    <w:rsid w:val="00D47801"/>
    <w:rsid w:val="00D6162C"/>
    <w:rsid w:val="00D64727"/>
    <w:rsid w:val="00D74D1B"/>
    <w:rsid w:val="00D91754"/>
    <w:rsid w:val="00DB0514"/>
    <w:rsid w:val="00DB39BC"/>
    <w:rsid w:val="00DB71AC"/>
    <w:rsid w:val="00DC00D1"/>
    <w:rsid w:val="00DD02A4"/>
    <w:rsid w:val="00DE1A02"/>
    <w:rsid w:val="00DE63D8"/>
    <w:rsid w:val="00DF7C2C"/>
    <w:rsid w:val="00E042D1"/>
    <w:rsid w:val="00E05C6C"/>
    <w:rsid w:val="00E157E1"/>
    <w:rsid w:val="00E17917"/>
    <w:rsid w:val="00E2182C"/>
    <w:rsid w:val="00E325CF"/>
    <w:rsid w:val="00E3341C"/>
    <w:rsid w:val="00E4000A"/>
    <w:rsid w:val="00E40B0D"/>
    <w:rsid w:val="00E61859"/>
    <w:rsid w:val="00E71420"/>
    <w:rsid w:val="00E72AD0"/>
    <w:rsid w:val="00E76F6F"/>
    <w:rsid w:val="00E94DA0"/>
    <w:rsid w:val="00EA5CC3"/>
    <w:rsid w:val="00EA6B1A"/>
    <w:rsid w:val="00EA7F3D"/>
    <w:rsid w:val="00EB796C"/>
    <w:rsid w:val="00EC4593"/>
    <w:rsid w:val="00EF0A49"/>
    <w:rsid w:val="00EF135B"/>
    <w:rsid w:val="00EF6341"/>
    <w:rsid w:val="00F02271"/>
    <w:rsid w:val="00F0560A"/>
    <w:rsid w:val="00F078D5"/>
    <w:rsid w:val="00F107FF"/>
    <w:rsid w:val="00F150BA"/>
    <w:rsid w:val="00F158D7"/>
    <w:rsid w:val="00F17E0A"/>
    <w:rsid w:val="00F20EE5"/>
    <w:rsid w:val="00F32845"/>
    <w:rsid w:val="00F32AB3"/>
    <w:rsid w:val="00F37EC0"/>
    <w:rsid w:val="00F44833"/>
    <w:rsid w:val="00F544B0"/>
    <w:rsid w:val="00F6263A"/>
    <w:rsid w:val="00F65E37"/>
    <w:rsid w:val="00F67C87"/>
    <w:rsid w:val="00F84C23"/>
    <w:rsid w:val="00F95C75"/>
    <w:rsid w:val="00F969D7"/>
    <w:rsid w:val="00FA2D6F"/>
    <w:rsid w:val="00FA4361"/>
    <w:rsid w:val="00FB116F"/>
    <w:rsid w:val="00FB40B0"/>
    <w:rsid w:val="00FC2619"/>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docId w15:val="{EB5928AE-0A53-4DB1-B618-FCDC7B4E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6E"/>
    <w:pPr>
      <w:spacing w:line="360" w:lineRule="auto"/>
      <w:jc w:val="both"/>
    </w:pPr>
    <w:rPr>
      <w:rFonts w:ascii="Arial" w:hAnsi="Arial"/>
    </w:rPr>
  </w:style>
  <w:style w:type="paragraph" w:styleId="Heading1">
    <w:name w:val="heading 1"/>
    <w:basedOn w:val="Normal"/>
    <w:link w:val="Heading1Char"/>
    <w:uiPriority w:val="1"/>
    <w:qFormat/>
    <w:rsid w:val="00063B4C"/>
    <w:pPr>
      <w:widowControl w:val="0"/>
      <w:numPr>
        <w:numId w:val="1"/>
      </w:numPr>
      <w:autoSpaceDE w:val="0"/>
      <w:autoSpaceDN w:val="0"/>
      <w:spacing w:after="0" w:line="240" w:lineRule="auto"/>
      <w:jc w:val="left"/>
      <w:outlineLvl w:val="0"/>
    </w:pPr>
    <w:rPr>
      <w:rFonts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2D777D"/>
    <w:pPr>
      <w:keepNext/>
      <w:keepLines/>
      <w:numPr>
        <w:ilvl w:val="1"/>
        <w:numId w:val="1"/>
      </w:numPr>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unhideWhenUsed/>
    <w:qFormat/>
    <w:rsid w:val="002D777D"/>
    <w:pPr>
      <w:keepNext/>
      <w:keepLines/>
      <w:numPr>
        <w:ilvl w:val="2"/>
        <w:numId w:val="1"/>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7063B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9176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9176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9176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9176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9176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eastAsia="Calibri Light"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2D777D"/>
    <w:rPr>
      <w:rFonts w:ascii="Aptos" w:eastAsiaTheme="majorEastAsia" w:hAnsi="Aptos" w:cstheme="majorBidi"/>
      <w:b/>
      <w:color w:val="000000" w:themeColor="text1"/>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2D777D"/>
    <w:rPr>
      <w:rFonts w:asciiTheme="majorHAnsi" w:eastAsiaTheme="majorEastAsia" w:hAnsiTheme="majorHAnsi" w:cstheme="majorBidi"/>
      <w:color w:val="000000" w:themeColor="text1"/>
      <w:sz w:val="24"/>
      <w:szCs w:val="24"/>
    </w:rPr>
  </w:style>
  <w:style w:type="character" w:customStyle="1" w:styleId="cursor-pointer">
    <w:name w:val="cursor-pointer"/>
    <w:basedOn w:val="DefaultParagraphFont"/>
    <w:rsid w:val="002D777D"/>
  </w:style>
  <w:style w:type="paragraph" w:styleId="NoSpacing">
    <w:name w:val="No Spacing"/>
    <w:uiPriority w:val="1"/>
    <w:qFormat/>
    <w:rsid w:val="002D777D"/>
    <w:pPr>
      <w:spacing w:after="0" w:line="240" w:lineRule="auto"/>
      <w:jc w:val="both"/>
    </w:pPr>
    <w:rPr>
      <w:rFonts w:ascii="Times New Roman" w:hAnsi="Times New Roman"/>
      <w:color w:val="000000" w:themeColor="text1"/>
      <w:sz w:val="24"/>
      <w:szCs w:val="24"/>
      <w:lang w:eastAsia="en-GB"/>
    </w:rPr>
  </w:style>
  <w:style w:type="paragraph" w:styleId="Caption">
    <w:name w:val="caption"/>
    <w:basedOn w:val="Normal"/>
    <w:next w:val="Normal"/>
    <w:uiPriority w:val="35"/>
    <w:unhideWhenUsed/>
    <w:qFormat/>
    <w:rsid w:val="002D777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01934"/>
    <w:rPr>
      <w:color w:val="954F72" w:themeColor="followedHyperlink"/>
      <w:u w:val="single"/>
    </w:rPr>
  </w:style>
  <w:style w:type="paragraph" w:styleId="TOCHeading">
    <w:name w:val="TOC Heading"/>
    <w:basedOn w:val="Heading1"/>
    <w:next w:val="Normal"/>
    <w:uiPriority w:val="39"/>
    <w:unhideWhenUsed/>
    <w:qFormat/>
    <w:rsid w:val="007C1E6D"/>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7C1E6D"/>
    <w:pPr>
      <w:spacing w:after="100"/>
    </w:pPr>
  </w:style>
  <w:style w:type="paragraph" w:styleId="TOC2">
    <w:name w:val="toc 2"/>
    <w:basedOn w:val="Normal"/>
    <w:next w:val="Normal"/>
    <w:autoRedefine/>
    <w:uiPriority w:val="39"/>
    <w:unhideWhenUsed/>
    <w:rsid w:val="007C1E6D"/>
    <w:pPr>
      <w:spacing w:after="100"/>
      <w:ind w:left="220"/>
    </w:pPr>
  </w:style>
  <w:style w:type="paragraph" w:styleId="TOC3">
    <w:name w:val="toc 3"/>
    <w:basedOn w:val="Normal"/>
    <w:next w:val="Normal"/>
    <w:autoRedefine/>
    <w:uiPriority w:val="39"/>
    <w:unhideWhenUsed/>
    <w:rsid w:val="007C1E6D"/>
    <w:pPr>
      <w:spacing w:after="100"/>
      <w:ind w:left="440"/>
    </w:pPr>
  </w:style>
  <w:style w:type="character" w:styleId="CommentReference">
    <w:name w:val="annotation reference"/>
    <w:basedOn w:val="DefaultParagraphFont"/>
    <w:uiPriority w:val="99"/>
    <w:semiHidden/>
    <w:unhideWhenUsed/>
    <w:rsid w:val="00CD3D70"/>
    <w:rPr>
      <w:sz w:val="16"/>
      <w:szCs w:val="16"/>
    </w:rPr>
  </w:style>
  <w:style w:type="paragraph" w:styleId="CommentText">
    <w:name w:val="annotation text"/>
    <w:basedOn w:val="Normal"/>
    <w:link w:val="CommentTextChar"/>
    <w:uiPriority w:val="99"/>
    <w:semiHidden/>
    <w:unhideWhenUsed/>
    <w:rsid w:val="00CD3D70"/>
    <w:pPr>
      <w:spacing w:line="240" w:lineRule="auto"/>
    </w:pPr>
    <w:rPr>
      <w:sz w:val="20"/>
      <w:szCs w:val="20"/>
    </w:rPr>
  </w:style>
  <w:style w:type="character" w:customStyle="1" w:styleId="CommentTextChar">
    <w:name w:val="Comment Text Char"/>
    <w:basedOn w:val="DefaultParagraphFont"/>
    <w:link w:val="CommentText"/>
    <w:uiPriority w:val="99"/>
    <w:semiHidden/>
    <w:rsid w:val="00CD3D7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D3D70"/>
    <w:rPr>
      <w:b/>
      <w:bCs/>
    </w:rPr>
  </w:style>
  <w:style w:type="character" w:customStyle="1" w:styleId="CommentSubjectChar">
    <w:name w:val="Comment Subject Char"/>
    <w:basedOn w:val="CommentTextChar"/>
    <w:link w:val="CommentSubject"/>
    <w:uiPriority w:val="99"/>
    <w:semiHidden/>
    <w:rsid w:val="00CD3D70"/>
    <w:rPr>
      <w:rFonts w:ascii="Arial" w:hAnsi="Arial"/>
      <w:b/>
      <w:bCs/>
      <w:sz w:val="20"/>
      <w:szCs w:val="20"/>
    </w:rPr>
  </w:style>
  <w:style w:type="paragraph" w:styleId="BalloonText">
    <w:name w:val="Balloon Text"/>
    <w:basedOn w:val="Normal"/>
    <w:link w:val="BalloonTextChar"/>
    <w:uiPriority w:val="99"/>
    <w:semiHidden/>
    <w:unhideWhenUsed/>
    <w:rsid w:val="00CD3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D70"/>
    <w:rPr>
      <w:rFonts w:ascii="Segoe UI" w:hAnsi="Segoe UI" w:cs="Segoe UI"/>
      <w:sz w:val="18"/>
      <w:szCs w:val="18"/>
    </w:rPr>
  </w:style>
  <w:style w:type="character" w:customStyle="1" w:styleId="Heading5Char">
    <w:name w:val="Heading 5 Char"/>
    <w:basedOn w:val="DefaultParagraphFont"/>
    <w:link w:val="Heading5"/>
    <w:uiPriority w:val="9"/>
    <w:semiHidden/>
    <w:rsid w:val="0009176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9176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9176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917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917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57652349">
      <w:bodyDiv w:val="1"/>
      <w:marLeft w:val="0"/>
      <w:marRight w:val="0"/>
      <w:marTop w:val="0"/>
      <w:marBottom w:val="0"/>
      <w:divBdr>
        <w:top w:val="none" w:sz="0" w:space="0" w:color="auto"/>
        <w:left w:val="none" w:sz="0" w:space="0" w:color="auto"/>
        <w:bottom w:val="none" w:sz="0" w:space="0" w:color="auto"/>
        <w:right w:val="none" w:sz="0" w:space="0" w:color="auto"/>
      </w:divBdr>
    </w:div>
    <w:div w:id="474958292">
      <w:bodyDiv w:val="1"/>
      <w:marLeft w:val="0"/>
      <w:marRight w:val="0"/>
      <w:marTop w:val="0"/>
      <w:marBottom w:val="0"/>
      <w:divBdr>
        <w:top w:val="none" w:sz="0" w:space="0" w:color="auto"/>
        <w:left w:val="none" w:sz="0" w:space="0" w:color="auto"/>
        <w:bottom w:val="none" w:sz="0" w:space="0" w:color="auto"/>
        <w:right w:val="none" w:sz="0" w:space="0" w:color="auto"/>
      </w:divBdr>
    </w:div>
    <w:div w:id="483202254">
      <w:bodyDiv w:val="1"/>
      <w:marLeft w:val="0"/>
      <w:marRight w:val="0"/>
      <w:marTop w:val="0"/>
      <w:marBottom w:val="0"/>
      <w:divBdr>
        <w:top w:val="none" w:sz="0" w:space="0" w:color="auto"/>
        <w:left w:val="none" w:sz="0" w:space="0" w:color="auto"/>
        <w:bottom w:val="none" w:sz="0" w:space="0" w:color="auto"/>
        <w:right w:val="none" w:sz="0" w:space="0" w:color="auto"/>
      </w:divBdr>
    </w:div>
    <w:div w:id="484080379">
      <w:bodyDiv w:val="1"/>
      <w:marLeft w:val="0"/>
      <w:marRight w:val="0"/>
      <w:marTop w:val="0"/>
      <w:marBottom w:val="0"/>
      <w:divBdr>
        <w:top w:val="none" w:sz="0" w:space="0" w:color="auto"/>
        <w:left w:val="none" w:sz="0" w:space="0" w:color="auto"/>
        <w:bottom w:val="none" w:sz="0" w:space="0" w:color="auto"/>
        <w:right w:val="none" w:sz="0" w:space="0" w:color="auto"/>
      </w:divBdr>
      <w:divsChild>
        <w:div w:id="1475563032">
          <w:marLeft w:val="0"/>
          <w:marRight w:val="0"/>
          <w:marTop w:val="0"/>
          <w:marBottom w:val="0"/>
          <w:divBdr>
            <w:top w:val="none" w:sz="0" w:space="0" w:color="auto"/>
            <w:left w:val="none" w:sz="0" w:space="0" w:color="auto"/>
            <w:bottom w:val="none" w:sz="0" w:space="0" w:color="auto"/>
            <w:right w:val="none" w:sz="0" w:space="0" w:color="auto"/>
          </w:divBdr>
        </w:div>
        <w:div w:id="491069567">
          <w:marLeft w:val="0"/>
          <w:marRight w:val="0"/>
          <w:marTop w:val="0"/>
          <w:marBottom w:val="0"/>
          <w:divBdr>
            <w:top w:val="none" w:sz="0" w:space="0" w:color="auto"/>
            <w:left w:val="none" w:sz="0" w:space="0" w:color="auto"/>
            <w:bottom w:val="none" w:sz="0" w:space="0" w:color="auto"/>
            <w:right w:val="none" w:sz="0" w:space="0" w:color="auto"/>
          </w:divBdr>
        </w:div>
        <w:div w:id="733115630">
          <w:marLeft w:val="0"/>
          <w:marRight w:val="0"/>
          <w:marTop w:val="0"/>
          <w:marBottom w:val="0"/>
          <w:divBdr>
            <w:top w:val="none" w:sz="0" w:space="0" w:color="auto"/>
            <w:left w:val="none" w:sz="0" w:space="0" w:color="auto"/>
            <w:bottom w:val="none" w:sz="0" w:space="0" w:color="auto"/>
            <w:right w:val="none" w:sz="0" w:space="0" w:color="auto"/>
          </w:divBdr>
        </w:div>
        <w:div w:id="2081708869">
          <w:marLeft w:val="0"/>
          <w:marRight w:val="0"/>
          <w:marTop w:val="0"/>
          <w:marBottom w:val="0"/>
          <w:divBdr>
            <w:top w:val="none" w:sz="0" w:space="0" w:color="auto"/>
            <w:left w:val="none" w:sz="0" w:space="0" w:color="auto"/>
            <w:bottom w:val="none" w:sz="0" w:space="0" w:color="auto"/>
            <w:right w:val="none" w:sz="0" w:space="0" w:color="auto"/>
          </w:divBdr>
        </w:div>
        <w:div w:id="469368839">
          <w:marLeft w:val="0"/>
          <w:marRight w:val="0"/>
          <w:marTop w:val="0"/>
          <w:marBottom w:val="0"/>
          <w:divBdr>
            <w:top w:val="none" w:sz="0" w:space="0" w:color="auto"/>
            <w:left w:val="none" w:sz="0" w:space="0" w:color="auto"/>
            <w:bottom w:val="none" w:sz="0" w:space="0" w:color="auto"/>
            <w:right w:val="none" w:sz="0" w:space="0" w:color="auto"/>
          </w:divBdr>
        </w:div>
        <w:div w:id="514537528">
          <w:marLeft w:val="0"/>
          <w:marRight w:val="0"/>
          <w:marTop w:val="0"/>
          <w:marBottom w:val="0"/>
          <w:divBdr>
            <w:top w:val="none" w:sz="0" w:space="0" w:color="auto"/>
            <w:left w:val="none" w:sz="0" w:space="0" w:color="auto"/>
            <w:bottom w:val="none" w:sz="0" w:space="0" w:color="auto"/>
            <w:right w:val="none" w:sz="0" w:space="0" w:color="auto"/>
          </w:divBdr>
        </w:div>
        <w:div w:id="1289429318">
          <w:marLeft w:val="0"/>
          <w:marRight w:val="0"/>
          <w:marTop w:val="0"/>
          <w:marBottom w:val="0"/>
          <w:divBdr>
            <w:top w:val="none" w:sz="0" w:space="0" w:color="auto"/>
            <w:left w:val="none" w:sz="0" w:space="0" w:color="auto"/>
            <w:bottom w:val="none" w:sz="0" w:space="0" w:color="auto"/>
            <w:right w:val="none" w:sz="0" w:space="0" w:color="auto"/>
          </w:divBdr>
        </w:div>
        <w:div w:id="31270672">
          <w:marLeft w:val="0"/>
          <w:marRight w:val="0"/>
          <w:marTop w:val="0"/>
          <w:marBottom w:val="0"/>
          <w:divBdr>
            <w:top w:val="none" w:sz="0" w:space="0" w:color="auto"/>
            <w:left w:val="none" w:sz="0" w:space="0" w:color="auto"/>
            <w:bottom w:val="none" w:sz="0" w:space="0" w:color="auto"/>
            <w:right w:val="none" w:sz="0" w:space="0" w:color="auto"/>
          </w:divBdr>
        </w:div>
        <w:div w:id="612829934">
          <w:marLeft w:val="0"/>
          <w:marRight w:val="0"/>
          <w:marTop w:val="0"/>
          <w:marBottom w:val="0"/>
          <w:divBdr>
            <w:top w:val="none" w:sz="0" w:space="0" w:color="auto"/>
            <w:left w:val="none" w:sz="0" w:space="0" w:color="auto"/>
            <w:bottom w:val="none" w:sz="0" w:space="0" w:color="auto"/>
            <w:right w:val="none" w:sz="0" w:space="0" w:color="auto"/>
          </w:divBdr>
        </w:div>
        <w:div w:id="1347053063">
          <w:marLeft w:val="0"/>
          <w:marRight w:val="0"/>
          <w:marTop w:val="0"/>
          <w:marBottom w:val="0"/>
          <w:divBdr>
            <w:top w:val="none" w:sz="0" w:space="0" w:color="auto"/>
            <w:left w:val="none" w:sz="0" w:space="0" w:color="auto"/>
            <w:bottom w:val="none" w:sz="0" w:space="0" w:color="auto"/>
            <w:right w:val="none" w:sz="0" w:space="0" w:color="auto"/>
          </w:divBdr>
        </w:div>
        <w:div w:id="1321347889">
          <w:marLeft w:val="0"/>
          <w:marRight w:val="0"/>
          <w:marTop w:val="0"/>
          <w:marBottom w:val="0"/>
          <w:divBdr>
            <w:top w:val="none" w:sz="0" w:space="0" w:color="auto"/>
            <w:left w:val="none" w:sz="0" w:space="0" w:color="auto"/>
            <w:bottom w:val="none" w:sz="0" w:space="0" w:color="auto"/>
            <w:right w:val="none" w:sz="0" w:space="0" w:color="auto"/>
          </w:divBdr>
        </w:div>
        <w:div w:id="2023165229">
          <w:marLeft w:val="0"/>
          <w:marRight w:val="0"/>
          <w:marTop w:val="0"/>
          <w:marBottom w:val="0"/>
          <w:divBdr>
            <w:top w:val="none" w:sz="0" w:space="0" w:color="auto"/>
            <w:left w:val="none" w:sz="0" w:space="0" w:color="auto"/>
            <w:bottom w:val="none" w:sz="0" w:space="0" w:color="auto"/>
            <w:right w:val="none" w:sz="0" w:space="0" w:color="auto"/>
          </w:divBdr>
        </w:div>
        <w:div w:id="1923875852">
          <w:marLeft w:val="0"/>
          <w:marRight w:val="0"/>
          <w:marTop w:val="0"/>
          <w:marBottom w:val="0"/>
          <w:divBdr>
            <w:top w:val="none" w:sz="0" w:space="0" w:color="auto"/>
            <w:left w:val="none" w:sz="0" w:space="0" w:color="auto"/>
            <w:bottom w:val="none" w:sz="0" w:space="0" w:color="auto"/>
            <w:right w:val="none" w:sz="0" w:space="0" w:color="auto"/>
          </w:divBdr>
        </w:div>
        <w:div w:id="1118065638">
          <w:marLeft w:val="0"/>
          <w:marRight w:val="0"/>
          <w:marTop w:val="0"/>
          <w:marBottom w:val="0"/>
          <w:divBdr>
            <w:top w:val="none" w:sz="0" w:space="0" w:color="auto"/>
            <w:left w:val="none" w:sz="0" w:space="0" w:color="auto"/>
            <w:bottom w:val="none" w:sz="0" w:space="0" w:color="auto"/>
            <w:right w:val="none" w:sz="0" w:space="0" w:color="auto"/>
          </w:divBdr>
        </w:div>
        <w:div w:id="774977599">
          <w:marLeft w:val="0"/>
          <w:marRight w:val="0"/>
          <w:marTop w:val="0"/>
          <w:marBottom w:val="0"/>
          <w:divBdr>
            <w:top w:val="none" w:sz="0" w:space="0" w:color="auto"/>
            <w:left w:val="none" w:sz="0" w:space="0" w:color="auto"/>
            <w:bottom w:val="none" w:sz="0" w:space="0" w:color="auto"/>
            <w:right w:val="none" w:sz="0" w:space="0" w:color="auto"/>
          </w:divBdr>
        </w:div>
        <w:div w:id="1373265795">
          <w:marLeft w:val="0"/>
          <w:marRight w:val="0"/>
          <w:marTop w:val="0"/>
          <w:marBottom w:val="0"/>
          <w:divBdr>
            <w:top w:val="none" w:sz="0" w:space="0" w:color="auto"/>
            <w:left w:val="none" w:sz="0" w:space="0" w:color="auto"/>
            <w:bottom w:val="none" w:sz="0" w:space="0" w:color="auto"/>
            <w:right w:val="none" w:sz="0" w:space="0" w:color="auto"/>
          </w:divBdr>
        </w:div>
        <w:div w:id="1054549057">
          <w:marLeft w:val="0"/>
          <w:marRight w:val="0"/>
          <w:marTop w:val="0"/>
          <w:marBottom w:val="0"/>
          <w:divBdr>
            <w:top w:val="none" w:sz="0" w:space="0" w:color="auto"/>
            <w:left w:val="none" w:sz="0" w:space="0" w:color="auto"/>
            <w:bottom w:val="none" w:sz="0" w:space="0" w:color="auto"/>
            <w:right w:val="none" w:sz="0" w:space="0" w:color="auto"/>
          </w:divBdr>
        </w:div>
        <w:div w:id="1858035513">
          <w:marLeft w:val="0"/>
          <w:marRight w:val="0"/>
          <w:marTop w:val="0"/>
          <w:marBottom w:val="0"/>
          <w:divBdr>
            <w:top w:val="none" w:sz="0" w:space="0" w:color="auto"/>
            <w:left w:val="none" w:sz="0" w:space="0" w:color="auto"/>
            <w:bottom w:val="none" w:sz="0" w:space="0" w:color="auto"/>
            <w:right w:val="none" w:sz="0" w:space="0" w:color="auto"/>
          </w:divBdr>
        </w:div>
        <w:div w:id="717582858">
          <w:marLeft w:val="0"/>
          <w:marRight w:val="0"/>
          <w:marTop w:val="0"/>
          <w:marBottom w:val="0"/>
          <w:divBdr>
            <w:top w:val="none" w:sz="0" w:space="0" w:color="auto"/>
            <w:left w:val="none" w:sz="0" w:space="0" w:color="auto"/>
            <w:bottom w:val="none" w:sz="0" w:space="0" w:color="auto"/>
            <w:right w:val="none" w:sz="0" w:space="0" w:color="auto"/>
          </w:divBdr>
        </w:div>
        <w:div w:id="98768158">
          <w:marLeft w:val="0"/>
          <w:marRight w:val="0"/>
          <w:marTop w:val="0"/>
          <w:marBottom w:val="0"/>
          <w:divBdr>
            <w:top w:val="none" w:sz="0" w:space="0" w:color="auto"/>
            <w:left w:val="none" w:sz="0" w:space="0" w:color="auto"/>
            <w:bottom w:val="none" w:sz="0" w:space="0" w:color="auto"/>
            <w:right w:val="none" w:sz="0" w:space="0" w:color="auto"/>
          </w:divBdr>
        </w:div>
        <w:div w:id="1059671305">
          <w:marLeft w:val="0"/>
          <w:marRight w:val="0"/>
          <w:marTop w:val="0"/>
          <w:marBottom w:val="0"/>
          <w:divBdr>
            <w:top w:val="none" w:sz="0" w:space="0" w:color="auto"/>
            <w:left w:val="none" w:sz="0" w:space="0" w:color="auto"/>
            <w:bottom w:val="none" w:sz="0" w:space="0" w:color="auto"/>
            <w:right w:val="none" w:sz="0" w:space="0" w:color="auto"/>
          </w:divBdr>
        </w:div>
        <w:div w:id="1815559631">
          <w:marLeft w:val="0"/>
          <w:marRight w:val="0"/>
          <w:marTop w:val="0"/>
          <w:marBottom w:val="0"/>
          <w:divBdr>
            <w:top w:val="none" w:sz="0" w:space="0" w:color="auto"/>
            <w:left w:val="none" w:sz="0" w:space="0" w:color="auto"/>
            <w:bottom w:val="none" w:sz="0" w:space="0" w:color="auto"/>
            <w:right w:val="none" w:sz="0" w:space="0" w:color="auto"/>
          </w:divBdr>
        </w:div>
        <w:div w:id="1138763642">
          <w:marLeft w:val="0"/>
          <w:marRight w:val="0"/>
          <w:marTop w:val="0"/>
          <w:marBottom w:val="0"/>
          <w:divBdr>
            <w:top w:val="none" w:sz="0" w:space="0" w:color="auto"/>
            <w:left w:val="none" w:sz="0" w:space="0" w:color="auto"/>
            <w:bottom w:val="none" w:sz="0" w:space="0" w:color="auto"/>
            <w:right w:val="none" w:sz="0" w:space="0" w:color="auto"/>
          </w:divBdr>
        </w:div>
        <w:div w:id="376515369">
          <w:marLeft w:val="0"/>
          <w:marRight w:val="0"/>
          <w:marTop w:val="0"/>
          <w:marBottom w:val="0"/>
          <w:divBdr>
            <w:top w:val="none" w:sz="0" w:space="0" w:color="auto"/>
            <w:left w:val="none" w:sz="0" w:space="0" w:color="auto"/>
            <w:bottom w:val="none" w:sz="0" w:space="0" w:color="auto"/>
            <w:right w:val="none" w:sz="0" w:space="0" w:color="auto"/>
          </w:divBdr>
        </w:div>
        <w:div w:id="1676031976">
          <w:marLeft w:val="0"/>
          <w:marRight w:val="0"/>
          <w:marTop w:val="0"/>
          <w:marBottom w:val="0"/>
          <w:divBdr>
            <w:top w:val="none" w:sz="0" w:space="0" w:color="auto"/>
            <w:left w:val="none" w:sz="0" w:space="0" w:color="auto"/>
            <w:bottom w:val="none" w:sz="0" w:space="0" w:color="auto"/>
            <w:right w:val="none" w:sz="0" w:space="0" w:color="auto"/>
          </w:divBdr>
        </w:div>
        <w:div w:id="1333800090">
          <w:marLeft w:val="0"/>
          <w:marRight w:val="0"/>
          <w:marTop w:val="0"/>
          <w:marBottom w:val="0"/>
          <w:divBdr>
            <w:top w:val="none" w:sz="0" w:space="0" w:color="auto"/>
            <w:left w:val="none" w:sz="0" w:space="0" w:color="auto"/>
            <w:bottom w:val="none" w:sz="0" w:space="0" w:color="auto"/>
            <w:right w:val="none" w:sz="0" w:space="0" w:color="auto"/>
          </w:divBdr>
        </w:div>
        <w:div w:id="808864349">
          <w:marLeft w:val="0"/>
          <w:marRight w:val="0"/>
          <w:marTop w:val="0"/>
          <w:marBottom w:val="0"/>
          <w:divBdr>
            <w:top w:val="none" w:sz="0" w:space="0" w:color="auto"/>
            <w:left w:val="none" w:sz="0" w:space="0" w:color="auto"/>
            <w:bottom w:val="none" w:sz="0" w:space="0" w:color="auto"/>
            <w:right w:val="none" w:sz="0" w:space="0" w:color="auto"/>
          </w:divBdr>
        </w:div>
        <w:div w:id="1744329719">
          <w:marLeft w:val="0"/>
          <w:marRight w:val="0"/>
          <w:marTop w:val="0"/>
          <w:marBottom w:val="0"/>
          <w:divBdr>
            <w:top w:val="none" w:sz="0" w:space="0" w:color="auto"/>
            <w:left w:val="none" w:sz="0" w:space="0" w:color="auto"/>
            <w:bottom w:val="none" w:sz="0" w:space="0" w:color="auto"/>
            <w:right w:val="none" w:sz="0" w:space="0" w:color="auto"/>
          </w:divBdr>
        </w:div>
        <w:div w:id="917054551">
          <w:marLeft w:val="0"/>
          <w:marRight w:val="0"/>
          <w:marTop w:val="0"/>
          <w:marBottom w:val="0"/>
          <w:divBdr>
            <w:top w:val="none" w:sz="0" w:space="0" w:color="auto"/>
            <w:left w:val="none" w:sz="0" w:space="0" w:color="auto"/>
            <w:bottom w:val="none" w:sz="0" w:space="0" w:color="auto"/>
            <w:right w:val="none" w:sz="0" w:space="0" w:color="auto"/>
          </w:divBdr>
        </w:div>
        <w:div w:id="1015153881">
          <w:marLeft w:val="0"/>
          <w:marRight w:val="0"/>
          <w:marTop w:val="0"/>
          <w:marBottom w:val="0"/>
          <w:divBdr>
            <w:top w:val="none" w:sz="0" w:space="0" w:color="auto"/>
            <w:left w:val="none" w:sz="0" w:space="0" w:color="auto"/>
            <w:bottom w:val="none" w:sz="0" w:space="0" w:color="auto"/>
            <w:right w:val="none" w:sz="0" w:space="0" w:color="auto"/>
          </w:divBdr>
        </w:div>
        <w:div w:id="157380381">
          <w:marLeft w:val="0"/>
          <w:marRight w:val="0"/>
          <w:marTop w:val="0"/>
          <w:marBottom w:val="0"/>
          <w:divBdr>
            <w:top w:val="none" w:sz="0" w:space="0" w:color="auto"/>
            <w:left w:val="none" w:sz="0" w:space="0" w:color="auto"/>
            <w:bottom w:val="none" w:sz="0" w:space="0" w:color="auto"/>
            <w:right w:val="none" w:sz="0" w:space="0" w:color="auto"/>
          </w:divBdr>
        </w:div>
        <w:div w:id="1700399061">
          <w:marLeft w:val="0"/>
          <w:marRight w:val="0"/>
          <w:marTop w:val="0"/>
          <w:marBottom w:val="0"/>
          <w:divBdr>
            <w:top w:val="none" w:sz="0" w:space="0" w:color="auto"/>
            <w:left w:val="none" w:sz="0" w:space="0" w:color="auto"/>
            <w:bottom w:val="none" w:sz="0" w:space="0" w:color="auto"/>
            <w:right w:val="none" w:sz="0" w:space="0" w:color="auto"/>
          </w:divBdr>
        </w:div>
        <w:div w:id="186720763">
          <w:marLeft w:val="0"/>
          <w:marRight w:val="0"/>
          <w:marTop w:val="0"/>
          <w:marBottom w:val="0"/>
          <w:divBdr>
            <w:top w:val="none" w:sz="0" w:space="0" w:color="auto"/>
            <w:left w:val="none" w:sz="0" w:space="0" w:color="auto"/>
            <w:bottom w:val="none" w:sz="0" w:space="0" w:color="auto"/>
            <w:right w:val="none" w:sz="0" w:space="0" w:color="auto"/>
          </w:divBdr>
        </w:div>
        <w:div w:id="752245662">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511068798">
          <w:marLeft w:val="0"/>
          <w:marRight w:val="0"/>
          <w:marTop w:val="0"/>
          <w:marBottom w:val="0"/>
          <w:divBdr>
            <w:top w:val="none" w:sz="0" w:space="0" w:color="auto"/>
            <w:left w:val="none" w:sz="0" w:space="0" w:color="auto"/>
            <w:bottom w:val="none" w:sz="0" w:space="0" w:color="auto"/>
            <w:right w:val="none" w:sz="0" w:space="0" w:color="auto"/>
          </w:divBdr>
        </w:div>
        <w:div w:id="1737439241">
          <w:marLeft w:val="0"/>
          <w:marRight w:val="0"/>
          <w:marTop w:val="0"/>
          <w:marBottom w:val="0"/>
          <w:divBdr>
            <w:top w:val="none" w:sz="0" w:space="0" w:color="auto"/>
            <w:left w:val="none" w:sz="0" w:space="0" w:color="auto"/>
            <w:bottom w:val="none" w:sz="0" w:space="0" w:color="auto"/>
            <w:right w:val="none" w:sz="0" w:space="0" w:color="auto"/>
          </w:divBdr>
        </w:div>
        <w:div w:id="1506482439">
          <w:marLeft w:val="0"/>
          <w:marRight w:val="0"/>
          <w:marTop w:val="0"/>
          <w:marBottom w:val="0"/>
          <w:divBdr>
            <w:top w:val="none" w:sz="0" w:space="0" w:color="auto"/>
            <w:left w:val="none" w:sz="0" w:space="0" w:color="auto"/>
            <w:bottom w:val="none" w:sz="0" w:space="0" w:color="auto"/>
            <w:right w:val="none" w:sz="0" w:space="0" w:color="auto"/>
          </w:divBdr>
        </w:div>
        <w:div w:id="871920495">
          <w:marLeft w:val="0"/>
          <w:marRight w:val="0"/>
          <w:marTop w:val="0"/>
          <w:marBottom w:val="0"/>
          <w:divBdr>
            <w:top w:val="none" w:sz="0" w:space="0" w:color="auto"/>
            <w:left w:val="none" w:sz="0" w:space="0" w:color="auto"/>
            <w:bottom w:val="none" w:sz="0" w:space="0" w:color="auto"/>
            <w:right w:val="none" w:sz="0" w:space="0" w:color="auto"/>
          </w:divBdr>
        </w:div>
        <w:div w:id="374502863">
          <w:marLeft w:val="0"/>
          <w:marRight w:val="0"/>
          <w:marTop w:val="0"/>
          <w:marBottom w:val="0"/>
          <w:divBdr>
            <w:top w:val="none" w:sz="0" w:space="0" w:color="auto"/>
            <w:left w:val="none" w:sz="0" w:space="0" w:color="auto"/>
            <w:bottom w:val="none" w:sz="0" w:space="0" w:color="auto"/>
            <w:right w:val="none" w:sz="0" w:space="0" w:color="auto"/>
          </w:divBdr>
        </w:div>
        <w:div w:id="1144662667">
          <w:marLeft w:val="0"/>
          <w:marRight w:val="0"/>
          <w:marTop w:val="0"/>
          <w:marBottom w:val="0"/>
          <w:divBdr>
            <w:top w:val="none" w:sz="0" w:space="0" w:color="auto"/>
            <w:left w:val="none" w:sz="0" w:space="0" w:color="auto"/>
            <w:bottom w:val="none" w:sz="0" w:space="0" w:color="auto"/>
            <w:right w:val="none" w:sz="0" w:space="0" w:color="auto"/>
          </w:divBdr>
        </w:div>
        <w:div w:id="1003584579">
          <w:marLeft w:val="0"/>
          <w:marRight w:val="0"/>
          <w:marTop w:val="0"/>
          <w:marBottom w:val="0"/>
          <w:divBdr>
            <w:top w:val="none" w:sz="0" w:space="0" w:color="auto"/>
            <w:left w:val="none" w:sz="0" w:space="0" w:color="auto"/>
            <w:bottom w:val="none" w:sz="0" w:space="0" w:color="auto"/>
            <w:right w:val="none" w:sz="0" w:space="0" w:color="auto"/>
          </w:divBdr>
        </w:div>
        <w:div w:id="921062887">
          <w:marLeft w:val="0"/>
          <w:marRight w:val="0"/>
          <w:marTop w:val="0"/>
          <w:marBottom w:val="0"/>
          <w:divBdr>
            <w:top w:val="none" w:sz="0" w:space="0" w:color="auto"/>
            <w:left w:val="none" w:sz="0" w:space="0" w:color="auto"/>
            <w:bottom w:val="none" w:sz="0" w:space="0" w:color="auto"/>
            <w:right w:val="none" w:sz="0" w:space="0" w:color="auto"/>
          </w:divBdr>
        </w:div>
        <w:div w:id="848836410">
          <w:marLeft w:val="0"/>
          <w:marRight w:val="0"/>
          <w:marTop w:val="0"/>
          <w:marBottom w:val="0"/>
          <w:divBdr>
            <w:top w:val="none" w:sz="0" w:space="0" w:color="auto"/>
            <w:left w:val="none" w:sz="0" w:space="0" w:color="auto"/>
            <w:bottom w:val="none" w:sz="0" w:space="0" w:color="auto"/>
            <w:right w:val="none" w:sz="0" w:space="0" w:color="auto"/>
          </w:divBdr>
        </w:div>
        <w:div w:id="965351723">
          <w:marLeft w:val="0"/>
          <w:marRight w:val="0"/>
          <w:marTop w:val="0"/>
          <w:marBottom w:val="0"/>
          <w:divBdr>
            <w:top w:val="none" w:sz="0" w:space="0" w:color="auto"/>
            <w:left w:val="none" w:sz="0" w:space="0" w:color="auto"/>
            <w:bottom w:val="none" w:sz="0" w:space="0" w:color="auto"/>
            <w:right w:val="none" w:sz="0" w:space="0" w:color="auto"/>
          </w:divBdr>
        </w:div>
        <w:div w:id="281494762">
          <w:marLeft w:val="0"/>
          <w:marRight w:val="0"/>
          <w:marTop w:val="0"/>
          <w:marBottom w:val="0"/>
          <w:divBdr>
            <w:top w:val="none" w:sz="0" w:space="0" w:color="auto"/>
            <w:left w:val="none" w:sz="0" w:space="0" w:color="auto"/>
            <w:bottom w:val="none" w:sz="0" w:space="0" w:color="auto"/>
            <w:right w:val="none" w:sz="0" w:space="0" w:color="auto"/>
          </w:divBdr>
        </w:div>
        <w:div w:id="1500199287">
          <w:marLeft w:val="0"/>
          <w:marRight w:val="0"/>
          <w:marTop w:val="0"/>
          <w:marBottom w:val="0"/>
          <w:divBdr>
            <w:top w:val="none" w:sz="0" w:space="0" w:color="auto"/>
            <w:left w:val="none" w:sz="0" w:space="0" w:color="auto"/>
            <w:bottom w:val="none" w:sz="0" w:space="0" w:color="auto"/>
            <w:right w:val="none" w:sz="0" w:space="0" w:color="auto"/>
          </w:divBdr>
        </w:div>
        <w:div w:id="803084716">
          <w:marLeft w:val="0"/>
          <w:marRight w:val="0"/>
          <w:marTop w:val="0"/>
          <w:marBottom w:val="0"/>
          <w:divBdr>
            <w:top w:val="none" w:sz="0" w:space="0" w:color="auto"/>
            <w:left w:val="none" w:sz="0" w:space="0" w:color="auto"/>
            <w:bottom w:val="none" w:sz="0" w:space="0" w:color="auto"/>
            <w:right w:val="none" w:sz="0" w:space="0" w:color="auto"/>
          </w:divBdr>
        </w:div>
        <w:div w:id="1690793803">
          <w:marLeft w:val="0"/>
          <w:marRight w:val="0"/>
          <w:marTop w:val="0"/>
          <w:marBottom w:val="0"/>
          <w:divBdr>
            <w:top w:val="none" w:sz="0" w:space="0" w:color="auto"/>
            <w:left w:val="none" w:sz="0" w:space="0" w:color="auto"/>
            <w:bottom w:val="none" w:sz="0" w:space="0" w:color="auto"/>
            <w:right w:val="none" w:sz="0" w:space="0" w:color="auto"/>
          </w:divBdr>
        </w:div>
        <w:div w:id="603852306">
          <w:marLeft w:val="0"/>
          <w:marRight w:val="0"/>
          <w:marTop w:val="0"/>
          <w:marBottom w:val="0"/>
          <w:divBdr>
            <w:top w:val="none" w:sz="0" w:space="0" w:color="auto"/>
            <w:left w:val="none" w:sz="0" w:space="0" w:color="auto"/>
            <w:bottom w:val="none" w:sz="0" w:space="0" w:color="auto"/>
            <w:right w:val="none" w:sz="0" w:space="0" w:color="auto"/>
          </w:divBdr>
        </w:div>
        <w:div w:id="1263026769">
          <w:marLeft w:val="0"/>
          <w:marRight w:val="0"/>
          <w:marTop w:val="0"/>
          <w:marBottom w:val="0"/>
          <w:divBdr>
            <w:top w:val="none" w:sz="0" w:space="0" w:color="auto"/>
            <w:left w:val="none" w:sz="0" w:space="0" w:color="auto"/>
            <w:bottom w:val="none" w:sz="0" w:space="0" w:color="auto"/>
            <w:right w:val="none" w:sz="0" w:space="0" w:color="auto"/>
          </w:divBdr>
        </w:div>
        <w:div w:id="1109668348">
          <w:marLeft w:val="0"/>
          <w:marRight w:val="0"/>
          <w:marTop w:val="0"/>
          <w:marBottom w:val="0"/>
          <w:divBdr>
            <w:top w:val="none" w:sz="0" w:space="0" w:color="auto"/>
            <w:left w:val="none" w:sz="0" w:space="0" w:color="auto"/>
            <w:bottom w:val="none" w:sz="0" w:space="0" w:color="auto"/>
            <w:right w:val="none" w:sz="0" w:space="0" w:color="auto"/>
          </w:divBdr>
        </w:div>
        <w:div w:id="642929455">
          <w:marLeft w:val="0"/>
          <w:marRight w:val="0"/>
          <w:marTop w:val="0"/>
          <w:marBottom w:val="0"/>
          <w:divBdr>
            <w:top w:val="none" w:sz="0" w:space="0" w:color="auto"/>
            <w:left w:val="none" w:sz="0" w:space="0" w:color="auto"/>
            <w:bottom w:val="none" w:sz="0" w:space="0" w:color="auto"/>
            <w:right w:val="none" w:sz="0" w:space="0" w:color="auto"/>
          </w:divBdr>
        </w:div>
        <w:div w:id="1681541539">
          <w:marLeft w:val="0"/>
          <w:marRight w:val="0"/>
          <w:marTop w:val="0"/>
          <w:marBottom w:val="0"/>
          <w:divBdr>
            <w:top w:val="none" w:sz="0" w:space="0" w:color="auto"/>
            <w:left w:val="none" w:sz="0" w:space="0" w:color="auto"/>
            <w:bottom w:val="none" w:sz="0" w:space="0" w:color="auto"/>
            <w:right w:val="none" w:sz="0" w:space="0" w:color="auto"/>
          </w:divBdr>
        </w:div>
        <w:div w:id="2102070328">
          <w:marLeft w:val="0"/>
          <w:marRight w:val="0"/>
          <w:marTop w:val="0"/>
          <w:marBottom w:val="0"/>
          <w:divBdr>
            <w:top w:val="none" w:sz="0" w:space="0" w:color="auto"/>
            <w:left w:val="none" w:sz="0" w:space="0" w:color="auto"/>
            <w:bottom w:val="none" w:sz="0" w:space="0" w:color="auto"/>
            <w:right w:val="none" w:sz="0" w:space="0" w:color="auto"/>
          </w:divBdr>
        </w:div>
        <w:div w:id="1508789726">
          <w:marLeft w:val="0"/>
          <w:marRight w:val="0"/>
          <w:marTop w:val="0"/>
          <w:marBottom w:val="0"/>
          <w:divBdr>
            <w:top w:val="none" w:sz="0" w:space="0" w:color="auto"/>
            <w:left w:val="none" w:sz="0" w:space="0" w:color="auto"/>
            <w:bottom w:val="none" w:sz="0" w:space="0" w:color="auto"/>
            <w:right w:val="none" w:sz="0" w:space="0" w:color="auto"/>
          </w:divBdr>
        </w:div>
        <w:div w:id="1681538853">
          <w:marLeft w:val="0"/>
          <w:marRight w:val="0"/>
          <w:marTop w:val="0"/>
          <w:marBottom w:val="0"/>
          <w:divBdr>
            <w:top w:val="none" w:sz="0" w:space="0" w:color="auto"/>
            <w:left w:val="none" w:sz="0" w:space="0" w:color="auto"/>
            <w:bottom w:val="none" w:sz="0" w:space="0" w:color="auto"/>
            <w:right w:val="none" w:sz="0" w:space="0" w:color="auto"/>
          </w:divBdr>
        </w:div>
        <w:div w:id="355498797">
          <w:marLeft w:val="0"/>
          <w:marRight w:val="0"/>
          <w:marTop w:val="0"/>
          <w:marBottom w:val="0"/>
          <w:divBdr>
            <w:top w:val="none" w:sz="0" w:space="0" w:color="auto"/>
            <w:left w:val="none" w:sz="0" w:space="0" w:color="auto"/>
            <w:bottom w:val="none" w:sz="0" w:space="0" w:color="auto"/>
            <w:right w:val="none" w:sz="0" w:space="0" w:color="auto"/>
          </w:divBdr>
        </w:div>
        <w:div w:id="538008516">
          <w:marLeft w:val="0"/>
          <w:marRight w:val="0"/>
          <w:marTop w:val="0"/>
          <w:marBottom w:val="0"/>
          <w:divBdr>
            <w:top w:val="none" w:sz="0" w:space="0" w:color="auto"/>
            <w:left w:val="none" w:sz="0" w:space="0" w:color="auto"/>
            <w:bottom w:val="none" w:sz="0" w:space="0" w:color="auto"/>
            <w:right w:val="none" w:sz="0" w:space="0" w:color="auto"/>
          </w:divBdr>
        </w:div>
        <w:div w:id="80228158">
          <w:marLeft w:val="0"/>
          <w:marRight w:val="0"/>
          <w:marTop w:val="0"/>
          <w:marBottom w:val="0"/>
          <w:divBdr>
            <w:top w:val="none" w:sz="0" w:space="0" w:color="auto"/>
            <w:left w:val="none" w:sz="0" w:space="0" w:color="auto"/>
            <w:bottom w:val="none" w:sz="0" w:space="0" w:color="auto"/>
            <w:right w:val="none" w:sz="0" w:space="0" w:color="auto"/>
          </w:divBdr>
        </w:div>
        <w:div w:id="19402905">
          <w:marLeft w:val="0"/>
          <w:marRight w:val="0"/>
          <w:marTop w:val="0"/>
          <w:marBottom w:val="0"/>
          <w:divBdr>
            <w:top w:val="none" w:sz="0" w:space="0" w:color="auto"/>
            <w:left w:val="none" w:sz="0" w:space="0" w:color="auto"/>
            <w:bottom w:val="none" w:sz="0" w:space="0" w:color="auto"/>
            <w:right w:val="none" w:sz="0" w:space="0" w:color="auto"/>
          </w:divBdr>
        </w:div>
        <w:div w:id="1040202553">
          <w:marLeft w:val="0"/>
          <w:marRight w:val="0"/>
          <w:marTop w:val="0"/>
          <w:marBottom w:val="0"/>
          <w:divBdr>
            <w:top w:val="none" w:sz="0" w:space="0" w:color="auto"/>
            <w:left w:val="none" w:sz="0" w:space="0" w:color="auto"/>
            <w:bottom w:val="none" w:sz="0" w:space="0" w:color="auto"/>
            <w:right w:val="none" w:sz="0" w:space="0" w:color="auto"/>
          </w:divBdr>
        </w:div>
        <w:div w:id="310523803">
          <w:marLeft w:val="0"/>
          <w:marRight w:val="0"/>
          <w:marTop w:val="0"/>
          <w:marBottom w:val="0"/>
          <w:divBdr>
            <w:top w:val="none" w:sz="0" w:space="0" w:color="auto"/>
            <w:left w:val="none" w:sz="0" w:space="0" w:color="auto"/>
            <w:bottom w:val="none" w:sz="0" w:space="0" w:color="auto"/>
            <w:right w:val="none" w:sz="0" w:space="0" w:color="auto"/>
          </w:divBdr>
        </w:div>
        <w:div w:id="1098284911">
          <w:marLeft w:val="0"/>
          <w:marRight w:val="0"/>
          <w:marTop w:val="0"/>
          <w:marBottom w:val="0"/>
          <w:divBdr>
            <w:top w:val="none" w:sz="0" w:space="0" w:color="auto"/>
            <w:left w:val="none" w:sz="0" w:space="0" w:color="auto"/>
            <w:bottom w:val="none" w:sz="0" w:space="0" w:color="auto"/>
            <w:right w:val="none" w:sz="0" w:space="0" w:color="auto"/>
          </w:divBdr>
        </w:div>
        <w:div w:id="1669014108">
          <w:marLeft w:val="0"/>
          <w:marRight w:val="0"/>
          <w:marTop w:val="0"/>
          <w:marBottom w:val="0"/>
          <w:divBdr>
            <w:top w:val="none" w:sz="0" w:space="0" w:color="auto"/>
            <w:left w:val="none" w:sz="0" w:space="0" w:color="auto"/>
            <w:bottom w:val="none" w:sz="0" w:space="0" w:color="auto"/>
            <w:right w:val="none" w:sz="0" w:space="0" w:color="auto"/>
          </w:divBdr>
        </w:div>
        <w:div w:id="603270410">
          <w:marLeft w:val="0"/>
          <w:marRight w:val="0"/>
          <w:marTop w:val="0"/>
          <w:marBottom w:val="0"/>
          <w:divBdr>
            <w:top w:val="none" w:sz="0" w:space="0" w:color="auto"/>
            <w:left w:val="none" w:sz="0" w:space="0" w:color="auto"/>
            <w:bottom w:val="none" w:sz="0" w:space="0" w:color="auto"/>
            <w:right w:val="none" w:sz="0" w:space="0" w:color="auto"/>
          </w:divBdr>
        </w:div>
        <w:div w:id="2053460133">
          <w:marLeft w:val="0"/>
          <w:marRight w:val="0"/>
          <w:marTop w:val="0"/>
          <w:marBottom w:val="0"/>
          <w:divBdr>
            <w:top w:val="none" w:sz="0" w:space="0" w:color="auto"/>
            <w:left w:val="none" w:sz="0" w:space="0" w:color="auto"/>
            <w:bottom w:val="none" w:sz="0" w:space="0" w:color="auto"/>
            <w:right w:val="none" w:sz="0" w:space="0" w:color="auto"/>
          </w:divBdr>
        </w:div>
        <w:div w:id="1892425015">
          <w:marLeft w:val="0"/>
          <w:marRight w:val="0"/>
          <w:marTop w:val="0"/>
          <w:marBottom w:val="0"/>
          <w:divBdr>
            <w:top w:val="none" w:sz="0" w:space="0" w:color="auto"/>
            <w:left w:val="none" w:sz="0" w:space="0" w:color="auto"/>
            <w:bottom w:val="none" w:sz="0" w:space="0" w:color="auto"/>
            <w:right w:val="none" w:sz="0" w:space="0" w:color="auto"/>
          </w:divBdr>
        </w:div>
        <w:div w:id="1176921570">
          <w:marLeft w:val="0"/>
          <w:marRight w:val="0"/>
          <w:marTop w:val="0"/>
          <w:marBottom w:val="0"/>
          <w:divBdr>
            <w:top w:val="none" w:sz="0" w:space="0" w:color="auto"/>
            <w:left w:val="none" w:sz="0" w:space="0" w:color="auto"/>
            <w:bottom w:val="none" w:sz="0" w:space="0" w:color="auto"/>
            <w:right w:val="none" w:sz="0" w:space="0" w:color="auto"/>
          </w:divBdr>
        </w:div>
        <w:div w:id="598831827">
          <w:marLeft w:val="0"/>
          <w:marRight w:val="0"/>
          <w:marTop w:val="0"/>
          <w:marBottom w:val="0"/>
          <w:divBdr>
            <w:top w:val="none" w:sz="0" w:space="0" w:color="auto"/>
            <w:left w:val="none" w:sz="0" w:space="0" w:color="auto"/>
            <w:bottom w:val="none" w:sz="0" w:space="0" w:color="auto"/>
            <w:right w:val="none" w:sz="0" w:space="0" w:color="auto"/>
          </w:divBdr>
        </w:div>
        <w:div w:id="578445999">
          <w:marLeft w:val="0"/>
          <w:marRight w:val="0"/>
          <w:marTop w:val="0"/>
          <w:marBottom w:val="0"/>
          <w:divBdr>
            <w:top w:val="none" w:sz="0" w:space="0" w:color="auto"/>
            <w:left w:val="none" w:sz="0" w:space="0" w:color="auto"/>
            <w:bottom w:val="none" w:sz="0" w:space="0" w:color="auto"/>
            <w:right w:val="none" w:sz="0" w:space="0" w:color="auto"/>
          </w:divBdr>
        </w:div>
        <w:div w:id="2111387573">
          <w:marLeft w:val="0"/>
          <w:marRight w:val="0"/>
          <w:marTop w:val="0"/>
          <w:marBottom w:val="0"/>
          <w:divBdr>
            <w:top w:val="none" w:sz="0" w:space="0" w:color="auto"/>
            <w:left w:val="none" w:sz="0" w:space="0" w:color="auto"/>
            <w:bottom w:val="none" w:sz="0" w:space="0" w:color="auto"/>
            <w:right w:val="none" w:sz="0" w:space="0" w:color="auto"/>
          </w:divBdr>
        </w:div>
        <w:div w:id="855967631">
          <w:marLeft w:val="0"/>
          <w:marRight w:val="0"/>
          <w:marTop w:val="0"/>
          <w:marBottom w:val="0"/>
          <w:divBdr>
            <w:top w:val="none" w:sz="0" w:space="0" w:color="auto"/>
            <w:left w:val="none" w:sz="0" w:space="0" w:color="auto"/>
            <w:bottom w:val="none" w:sz="0" w:space="0" w:color="auto"/>
            <w:right w:val="none" w:sz="0" w:space="0" w:color="auto"/>
          </w:divBdr>
        </w:div>
        <w:div w:id="207959204">
          <w:marLeft w:val="0"/>
          <w:marRight w:val="0"/>
          <w:marTop w:val="0"/>
          <w:marBottom w:val="0"/>
          <w:divBdr>
            <w:top w:val="none" w:sz="0" w:space="0" w:color="auto"/>
            <w:left w:val="none" w:sz="0" w:space="0" w:color="auto"/>
            <w:bottom w:val="none" w:sz="0" w:space="0" w:color="auto"/>
            <w:right w:val="none" w:sz="0" w:space="0" w:color="auto"/>
          </w:divBdr>
        </w:div>
        <w:div w:id="258216263">
          <w:marLeft w:val="0"/>
          <w:marRight w:val="0"/>
          <w:marTop w:val="0"/>
          <w:marBottom w:val="0"/>
          <w:divBdr>
            <w:top w:val="none" w:sz="0" w:space="0" w:color="auto"/>
            <w:left w:val="none" w:sz="0" w:space="0" w:color="auto"/>
            <w:bottom w:val="none" w:sz="0" w:space="0" w:color="auto"/>
            <w:right w:val="none" w:sz="0" w:space="0" w:color="auto"/>
          </w:divBdr>
        </w:div>
        <w:div w:id="1746605842">
          <w:marLeft w:val="0"/>
          <w:marRight w:val="0"/>
          <w:marTop w:val="0"/>
          <w:marBottom w:val="0"/>
          <w:divBdr>
            <w:top w:val="none" w:sz="0" w:space="0" w:color="auto"/>
            <w:left w:val="none" w:sz="0" w:space="0" w:color="auto"/>
            <w:bottom w:val="none" w:sz="0" w:space="0" w:color="auto"/>
            <w:right w:val="none" w:sz="0" w:space="0" w:color="auto"/>
          </w:divBdr>
        </w:div>
        <w:div w:id="733241740">
          <w:marLeft w:val="0"/>
          <w:marRight w:val="0"/>
          <w:marTop w:val="0"/>
          <w:marBottom w:val="0"/>
          <w:divBdr>
            <w:top w:val="none" w:sz="0" w:space="0" w:color="auto"/>
            <w:left w:val="none" w:sz="0" w:space="0" w:color="auto"/>
            <w:bottom w:val="none" w:sz="0" w:space="0" w:color="auto"/>
            <w:right w:val="none" w:sz="0" w:space="0" w:color="auto"/>
          </w:divBdr>
        </w:div>
        <w:div w:id="1500539266">
          <w:marLeft w:val="0"/>
          <w:marRight w:val="0"/>
          <w:marTop w:val="0"/>
          <w:marBottom w:val="0"/>
          <w:divBdr>
            <w:top w:val="none" w:sz="0" w:space="0" w:color="auto"/>
            <w:left w:val="none" w:sz="0" w:space="0" w:color="auto"/>
            <w:bottom w:val="none" w:sz="0" w:space="0" w:color="auto"/>
            <w:right w:val="none" w:sz="0" w:space="0" w:color="auto"/>
          </w:divBdr>
        </w:div>
        <w:div w:id="1175027010">
          <w:marLeft w:val="0"/>
          <w:marRight w:val="0"/>
          <w:marTop w:val="0"/>
          <w:marBottom w:val="0"/>
          <w:divBdr>
            <w:top w:val="none" w:sz="0" w:space="0" w:color="auto"/>
            <w:left w:val="none" w:sz="0" w:space="0" w:color="auto"/>
            <w:bottom w:val="none" w:sz="0" w:space="0" w:color="auto"/>
            <w:right w:val="none" w:sz="0" w:space="0" w:color="auto"/>
          </w:divBdr>
        </w:div>
        <w:div w:id="86772788">
          <w:marLeft w:val="0"/>
          <w:marRight w:val="0"/>
          <w:marTop w:val="0"/>
          <w:marBottom w:val="0"/>
          <w:divBdr>
            <w:top w:val="none" w:sz="0" w:space="0" w:color="auto"/>
            <w:left w:val="none" w:sz="0" w:space="0" w:color="auto"/>
            <w:bottom w:val="none" w:sz="0" w:space="0" w:color="auto"/>
            <w:right w:val="none" w:sz="0" w:space="0" w:color="auto"/>
          </w:divBdr>
        </w:div>
        <w:div w:id="1167137838">
          <w:marLeft w:val="0"/>
          <w:marRight w:val="0"/>
          <w:marTop w:val="0"/>
          <w:marBottom w:val="0"/>
          <w:divBdr>
            <w:top w:val="none" w:sz="0" w:space="0" w:color="auto"/>
            <w:left w:val="none" w:sz="0" w:space="0" w:color="auto"/>
            <w:bottom w:val="none" w:sz="0" w:space="0" w:color="auto"/>
            <w:right w:val="none" w:sz="0" w:space="0" w:color="auto"/>
          </w:divBdr>
        </w:div>
        <w:div w:id="804542411">
          <w:marLeft w:val="0"/>
          <w:marRight w:val="0"/>
          <w:marTop w:val="0"/>
          <w:marBottom w:val="0"/>
          <w:divBdr>
            <w:top w:val="none" w:sz="0" w:space="0" w:color="auto"/>
            <w:left w:val="none" w:sz="0" w:space="0" w:color="auto"/>
            <w:bottom w:val="none" w:sz="0" w:space="0" w:color="auto"/>
            <w:right w:val="none" w:sz="0" w:space="0" w:color="auto"/>
          </w:divBdr>
        </w:div>
        <w:div w:id="480468589">
          <w:marLeft w:val="0"/>
          <w:marRight w:val="0"/>
          <w:marTop w:val="0"/>
          <w:marBottom w:val="0"/>
          <w:divBdr>
            <w:top w:val="none" w:sz="0" w:space="0" w:color="auto"/>
            <w:left w:val="none" w:sz="0" w:space="0" w:color="auto"/>
            <w:bottom w:val="none" w:sz="0" w:space="0" w:color="auto"/>
            <w:right w:val="none" w:sz="0" w:space="0" w:color="auto"/>
          </w:divBdr>
        </w:div>
        <w:div w:id="303313843">
          <w:marLeft w:val="0"/>
          <w:marRight w:val="0"/>
          <w:marTop w:val="0"/>
          <w:marBottom w:val="0"/>
          <w:divBdr>
            <w:top w:val="none" w:sz="0" w:space="0" w:color="auto"/>
            <w:left w:val="none" w:sz="0" w:space="0" w:color="auto"/>
            <w:bottom w:val="none" w:sz="0" w:space="0" w:color="auto"/>
            <w:right w:val="none" w:sz="0" w:space="0" w:color="auto"/>
          </w:divBdr>
        </w:div>
        <w:div w:id="2099518016">
          <w:marLeft w:val="0"/>
          <w:marRight w:val="0"/>
          <w:marTop w:val="0"/>
          <w:marBottom w:val="0"/>
          <w:divBdr>
            <w:top w:val="none" w:sz="0" w:space="0" w:color="auto"/>
            <w:left w:val="none" w:sz="0" w:space="0" w:color="auto"/>
            <w:bottom w:val="none" w:sz="0" w:space="0" w:color="auto"/>
            <w:right w:val="none" w:sz="0" w:space="0" w:color="auto"/>
          </w:divBdr>
        </w:div>
        <w:div w:id="334576323">
          <w:marLeft w:val="0"/>
          <w:marRight w:val="0"/>
          <w:marTop w:val="0"/>
          <w:marBottom w:val="0"/>
          <w:divBdr>
            <w:top w:val="none" w:sz="0" w:space="0" w:color="auto"/>
            <w:left w:val="none" w:sz="0" w:space="0" w:color="auto"/>
            <w:bottom w:val="none" w:sz="0" w:space="0" w:color="auto"/>
            <w:right w:val="none" w:sz="0" w:space="0" w:color="auto"/>
          </w:divBdr>
        </w:div>
        <w:div w:id="1779717143">
          <w:marLeft w:val="0"/>
          <w:marRight w:val="0"/>
          <w:marTop w:val="0"/>
          <w:marBottom w:val="0"/>
          <w:divBdr>
            <w:top w:val="none" w:sz="0" w:space="0" w:color="auto"/>
            <w:left w:val="none" w:sz="0" w:space="0" w:color="auto"/>
            <w:bottom w:val="none" w:sz="0" w:space="0" w:color="auto"/>
            <w:right w:val="none" w:sz="0" w:space="0" w:color="auto"/>
          </w:divBdr>
        </w:div>
        <w:div w:id="186873311">
          <w:marLeft w:val="0"/>
          <w:marRight w:val="0"/>
          <w:marTop w:val="0"/>
          <w:marBottom w:val="0"/>
          <w:divBdr>
            <w:top w:val="none" w:sz="0" w:space="0" w:color="auto"/>
            <w:left w:val="none" w:sz="0" w:space="0" w:color="auto"/>
            <w:bottom w:val="none" w:sz="0" w:space="0" w:color="auto"/>
            <w:right w:val="none" w:sz="0" w:space="0" w:color="auto"/>
          </w:divBdr>
        </w:div>
        <w:div w:id="295962272">
          <w:marLeft w:val="0"/>
          <w:marRight w:val="0"/>
          <w:marTop w:val="0"/>
          <w:marBottom w:val="0"/>
          <w:divBdr>
            <w:top w:val="none" w:sz="0" w:space="0" w:color="auto"/>
            <w:left w:val="none" w:sz="0" w:space="0" w:color="auto"/>
            <w:bottom w:val="none" w:sz="0" w:space="0" w:color="auto"/>
            <w:right w:val="none" w:sz="0" w:space="0" w:color="auto"/>
          </w:divBdr>
        </w:div>
        <w:div w:id="601498442">
          <w:marLeft w:val="0"/>
          <w:marRight w:val="0"/>
          <w:marTop w:val="0"/>
          <w:marBottom w:val="0"/>
          <w:divBdr>
            <w:top w:val="none" w:sz="0" w:space="0" w:color="auto"/>
            <w:left w:val="none" w:sz="0" w:space="0" w:color="auto"/>
            <w:bottom w:val="none" w:sz="0" w:space="0" w:color="auto"/>
            <w:right w:val="none" w:sz="0" w:space="0" w:color="auto"/>
          </w:divBdr>
        </w:div>
        <w:div w:id="1298876508">
          <w:marLeft w:val="0"/>
          <w:marRight w:val="0"/>
          <w:marTop w:val="0"/>
          <w:marBottom w:val="0"/>
          <w:divBdr>
            <w:top w:val="none" w:sz="0" w:space="0" w:color="auto"/>
            <w:left w:val="none" w:sz="0" w:space="0" w:color="auto"/>
            <w:bottom w:val="none" w:sz="0" w:space="0" w:color="auto"/>
            <w:right w:val="none" w:sz="0" w:space="0" w:color="auto"/>
          </w:divBdr>
        </w:div>
        <w:div w:id="173611207">
          <w:marLeft w:val="0"/>
          <w:marRight w:val="0"/>
          <w:marTop w:val="0"/>
          <w:marBottom w:val="0"/>
          <w:divBdr>
            <w:top w:val="none" w:sz="0" w:space="0" w:color="auto"/>
            <w:left w:val="none" w:sz="0" w:space="0" w:color="auto"/>
            <w:bottom w:val="none" w:sz="0" w:space="0" w:color="auto"/>
            <w:right w:val="none" w:sz="0" w:space="0" w:color="auto"/>
          </w:divBdr>
        </w:div>
        <w:div w:id="263996258">
          <w:marLeft w:val="0"/>
          <w:marRight w:val="0"/>
          <w:marTop w:val="0"/>
          <w:marBottom w:val="0"/>
          <w:divBdr>
            <w:top w:val="none" w:sz="0" w:space="0" w:color="auto"/>
            <w:left w:val="none" w:sz="0" w:space="0" w:color="auto"/>
            <w:bottom w:val="none" w:sz="0" w:space="0" w:color="auto"/>
            <w:right w:val="none" w:sz="0" w:space="0" w:color="auto"/>
          </w:divBdr>
        </w:div>
        <w:div w:id="749544967">
          <w:marLeft w:val="0"/>
          <w:marRight w:val="0"/>
          <w:marTop w:val="0"/>
          <w:marBottom w:val="0"/>
          <w:divBdr>
            <w:top w:val="none" w:sz="0" w:space="0" w:color="auto"/>
            <w:left w:val="none" w:sz="0" w:space="0" w:color="auto"/>
            <w:bottom w:val="none" w:sz="0" w:space="0" w:color="auto"/>
            <w:right w:val="none" w:sz="0" w:space="0" w:color="auto"/>
          </w:divBdr>
        </w:div>
        <w:div w:id="1936551643">
          <w:marLeft w:val="0"/>
          <w:marRight w:val="0"/>
          <w:marTop w:val="0"/>
          <w:marBottom w:val="0"/>
          <w:divBdr>
            <w:top w:val="none" w:sz="0" w:space="0" w:color="auto"/>
            <w:left w:val="none" w:sz="0" w:space="0" w:color="auto"/>
            <w:bottom w:val="none" w:sz="0" w:space="0" w:color="auto"/>
            <w:right w:val="none" w:sz="0" w:space="0" w:color="auto"/>
          </w:divBdr>
        </w:div>
        <w:div w:id="1931936312">
          <w:marLeft w:val="0"/>
          <w:marRight w:val="0"/>
          <w:marTop w:val="0"/>
          <w:marBottom w:val="0"/>
          <w:divBdr>
            <w:top w:val="none" w:sz="0" w:space="0" w:color="auto"/>
            <w:left w:val="none" w:sz="0" w:space="0" w:color="auto"/>
            <w:bottom w:val="none" w:sz="0" w:space="0" w:color="auto"/>
            <w:right w:val="none" w:sz="0" w:space="0" w:color="auto"/>
          </w:divBdr>
        </w:div>
        <w:div w:id="823665885">
          <w:marLeft w:val="0"/>
          <w:marRight w:val="0"/>
          <w:marTop w:val="0"/>
          <w:marBottom w:val="0"/>
          <w:divBdr>
            <w:top w:val="none" w:sz="0" w:space="0" w:color="auto"/>
            <w:left w:val="none" w:sz="0" w:space="0" w:color="auto"/>
            <w:bottom w:val="none" w:sz="0" w:space="0" w:color="auto"/>
            <w:right w:val="none" w:sz="0" w:space="0" w:color="auto"/>
          </w:divBdr>
        </w:div>
        <w:div w:id="1123109265">
          <w:marLeft w:val="0"/>
          <w:marRight w:val="0"/>
          <w:marTop w:val="0"/>
          <w:marBottom w:val="0"/>
          <w:divBdr>
            <w:top w:val="none" w:sz="0" w:space="0" w:color="auto"/>
            <w:left w:val="none" w:sz="0" w:space="0" w:color="auto"/>
            <w:bottom w:val="none" w:sz="0" w:space="0" w:color="auto"/>
            <w:right w:val="none" w:sz="0" w:space="0" w:color="auto"/>
          </w:divBdr>
        </w:div>
        <w:div w:id="1411541150">
          <w:marLeft w:val="0"/>
          <w:marRight w:val="0"/>
          <w:marTop w:val="0"/>
          <w:marBottom w:val="0"/>
          <w:divBdr>
            <w:top w:val="none" w:sz="0" w:space="0" w:color="auto"/>
            <w:left w:val="none" w:sz="0" w:space="0" w:color="auto"/>
            <w:bottom w:val="none" w:sz="0" w:space="0" w:color="auto"/>
            <w:right w:val="none" w:sz="0" w:space="0" w:color="auto"/>
          </w:divBdr>
        </w:div>
        <w:div w:id="278344668">
          <w:marLeft w:val="0"/>
          <w:marRight w:val="0"/>
          <w:marTop w:val="0"/>
          <w:marBottom w:val="0"/>
          <w:divBdr>
            <w:top w:val="none" w:sz="0" w:space="0" w:color="auto"/>
            <w:left w:val="none" w:sz="0" w:space="0" w:color="auto"/>
            <w:bottom w:val="none" w:sz="0" w:space="0" w:color="auto"/>
            <w:right w:val="none" w:sz="0" w:space="0" w:color="auto"/>
          </w:divBdr>
        </w:div>
        <w:div w:id="149029821">
          <w:marLeft w:val="0"/>
          <w:marRight w:val="0"/>
          <w:marTop w:val="0"/>
          <w:marBottom w:val="0"/>
          <w:divBdr>
            <w:top w:val="none" w:sz="0" w:space="0" w:color="auto"/>
            <w:left w:val="none" w:sz="0" w:space="0" w:color="auto"/>
            <w:bottom w:val="none" w:sz="0" w:space="0" w:color="auto"/>
            <w:right w:val="none" w:sz="0" w:space="0" w:color="auto"/>
          </w:divBdr>
        </w:div>
        <w:div w:id="21980154">
          <w:marLeft w:val="0"/>
          <w:marRight w:val="0"/>
          <w:marTop w:val="0"/>
          <w:marBottom w:val="0"/>
          <w:divBdr>
            <w:top w:val="none" w:sz="0" w:space="0" w:color="auto"/>
            <w:left w:val="none" w:sz="0" w:space="0" w:color="auto"/>
            <w:bottom w:val="none" w:sz="0" w:space="0" w:color="auto"/>
            <w:right w:val="none" w:sz="0" w:space="0" w:color="auto"/>
          </w:divBdr>
        </w:div>
        <w:div w:id="390035090">
          <w:marLeft w:val="0"/>
          <w:marRight w:val="0"/>
          <w:marTop w:val="0"/>
          <w:marBottom w:val="0"/>
          <w:divBdr>
            <w:top w:val="none" w:sz="0" w:space="0" w:color="auto"/>
            <w:left w:val="none" w:sz="0" w:space="0" w:color="auto"/>
            <w:bottom w:val="none" w:sz="0" w:space="0" w:color="auto"/>
            <w:right w:val="none" w:sz="0" w:space="0" w:color="auto"/>
          </w:divBdr>
        </w:div>
        <w:div w:id="1779449779">
          <w:marLeft w:val="0"/>
          <w:marRight w:val="0"/>
          <w:marTop w:val="0"/>
          <w:marBottom w:val="0"/>
          <w:divBdr>
            <w:top w:val="none" w:sz="0" w:space="0" w:color="auto"/>
            <w:left w:val="none" w:sz="0" w:space="0" w:color="auto"/>
            <w:bottom w:val="none" w:sz="0" w:space="0" w:color="auto"/>
            <w:right w:val="none" w:sz="0" w:space="0" w:color="auto"/>
          </w:divBdr>
        </w:div>
        <w:div w:id="1058623772">
          <w:marLeft w:val="0"/>
          <w:marRight w:val="0"/>
          <w:marTop w:val="0"/>
          <w:marBottom w:val="0"/>
          <w:divBdr>
            <w:top w:val="none" w:sz="0" w:space="0" w:color="auto"/>
            <w:left w:val="none" w:sz="0" w:space="0" w:color="auto"/>
            <w:bottom w:val="none" w:sz="0" w:space="0" w:color="auto"/>
            <w:right w:val="none" w:sz="0" w:space="0" w:color="auto"/>
          </w:divBdr>
        </w:div>
        <w:div w:id="877427504">
          <w:marLeft w:val="0"/>
          <w:marRight w:val="0"/>
          <w:marTop w:val="0"/>
          <w:marBottom w:val="0"/>
          <w:divBdr>
            <w:top w:val="none" w:sz="0" w:space="0" w:color="auto"/>
            <w:left w:val="none" w:sz="0" w:space="0" w:color="auto"/>
            <w:bottom w:val="none" w:sz="0" w:space="0" w:color="auto"/>
            <w:right w:val="none" w:sz="0" w:space="0" w:color="auto"/>
          </w:divBdr>
        </w:div>
        <w:div w:id="2051953347">
          <w:marLeft w:val="0"/>
          <w:marRight w:val="0"/>
          <w:marTop w:val="0"/>
          <w:marBottom w:val="0"/>
          <w:divBdr>
            <w:top w:val="none" w:sz="0" w:space="0" w:color="auto"/>
            <w:left w:val="none" w:sz="0" w:space="0" w:color="auto"/>
            <w:bottom w:val="none" w:sz="0" w:space="0" w:color="auto"/>
            <w:right w:val="none" w:sz="0" w:space="0" w:color="auto"/>
          </w:divBdr>
        </w:div>
        <w:div w:id="542057753">
          <w:marLeft w:val="0"/>
          <w:marRight w:val="0"/>
          <w:marTop w:val="0"/>
          <w:marBottom w:val="0"/>
          <w:divBdr>
            <w:top w:val="none" w:sz="0" w:space="0" w:color="auto"/>
            <w:left w:val="none" w:sz="0" w:space="0" w:color="auto"/>
            <w:bottom w:val="none" w:sz="0" w:space="0" w:color="auto"/>
            <w:right w:val="none" w:sz="0" w:space="0" w:color="auto"/>
          </w:divBdr>
        </w:div>
        <w:div w:id="1164782943">
          <w:marLeft w:val="0"/>
          <w:marRight w:val="0"/>
          <w:marTop w:val="0"/>
          <w:marBottom w:val="0"/>
          <w:divBdr>
            <w:top w:val="none" w:sz="0" w:space="0" w:color="auto"/>
            <w:left w:val="none" w:sz="0" w:space="0" w:color="auto"/>
            <w:bottom w:val="none" w:sz="0" w:space="0" w:color="auto"/>
            <w:right w:val="none" w:sz="0" w:space="0" w:color="auto"/>
          </w:divBdr>
        </w:div>
        <w:div w:id="541140226">
          <w:marLeft w:val="0"/>
          <w:marRight w:val="0"/>
          <w:marTop w:val="0"/>
          <w:marBottom w:val="0"/>
          <w:divBdr>
            <w:top w:val="none" w:sz="0" w:space="0" w:color="auto"/>
            <w:left w:val="none" w:sz="0" w:space="0" w:color="auto"/>
            <w:bottom w:val="none" w:sz="0" w:space="0" w:color="auto"/>
            <w:right w:val="none" w:sz="0" w:space="0" w:color="auto"/>
          </w:divBdr>
        </w:div>
        <w:div w:id="1263032280">
          <w:marLeft w:val="0"/>
          <w:marRight w:val="0"/>
          <w:marTop w:val="0"/>
          <w:marBottom w:val="0"/>
          <w:divBdr>
            <w:top w:val="none" w:sz="0" w:space="0" w:color="auto"/>
            <w:left w:val="none" w:sz="0" w:space="0" w:color="auto"/>
            <w:bottom w:val="none" w:sz="0" w:space="0" w:color="auto"/>
            <w:right w:val="none" w:sz="0" w:space="0" w:color="auto"/>
          </w:divBdr>
        </w:div>
        <w:div w:id="571737451">
          <w:marLeft w:val="0"/>
          <w:marRight w:val="0"/>
          <w:marTop w:val="0"/>
          <w:marBottom w:val="0"/>
          <w:divBdr>
            <w:top w:val="none" w:sz="0" w:space="0" w:color="auto"/>
            <w:left w:val="none" w:sz="0" w:space="0" w:color="auto"/>
            <w:bottom w:val="none" w:sz="0" w:space="0" w:color="auto"/>
            <w:right w:val="none" w:sz="0" w:space="0" w:color="auto"/>
          </w:divBdr>
        </w:div>
        <w:div w:id="1584296063">
          <w:marLeft w:val="0"/>
          <w:marRight w:val="0"/>
          <w:marTop w:val="0"/>
          <w:marBottom w:val="0"/>
          <w:divBdr>
            <w:top w:val="none" w:sz="0" w:space="0" w:color="auto"/>
            <w:left w:val="none" w:sz="0" w:space="0" w:color="auto"/>
            <w:bottom w:val="none" w:sz="0" w:space="0" w:color="auto"/>
            <w:right w:val="none" w:sz="0" w:space="0" w:color="auto"/>
          </w:divBdr>
        </w:div>
        <w:div w:id="1928151154">
          <w:marLeft w:val="0"/>
          <w:marRight w:val="0"/>
          <w:marTop w:val="0"/>
          <w:marBottom w:val="0"/>
          <w:divBdr>
            <w:top w:val="none" w:sz="0" w:space="0" w:color="auto"/>
            <w:left w:val="none" w:sz="0" w:space="0" w:color="auto"/>
            <w:bottom w:val="none" w:sz="0" w:space="0" w:color="auto"/>
            <w:right w:val="none" w:sz="0" w:space="0" w:color="auto"/>
          </w:divBdr>
        </w:div>
        <w:div w:id="5401830">
          <w:marLeft w:val="0"/>
          <w:marRight w:val="0"/>
          <w:marTop w:val="0"/>
          <w:marBottom w:val="0"/>
          <w:divBdr>
            <w:top w:val="none" w:sz="0" w:space="0" w:color="auto"/>
            <w:left w:val="none" w:sz="0" w:space="0" w:color="auto"/>
            <w:bottom w:val="none" w:sz="0" w:space="0" w:color="auto"/>
            <w:right w:val="none" w:sz="0" w:space="0" w:color="auto"/>
          </w:divBdr>
        </w:div>
        <w:div w:id="1598899485">
          <w:marLeft w:val="0"/>
          <w:marRight w:val="0"/>
          <w:marTop w:val="0"/>
          <w:marBottom w:val="0"/>
          <w:divBdr>
            <w:top w:val="none" w:sz="0" w:space="0" w:color="auto"/>
            <w:left w:val="none" w:sz="0" w:space="0" w:color="auto"/>
            <w:bottom w:val="none" w:sz="0" w:space="0" w:color="auto"/>
            <w:right w:val="none" w:sz="0" w:space="0" w:color="auto"/>
          </w:divBdr>
        </w:div>
        <w:div w:id="209852769">
          <w:marLeft w:val="0"/>
          <w:marRight w:val="0"/>
          <w:marTop w:val="0"/>
          <w:marBottom w:val="0"/>
          <w:divBdr>
            <w:top w:val="none" w:sz="0" w:space="0" w:color="auto"/>
            <w:left w:val="none" w:sz="0" w:space="0" w:color="auto"/>
            <w:bottom w:val="none" w:sz="0" w:space="0" w:color="auto"/>
            <w:right w:val="none" w:sz="0" w:space="0" w:color="auto"/>
          </w:divBdr>
        </w:div>
        <w:div w:id="581598932">
          <w:marLeft w:val="0"/>
          <w:marRight w:val="0"/>
          <w:marTop w:val="0"/>
          <w:marBottom w:val="0"/>
          <w:divBdr>
            <w:top w:val="none" w:sz="0" w:space="0" w:color="auto"/>
            <w:left w:val="none" w:sz="0" w:space="0" w:color="auto"/>
            <w:bottom w:val="none" w:sz="0" w:space="0" w:color="auto"/>
            <w:right w:val="none" w:sz="0" w:space="0" w:color="auto"/>
          </w:divBdr>
        </w:div>
        <w:div w:id="948781885">
          <w:marLeft w:val="0"/>
          <w:marRight w:val="0"/>
          <w:marTop w:val="0"/>
          <w:marBottom w:val="0"/>
          <w:divBdr>
            <w:top w:val="none" w:sz="0" w:space="0" w:color="auto"/>
            <w:left w:val="none" w:sz="0" w:space="0" w:color="auto"/>
            <w:bottom w:val="none" w:sz="0" w:space="0" w:color="auto"/>
            <w:right w:val="none" w:sz="0" w:space="0" w:color="auto"/>
          </w:divBdr>
        </w:div>
        <w:div w:id="671877392">
          <w:marLeft w:val="0"/>
          <w:marRight w:val="0"/>
          <w:marTop w:val="0"/>
          <w:marBottom w:val="0"/>
          <w:divBdr>
            <w:top w:val="none" w:sz="0" w:space="0" w:color="auto"/>
            <w:left w:val="none" w:sz="0" w:space="0" w:color="auto"/>
            <w:bottom w:val="none" w:sz="0" w:space="0" w:color="auto"/>
            <w:right w:val="none" w:sz="0" w:space="0" w:color="auto"/>
          </w:divBdr>
        </w:div>
        <w:div w:id="972055928">
          <w:marLeft w:val="0"/>
          <w:marRight w:val="0"/>
          <w:marTop w:val="0"/>
          <w:marBottom w:val="0"/>
          <w:divBdr>
            <w:top w:val="none" w:sz="0" w:space="0" w:color="auto"/>
            <w:left w:val="none" w:sz="0" w:space="0" w:color="auto"/>
            <w:bottom w:val="none" w:sz="0" w:space="0" w:color="auto"/>
            <w:right w:val="none" w:sz="0" w:space="0" w:color="auto"/>
          </w:divBdr>
        </w:div>
        <w:div w:id="1582563922">
          <w:marLeft w:val="0"/>
          <w:marRight w:val="0"/>
          <w:marTop w:val="0"/>
          <w:marBottom w:val="0"/>
          <w:divBdr>
            <w:top w:val="none" w:sz="0" w:space="0" w:color="auto"/>
            <w:left w:val="none" w:sz="0" w:space="0" w:color="auto"/>
            <w:bottom w:val="none" w:sz="0" w:space="0" w:color="auto"/>
            <w:right w:val="none" w:sz="0" w:space="0" w:color="auto"/>
          </w:divBdr>
        </w:div>
        <w:div w:id="169638359">
          <w:marLeft w:val="0"/>
          <w:marRight w:val="0"/>
          <w:marTop w:val="0"/>
          <w:marBottom w:val="0"/>
          <w:divBdr>
            <w:top w:val="none" w:sz="0" w:space="0" w:color="auto"/>
            <w:left w:val="none" w:sz="0" w:space="0" w:color="auto"/>
            <w:bottom w:val="none" w:sz="0" w:space="0" w:color="auto"/>
            <w:right w:val="none" w:sz="0" w:space="0" w:color="auto"/>
          </w:divBdr>
        </w:div>
        <w:div w:id="1446925815">
          <w:marLeft w:val="0"/>
          <w:marRight w:val="0"/>
          <w:marTop w:val="0"/>
          <w:marBottom w:val="0"/>
          <w:divBdr>
            <w:top w:val="none" w:sz="0" w:space="0" w:color="auto"/>
            <w:left w:val="none" w:sz="0" w:space="0" w:color="auto"/>
            <w:bottom w:val="none" w:sz="0" w:space="0" w:color="auto"/>
            <w:right w:val="none" w:sz="0" w:space="0" w:color="auto"/>
          </w:divBdr>
        </w:div>
        <w:div w:id="2013410417">
          <w:marLeft w:val="0"/>
          <w:marRight w:val="0"/>
          <w:marTop w:val="0"/>
          <w:marBottom w:val="0"/>
          <w:divBdr>
            <w:top w:val="none" w:sz="0" w:space="0" w:color="auto"/>
            <w:left w:val="none" w:sz="0" w:space="0" w:color="auto"/>
            <w:bottom w:val="none" w:sz="0" w:space="0" w:color="auto"/>
            <w:right w:val="none" w:sz="0" w:space="0" w:color="auto"/>
          </w:divBdr>
        </w:div>
        <w:div w:id="2071807090">
          <w:marLeft w:val="0"/>
          <w:marRight w:val="0"/>
          <w:marTop w:val="0"/>
          <w:marBottom w:val="0"/>
          <w:divBdr>
            <w:top w:val="none" w:sz="0" w:space="0" w:color="auto"/>
            <w:left w:val="none" w:sz="0" w:space="0" w:color="auto"/>
            <w:bottom w:val="none" w:sz="0" w:space="0" w:color="auto"/>
            <w:right w:val="none" w:sz="0" w:space="0" w:color="auto"/>
          </w:divBdr>
        </w:div>
        <w:div w:id="1552351558">
          <w:marLeft w:val="0"/>
          <w:marRight w:val="0"/>
          <w:marTop w:val="0"/>
          <w:marBottom w:val="0"/>
          <w:divBdr>
            <w:top w:val="none" w:sz="0" w:space="0" w:color="auto"/>
            <w:left w:val="none" w:sz="0" w:space="0" w:color="auto"/>
            <w:bottom w:val="none" w:sz="0" w:space="0" w:color="auto"/>
            <w:right w:val="none" w:sz="0" w:space="0" w:color="auto"/>
          </w:divBdr>
        </w:div>
        <w:div w:id="1644580759">
          <w:marLeft w:val="0"/>
          <w:marRight w:val="0"/>
          <w:marTop w:val="0"/>
          <w:marBottom w:val="0"/>
          <w:divBdr>
            <w:top w:val="none" w:sz="0" w:space="0" w:color="auto"/>
            <w:left w:val="none" w:sz="0" w:space="0" w:color="auto"/>
            <w:bottom w:val="none" w:sz="0" w:space="0" w:color="auto"/>
            <w:right w:val="none" w:sz="0" w:space="0" w:color="auto"/>
          </w:divBdr>
        </w:div>
        <w:div w:id="1661107837">
          <w:marLeft w:val="0"/>
          <w:marRight w:val="0"/>
          <w:marTop w:val="0"/>
          <w:marBottom w:val="0"/>
          <w:divBdr>
            <w:top w:val="none" w:sz="0" w:space="0" w:color="auto"/>
            <w:left w:val="none" w:sz="0" w:space="0" w:color="auto"/>
            <w:bottom w:val="none" w:sz="0" w:space="0" w:color="auto"/>
            <w:right w:val="none" w:sz="0" w:space="0" w:color="auto"/>
          </w:divBdr>
        </w:div>
        <w:div w:id="762460215">
          <w:marLeft w:val="0"/>
          <w:marRight w:val="0"/>
          <w:marTop w:val="0"/>
          <w:marBottom w:val="0"/>
          <w:divBdr>
            <w:top w:val="none" w:sz="0" w:space="0" w:color="auto"/>
            <w:left w:val="none" w:sz="0" w:space="0" w:color="auto"/>
            <w:bottom w:val="none" w:sz="0" w:space="0" w:color="auto"/>
            <w:right w:val="none" w:sz="0" w:space="0" w:color="auto"/>
          </w:divBdr>
        </w:div>
        <w:div w:id="505704384">
          <w:marLeft w:val="0"/>
          <w:marRight w:val="0"/>
          <w:marTop w:val="0"/>
          <w:marBottom w:val="0"/>
          <w:divBdr>
            <w:top w:val="none" w:sz="0" w:space="0" w:color="auto"/>
            <w:left w:val="none" w:sz="0" w:space="0" w:color="auto"/>
            <w:bottom w:val="none" w:sz="0" w:space="0" w:color="auto"/>
            <w:right w:val="none" w:sz="0" w:space="0" w:color="auto"/>
          </w:divBdr>
        </w:div>
        <w:div w:id="1009529649">
          <w:marLeft w:val="0"/>
          <w:marRight w:val="0"/>
          <w:marTop w:val="0"/>
          <w:marBottom w:val="0"/>
          <w:divBdr>
            <w:top w:val="none" w:sz="0" w:space="0" w:color="auto"/>
            <w:left w:val="none" w:sz="0" w:space="0" w:color="auto"/>
            <w:bottom w:val="none" w:sz="0" w:space="0" w:color="auto"/>
            <w:right w:val="none" w:sz="0" w:space="0" w:color="auto"/>
          </w:divBdr>
        </w:div>
        <w:div w:id="111364939">
          <w:marLeft w:val="0"/>
          <w:marRight w:val="0"/>
          <w:marTop w:val="0"/>
          <w:marBottom w:val="0"/>
          <w:divBdr>
            <w:top w:val="none" w:sz="0" w:space="0" w:color="auto"/>
            <w:left w:val="none" w:sz="0" w:space="0" w:color="auto"/>
            <w:bottom w:val="none" w:sz="0" w:space="0" w:color="auto"/>
            <w:right w:val="none" w:sz="0" w:space="0" w:color="auto"/>
          </w:divBdr>
        </w:div>
        <w:div w:id="461046921">
          <w:marLeft w:val="0"/>
          <w:marRight w:val="0"/>
          <w:marTop w:val="0"/>
          <w:marBottom w:val="0"/>
          <w:divBdr>
            <w:top w:val="none" w:sz="0" w:space="0" w:color="auto"/>
            <w:left w:val="none" w:sz="0" w:space="0" w:color="auto"/>
            <w:bottom w:val="none" w:sz="0" w:space="0" w:color="auto"/>
            <w:right w:val="none" w:sz="0" w:space="0" w:color="auto"/>
          </w:divBdr>
        </w:div>
        <w:div w:id="45837190">
          <w:marLeft w:val="0"/>
          <w:marRight w:val="0"/>
          <w:marTop w:val="0"/>
          <w:marBottom w:val="0"/>
          <w:divBdr>
            <w:top w:val="none" w:sz="0" w:space="0" w:color="auto"/>
            <w:left w:val="none" w:sz="0" w:space="0" w:color="auto"/>
            <w:bottom w:val="none" w:sz="0" w:space="0" w:color="auto"/>
            <w:right w:val="none" w:sz="0" w:space="0" w:color="auto"/>
          </w:divBdr>
        </w:div>
        <w:div w:id="754011426">
          <w:marLeft w:val="0"/>
          <w:marRight w:val="0"/>
          <w:marTop w:val="0"/>
          <w:marBottom w:val="0"/>
          <w:divBdr>
            <w:top w:val="none" w:sz="0" w:space="0" w:color="auto"/>
            <w:left w:val="none" w:sz="0" w:space="0" w:color="auto"/>
            <w:bottom w:val="none" w:sz="0" w:space="0" w:color="auto"/>
            <w:right w:val="none" w:sz="0" w:space="0" w:color="auto"/>
          </w:divBdr>
        </w:div>
        <w:div w:id="504632257">
          <w:marLeft w:val="0"/>
          <w:marRight w:val="0"/>
          <w:marTop w:val="0"/>
          <w:marBottom w:val="0"/>
          <w:divBdr>
            <w:top w:val="none" w:sz="0" w:space="0" w:color="auto"/>
            <w:left w:val="none" w:sz="0" w:space="0" w:color="auto"/>
            <w:bottom w:val="none" w:sz="0" w:space="0" w:color="auto"/>
            <w:right w:val="none" w:sz="0" w:space="0" w:color="auto"/>
          </w:divBdr>
        </w:div>
        <w:div w:id="1904945401">
          <w:marLeft w:val="0"/>
          <w:marRight w:val="0"/>
          <w:marTop w:val="0"/>
          <w:marBottom w:val="0"/>
          <w:divBdr>
            <w:top w:val="none" w:sz="0" w:space="0" w:color="auto"/>
            <w:left w:val="none" w:sz="0" w:space="0" w:color="auto"/>
            <w:bottom w:val="none" w:sz="0" w:space="0" w:color="auto"/>
            <w:right w:val="none" w:sz="0" w:space="0" w:color="auto"/>
          </w:divBdr>
        </w:div>
        <w:div w:id="1618105004">
          <w:marLeft w:val="0"/>
          <w:marRight w:val="0"/>
          <w:marTop w:val="0"/>
          <w:marBottom w:val="0"/>
          <w:divBdr>
            <w:top w:val="none" w:sz="0" w:space="0" w:color="auto"/>
            <w:left w:val="none" w:sz="0" w:space="0" w:color="auto"/>
            <w:bottom w:val="none" w:sz="0" w:space="0" w:color="auto"/>
            <w:right w:val="none" w:sz="0" w:space="0" w:color="auto"/>
          </w:divBdr>
        </w:div>
        <w:div w:id="724795264">
          <w:marLeft w:val="0"/>
          <w:marRight w:val="0"/>
          <w:marTop w:val="0"/>
          <w:marBottom w:val="0"/>
          <w:divBdr>
            <w:top w:val="none" w:sz="0" w:space="0" w:color="auto"/>
            <w:left w:val="none" w:sz="0" w:space="0" w:color="auto"/>
            <w:bottom w:val="none" w:sz="0" w:space="0" w:color="auto"/>
            <w:right w:val="none" w:sz="0" w:space="0" w:color="auto"/>
          </w:divBdr>
        </w:div>
        <w:div w:id="199630983">
          <w:marLeft w:val="0"/>
          <w:marRight w:val="0"/>
          <w:marTop w:val="0"/>
          <w:marBottom w:val="0"/>
          <w:divBdr>
            <w:top w:val="none" w:sz="0" w:space="0" w:color="auto"/>
            <w:left w:val="none" w:sz="0" w:space="0" w:color="auto"/>
            <w:bottom w:val="none" w:sz="0" w:space="0" w:color="auto"/>
            <w:right w:val="none" w:sz="0" w:space="0" w:color="auto"/>
          </w:divBdr>
        </w:div>
        <w:div w:id="1871450959">
          <w:marLeft w:val="0"/>
          <w:marRight w:val="0"/>
          <w:marTop w:val="0"/>
          <w:marBottom w:val="0"/>
          <w:divBdr>
            <w:top w:val="none" w:sz="0" w:space="0" w:color="auto"/>
            <w:left w:val="none" w:sz="0" w:space="0" w:color="auto"/>
            <w:bottom w:val="none" w:sz="0" w:space="0" w:color="auto"/>
            <w:right w:val="none" w:sz="0" w:space="0" w:color="auto"/>
          </w:divBdr>
        </w:div>
        <w:div w:id="1230572931">
          <w:marLeft w:val="0"/>
          <w:marRight w:val="0"/>
          <w:marTop w:val="0"/>
          <w:marBottom w:val="0"/>
          <w:divBdr>
            <w:top w:val="none" w:sz="0" w:space="0" w:color="auto"/>
            <w:left w:val="none" w:sz="0" w:space="0" w:color="auto"/>
            <w:bottom w:val="none" w:sz="0" w:space="0" w:color="auto"/>
            <w:right w:val="none" w:sz="0" w:space="0" w:color="auto"/>
          </w:divBdr>
        </w:div>
        <w:div w:id="1923296252">
          <w:marLeft w:val="0"/>
          <w:marRight w:val="0"/>
          <w:marTop w:val="0"/>
          <w:marBottom w:val="0"/>
          <w:divBdr>
            <w:top w:val="none" w:sz="0" w:space="0" w:color="auto"/>
            <w:left w:val="none" w:sz="0" w:space="0" w:color="auto"/>
            <w:bottom w:val="none" w:sz="0" w:space="0" w:color="auto"/>
            <w:right w:val="none" w:sz="0" w:space="0" w:color="auto"/>
          </w:divBdr>
        </w:div>
        <w:div w:id="1982541417">
          <w:marLeft w:val="0"/>
          <w:marRight w:val="0"/>
          <w:marTop w:val="0"/>
          <w:marBottom w:val="0"/>
          <w:divBdr>
            <w:top w:val="none" w:sz="0" w:space="0" w:color="auto"/>
            <w:left w:val="none" w:sz="0" w:space="0" w:color="auto"/>
            <w:bottom w:val="none" w:sz="0" w:space="0" w:color="auto"/>
            <w:right w:val="none" w:sz="0" w:space="0" w:color="auto"/>
          </w:divBdr>
        </w:div>
        <w:div w:id="1988052293">
          <w:marLeft w:val="0"/>
          <w:marRight w:val="0"/>
          <w:marTop w:val="0"/>
          <w:marBottom w:val="0"/>
          <w:divBdr>
            <w:top w:val="none" w:sz="0" w:space="0" w:color="auto"/>
            <w:left w:val="none" w:sz="0" w:space="0" w:color="auto"/>
            <w:bottom w:val="none" w:sz="0" w:space="0" w:color="auto"/>
            <w:right w:val="none" w:sz="0" w:space="0" w:color="auto"/>
          </w:divBdr>
        </w:div>
        <w:div w:id="2076512435">
          <w:marLeft w:val="0"/>
          <w:marRight w:val="0"/>
          <w:marTop w:val="0"/>
          <w:marBottom w:val="0"/>
          <w:divBdr>
            <w:top w:val="none" w:sz="0" w:space="0" w:color="auto"/>
            <w:left w:val="none" w:sz="0" w:space="0" w:color="auto"/>
            <w:bottom w:val="none" w:sz="0" w:space="0" w:color="auto"/>
            <w:right w:val="none" w:sz="0" w:space="0" w:color="auto"/>
          </w:divBdr>
        </w:div>
        <w:div w:id="579409538">
          <w:marLeft w:val="0"/>
          <w:marRight w:val="0"/>
          <w:marTop w:val="0"/>
          <w:marBottom w:val="0"/>
          <w:divBdr>
            <w:top w:val="none" w:sz="0" w:space="0" w:color="auto"/>
            <w:left w:val="none" w:sz="0" w:space="0" w:color="auto"/>
            <w:bottom w:val="none" w:sz="0" w:space="0" w:color="auto"/>
            <w:right w:val="none" w:sz="0" w:space="0" w:color="auto"/>
          </w:divBdr>
        </w:div>
        <w:div w:id="308096736">
          <w:marLeft w:val="0"/>
          <w:marRight w:val="0"/>
          <w:marTop w:val="0"/>
          <w:marBottom w:val="0"/>
          <w:divBdr>
            <w:top w:val="none" w:sz="0" w:space="0" w:color="auto"/>
            <w:left w:val="none" w:sz="0" w:space="0" w:color="auto"/>
            <w:bottom w:val="none" w:sz="0" w:space="0" w:color="auto"/>
            <w:right w:val="none" w:sz="0" w:space="0" w:color="auto"/>
          </w:divBdr>
        </w:div>
        <w:div w:id="1283879333">
          <w:marLeft w:val="0"/>
          <w:marRight w:val="0"/>
          <w:marTop w:val="0"/>
          <w:marBottom w:val="0"/>
          <w:divBdr>
            <w:top w:val="none" w:sz="0" w:space="0" w:color="auto"/>
            <w:left w:val="none" w:sz="0" w:space="0" w:color="auto"/>
            <w:bottom w:val="none" w:sz="0" w:space="0" w:color="auto"/>
            <w:right w:val="none" w:sz="0" w:space="0" w:color="auto"/>
          </w:divBdr>
        </w:div>
        <w:div w:id="2006130898">
          <w:marLeft w:val="0"/>
          <w:marRight w:val="0"/>
          <w:marTop w:val="0"/>
          <w:marBottom w:val="0"/>
          <w:divBdr>
            <w:top w:val="none" w:sz="0" w:space="0" w:color="auto"/>
            <w:left w:val="none" w:sz="0" w:space="0" w:color="auto"/>
            <w:bottom w:val="none" w:sz="0" w:space="0" w:color="auto"/>
            <w:right w:val="none" w:sz="0" w:space="0" w:color="auto"/>
          </w:divBdr>
        </w:div>
        <w:div w:id="995260869">
          <w:marLeft w:val="0"/>
          <w:marRight w:val="0"/>
          <w:marTop w:val="0"/>
          <w:marBottom w:val="0"/>
          <w:divBdr>
            <w:top w:val="none" w:sz="0" w:space="0" w:color="auto"/>
            <w:left w:val="none" w:sz="0" w:space="0" w:color="auto"/>
            <w:bottom w:val="none" w:sz="0" w:space="0" w:color="auto"/>
            <w:right w:val="none" w:sz="0" w:space="0" w:color="auto"/>
          </w:divBdr>
        </w:div>
        <w:div w:id="650910173">
          <w:marLeft w:val="0"/>
          <w:marRight w:val="0"/>
          <w:marTop w:val="0"/>
          <w:marBottom w:val="0"/>
          <w:divBdr>
            <w:top w:val="none" w:sz="0" w:space="0" w:color="auto"/>
            <w:left w:val="none" w:sz="0" w:space="0" w:color="auto"/>
            <w:bottom w:val="none" w:sz="0" w:space="0" w:color="auto"/>
            <w:right w:val="none" w:sz="0" w:space="0" w:color="auto"/>
          </w:divBdr>
        </w:div>
        <w:div w:id="1188367486">
          <w:marLeft w:val="0"/>
          <w:marRight w:val="0"/>
          <w:marTop w:val="0"/>
          <w:marBottom w:val="0"/>
          <w:divBdr>
            <w:top w:val="none" w:sz="0" w:space="0" w:color="auto"/>
            <w:left w:val="none" w:sz="0" w:space="0" w:color="auto"/>
            <w:bottom w:val="none" w:sz="0" w:space="0" w:color="auto"/>
            <w:right w:val="none" w:sz="0" w:space="0" w:color="auto"/>
          </w:divBdr>
        </w:div>
        <w:div w:id="1356469056">
          <w:marLeft w:val="0"/>
          <w:marRight w:val="0"/>
          <w:marTop w:val="0"/>
          <w:marBottom w:val="0"/>
          <w:divBdr>
            <w:top w:val="none" w:sz="0" w:space="0" w:color="auto"/>
            <w:left w:val="none" w:sz="0" w:space="0" w:color="auto"/>
            <w:bottom w:val="none" w:sz="0" w:space="0" w:color="auto"/>
            <w:right w:val="none" w:sz="0" w:space="0" w:color="auto"/>
          </w:divBdr>
        </w:div>
        <w:div w:id="424300624">
          <w:marLeft w:val="0"/>
          <w:marRight w:val="0"/>
          <w:marTop w:val="0"/>
          <w:marBottom w:val="0"/>
          <w:divBdr>
            <w:top w:val="none" w:sz="0" w:space="0" w:color="auto"/>
            <w:left w:val="none" w:sz="0" w:space="0" w:color="auto"/>
            <w:bottom w:val="none" w:sz="0" w:space="0" w:color="auto"/>
            <w:right w:val="none" w:sz="0" w:space="0" w:color="auto"/>
          </w:divBdr>
        </w:div>
        <w:div w:id="990791041">
          <w:marLeft w:val="0"/>
          <w:marRight w:val="0"/>
          <w:marTop w:val="0"/>
          <w:marBottom w:val="0"/>
          <w:divBdr>
            <w:top w:val="none" w:sz="0" w:space="0" w:color="auto"/>
            <w:left w:val="none" w:sz="0" w:space="0" w:color="auto"/>
            <w:bottom w:val="none" w:sz="0" w:space="0" w:color="auto"/>
            <w:right w:val="none" w:sz="0" w:space="0" w:color="auto"/>
          </w:divBdr>
        </w:div>
        <w:div w:id="1899197296">
          <w:marLeft w:val="0"/>
          <w:marRight w:val="0"/>
          <w:marTop w:val="0"/>
          <w:marBottom w:val="0"/>
          <w:divBdr>
            <w:top w:val="none" w:sz="0" w:space="0" w:color="auto"/>
            <w:left w:val="none" w:sz="0" w:space="0" w:color="auto"/>
            <w:bottom w:val="none" w:sz="0" w:space="0" w:color="auto"/>
            <w:right w:val="none" w:sz="0" w:space="0" w:color="auto"/>
          </w:divBdr>
        </w:div>
        <w:div w:id="825588404">
          <w:marLeft w:val="0"/>
          <w:marRight w:val="0"/>
          <w:marTop w:val="0"/>
          <w:marBottom w:val="0"/>
          <w:divBdr>
            <w:top w:val="none" w:sz="0" w:space="0" w:color="auto"/>
            <w:left w:val="none" w:sz="0" w:space="0" w:color="auto"/>
            <w:bottom w:val="none" w:sz="0" w:space="0" w:color="auto"/>
            <w:right w:val="none" w:sz="0" w:space="0" w:color="auto"/>
          </w:divBdr>
        </w:div>
        <w:div w:id="1790926672">
          <w:marLeft w:val="0"/>
          <w:marRight w:val="0"/>
          <w:marTop w:val="0"/>
          <w:marBottom w:val="0"/>
          <w:divBdr>
            <w:top w:val="none" w:sz="0" w:space="0" w:color="auto"/>
            <w:left w:val="none" w:sz="0" w:space="0" w:color="auto"/>
            <w:bottom w:val="none" w:sz="0" w:space="0" w:color="auto"/>
            <w:right w:val="none" w:sz="0" w:space="0" w:color="auto"/>
          </w:divBdr>
        </w:div>
        <w:div w:id="694232933">
          <w:marLeft w:val="0"/>
          <w:marRight w:val="0"/>
          <w:marTop w:val="0"/>
          <w:marBottom w:val="0"/>
          <w:divBdr>
            <w:top w:val="none" w:sz="0" w:space="0" w:color="auto"/>
            <w:left w:val="none" w:sz="0" w:space="0" w:color="auto"/>
            <w:bottom w:val="none" w:sz="0" w:space="0" w:color="auto"/>
            <w:right w:val="none" w:sz="0" w:space="0" w:color="auto"/>
          </w:divBdr>
        </w:div>
        <w:div w:id="1788429684">
          <w:marLeft w:val="0"/>
          <w:marRight w:val="0"/>
          <w:marTop w:val="0"/>
          <w:marBottom w:val="0"/>
          <w:divBdr>
            <w:top w:val="none" w:sz="0" w:space="0" w:color="auto"/>
            <w:left w:val="none" w:sz="0" w:space="0" w:color="auto"/>
            <w:bottom w:val="none" w:sz="0" w:space="0" w:color="auto"/>
            <w:right w:val="none" w:sz="0" w:space="0" w:color="auto"/>
          </w:divBdr>
        </w:div>
        <w:div w:id="234050769">
          <w:marLeft w:val="0"/>
          <w:marRight w:val="0"/>
          <w:marTop w:val="0"/>
          <w:marBottom w:val="0"/>
          <w:divBdr>
            <w:top w:val="none" w:sz="0" w:space="0" w:color="auto"/>
            <w:left w:val="none" w:sz="0" w:space="0" w:color="auto"/>
            <w:bottom w:val="none" w:sz="0" w:space="0" w:color="auto"/>
            <w:right w:val="none" w:sz="0" w:space="0" w:color="auto"/>
          </w:divBdr>
        </w:div>
        <w:div w:id="2048408417">
          <w:marLeft w:val="0"/>
          <w:marRight w:val="0"/>
          <w:marTop w:val="0"/>
          <w:marBottom w:val="0"/>
          <w:divBdr>
            <w:top w:val="none" w:sz="0" w:space="0" w:color="auto"/>
            <w:left w:val="none" w:sz="0" w:space="0" w:color="auto"/>
            <w:bottom w:val="none" w:sz="0" w:space="0" w:color="auto"/>
            <w:right w:val="none" w:sz="0" w:space="0" w:color="auto"/>
          </w:divBdr>
        </w:div>
        <w:div w:id="389808709">
          <w:marLeft w:val="0"/>
          <w:marRight w:val="0"/>
          <w:marTop w:val="0"/>
          <w:marBottom w:val="0"/>
          <w:divBdr>
            <w:top w:val="none" w:sz="0" w:space="0" w:color="auto"/>
            <w:left w:val="none" w:sz="0" w:space="0" w:color="auto"/>
            <w:bottom w:val="none" w:sz="0" w:space="0" w:color="auto"/>
            <w:right w:val="none" w:sz="0" w:space="0" w:color="auto"/>
          </w:divBdr>
        </w:div>
        <w:div w:id="552733951">
          <w:marLeft w:val="0"/>
          <w:marRight w:val="0"/>
          <w:marTop w:val="0"/>
          <w:marBottom w:val="0"/>
          <w:divBdr>
            <w:top w:val="none" w:sz="0" w:space="0" w:color="auto"/>
            <w:left w:val="none" w:sz="0" w:space="0" w:color="auto"/>
            <w:bottom w:val="none" w:sz="0" w:space="0" w:color="auto"/>
            <w:right w:val="none" w:sz="0" w:space="0" w:color="auto"/>
          </w:divBdr>
        </w:div>
        <w:div w:id="816804202">
          <w:marLeft w:val="0"/>
          <w:marRight w:val="0"/>
          <w:marTop w:val="0"/>
          <w:marBottom w:val="0"/>
          <w:divBdr>
            <w:top w:val="none" w:sz="0" w:space="0" w:color="auto"/>
            <w:left w:val="none" w:sz="0" w:space="0" w:color="auto"/>
            <w:bottom w:val="none" w:sz="0" w:space="0" w:color="auto"/>
            <w:right w:val="none" w:sz="0" w:space="0" w:color="auto"/>
          </w:divBdr>
        </w:div>
        <w:div w:id="746195095">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0244160">
      <w:bodyDiv w:val="1"/>
      <w:marLeft w:val="0"/>
      <w:marRight w:val="0"/>
      <w:marTop w:val="0"/>
      <w:marBottom w:val="0"/>
      <w:divBdr>
        <w:top w:val="none" w:sz="0" w:space="0" w:color="auto"/>
        <w:left w:val="none" w:sz="0" w:space="0" w:color="auto"/>
        <w:bottom w:val="none" w:sz="0" w:space="0" w:color="auto"/>
        <w:right w:val="none" w:sz="0" w:space="0" w:color="auto"/>
      </w:divBdr>
      <w:divsChild>
        <w:div w:id="272368276">
          <w:marLeft w:val="0"/>
          <w:marRight w:val="0"/>
          <w:marTop w:val="0"/>
          <w:marBottom w:val="0"/>
          <w:divBdr>
            <w:top w:val="none" w:sz="0" w:space="0" w:color="auto"/>
            <w:left w:val="none" w:sz="0" w:space="0" w:color="auto"/>
            <w:bottom w:val="none" w:sz="0" w:space="0" w:color="auto"/>
            <w:right w:val="none" w:sz="0" w:space="0" w:color="auto"/>
          </w:divBdr>
        </w:div>
        <w:div w:id="1714501208">
          <w:marLeft w:val="0"/>
          <w:marRight w:val="0"/>
          <w:marTop w:val="0"/>
          <w:marBottom w:val="0"/>
          <w:divBdr>
            <w:top w:val="none" w:sz="0" w:space="0" w:color="auto"/>
            <w:left w:val="none" w:sz="0" w:space="0" w:color="auto"/>
            <w:bottom w:val="none" w:sz="0" w:space="0" w:color="auto"/>
            <w:right w:val="none" w:sz="0" w:space="0" w:color="auto"/>
          </w:divBdr>
        </w:div>
        <w:div w:id="1794012671">
          <w:marLeft w:val="0"/>
          <w:marRight w:val="0"/>
          <w:marTop w:val="0"/>
          <w:marBottom w:val="0"/>
          <w:divBdr>
            <w:top w:val="none" w:sz="0" w:space="0" w:color="auto"/>
            <w:left w:val="none" w:sz="0" w:space="0" w:color="auto"/>
            <w:bottom w:val="none" w:sz="0" w:space="0" w:color="auto"/>
            <w:right w:val="none" w:sz="0" w:space="0" w:color="auto"/>
          </w:divBdr>
        </w:div>
        <w:div w:id="1795711888">
          <w:marLeft w:val="0"/>
          <w:marRight w:val="0"/>
          <w:marTop w:val="0"/>
          <w:marBottom w:val="0"/>
          <w:divBdr>
            <w:top w:val="none" w:sz="0" w:space="0" w:color="auto"/>
            <w:left w:val="none" w:sz="0" w:space="0" w:color="auto"/>
            <w:bottom w:val="none" w:sz="0" w:space="0" w:color="auto"/>
            <w:right w:val="none" w:sz="0" w:space="0" w:color="auto"/>
          </w:divBdr>
        </w:div>
        <w:div w:id="967667451">
          <w:marLeft w:val="0"/>
          <w:marRight w:val="0"/>
          <w:marTop w:val="0"/>
          <w:marBottom w:val="0"/>
          <w:divBdr>
            <w:top w:val="none" w:sz="0" w:space="0" w:color="auto"/>
            <w:left w:val="none" w:sz="0" w:space="0" w:color="auto"/>
            <w:bottom w:val="none" w:sz="0" w:space="0" w:color="auto"/>
            <w:right w:val="none" w:sz="0" w:space="0" w:color="auto"/>
          </w:divBdr>
        </w:div>
        <w:div w:id="1283263243">
          <w:marLeft w:val="0"/>
          <w:marRight w:val="0"/>
          <w:marTop w:val="0"/>
          <w:marBottom w:val="0"/>
          <w:divBdr>
            <w:top w:val="none" w:sz="0" w:space="0" w:color="auto"/>
            <w:left w:val="none" w:sz="0" w:space="0" w:color="auto"/>
            <w:bottom w:val="none" w:sz="0" w:space="0" w:color="auto"/>
            <w:right w:val="none" w:sz="0" w:space="0" w:color="auto"/>
          </w:divBdr>
        </w:div>
        <w:div w:id="542668920">
          <w:marLeft w:val="0"/>
          <w:marRight w:val="0"/>
          <w:marTop w:val="0"/>
          <w:marBottom w:val="0"/>
          <w:divBdr>
            <w:top w:val="none" w:sz="0" w:space="0" w:color="auto"/>
            <w:left w:val="none" w:sz="0" w:space="0" w:color="auto"/>
            <w:bottom w:val="none" w:sz="0" w:space="0" w:color="auto"/>
            <w:right w:val="none" w:sz="0" w:space="0" w:color="auto"/>
          </w:divBdr>
        </w:div>
        <w:div w:id="1304238837">
          <w:marLeft w:val="0"/>
          <w:marRight w:val="0"/>
          <w:marTop w:val="0"/>
          <w:marBottom w:val="0"/>
          <w:divBdr>
            <w:top w:val="none" w:sz="0" w:space="0" w:color="auto"/>
            <w:left w:val="none" w:sz="0" w:space="0" w:color="auto"/>
            <w:bottom w:val="none" w:sz="0" w:space="0" w:color="auto"/>
            <w:right w:val="none" w:sz="0" w:space="0" w:color="auto"/>
          </w:divBdr>
        </w:div>
        <w:div w:id="958032870">
          <w:marLeft w:val="0"/>
          <w:marRight w:val="0"/>
          <w:marTop w:val="0"/>
          <w:marBottom w:val="0"/>
          <w:divBdr>
            <w:top w:val="none" w:sz="0" w:space="0" w:color="auto"/>
            <w:left w:val="none" w:sz="0" w:space="0" w:color="auto"/>
            <w:bottom w:val="none" w:sz="0" w:space="0" w:color="auto"/>
            <w:right w:val="none" w:sz="0" w:space="0" w:color="auto"/>
          </w:divBdr>
        </w:div>
        <w:div w:id="1893803921">
          <w:marLeft w:val="0"/>
          <w:marRight w:val="0"/>
          <w:marTop w:val="0"/>
          <w:marBottom w:val="0"/>
          <w:divBdr>
            <w:top w:val="none" w:sz="0" w:space="0" w:color="auto"/>
            <w:left w:val="none" w:sz="0" w:space="0" w:color="auto"/>
            <w:bottom w:val="none" w:sz="0" w:space="0" w:color="auto"/>
            <w:right w:val="none" w:sz="0" w:space="0" w:color="auto"/>
          </w:divBdr>
        </w:div>
        <w:div w:id="2074889652">
          <w:marLeft w:val="0"/>
          <w:marRight w:val="0"/>
          <w:marTop w:val="0"/>
          <w:marBottom w:val="0"/>
          <w:divBdr>
            <w:top w:val="none" w:sz="0" w:space="0" w:color="auto"/>
            <w:left w:val="none" w:sz="0" w:space="0" w:color="auto"/>
            <w:bottom w:val="none" w:sz="0" w:space="0" w:color="auto"/>
            <w:right w:val="none" w:sz="0" w:space="0" w:color="auto"/>
          </w:divBdr>
        </w:div>
        <w:div w:id="96026898">
          <w:marLeft w:val="0"/>
          <w:marRight w:val="0"/>
          <w:marTop w:val="0"/>
          <w:marBottom w:val="0"/>
          <w:divBdr>
            <w:top w:val="none" w:sz="0" w:space="0" w:color="auto"/>
            <w:left w:val="none" w:sz="0" w:space="0" w:color="auto"/>
            <w:bottom w:val="none" w:sz="0" w:space="0" w:color="auto"/>
            <w:right w:val="none" w:sz="0" w:space="0" w:color="auto"/>
          </w:divBdr>
        </w:div>
        <w:div w:id="1742096564">
          <w:marLeft w:val="0"/>
          <w:marRight w:val="0"/>
          <w:marTop w:val="0"/>
          <w:marBottom w:val="0"/>
          <w:divBdr>
            <w:top w:val="none" w:sz="0" w:space="0" w:color="auto"/>
            <w:left w:val="none" w:sz="0" w:space="0" w:color="auto"/>
            <w:bottom w:val="none" w:sz="0" w:space="0" w:color="auto"/>
            <w:right w:val="none" w:sz="0" w:space="0" w:color="auto"/>
          </w:divBdr>
        </w:div>
        <w:div w:id="1006978637">
          <w:marLeft w:val="0"/>
          <w:marRight w:val="0"/>
          <w:marTop w:val="0"/>
          <w:marBottom w:val="0"/>
          <w:divBdr>
            <w:top w:val="none" w:sz="0" w:space="0" w:color="auto"/>
            <w:left w:val="none" w:sz="0" w:space="0" w:color="auto"/>
            <w:bottom w:val="none" w:sz="0" w:space="0" w:color="auto"/>
            <w:right w:val="none" w:sz="0" w:space="0" w:color="auto"/>
          </w:divBdr>
        </w:div>
        <w:div w:id="387457233">
          <w:marLeft w:val="0"/>
          <w:marRight w:val="0"/>
          <w:marTop w:val="0"/>
          <w:marBottom w:val="0"/>
          <w:divBdr>
            <w:top w:val="none" w:sz="0" w:space="0" w:color="auto"/>
            <w:left w:val="none" w:sz="0" w:space="0" w:color="auto"/>
            <w:bottom w:val="none" w:sz="0" w:space="0" w:color="auto"/>
            <w:right w:val="none" w:sz="0" w:space="0" w:color="auto"/>
          </w:divBdr>
        </w:div>
        <w:div w:id="2084445541">
          <w:marLeft w:val="0"/>
          <w:marRight w:val="0"/>
          <w:marTop w:val="0"/>
          <w:marBottom w:val="0"/>
          <w:divBdr>
            <w:top w:val="none" w:sz="0" w:space="0" w:color="auto"/>
            <w:left w:val="none" w:sz="0" w:space="0" w:color="auto"/>
            <w:bottom w:val="none" w:sz="0" w:space="0" w:color="auto"/>
            <w:right w:val="none" w:sz="0" w:space="0" w:color="auto"/>
          </w:divBdr>
        </w:div>
        <w:div w:id="1061488961">
          <w:marLeft w:val="0"/>
          <w:marRight w:val="0"/>
          <w:marTop w:val="0"/>
          <w:marBottom w:val="0"/>
          <w:divBdr>
            <w:top w:val="none" w:sz="0" w:space="0" w:color="auto"/>
            <w:left w:val="none" w:sz="0" w:space="0" w:color="auto"/>
            <w:bottom w:val="none" w:sz="0" w:space="0" w:color="auto"/>
            <w:right w:val="none" w:sz="0" w:space="0" w:color="auto"/>
          </w:divBdr>
        </w:div>
        <w:div w:id="237831543">
          <w:marLeft w:val="0"/>
          <w:marRight w:val="0"/>
          <w:marTop w:val="0"/>
          <w:marBottom w:val="0"/>
          <w:divBdr>
            <w:top w:val="none" w:sz="0" w:space="0" w:color="auto"/>
            <w:left w:val="none" w:sz="0" w:space="0" w:color="auto"/>
            <w:bottom w:val="none" w:sz="0" w:space="0" w:color="auto"/>
            <w:right w:val="none" w:sz="0" w:space="0" w:color="auto"/>
          </w:divBdr>
        </w:div>
        <w:div w:id="735788451">
          <w:marLeft w:val="0"/>
          <w:marRight w:val="0"/>
          <w:marTop w:val="0"/>
          <w:marBottom w:val="0"/>
          <w:divBdr>
            <w:top w:val="none" w:sz="0" w:space="0" w:color="auto"/>
            <w:left w:val="none" w:sz="0" w:space="0" w:color="auto"/>
            <w:bottom w:val="none" w:sz="0" w:space="0" w:color="auto"/>
            <w:right w:val="none" w:sz="0" w:space="0" w:color="auto"/>
          </w:divBdr>
        </w:div>
        <w:div w:id="1113785288">
          <w:marLeft w:val="0"/>
          <w:marRight w:val="0"/>
          <w:marTop w:val="0"/>
          <w:marBottom w:val="0"/>
          <w:divBdr>
            <w:top w:val="none" w:sz="0" w:space="0" w:color="auto"/>
            <w:left w:val="none" w:sz="0" w:space="0" w:color="auto"/>
            <w:bottom w:val="none" w:sz="0" w:space="0" w:color="auto"/>
            <w:right w:val="none" w:sz="0" w:space="0" w:color="auto"/>
          </w:divBdr>
        </w:div>
        <w:div w:id="208881536">
          <w:marLeft w:val="0"/>
          <w:marRight w:val="0"/>
          <w:marTop w:val="0"/>
          <w:marBottom w:val="0"/>
          <w:divBdr>
            <w:top w:val="none" w:sz="0" w:space="0" w:color="auto"/>
            <w:left w:val="none" w:sz="0" w:space="0" w:color="auto"/>
            <w:bottom w:val="none" w:sz="0" w:space="0" w:color="auto"/>
            <w:right w:val="none" w:sz="0" w:space="0" w:color="auto"/>
          </w:divBdr>
        </w:div>
        <w:div w:id="179122725">
          <w:marLeft w:val="0"/>
          <w:marRight w:val="0"/>
          <w:marTop w:val="0"/>
          <w:marBottom w:val="0"/>
          <w:divBdr>
            <w:top w:val="none" w:sz="0" w:space="0" w:color="auto"/>
            <w:left w:val="none" w:sz="0" w:space="0" w:color="auto"/>
            <w:bottom w:val="none" w:sz="0" w:space="0" w:color="auto"/>
            <w:right w:val="none" w:sz="0" w:space="0" w:color="auto"/>
          </w:divBdr>
        </w:div>
        <w:div w:id="1226840925">
          <w:marLeft w:val="0"/>
          <w:marRight w:val="0"/>
          <w:marTop w:val="0"/>
          <w:marBottom w:val="0"/>
          <w:divBdr>
            <w:top w:val="none" w:sz="0" w:space="0" w:color="auto"/>
            <w:left w:val="none" w:sz="0" w:space="0" w:color="auto"/>
            <w:bottom w:val="none" w:sz="0" w:space="0" w:color="auto"/>
            <w:right w:val="none" w:sz="0" w:space="0" w:color="auto"/>
          </w:divBdr>
        </w:div>
        <w:div w:id="1310592815">
          <w:marLeft w:val="0"/>
          <w:marRight w:val="0"/>
          <w:marTop w:val="0"/>
          <w:marBottom w:val="0"/>
          <w:divBdr>
            <w:top w:val="none" w:sz="0" w:space="0" w:color="auto"/>
            <w:left w:val="none" w:sz="0" w:space="0" w:color="auto"/>
            <w:bottom w:val="none" w:sz="0" w:space="0" w:color="auto"/>
            <w:right w:val="none" w:sz="0" w:space="0" w:color="auto"/>
          </w:divBdr>
        </w:div>
        <w:div w:id="385185649">
          <w:marLeft w:val="0"/>
          <w:marRight w:val="0"/>
          <w:marTop w:val="0"/>
          <w:marBottom w:val="0"/>
          <w:divBdr>
            <w:top w:val="none" w:sz="0" w:space="0" w:color="auto"/>
            <w:left w:val="none" w:sz="0" w:space="0" w:color="auto"/>
            <w:bottom w:val="none" w:sz="0" w:space="0" w:color="auto"/>
            <w:right w:val="none" w:sz="0" w:space="0" w:color="auto"/>
          </w:divBdr>
        </w:div>
        <w:div w:id="1331907799">
          <w:marLeft w:val="0"/>
          <w:marRight w:val="0"/>
          <w:marTop w:val="0"/>
          <w:marBottom w:val="0"/>
          <w:divBdr>
            <w:top w:val="none" w:sz="0" w:space="0" w:color="auto"/>
            <w:left w:val="none" w:sz="0" w:space="0" w:color="auto"/>
            <w:bottom w:val="none" w:sz="0" w:space="0" w:color="auto"/>
            <w:right w:val="none" w:sz="0" w:space="0" w:color="auto"/>
          </w:divBdr>
        </w:div>
        <w:div w:id="26831775">
          <w:marLeft w:val="0"/>
          <w:marRight w:val="0"/>
          <w:marTop w:val="0"/>
          <w:marBottom w:val="0"/>
          <w:divBdr>
            <w:top w:val="none" w:sz="0" w:space="0" w:color="auto"/>
            <w:left w:val="none" w:sz="0" w:space="0" w:color="auto"/>
            <w:bottom w:val="none" w:sz="0" w:space="0" w:color="auto"/>
            <w:right w:val="none" w:sz="0" w:space="0" w:color="auto"/>
          </w:divBdr>
        </w:div>
        <w:div w:id="1494956877">
          <w:marLeft w:val="0"/>
          <w:marRight w:val="0"/>
          <w:marTop w:val="0"/>
          <w:marBottom w:val="0"/>
          <w:divBdr>
            <w:top w:val="none" w:sz="0" w:space="0" w:color="auto"/>
            <w:left w:val="none" w:sz="0" w:space="0" w:color="auto"/>
            <w:bottom w:val="none" w:sz="0" w:space="0" w:color="auto"/>
            <w:right w:val="none" w:sz="0" w:space="0" w:color="auto"/>
          </w:divBdr>
        </w:div>
        <w:div w:id="384988071">
          <w:marLeft w:val="0"/>
          <w:marRight w:val="0"/>
          <w:marTop w:val="0"/>
          <w:marBottom w:val="0"/>
          <w:divBdr>
            <w:top w:val="none" w:sz="0" w:space="0" w:color="auto"/>
            <w:left w:val="none" w:sz="0" w:space="0" w:color="auto"/>
            <w:bottom w:val="none" w:sz="0" w:space="0" w:color="auto"/>
            <w:right w:val="none" w:sz="0" w:space="0" w:color="auto"/>
          </w:divBdr>
        </w:div>
        <w:div w:id="1867909691">
          <w:marLeft w:val="0"/>
          <w:marRight w:val="0"/>
          <w:marTop w:val="0"/>
          <w:marBottom w:val="0"/>
          <w:divBdr>
            <w:top w:val="none" w:sz="0" w:space="0" w:color="auto"/>
            <w:left w:val="none" w:sz="0" w:space="0" w:color="auto"/>
            <w:bottom w:val="none" w:sz="0" w:space="0" w:color="auto"/>
            <w:right w:val="none" w:sz="0" w:space="0" w:color="auto"/>
          </w:divBdr>
        </w:div>
        <w:div w:id="79913787">
          <w:marLeft w:val="0"/>
          <w:marRight w:val="0"/>
          <w:marTop w:val="0"/>
          <w:marBottom w:val="0"/>
          <w:divBdr>
            <w:top w:val="none" w:sz="0" w:space="0" w:color="auto"/>
            <w:left w:val="none" w:sz="0" w:space="0" w:color="auto"/>
            <w:bottom w:val="none" w:sz="0" w:space="0" w:color="auto"/>
            <w:right w:val="none" w:sz="0" w:space="0" w:color="auto"/>
          </w:divBdr>
        </w:div>
        <w:div w:id="2100440265">
          <w:marLeft w:val="0"/>
          <w:marRight w:val="0"/>
          <w:marTop w:val="0"/>
          <w:marBottom w:val="0"/>
          <w:divBdr>
            <w:top w:val="none" w:sz="0" w:space="0" w:color="auto"/>
            <w:left w:val="none" w:sz="0" w:space="0" w:color="auto"/>
            <w:bottom w:val="none" w:sz="0" w:space="0" w:color="auto"/>
            <w:right w:val="none" w:sz="0" w:space="0" w:color="auto"/>
          </w:divBdr>
        </w:div>
        <w:div w:id="955525264">
          <w:marLeft w:val="0"/>
          <w:marRight w:val="0"/>
          <w:marTop w:val="0"/>
          <w:marBottom w:val="0"/>
          <w:divBdr>
            <w:top w:val="none" w:sz="0" w:space="0" w:color="auto"/>
            <w:left w:val="none" w:sz="0" w:space="0" w:color="auto"/>
            <w:bottom w:val="none" w:sz="0" w:space="0" w:color="auto"/>
            <w:right w:val="none" w:sz="0" w:space="0" w:color="auto"/>
          </w:divBdr>
        </w:div>
        <w:div w:id="716123934">
          <w:marLeft w:val="0"/>
          <w:marRight w:val="0"/>
          <w:marTop w:val="0"/>
          <w:marBottom w:val="0"/>
          <w:divBdr>
            <w:top w:val="none" w:sz="0" w:space="0" w:color="auto"/>
            <w:left w:val="none" w:sz="0" w:space="0" w:color="auto"/>
            <w:bottom w:val="none" w:sz="0" w:space="0" w:color="auto"/>
            <w:right w:val="none" w:sz="0" w:space="0" w:color="auto"/>
          </w:divBdr>
        </w:div>
        <w:div w:id="974022899">
          <w:marLeft w:val="0"/>
          <w:marRight w:val="0"/>
          <w:marTop w:val="0"/>
          <w:marBottom w:val="0"/>
          <w:divBdr>
            <w:top w:val="none" w:sz="0" w:space="0" w:color="auto"/>
            <w:left w:val="none" w:sz="0" w:space="0" w:color="auto"/>
            <w:bottom w:val="none" w:sz="0" w:space="0" w:color="auto"/>
            <w:right w:val="none" w:sz="0" w:space="0" w:color="auto"/>
          </w:divBdr>
        </w:div>
        <w:div w:id="1511144638">
          <w:marLeft w:val="0"/>
          <w:marRight w:val="0"/>
          <w:marTop w:val="0"/>
          <w:marBottom w:val="0"/>
          <w:divBdr>
            <w:top w:val="none" w:sz="0" w:space="0" w:color="auto"/>
            <w:left w:val="none" w:sz="0" w:space="0" w:color="auto"/>
            <w:bottom w:val="none" w:sz="0" w:space="0" w:color="auto"/>
            <w:right w:val="none" w:sz="0" w:space="0" w:color="auto"/>
          </w:divBdr>
        </w:div>
        <w:div w:id="1878741216">
          <w:marLeft w:val="0"/>
          <w:marRight w:val="0"/>
          <w:marTop w:val="0"/>
          <w:marBottom w:val="0"/>
          <w:divBdr>
            <w:top w:val="none" w:sz="0" w:space="0" w:color="auto"/>
            <w:left w:val="none" w:sz="0" w:space="0" w:color="auto"/>
            <w:bottom w:val="none" w:sz="0" w:space="0" w:color="auto"/>
            <w:right w:val="none" w:sz="0" w:space="0" w:color="auto"/>
          </w:divBdr>
        </w:div>
        <w:div w:id="837890640">
          <w:marLeft w:val="0"/>
          <w:marRight w:val="0"/>
          <w:marTop w:val="0"/>
          <w:marBottom w:val="0"/>
          <w:divBdr>
            <w:top w:val="none" w:sz="0" w:space="0" w:color="auto"/>
            <w:left w:val="none" w:sz="0" w:space="0" w:color="auto"/>
            <w:bottom w:val="none" w:sz="0" w:space="0" w:color="auto"/>
            <w:right w:val="none" w:sz="0" w:space="0" w:color="auto"/>
          </w:divBdr>
        </w:div>
        <w:div w:id="1220287817">
          <w:marLeft w:val="0"/>
          <w:marRight w:val="0"/>
          <w:marTop w:val="0"/>
          <w:marBottom w:val="0"/>
          <w:divBdr>
            <w:top w:val="none" w:sz="0" w:space="0" w:color="auto"/>
            <w:left w:val="none" w:sz="0" w:space="0" w:color="auto"/>
            <w:bottom w:val="none" w:sz="0" w:space="0" w:color="auto"/>
            <w:right w:val="none" w:sz="0" w:space="0" w:color="auto"/>
          </w:divBdr>
        </w:div>
        <w:div w:id="173961129">
          <w:marLeft w:val="0"/>
          <w:marRight w:val="0"/>
          <w:marTop w:val="0"/>
          <w:marBottom w:val="0"/>
          <w:divBdr>
            <w:top w:val="none" w:sz="0" w:space="0" w:color="auto"/>
            <w:left w:val="none" w:sz="0" w:space="0" w:color="auto"/>
            <w:bottom w:val="none" w:sz="0" w:space="0" w:color="auto"/>
            <w:right w:val="none" w:sz="0" w:space="0" w:color="auto"/>
          </w:divBdr>
        </w:div>
        <w:div w:id="1183010169">
          <w:marLeft w:val="0"/>
          <w:marRight w:val="0"/>
          <w:marTop w:val="0"/>
          <w:marBottom w:val="0"/>
          <w:divBdr>
            <w:top w:val="none" w:sz="0" w:space="0" w:color="auto"/>
            <w:left w:val="none" w:sz="0" w:space="0" w:color="auto"/>
            <w:bottom w:val="none" w:sz="0" w:space="0" w:color="auto"/>
            <w:right w:val="none" w:sz="0" w:space="0" w:color="auto"/>
          </w:divBdr>
        </w:div>
        <w:div w:id="700209906">
          <w:marLeft w:val="0"/>
          <w:marRight w:val="0"/>
          <w:marTop w:val="0"/>
          <w:marBottom w:val="0"/>
          <w:divBdr>
            <w:top w:val="none" w:sz="0" w:space="0" w:color="auto"/>
            <w:left w:val="none" w:sz="0" w:space="0" w:color="auto"/>
            <w:bottom w:val="none" w:sz="0" w:space="0" w:color="auto"/>
            <w:right w:val="none" w:sz="0" w:space="0" w:color="auto"/>
          </w:divBdr>
        </w:div>
        <w:div w:id="264463458">
          <w:marLeft w:val="0"/>
          <w:marRight w:val="0"/>
          <w:marTop w:val="0"/>
          <w:marBottom w:val="0"/>
          <w:divBdr>
            <w:top w:val="none" w:sz="0" w:space="0" w:color="auto"/>
            <w:left w:val="none" w:sz="0" w:space="0" w:color="auto"/>
            <w:bottom w:val="none" w:sz="0" w:space="0" w:color="auto"/>
            <w:right w:val="none" w:sz="0" w:space="0" w:color="auto"/>
          </w:divBdr>
        </w:div>
        <w:div w:id="525558781">
          <w:marLeft w:val="0"/>
          <w:marRight w:val="0"/>
          <w:marTop w:val="0"/>
          <w:marBottom w:val="0"/>
          <w:divBdr>
            <w:top w:val="none" w:sz="0" w:space="0" w:color="auto"/>
            <w:left w:val="none" w:sz="0" w:space="0" w:color="auto"/>
            <w:bottom w:val="none" w:sz="0" w:space="0" w:color="auto"/>
            <w:right w:val="none" w:sz="0" w:space="0" w:color="auto"/>
          </w:divBdr>
        </w:div>
        <w:div w:id="341858923">
          <w:marLeft w:val="0"/>
          <w:marRight w:val="0"/>
          <w:marTop w:val="0"/>
          <w:marBottom w:val="0"/>
          <w:divBdr>
            <w:top w:val="none" w:sz="0" w:space="0" w:color="auto"/>
            <w:left w:val="none" w:sz="0" w:space="0" w:color="auto"/>
            <w:bottom w:val="none" w:sz="0" w:space="0" w:color="auto"/>
            <w:right w:val="none" w:sz="0" w:space="0" w:color="auto"/>
          </w:divBdr>
        </w:div>
        <w:div w:id="1869561687">
          <w:marLeft w:val="0"/>
          <w:marRight w:val="0"/>
          <w:marTop w:val="0"/>
          <w:marBottom w:val="0"/>
          <w:divBdr>
            <w:top w:val="none" w:sz="0" w:space="0" w:color="auto"/>
            <w:left w:val="none" w:sz="0" w:space="0" w:color="auto"/>
            <w:bottom w:val="none" w:sz="0" w:space="0" w:color="auto"/>
            <w:right w:val="none" w:sz="0" w:space="0" w:color="auto"/>
          </w:divBdr>
        </w:div>
        <w:div w:id="385494496">
          <w:marLeft w:val="0"/>
          <w:marRight w:val="0"/>
          <w:marTop w:val="0"/>
          <w:marBottom w:val="0"/>
          <w:divBdr>
            <w:top w:val="none" w:sz="0" w:space="0" w:color="auto"/>
            <w:left w:val="none" w:sz="0" w:space="0" w:color="auto"/>
            <w:bottom w:val="none" w:sz="0" w:space="0" w:color="auto"/>
            <w:right w:val="none" w:sz="0" w:space="0" w:color="auto"/>
          </w:divBdr>
        </w:div>
        <w:div w:id="32727874">
          <w:marLeft w:val="0"/>
          <w:marRight w:val="0"/>
          <w:marTop w:val="0"/>
          <w:marBottom w:val="0"/>
          <w:divBdr>
            <w:top w:val="none" w:sz="0" w:space="0" w:color="auto"/>
            <w:left w:val="none" w:sz="0" w:space="0" w:color="auto"/>
            <w:bottom w:val="none" w:sz="0" w:space="0" w:color="auto"/>
            <w:right w:val="none" w:sz="0" w:space="0" w:color="auto"/>
          </w:divBdr>
        </w:div>
        <w:div w:id="126703385">
          <w:marLeft w:val="0"/>
          <w:marRight w:val="0"/>
          <w:marTop w:val="0"/>
          <w:marBottom w:val="0"/>
          <w:divBdr>
            <w:top w:val="none" w:sz="0" w:space="0" w:color="auto"/>
            <w:left w:val="none" w:sz="0" w:space="0" w:color="auto"/>
            <w:bottom w:val="none" w:sz="0" w:space="0" w:color="auto"/>
            <w:right w:val="none" w:sz="0" w:space="0" w:color="auto"/>
          </w:divBdr>
        </w:div>
        <w:div w:id="252587625">
          <w:marLeft w:val="0"/>
          <w:marRight w:val="0"/>
          <w:marTop w:val="0"/>
          <w:marBottom w:val="0"/>
          <w:divBdr>
            <w:top w:val="none" w:sz="0" w:space="0" w:color="auto"/>
            <w:left w:val="none" w:sz="0" w:space="0" w:color="auto"/>
            <w:bottom w:val="none" w:sz="0" w:space="0" w:color="auto"/>
            <w:right w:val="none" w:sz="0" w:space="0" w:color="auto"/>
          </w:divBdr>
        </w:div>
        <w:div w:id="192884991">
          <w:marLeft w:val="0"/>
          <w:marRight w:val="0"/>
          <w:marTop w:val="0"/>
          <w:marBottom w:val="0"/>
          <w:divBdr>
            <w:top w:val="none" w:sz="0" w:space="0" w:color="auto"/>
            <w:left w:val="none" w:sz="0" w:space="0" w:color="auto"/>
            <w:bottom w:val="none" w:sz="0" w:space="0" w:color="auto"/>
            <w:right w:val="none" w:sz="0" w:space="0" w:color="auto"/>
          </w:divBdr>
        </w:div>
        <w:div w:id="1024552903">
          <w:marLeft w:val="0"/>
          <w:marRight w:val="0"/>
          <w:marTop w:val="0"/>
          <w:marBottom w:val="0"/>
          <w:divBdr>
            <w:top w:val="none" w:sz="0" w:space="0" w:color="auto"/>
            <w:left w:val="none" w:sz="0" w:space="0" w:color="auto"/>
            <w:bottom w:val="none" w:sz="0" w:space="0" w:color="auto"/>
            <w:right w:val="none" w:sz="0" w:space="0" w:color="auto"/>
          </w:divBdr>
        </w:div>
        <w:div w:id="1028527706">
          <w:marLeft w:val="0"/>
          <w:marRight w:val="0"/>
          <w:marTop w:val="0"/>
          <w:marBottom w:val="0"/>
          <w:divBdr>
            <w:top w:val="none" w:sz="0" w:space="0" w:color="auto"/>
            <w:left w:val="none" w:sz="0" w:space="0" w:color="auto"/>
            <w:bottom w:val="none" w:sz="0" w:space="0" w:color="auto"/>
            <w:right w:val="none" w:sz="0" w:space="0" w:color="auto"/>
          </w:divBdr>
        </w:div>
        <w:div w:id="65419375">
          <w:marLeft w:val="0"/>
          <w:marRight w:val="0"/>
          <w:marTop w:val="0"/>
          <w:marBottom w:val="0"/>
          <w:divBdr>
            <w:top w:val="none" w:sz="0" w:space="0" w:color="auto"/>
            <w:left w:val="none" w:sz="0" w:space="0" w:color="auto"/>
            <w:bottom w:val="none" w:sz="0" w:space="0" w:color="auto"/>
            <w:right w:val="none" w:sz="0" w:space="0" w:color="auto"/>
          </w:divBdr>
        </w:div>
        <w:div w:id="450827353">
          <w:marLeft w:val="0"/>
          <w:marRight w:val="0"/>
          <w:marTop w:val="0"/>
          <w:marBottom w:val="0"/>
          <w:divBdr>
            <w:top w:val="none" w:sz="0" w:space="0" w:color="auto"/>
            <w:left w:val="none" w:sz="0" w:space="0" w:color="auto"/>
            <w:bottom w:val="none" w:sz="0" w:space="0" w:color="auto"/>
            <w:right w:val="none" w:sz="0" w:space="0" w:color="auto"/>
          </w:divBdr>
        </w:div>
        <w:div w:id="728192206">
          <w:marLeft w:val="0"/>
          <w:marRight w:val="0"/>
          <w:marTop w:val="0"/>
          <w:marBottom w:val="0"/>
          <w:divBdr>
            <w:top w:val="none" w:sz="0" w:space="0" w:color="auto"/>
            <w:left w:val="none" w:sz="0" w:space="0" w:color="auto"/>
            <w:bottom w:val="none" w:sz="0" w:space="0" w:color="auto"/>
            <w:right w:val="none" w:sz="0" w:space="0" w:color="auto"/>
          </w:divBdr>
        </w:div>
        <w:div w:id="97220368">
          <w:marLeft w:val="0"/>
          <w:marRight w:val="0"/>
          <w:marTop w:val="0"/>
          <w:marBottom w:val="0"/>
          <w:divBdr>
            <w:top w:val="none" w:sz="0" w:space="0" w:color="auto"/>
            <w:left w:val="none" w:sz="0" w:space="0" w:color="auto"/>
            <w:bottom w:val="none" w:sz="0" w:space="0" w:color="auto"/>
            <w:right w:val="none" w:sz="0" w:space="0" w:color="auto"/>
          </w:divBdr>
        </w:div>
        <w:div w:id="1111586673">
          <w:marLeft w:val="0"/>
          <w:marRight w:val="0"/>
          <w:marTop w:val="0"/>
          <w:marBottom w:val="0"/>
          <w:divBdr>
            <w:top w:val="none" w:sz="0" w:space="0" w:color="auto"/>
            <w:left w:val="none" w:sz="0" w:space="0" w:color="auto"/>
            <w:bottom w:val="none" w:sz="0" w:space="0" w:color="auto"/>
            <w:right w:val="none" w:sz="0" w:space="0" w:color="auto"/>
          </w:divBdr>
        </w:div>
        <w:div w:id="1388064321">
          <w:marLeft w:val="0"/>
          <w:marRight w:val="0"/>
          <w:marTop w:val="0"/>
          <w:marBottom w:val="0"/>
          <w:divBdr>
            <w:top w:val="none" w:sz="0" w:space="0" w:color="auto"/>
            <w:left w:val="none" w:sz="0" w:space="0" w:color="auto"/>
            <w:bottom w:val="none" w:sz="0" w:space="0" w:color="auto"/>
            <w:right w:val="none" w:sz="0" w:space="0" w:color="auto"/>
          </w:divBdr>
        </w:div>
        <w:div w:id="383911333">
          <w:marLeft w:val="0"/>
          <w:marRight w:val="0"/>
          <w:marTop w:val="0"/>
          <w:marBottom w:val="0"/>
          <w:divBdr>
            <w:top w:val="none" w:sz="0" w:space="0" w:color="auto"/>
            <w:left w:val="none" w:sz="0" w:space="0" w:color="auto"/>
            <w:bottom w:val="none" w:sz="0" w:space="0" w:color="auto"/>
            <w:right w:val="none" w:sz="0" w:space="0" w:color="auto"/>
          </w:divBdr>
        </w:div>
        <w:div w:id="374627000">
          <w:marLeft w:val="0"/>
          <w:marRight w:val="0"/>
          <w:marTop w:val="0"/>
          <w:marBottom w:val="0"/>
          <w:divBdr>
            <w:top w:val="none" w:sz="0" w:space="0" w:color="auto"/>
            <w:left w:val="none" w:sz="0" w:space="0" w:color="auto"/>
            <w:bottom w:val="none" w:sz="0" w:space="0" w:color="auto"/>
            <w:right w:val="none" w:sz="0" w:space="0" w:color="auto"/>
          </w:divBdr>
        </w:div>
        <w:div w:id="1472165968">
          <w:marLeft w:val="0"/>
          <w:marRight w:val="0"/>
          <w:marTop w:val="0"/>
          <w:marBottom w:val="0"/>
          <w:divBdr>
            <w:top w:val="none" w:sz="0" w:space="0" w:color="auto"/>
            <w:left w:val="none" w:sz="0" w:space="0" w:color="auto"/>
            <w:bottom w:val="none" w:sz="0" w:space="0" w:color="auto"/>
            <w:right w:val="none" w:sz="0" w:space="0" w:color="auto"/>
          </w:divBdr>
        </w:div>
        <w:div w:id="868370482">
          <w:marLeft w:val="0"/>
          <w:marRight w:val="0"/>
          <w:marTop w:val="0"/>
          <w:marBottom w:val="0"/>
          <w:divBdr>
            <w:top w:val="none" w:sz="0" w:space="0" w:color="auto"/>
            <w:left w:val="none" w:sz="0" w:space="0" w:color="auto"/>
            <w:bottom w:val="none" w:sz="0" w:space="0" w:color="auto"/>
            <w:right w:val="none" w:sz="0" w:space="0" w:color="auto"/>
          </w:divBdr>
        </w:div>
        <w:div w:id="932786200">
          <w:marLeft w:val="0"/>
          <w:marRight w:val="0"/>
          <w:marTop w:val="0"/>
          <w:marBottom w:val="0"/>
          <w:divBdr>
            <w:top w:val="none" w:sz="0" w:space="0" w:color="auto"/>
            <w:left w:val="none" w:sz="0" w:space="0" w:color="auto"/>
            <w:bottom w:val="none" w:sz="0" w:space="0" w:color="auto"/>
            <w:right w:val="none" w:sz="0" w:space="0" w:color="auto"/>
          </w:divBdr>
        </w:div>
        <w:div w:id="688943907">
          <w:marLeft w:val="0"/>
          <w:marRight w:val="0"/>
          <w:marTop w:val="0"/>
          <w:marBottom w:val="0"/>
          <w:divBdr>
            <w:top w:val="none" w:sz="0" w:space="0" w:color="auto"/>
            <w:left w:val="none" w:sz="0" w:space="0" w:color="auto"/>
            <w:bottom w:val="none" w:sz="0" w:space="0" w:color="auto"/>
            <w:right w:val="none" w:sz="0" w:space="0" w:color="auto"/>
          </w:divBdr>
        </w:div>
        <w:div w:id="657222936">
          <w:marLeft w:val="0"/>
          <w:marRight w:val="0"/>
          <w:marTop w:val="0"/>
          <w:marBottom w:val="0"/>
          <w:divBdr>
            <w:top w:val="none" w:sz="0" w:space="0" w:color="auto"/>
            <w:left w:val="none" w:sz="0" w:space="0" w:color="auto"/>
            <w:bottom w:val="none" w:sz="0" w:space="0" w:color="auto"/>
            <w:right w:val="none" w:sz="0" w:space="0" w:color="auto"/>
          </w:divBdr>
        </w:div>
        <w:div w:id="1241990160">
          <w:marLeft w:val="0"/>
          <w:marRight w:val="0"/>
          <w:marTop w:val="0"/>
          <w:marBottom w:val="0"/>
          <w:divBdr>
            <w:top w:val="none" w:sz="0" w:space="0" w:color="auto"/>
            <w:left w:val="none" w:sz="0" w:space="0" w:color="auto"/>
            <w:bottom w:val="none" w:sz="0" w:space="0" w:color="auto"/>
            <w:right w:val="none" w:sz="0" w:space="0" w:color="auto"/>
          </w:divBdr>
        </w:div>
        <w:div w:id="730202610">
          <w:marLeft w:val="0"/>
          <w:marRight w:val="0"/>
          <w:marTop w:val="0"/>
          <w:marBottom w:val="0"/>
          <w:divBdr>
            <w:top w:val="none" w:sz="0" w:space="0" w:color="auto"/>
            <w:left w:val="none" w:sz="0" w:space="0" w:color="auto"/>
            <w:bottom w:val="none" w:sz="0" w:space="0" w:color="auto"/>
            <w:right w:val="none" w:sz="0" w:space="0" w:color="auto"/>
          </w:divBdr>
        </w:div>
        <w:div w:id="869881099">
          <w:marLeft w:val="0"/>
          <w:marRight w:val="0"/>
          <w:marTop w:val="0"/>
          <w:marBottom w:val="0"/>
          <w:divBdr>
            <w:top w:val="none" w:sz="0" w:space="0" w:color="auto"/>
            <w:left w:val="none" w:sz="0" w:space="0" w:color="auto"/>
            <w:bottom w:val="none" w:sz="0" w:space="0" w:color="auto"/>
            <w:right w:val="none" w:sz="0" w:space="0" w:color="auto"/>
          </w:divBdr>
        </w:div>
        <w:div w:id="911818116">
          <w:marLeft w:val="0"/>
          <w:marRight w:val="0"/>
          <w:marTop w:val="0"/>
          <w:marBottom w:val="0"/>
          <w:divBdr>
            <w:top w:val="none" w:sz="0" w:space="0" w:color="auto"/>
            <w:left w:val="none" w:sz="0" w:space="0" w:color="auto"/>
            <w:bottom w:val="none" w:sz="0" w:space="0" w:color="auto"/>
            <w:right w:val="none" w:sz="0" w:space="0" w:color="auto"/>
          </w:divBdr>
        </w:div>
        <w:div w:id="387801376">
          <w:marLeft w:val="0"/>
          <w:marRight w:val="0"/>
          <w:marTop w:val="0"/>
          <w:marBottom w:val="0"/>
          <w:divBdr>
            <w:top w:val="none" w:sz="0" w:space="0" w:color="auto"/>
            <w:left w:val="none" w:sz="0" w:space="0" w:color="auto"/>
            <w:bottom w:val="none" w:sz="0" w:space="0" w:color="auto"/>
            <w:right w:val="none" w:sz="0" w:space="0" w:color="auto"/>
          </w:divBdr>
        </w:div>
        <w:div w:id="951209587">
          <w:marLeft w:val="0"/>
          <w:marRight w:val="0"/>
          <w:marTop w:val="0"/>
          <w:marBottom w:val="0"/>
          <w:divBdr>
            <w:top w:val="none" w:sz="0" w:space="0" w:color="auto"/>
            <w:left w:val="none" w:sz="0" w:space="0" w:color="auto"/>
            <w:bottom w:val="none" w:sz="0" w:space="0" w:color="auto"/>
            <w:right w:val="none" w:sz="0" w:space="0" w:color="auto"/>
          </w:divBdr>
        </w:div>
        <w:div w:id="867530334">
          <w:marLeft w:val="0"/>
          <w:marRight w:val="0"/>
          <w:marTop w:val="0"/>
          <w:marBottom w:val="0"/>
          <w:divBdr>
            <w:top w:val="none" w:sz="0" w:space="0" w:color="auto"/>
            <w:left w:val="none" w:sz="0" w:space="0" w:color="auto"/>
            <w:bottom w:val="none" w:sz="0" w:space="0" w:color="auto"/>
            <w:right w:val="none" w:sz="0" w:space="0" w:color="auto"/>
          </w:divBdr>
        </w:div>
        <w:div w:id="750662451">
          <w:marLeft w:val="0"/>
          <w:marRight w:val="0"/>
          <w:marTop w:val="0"/>
          <w:marBottom w:val="0"/>
          <w:divBdr>
            <w:top w:val="none" w:sz="0" w:space="0" w:color="auto"/>
            <w:left w:val="none" w:sz="0" w:space="0" w:color="auto"/>
            <w:bottom w:val="none" w:sz="0" w:space="0" w:color="auto"/>
            <w:right w:val="none" w:sz="0" w:space="0" w:color="auto"/>
          </w:divBdr>
        </w:div>
        <w:div w:id="1235706654">
          <w:marLeft w:val="0"/>
          <w:marRight w:val="0"/>
          <w:marTop w:val="0"/>
          <w:marBottom w:val="0"/>
          <w:divBdr>
            <w:top w:val="none" w:sz="0" w:space="0" w:color="auto"/>
            <w:left w:val="none" w:sz="0" w:space="0" w:color="auto"/>
            <w:bottom w:val="none" w:sz="0" w:space="0" w:color="auto"/>
            <w:right w:val="none" w:sz="0" w:space="0" w:color="auto"/>
          </w:divBdr>
        </w:div>
        <w:div w:id="549610262">
          <w:marLeft w:val="0"/>
          <w:marRight w:val="0"/>
          <w:marTop w:val="0"/>
          <w:marBottom w:val="0"/>
          <w:divBdr>
            <w:top w:val="none" w:sz="0" w:space="0" w:color="auto"/>
            <w:left w:val="none" w:sz="0" w:space="0" w:color="auto"/>
            <w:bottom w:val="none" w:sz="0" w:space="0" w:color="auto"/>
            <w:right w:val="none" w:sz="0" w:space="0" w:color="auto"/>
          </w:divBdr>
        </w:div>
        <w:div w:id="1683820825">
          <w:marLeft w:val="0"/>
          <w:marRight w:val="0"/>
          <w:marTop w:val="0"/>
          <w:marBottom w:val="0"/>
          <w:divBdr>
            <w:top w:val="none" w:sz="0" w:space="0" w:color="auto"/>
            <w:left w:val="none" w:sz="0" w:space="0" w:color="auto"/>
            <w:bottom w:val="none" w:sz="0" w:space="0" w:color="auto"/>
            <w:right w:val="none" w:sz="0" w:space="0" w:color="auto"/>
          </w:divBdr>
        </w:div>
        <w:div w:id="162207704">
          <w:marLeft w:val="0"/>
          <w:marRight w:val="0"/>
          <w:marTop w:val="0"/>
          <w:marBottom w:val="0"/>
          <w:divBdr>
            <w:top w:val="none" w:sz="0" w:space="0" w:color="auto"/>
            <w:left w:val="none" w:sz="0" w:space="0" w:color="auto"/>
            <w:bottom w:val="none" w:sz="0" w:space="0" w:color="auto"/>
            <w:right w:val="none" w:sz="0" w:space="0" w:color="auto"/>
          </w:divBdr>
        </w:div>
        <w:div w:id="1097408993">
          <w:marLeft w:val="0"/>
          <w:marRight w:val="0"/>
          <w:marTop w:val="0"/>
          <w:marBottom w:val="0"/>
          <w:divBdr>
            <w:top w:val="none" w:sz="0" w:space="0" w:color="auto"/>
            <w:left w:val="none" w:sz="0" w:space="0" w:color="auto"/>
            <w:bottom w:val="none" w:sz="0" w:space="0" w:color="auto"/>
            <w:right w:val="none" w:sz="0" w:space="0" w:color="auto"/>
          </w:divBdr>
        </w:div>
        <w:div w:id="1339653346">
          <w:marLeft w:val="0"/>
          <w:marRight w:val="0"/>
          <w:marTop w:val="0"/>
          <w:marBottom w:val="0"/>
          <w:divBdr>
            <w:top w:val="none" w:sz="0" w:space="0" w:color="auto"/>
            <w:left w:val="none" w:sz="0" w:space="0" w:color="auto"/>
            <w:bottom w:val="none" w:sz="0" w:space="0" w:color="auto"/>
            <w:right w:val="none" w:sz="0" w:space="0" w:color="auto"/>
          </w:divBdr>
        </w:div>
        <w:div w:id="381368499">
          <w:marLeft w:val="0"/>
          <w:marRight w:val="0"/>
          <w:marTop w:val="0"/>
          <w:marBottom w:val="0"/>
          <w:divBdr>
            <w:top w:val="none" w:sz="0" w:space="0" w:color="auto"/>
            <w:left w:val="none" w:sz="0" w:space="0" w:color="auto"/>
            <w:bottom w:val="none" w:sz="0" w:space="0" w:color="auto"/>
            <w:right w:val="none" w:sz="0" w:space="0" w:color="auto"/>
          </w:divBdr>
        </w:div>
        <w:div w:id="1080446945">
          <w:marLeft w:val="0"/>
          <w:marRight w:val="0"/>
          <w:marTop w:val="0"/>
          <w:marBottom w:val="0"/>
          <w:divBdr>
            <w:top w:val="none" w:sz="0" w:space="0" w:color="auto"/>
            <w:left w:val="none" w:sz="0" w:space="0" w:color="auto"/>
            <w:bottom w:val="none" w:sz="0" w:space="0" w:color="auto"/>
            <w:right w:val="none" w:sz="0" w:space="0" w:color="auto"/>
          </w:divBdr>
        </w:div>
        <w:div w:id="332417422">
          <w:marLeft w:val="0"/>
          <w:marRight w:val="0"/>
          <w:marTop w:val="0"/>
          <w:marBottom w:val="0"/>
          <w:divBdr>
            <w:top w:val="none" w:sz="0" w:space="0" w:color="auto"/>
            <w:left w:val="none" w:sz="0" w:space="0" w:color="auto"/>
            <w:bottom w:val="none" w:sz="0" w:space="0" w:color="auto"/>
            <w:right w:val="none" w:sz="0" w:space="0" w:color="auto"/>
          </w:divBdr>
        </w:div>
        <w:div w:id="1679195476">
          <w:marLeft w:val="0"/>
          <w:marRight w:val="0"/>
          <w:marTop w:val="0"/>
          <w:marBottom w:val="0"/>
          <w:divBdr>
            <w:top w:val="none" w:sz="0" w:space="0" w:color="auto"/>
            <w:left w:val="none" w:sz="0" w:space="0" w:color="auto"/>
            <w:bottom w:val="none" w:sz="0" w:space="0" w:color="auto"/>
            <w:right w:val="none" w:sz="0" w:space="0" w:color="auto"/>
          </w:divBdr>
        </w:div>
        <w:div w:id="564993282">
          <w:marLeft w:val="0"/>
          <w:marRight w:val="0"/>
          <w:marTop w:val="0"/>
          <w:marBottom w:val="0"/>
          <w:divBdr>
            <w:top w:val="none" w:sz="0" w:space="0" w:color="auto"/>
            <w:left w:val="none" w:sz="0" w:space="0" w:color="auto"/>
            <w:bottom w:val="none" w:sz="0" w:space="0" w:color="auto"/>
            <w:right w:val="none" w:sz="0" w:space="0" w:color="auto"/>
          </w:divBdr>
        </w:div>
        <w:div w:id="1629312503">
          <w:marLeft w:val="0"/>
          <w:marRight w:val="0"/>
          <w:marTop w:val="0"/>
          <w:marBottom w:val="0"/>
          <w:divBdr>
            <w:top w:val="none" w:sz="0" w:space="0" w:color="auto"/>
            <w:left w:val="none" w:sz="0" w:space="0" w:color="auto"/>
            <w:bottom w:val="none" w:sz="0" w:space="0" w:color="auto"/>
            <w:right w:val="none" w:sz="0" w:space="0" w:color="auto"/>
          </w:divBdr>
        </w:div>
        <w:div w:id="187717380">
          <w:marLeft w:val="0"/>
          <w:marRight w:val="0"/>
          <w:marTop w:val="0"/>
          <w:marBottom w:val="0"/>
          <w:divBdr>
            <w:top w:val="none" w:sz="0" w:space="0" w:color="auto"/>
            <w:left w:val="none" w:sz="0" w:space="0" w:color="auto"/>
            <w:bottom w:val="none" w:sz="0" w:space="0" w:color="auto"/>
            <w:right w:val="none" w:sz="0" w:space="0" w:color="auto"/>
          </w:divBdr>
        </w:div>
        <w:div w:id="1374307060">
          <w:marLeft w:val="0"/>
          <w:marRight w:val="0"/>
          <w:marTop w:val="0"/>
          <w:marBottom w:val="0"/>
          <w:divBdr>
            <w:top w:val="none" w:sz="0" w:space="0" w:color="auto"/>
            <w:left w:val="none" w:sz="0" w:space="0" w:color="auto"/>
            <w:bottom w:val="none" w:sz="0" w:space="0" w:color="auto"/>
            <w:right w:val="none" w:sz="0" w:space="0" w:color="auto"/>
          </w:divBdr>
        </w:div>
        <w:div w:id="898638876">
          <w:marLeft w:val="0"/>
          <w:marRight w:val="0"/>
          <w:marTop w:val="0"/>
          <w:marBottom w:val="0"/>
          <w:divBdr>
            <w:top w:val="none" w:sz="0" w:space="0" w:color="auto"/>
            <w:left w:val="none" w:sz="0" w:space="0" w:color="auto"/>
            <w:bottom w:val="none" w:sz="0" w:space="0" w:color="auto"/>
            <w:right w:val="none" w:sz="0" w:space="0" w:color="auto"/>
          </w:divBdr>
        </w:div>
        <w:div w:id="1593004023">
          <w:marLeft w:val="0"/>
          <w:marRight w:val="0"/>
          <w:marTop w:val="0"/>
          <w:marBottom w:val="0"/>
          <w:divBdr>
            <w:top w:val="none" w:sz="0" w:space="0" w:color="auto"/>
            <w:left w:val="none" w:sz="0" w:space="0" w:color="auto"/>
            <w:bottom w:val="none" w:sz="0" w:space="0" w:color="auto"/>
            <w:right w:val="none" w:sz="0" w:space="0" w:color="auto"/>
          </w:divBdr>
        </w:div>
        <w:div w:id="1770201671">
          <w:marLeft w:val="0"/>
          <w:marRight w:val="0"/>
          <w:marTop w:val="0"/>
          <w:marBottom w:val="0"/>
          <w:divBdr>
            <w:top w:val="none" w:sz="0" w:space="0" w:color="auto"/>
            <w:left w:val="none" w:sz="0" w:space="0" w:color="auto"/>
            <w:bottom w:val="none" w:sz="0" w:space="0" w:color="auto"/>
            <w:right w:val="none" w:sz="0" w:space="0" w:color="auto"/>
          </w:divBdr>
        </w:div>
        <w:div w:id="518659427">
          <w:marLeft w:val="0"/>
          <w:marRight w:val="0"/>
          <w:marTop w:val="0"/>
          <w:marBottom w:val="0"/>
          <w:divBdr>
            <w:top w:val="none" w:sz="0" w:space="0" w:color="auto"/>
            <w:left w:val="none" w:sz="0" w:space="0" w:color="auto"/>
            <w:bottom w:val="none" w:sz="0" w:space="0" w:color="auto"/>
            <w:right w:val="none" w:sz="0" w:space="0" w:color="auto"/>
          </w:divBdr>
        </w:div>
        <w:div w:id="1745495849">
          <w:marLeft w:val="0"/>
          <w:marRight w:val="0"/>
          <w:marTop w:val="0"/>
          <w:marBottom w:val="0"/>
          <w:divBdr>
            <w:top w:val="none" w:sz="0" w:space="0" w:color="auto"/>
            <w:left w:val="none" w:sz="0" w:space="0" w:color="auto"/>
            <w:bottom w:val="none" w:sz="0" w:space="0" w:color="auto"/>
            <w:right w:val="none" w:sz="0" w:space="0" w:color="auto"/>
          </w:divBdr>
        </w:div>
        <w:div w:id="1753969143">
          <w:marLeft w:val="0"/>
          <w:marRight w:val="0"/>
          <w:marTop w:val="0"/>
          <w:marBottom w:val="0"/>
          <w:divBdr>
            <w:top w:val="none" w:sz="0" w:space="0" w:color="auto"/>
            <w:left w:val="none" w:sz="0" w:space="0" w:color="auto"/>
            <w:bottom w:val="none" w:sz="0" w:space="0" w:color="auto"/>
            <w:right w:val="none" w:sz="0" w:space="0" w:color="auto"/>
          </w:divBdr>
        </w:div>
        <w:div w:id="1118522153">
          <w:marLeft w:val="0"/>
          <w:marRight w:val="0"/>
          <w:marTop w:val="0"/>
          <w:marBottom w:val="0"/>
          <w:divBdr>
            <w:top w:val="none" w:sz="0" w:space="0" w:color="auto"/>
            <w:left w:val="none" w:sz="0" w:space="0" w:color="auto"/>
            <w:bottom w:val="none" w:sz="0" w:space="0" w:color="auto"/>
            <w:right w:val="none" w:sz="0" w:space="0" w:color="auto"/>
          </w:divBdr>
        </w:div>
        <w:div w:id="2060276343">
          <w:marLeft w:val="0"/>
          <w:marRight w:val="0"/>
          <w:marTop w:val="0"/>
          <w:marBottom w:val="0"/>
          <w:divBdr>
            <w:top w:val="none" w:sz="0" w:space="0" w:color="auto"/>
            <w:left w:val="none" w:sz="0" w:space="0" w:color="auto"/>
            <w:bottom w:val="none" w:sz="0" w:space="0" w:color="auto"/>
            <w:right w:val="none" w:sz="0" w:space="0" w:color="auto"/>
          </w:divBdr>
        </w:div>
        <w:div w:id="1297563984">
          <w:marLeft w:val="0"/>
          <w:marRight w:val="0"/>
          <w:marTop w:val="0"/>
          <w:marBottom w:val="0"/>
          <w:divBdr>
            <w:top w:val="none" w:sz="0" w:space="0" w:color="auto"/>
            <w:left w:val="none" w:sz="0" w:space="0" w:color="auto"/>
            <w:bottom w:val="none" w:sz="0" w:space="0" w:color="auto"/>
            <w:right w:val="none" w:sz="0" w:space="0" w:color="auto"/>
          </w:divBdr>
        </w:div>
        <w:div w:id="973103639">
          <w:marLeft w:val="0"/>
          <w:marRight w:val="0"/>
          <w:marTop w:val="0"/>
          <w:marBottom w:val="0"/>
          <w:divBdr>
            <w:top w:val="none" w:sz="0" w:space="0" w:color="auto"/>
            <w:left w:val="none" w:sz="0" w:space="0" w:color="auto"/>
            <w:bottom w:val="none" w:sz="0" w:space="0" w:color="auto"/>
            <w:right w:val="none" w:sz="0" w:space="0" w:color="auto"/>
          </w:divBdr>
        </w:div>
        <w:div w:id="665282080">
          <w:marLeft w:val="0"/>
          <w:marRight w:val="0"/>
          <w:marTop w:val="0"/>
          <w:marBottom w:val="0"/>
          <w:divBdr>
            <w:top w:val="none" w:sz="0" w:space="0" w:color="auto"/>
            <w:left w:val="none" w:sz="0" w:space="0" w:color="auto"/>
            <w:bottom w:val="none" w:sz="0" w:space="0" w:color="auto"/>
            <w:right w:val="none" w:sz="0" w:space="0" w:color="auto"/>
          </w:divBdr>
        </w:div>
        <w:div w:id="120267393">
          <w:marLeft w:val="0"/>
          <w:marRight w:val="0"/>
          <w:marTop w:val="0"/>
          <w:marBottom w:val="0"/>
          <w:divBdr>
            <w:top w:val="none" w:sz="0" w:space="0" w:color="auto"/>
            <w:left w:val="none" w:sz="0" w:space="0" w:color="auto"/>
            <w:bottom w:val="none" w:sz="0" w:space="0" w:color="auto"/>
            <w:right w:val="none" w:sz="0" w:space="0" w:color="auto"/>
          </w:divBdr>
        </w:div>
        <w:div w:id="1087964349">
          <w:marLeft w:val="0"/>
          <w:marRight w:val="0"/>
          <w:marTop w:val="0"/>
          <w:marBottom w:val="0"/>
          <w:divBdr>
            <w:top w:val="none" w:sz="0" w:space="0" w:color="auto"/>
            <w:left w:val="none" w:sz="0" w:space="0" w:color="auto"/>
            <w:bottom w:val="none" w:sz="0" w:space="0" w:color="auto"/>
            <w:right w:val="none" w:sz="0" w:space="0" w:color="auto"/>
          </w:divBdr>
        </w:div>
        <w:div w:id="1150097392">
          <w:marLeft w:val="0"/>
          <w:marRight w:val="0"/>
          <w:marTop w:val="0"/>
          <w:marBottom w:val="0"/>
          <w:divBdr>
            <w:top w:val="none" w:sz="0" w:space="0" w:color="auto"/>
            <w:left w:val="none" w:sz="0" w:space="0" w:color="auto"/>
            <w:bottom w:val="none" w:sz="0" w:space="0" w:color="auto"/>
            <w:right w:val="none" w:sz="0" w:space="0" w:color="auto"/>
          </w:divBdr>
        </w:div>
        <w:div w:id="1435831161">
          <w:marLeft w:val="0"/>
          <w:marRight w:val="0"/>
          <w:marTop w:val="0"/>
          <w:marBottom w:val="0"/>
          <w:divBdr>
            <w:top w:val="none" w:sz="0" w:space="0" w:color="auto"/>
            <w:left w:val="none" w:sz="0" w:space="0" w:color="auto"/>
            <w:bottom w:val="none" w:sz="0" w:space="0" w:color="auto"/>
            <w:right w:val="none" w:sz="0" w:space="0" w:color="auto"/>
          </w:divBdr>
        </w:div>
        <w:div w:id="571037904">
          <w:marLeft w:val="0"/>
          <w:marRight w:val="0"/>
          <w:marTop w:val="0"/>
          <w:marBottom w:val="0"/>
          <w:divBdr>
            <w:top w:val="none" w:sz="0" w:space="0" w:color="auto"/>
            <w:left w:val="none" w:sz="0" w:space="0" w:color="auto"/>
            <w:bottom w:val="none" w:sz="0" w:space="0" w:color="auto"/>
            <w:right w:val="none" w:sz="0" w:space="0" w:color="auto"/>
          </w:divBdr>
        </w:div>
        <w:div w:id="911237079">
          <w:marLeft w:val="0"/>
          <w:marRight w:val="0"/>
          <w:marTop w:val="0"/>
          <w:marBottom w:val="0"/>
          <w:divBdr>
            <w:top w:val="none" w:sz="0" w:space="0" w:color="auto"/>
            <w:left w:val="none" w:sz="0" w:space="0" w:color="auto"/>
            <w:bottom w:val="none" w:sz="0" w:space="0" w:color="auto"/>
            <w:right w:val="none" w:sz="0" w:space="0" w:color="auto"/>
          </w:divBdr>
        </w:div>
        <w:div w:id="1912346588">
          <w:marLeft w:val="0"/>
          <w:marRight w:val="0"/>
          <w:marTop w:val="0"/>
          <w:marBottom w:val="0"/>
          <w:divBdr>
            <w:top w:val="none" w:sz="0" w:space="0" w:color="auto"/>
            <w:left w:val="none" w:sz="0" w:space="0" w:color="auto"/>
            <w:bottom w:val="none" w:sz="0" w:space="0" w:color="auto"/>
            <w:right w:val="none" w:sz="0" w:space="0" w:color="auto"/>
          </w:divBdr>
        </w:div>
        <w:div w:id="1607426431">
          <w:marLeft w:val="0"/>
          <w:marRight w:val="0"/>
          <w:marTop w:val="0"/>
          <w:marBottom w:val="0"/>
          <w:divBdr>
            <w:top w:val="none" w:sz="0" w:space="0" w:color="auto"/>
            <w:left w:val="none" w:sz="0" w:space="0" w:color="auto"/>
            <w:bottom w:val="none" w:sz="0" w:space="0" w:color="auto"/>
            <w:right w:val="none" w:sz="0" w:space="0" w:color="auto"/>
          </w:divBdr>
        </w:div>
        <w:div w:id="1466584615">
          <w:marLeft w:val="0"/>
          <w:marRight w:val="0"/>
          <w:marTop w:val="0"/>
          <w:marBottom w:val="0"/>
          <w:divBdr>
            <w:top w:val="none" w:sz="0" w:space="0" w:color="auto"/>
            <w:left w:val="none" w:sz="0" w:space="0" w:color="auto"/>
            <w:bottom w:val="none" w:sz="0" w:space="0" w:color="auto"/>
            <w:right w:val="none" w:sz="0" w:space="0" w:color="auto"/>
          </w:divBdr>
        </w:div>
        <w:div w:id="1252273688">
          <w:marLeft w:val="0"/>
          <w:marRight w:val="0"/>
          <w:marTop w:val="0"/>
          <w:marBottom w:val="0"/>
          <w:divBdr>
            <w:top w:val="none" w:sz="0" w:space="0" w:color="auto"/>
            <w:left w:val="none" w:sz="0" w:space="0" w:color="auto"/>
            <w:bottom w:val="none" w:sz="0" w:space="0" w:color="auto"/>
            <w:right w:val="none" w:sz="0" w:space="0" w:color="auto"/>
          </w:divBdr>
        </w:div>
        <w:div w:id="1790541078">
          <w:marLeft w:val="0"/>
          <w:marRight w:val="0"/>
          <w:marTop w:val="0"/>
          <w:marBottom w:val="0"/>
          <w:divBdr>
            <w:top w:val="none" w:sz="0" w:space="0" w:color="auto"/>
            <w:left w:val="none" w:sz="0" w:space="0" w:color="auto"/>
            <w:bottom w:val="none" w:sz="0" w:space="0" w:color="auto"/>
            <w:right w:val="none" w:sz="0" w:space="0" w:color="auto"/>
          </w:divBdr>
        </w:div>
        <w:div w:id="1647314006">
          <w:marLeft w:val="0"/>
          <w:marRight w:val="0"/>
          <w:marTop w:val="0"/>
          <w:marBottom w:val="0"/>
          <w:divBdr>
            <w:top w:val="none" w:sz="0" w:space="0" w:color="auto"/>
            <w:left w:val="none" w:sz="0" w:space="0" w:color="auto"/>
            <w:bottom w:val="none" w:sz="0" w:space="0" w:color="auto"/>
            <w:right w:val="none" w:sz="0" w:space="0" w:color="auto"/>
          </w:divBdr>
        </w:div>
        <w:div w:id="1609924490">
          <w:marLeft w:val="0"/>
          <w:marRight w:val="0"/>
          <w:marTop w:val="0"/>
          <w:marBottom w:val="0"/>
          <w:divBdr>
            <w:top w:val="none" w:sz="0" w:space="0" w:color="auto"/>
            <w:left w:val="none" w:sz="0" w:space="0" w:color="auto"/>
            <w:bottom w:val="none" w:sz="0" w:space="0" w:color="auto"/>
            <w:right w:val="none" w:sz="0" w:space="0" w:color="auto"/>
          </w:divBdr>
        </w:div>
        <w:div w:id="1910531777">
          <w:marLeft w:val="0"/>
          <w:marRight w:val="0"/>
          <w:marTop w:val="0"/>
          <w:marBottom w:val="0"/>
          <w:divBdr>
            <w:top w:val="none" w:sz="0" w:space="0" w:color="auto"/>
            <w:left w:val="none" w:sz="0" w:space="0" w:color="auto"/>
            <w:bottom w:val="none" w:sz="0" w:space="0" w:color="auto"/>
            <w:right w:val="none" w:sz="0" w:space="0" w:color="auto"/>
          </w:divBdr>
        </w:div>
        <w:div w:id="466625432">
          <w:marLeft w:val="0"/>
          <w:marRight w:val="0"/>
          <w:marTop w:val="0"/>
          <w:marBottom w:val="0"/>
          <w:divBdr>
            <w:top w:val="none" w:sz="0" w:space="0" w:color="auto"/>
            <w:left w:val="none" w:sz="0" w:space="0" w:color="auto"/>
            <w:bottom w:val="none" w:sz="0" w:space="0" w:color="auto"/>
            <w:right w:val="none" w:sz="0" w:space="0" w:color="auto"/>
          </w:divBdr>
        </w:div>
        <w:div w:id="2146576859">
          <w:marLeft w:val="0"/>
          <w:marRight w:val="0"/>
          <w:marTop w:val="0"/>
          <w:marBottom w:val="0"/>
          <w:divBdr>
            <w:top w:val="none" w:sz="0" w:space="0" w:color="auto"/>
            <w:left w:val="none" w:sz="0" w:space="0" w:color="auto"/>
            <w:bottom w:val="none" w:sz="0" w:space="0" w:color="auto"/>
            <w:right w:val="none" w:sz="0" w:space="0" w:color="auto"/>
          </w:divBdr>
        </w:div>
        <w:div w:id="1495141657">
          <w:marLeft w:val="0"/>
          <w:marRight w:val="0"/>
          <w:marTop w:val="0"/>
          <w:marBottom w:val="0"/>
          <w:divBdr>
            <w:top w:val="none" w:sz="0" w:space="0" w:color="auto"/>
            <w:left w:val="none" w:sz="0" w:space="0" w:color="auto"/>
            <w:bottom w:val="none" w:sz="0" w:space="0" w:color="auto"/>
            <w:right w:val="none" w:sz="0" w:space="0" w:color="auto"/>
          </w:divBdr>
        </w:div>
        <w:div w:id="2078090215">
          <w:marLeft w:val="0"/>
          <w:marRight w:val="0"/>
          <w:marTop w:val="0"/>
          <w:marBottom w:val="0"/>
          <w:divBdr>
            <w:top w:val="none" w:sz="0" w:space="0" w:color="auto"/>
            <w:left w:val="none" w:sz="0" w:space="0" w:color="auto"/>
            <w:bottom w:val="none" w:sz="0" w:space="0" w:color="auto"/>
            <w:right w:val="none" w:sz="0" w:space="0" w:color="auto"/>
          </w:divBdr>
        </w:div>
        <w:div w:id="1837987729">
          <w:marLeft w:val="0"/>
          <w:marRight w:val="0"/>
          <w:marTop w:val="0"/>
          <w:marBottom w:val="0"/>
          <w:divBdr>
            <w:top w:val="none" w:sz="0" w:space="0" w:color="auto"/>
            <w:left w:val="none" w:sz="0" w:space="0" w:color="auto"/>
            <w:bottom w:val="none" w:sz="0" w:space="0" w:color="auto"/>
            <w:right w:val="none" w:sz="0" w:space="0" w:color="auto"/>
          </w:divBdr>
        </w:div>
        <w:div w:id="577328350">
          <w:marLeft w:val="0"/>
          <w:marRight w:val="0"/>
          <w:marTop w:val="0"/>
          <w:marBottom w:val="0"/>
          <w:divBdr>
            <w:top w:val="none" w:sz="0" w:space="0" w:color="auto"/>
            <w:left w:val="none" w:sz="0" w:space="0" w:color="auto"/>
            <w:bottom w:val="none" w:sz="0" w:space="0" w:color="auto"/>
            <w:right w:val="none" w:sz="0" w:space="0" w:color="auto"/>
          </w:divBdr>
        </w:div>
        <w:div w:id="1625960565">
          <w:marLeft w:val="0"/>
          <w:marRight w:val="0"/>
          <w:marTop w:val="0"/>
          <w:marBottom w:val="0"/>
          <w:divBdr>
            <w:top w:val="none" w:sz="0" w:space="0" w:color="auto"/>
            <w:left w:val="none" w:sz="0" w:space="0" w:color="auto"/>
            <w:bottom w:val="none" w:sz="0" w:space="0" w:color="auto"/>
            <w:right w:val="none" w:sz="0" w:space="0" w:color="auto"/>
          </w:divBdr>
        </w:div>
        <w:div w:id="479200981">
          <w:marLeft w:val="0"/>
          <w:marRight w:val="0"/>
          <w:marTop w:val="0"/>
          <w:marBottom w:val="0"/>
          <w:divBdr>
            <w:top w:val="none" w:sz="0" w:space="0" w:color="auto"/>
            <w:left w:val="none" w:sz="0" w:space="0" w:color="auto"/>
            <w:bottom w:val="none" w:sz="0" w:space="0" w:color="auto"/>
            <w:right w:val="none" w:sz="0" w:space="0" w:color="auto"/>
          </w:divBdr>
        </w:div>
        <w:div w:id="806892632">
          <w:marLeft w:val="0"/>
          <w:marRight w:val="0"/>
          <w:marTop w:val="0"/>
          <w:marBottom w:val="0"/>
          <w:divBdr>
            <w:top w:val="none" w:sz="0" w:space="0" w:color="auto"/>
            <w:left w:val="none" w:sz="0" w:space="0" w:color="auto"/>
            <w:bottom w:val="none" w:sz="0" w:space="0" w:color="auto"/>
            <w:right w:val="none" w:sz="0" w:space="0" w:color="auto"/>
          </w:divBdr>
        </w:div>
        <w:div w:id="690376144">
          <w:marLeft w:val="0"/>
          <w:marRight w:val="0"/>
          <w:marTop w:val="0"/>
          <w:marBottom w:val="0"/>
          <w:divBdr>
            <w:top w:val="none" w:sz="0" w:space="0" w:color="auto"/>
            <w:left w:val="none" w:sz="0" w:space="0" w:color="auto"/>
            <w:bottom w:val="none" w:sz="0" w:space="0" w:color="auto"/>
            <w:right w:val="none" w:sz="0" w:space="0" w:color="auto"/>
          </w:divBdr>
        </w:div>
        <w:div w:id="1325278881">
          <w:marLeft w:val="0"/>
          <w:marRight w:val="0"/>
          <w:marTop w:val="0"/>
          <w:marBottom w:val="0"/>
          <w:divBdr>
            <w:top w:val="none" w:sz="0" w:space="0" w:color="auto"/>
            <w:left w:val="none" w:sz="0" w:space="0" w:color="auto"/>
            <w:bottom w:val="none" w:sz="0" w:space="0" w:color="auto"/>
            <w:right w:val="none" w:sz="0" w:space="0" w:color="auto"/>
          </w:divBdr>
        </w:div>
        <w:div w:id="1867252499">
          <w:marLeft w:val="0"/>
          <w:marRight w:val="0"/>
          <w:marTop w:val="0"/>
          <w:marBottom w:val="0"/>
          <w:divBdr>
            <w:top w:val="none" w:sz="0" w:space="0" w:color="auto"/>
            <w:left w:val="none" w:sz="0" w:space="0" w:color="auto"/>
            <w:bottom w:val="none" w:sz="0" w:space="0" w:color="auto"/>
            <w:right w:val="none" w:sz="0" w:space="0" w:color="auto"/>
          </w:divBdr>
        </w:div>
        <w:div w:id="184558700">
          <w:marLeft w:val="0"/>
          <w:marRight w:val="0"/>
          <w:marTop w:val="0"/>
          <w:marBottom w:val="0"/>
          <w:divBdr>
            <w:top w:val="none" w:sz="0" w:space="0" w:color="auto"/>
            <w:left w:val="none" w:sz="0" w:space="0" w:color="auto"/>
            <w:bottom w:val="none" w:sz="0" w:space="0" w:color="auto"/>
            <w:right w:val="none" w:sz="0" w:space="0" w:color="auto"/>
          </w:divBdr>
        </w:div>
        <w:div w:id="1217813429">
          <w:marLeft w:val="0"/>
          <w:marRight w:val="0"/>
          <w:marTop w:val="0"/>
          <w:marBottom w:val="0"/>
          <w:divBdr>
            <w:top w:val="none" w:sz="0" w:space="0" w:color="auto"/>
            <w:left w:val="none" w:sz="0" w:space="0" w:color="auto"/>
            <w:bottom w:val="none" w:sz="0" w:space="0" w:color="auto"/>
            <w:right w:val="none" w:sz="0" w:space="0" w:color="auto"/>
          </w:divBdr>
        </w:div>
        <w:div w:id="1351033836">
          <w:marLeft w:val="0"/>
          <w:marRight w:val="0"/>
          <w:marTop w:val="0"/>
          <w:marBottom w:val="0"/>
          <w:divBdr>
            <w:top w:val="none" w:sz="0" w:space="0" w:color="auto"/>
            <w:left w:val="none" w:sz="0" w:space="0" w:color="auto"/>
            <w:bottom w:val="none" w:sz="0" w:space="0" w:color="auto"/>
            <w:right w:val="none" w:sz="0" w:space="0" w:color="auto"/>
          </w:divBdr>
        </w:div>
        <w:div w:id="974260644">
          <w:marLeft w:val="0"/>
          <w:marRight w:val="0"/>
          <w:marTop w:val="0"/>
          <w:marBottom w:val="0"/>
          <w:divBdr>
            <w:top w:val="none" w:sz="0" w:space="0" w:color="auto"/>
            <w:left w:val="none" w:sz="0" w:space="0" w:color="auto"/>
            <w:bottom w:val="none" w:sz="0" w:space="0" w:color="auto"/>
            <w:right w:val="none" w:sz="0" w:space="0" w:color="auto"/>
          </w:divBdr>
        </w:div>
        <w:div w:id="1811362370">
          <w:marLeft w:val="0"/>
          <w:marRight w:val="0"/>
          <w:marTop w:val="0"/>
          <w:marBottom w:val="0"/>
          <w:divBdr>
            <w:top w:val="none" w:sz="0" w:space="0" w:color="auto"/>
            <w:left w:val="none" w:sz="0" w:space="0" w:color="auto"/>
            <w:bottom w:val="none" w:sz="0" w:space="0" w:color="auto"/>
            <w:right w:val="none" w:sz="0" w:space="0" w:color="auto"/>
          </w:divBdr>
        </w:div>
        <w:div w:id="707416124">
          <w:marLeft w:val="0"/>
          <w:marRight w:val="0"/>
          <w:marTop w:val="0"/>
          <w:marBottom w:val="0"/>
          <w:divBdr>
            <w:top w:val="none" w:sz="0" w:space="0" w:color="auto"/>
            <w:left w:val="none" w:sz="0" w:space="0" w:color="auto"/>
            <w:bottom w:val="none" w:sz="0" w:space="0" w:color="auto"/>
            <w:right w:val="none" w:sz="0" w:space="0" w:color="auto"/>
          </w:divBdr>
        </w:div>
        <w:div w:id="1040473226">
          <w:marLeft w:val="0"/>
          <w:marRight w:val="0"/>
          <w:marTop w:val="0"/>
          <w:marBottom w:val="0"/>
          <w:divBdr>
            <w:top w:val="none" w:sz="0" w:space="0" w:color="auto"/>
            <w:left w:val="none" w:sz="0" w:space="0" w:color="auto"/>
            <w:bottom w:val="none" w:sz="0" w:space="0" w:color="auto"/>
            <w:right w:val="none" w:sz="0" w:space="0" w:color="auto"/>
          </w:divBdr>
        </w:div>
        <w:div w:id="1318846860">
          <w:marLeft w:val="0"/>
          <w:marRight w:val="0"/>
          <w:marTop w:val="0"/>
          <w:marBottom w:val="0"/>
          <w:divBdr>
            <w:top w:val="none" w:sz="0" w:space="0" w:color="auto"/>
            <w:left w:val="none" w:sz="0" w:space="0" w:color="auto"/>
            <w:bottom w:val="none" w:sz="0" w:space="0" w:color="auto"/>
            <w:right w:val="none" w:sz="0" w:space="0" w:color="auto"/>
          </w:divBdr>
        </w:div>
        <w:div w:id="1578860347">
          <w:marLeft w:val="0"/>
          <w:marRight w:val="0"/>
          <w:marTop w:val="0"/>
          <w:marBottom w:val="0"/>
          <w:divBdr>
            <w:top w:val="none" w:sz="0" w:space="0" w:color="auto"/>
            <w:left w:val="none" w:sz="0" w:space="0" w:color="auto"/>
            <w:bottom w:val="none" w:sz="0" w:space="0" w:color="auto"/>
            <w:right w:val="none" w:sz="0" w:space="0" w:color="auto"/>
          </w:divBdr>
        </w:div>
        <w:div w:id="519852998">
          <w:marLeft w:val="0"/>
          <w:marRight w:val="0"/>
          <w:marTop w:val="0"/>
          <w:marBottom w:val="0"/>
          <w:divBdr>
            <w:top w:val="none" w:sz="0" w:space="0" w:color="auto"/>
            <w:left w:val="none" w:sz="0" w:space="0" w:color="auto"/>
            <w:bottom w:val="none" w:sz="0" w:space="0" w:color="auto"/>
            <w:right w:val="none" w:sz="0" w:space="0" w:color="auto"/>
          </w:divBdr>
        </w:div>
        <w:div w:id="1963807726">
          <w:marLeft w:val="0"/>
          <w:marRight w:val="0"/>
          <w:marTop w:val="0"/>
          <w:marBottom w:val="0"/>
          <w:divBdr>
            <w:top w:val="none" w:sz="0" w:space="0" w:color="auto"/>
            <w:left w:val="none" w:sz="0" w:space="0" w:color="auto"/>
            <w:bottom w:val="none" w:sz="0" w:space="0" w:color="auto"/>
            <w:right w:val="none" w:sz="0" w:space="0" w:color="auto"/>
          </w:divBdr>
        </w:div>
        <w:div w:id="1868713005">
          <w:marLeft w:val="0"/>
          <w:marRight w:val="0"/>
          <w:marTop w:val="0"/>
          <w:marBottom w:val="0"/>
          <w:divBdr>
            <w:top w:val="none" w:sz="0" w:space="0" w:color="auto"/>
            <w:left w:val="none" w:sz="0" w:space="0" w:color="auto"/>
            <w:bottom w:val="none" w:sz="0" w:space="0" w:color="auto"/>
            <w:right w:val="none" w:sz="0" w:space="0" w:color="auto"/>
          </w:divBdr>
        </w:div>
        <w:div w:id="2074545710">
          <w:marLeft w:val="0"/>
          <w:marRight w:val="0"/>
          <w:marTop w:val="0"/>
          <w:marBottom w:val="0"/>
          <w:divBdr>
            <w:top w:val="none" w:sz="0" w:space="0" w:color="auto"/>
            <w:left w:val="none" w:sz="0" w:space="0" w:color="auto"/>
            <w:bottom w:val="none" w:sz="0" w:space="0" w:color="auto"/>
            <w:right w:val="none" w:sz="0" w:space="0" w:color="auto"/>
          </w:divBdr>
        </w:div>
        <w:div w:id="62141612">
          <w:marLeft w:val="0"/>
          <w:marRight w:val="0"/>
          <w:marTop w:val="0"/>
          <w:marBottom w:val="0"/>
          <w:divBdr>
            <w:top w:val="none" w:sz="0" w:space="0" w:color="auto"/>
            <w:left w:val="none" w:sz="0" w:space="0" w:color="auto"/>
            <w:bottom w:val="none" w:sz="0" w:space="0" w:color="auto"/>
            <w:right w:val="none" w:sz="0" w:space="0" w:color="auto"/>
          </w:divBdr>
        </w:div>
        <w:div w:id="1149788323">
          <w:marLeft w:val="0"/>
          <w:marRight w:val="0"/>
          <w:marTop w:val="0"/>
          <w:marBottom w:val="0"/>
          <w:divBdr>
            <w:top w:val="none" w:sz="0" w:space="0" w:color="auto"/>
            <w:left w:val="none" w:sz="0" w:space="0" w:color="auto"/>
            <w:bottom w:val="none" w:sz="0" w:space="0" w:color="auto"/>
            <w:right w:val="none" w:sz="0" w:space="0" w:color="auto"/>
          </w:divBdr>
        </w:div>
        <w:div w:id="1926842035">
          <w:marLeft w:val="0"/>
          <w:marRight w:val="0"/>
          <w:marTop w:val="0"/>
          <w:marBottom w:val="0"/>
          <w:divBdr>
            <w:top w:val="none" w:sz="0" w:space="0" w:color="auto"/>
            <w:left w:val="none" w:sz="0" w:space="0" w:color="auto"/>
            <w:bottom w:val="none" w:sz="0" w:space="0" w:color="auto"/>
            <w:right w:val="none" w:sz="0" w:space="0" w:color="auto"/>
          </w:divBdr>
        </w:div>
        <w:div w:id="1644769980">
          <w:marLeft w:val="0"/>
          <w:marRight w:val="0"/>
          <w:marTop w:val="0"/>
          <w:marBottom w:val="0"/>
          <w:divBdr>
            <w:top w:val="none" w:sz="0" w:space="0" w:color="auto"/>
            <w:left w:val="none" w:sz="0" w:space="0" w:color="auto"/>
            <w:bottom w:val="none" w:sz="0" w:space="0" w:color="auto"/>
            <w:right w:val="none" w:sz="0" w:space="0" w:color="auto"/>
          </w:divBdr>
        </w:div>
        <w:div w:id="2115052636">
          <w:marLeft w:val="0"/>
          <w:marRight w:val="0"/>
          <w:marTop w:val="0"/>
          <w:marBottom w:val="0"/>
          <w:divBdr>
            <w:top w:val="none" w:sz="0" w:space="0" w:color="auto"/>
            <w:left w:val="none" w:sz="0" w:space="0" w:color="auto"/>
            <w:bottom w:val="none" w:sz="0" w:space="0" w:color="auto"/>
            <w:right w:val="none" w:sz="0" w:space="0" w:color="auto"/>
          </w:divBdr>
        </w:div>
        <w:div w:id="1726179882">
          <w:marLeft w:val="0"/>
          <w:marRight w:val="0"/>
          <w:marTop w:val="0"/>
          <w:marBottom w:val="0"/>
          <w:divBdr>
            <w:top w:val="none" w:sz="0" w:space="0" w:color="auto"/>
            <w:left w:val="none" w:sz="0" w:space="0" w:color="auto"/>
            <w:bottom w:val="none" w:sz="0" w:space="0" w:color="auto"/>
            <w:right w:val="none" w:sz="0" w:space="0" w:color="auto"/>
          </w:divBdr>
        </w:div>
        <w:div w:id="1952711658">
          <w:marLeft w:val="0"/>
          <w:marRight w:val="0"/>
          <w:marTop w:val="0"/>
          <w:marBottom w:val="0"/>
          <w:divBdr>
            <w:top w:val="none" w:sz="0" w:space="0" w:color="auto"/>
            <w:left w:val="none" w:sz="0" w:space="0" w:color="auto"/>
            <w:bottom w:val="none" w:sz="0" w:space="0" w:color="auto"/>
            <w:right w:val="none" w:sz="0" w:space="0" w:color="auto"/>
          </w:divBdr>
        </w:div>
        <w:div w:id="865020420">
          <w:marLeft w:val="0"/>
          <w:marRight w:val="0"/>
          <w:marTop w:val="0"/>
          <w:marBottom w:val="0"/>
          <w:divBdr>
            <w:top w:val="none" w:sz="0" w:space="0" w:color="auto"/>
            <w:left w:val="none" w:sz="0" w:space="0" w:color="auto"/>
            <w:bottom w:val="none" w:sz="0" w:space="0" w:color="auto"/>
            <w:right w:val="none" w:sz="0" w:space="0" w:color="auto"/>
          </w:divBdr>
        </w:div>
        <w:div w:id="1789811719">
          <w:marLeft w:val="0"/>
          <w:marRight w:val="0"/>
          <w:marTop w:val="0"/>
          <w:marBottom w:val="0"/>
          <w:divBdr>
            <w:top w:val="none" w:sz="0" w:space="0" w:color="auto"/>
            <w:left w:val="none" w:sz="0" w:space="0" w:color="auto"/>
            <w:bottom w:val="none" w:sz="0" w:space="0" w:color="auto"/>
            <w:right w:val="none" w:sz="0" w:space="0" w:color="auto"/>
          </w:divBdr>
        </w:div>
        <w:div w:id="638651506">
          <w:marLeft w:val="0"/>
          <w:marRight w:val="0"/>
          <w:marTop w:val="0"/>
          <w:marBottom w:val="0"/>
          <w:divBdr>
            <w:top w:val="none" w:sz="0" w:space="0" w:color="auto"/>
            <w:left w:val="none" w:sz="0" w:space="0" w:color="auto"/>
            <w:bottom w:val="none" w:sz="0" w:space="0" w:color="auto"/>
            <w:right w:val="none" w:sz="0" w:space="0" w:color="auto"/>
          </w:divBdr>
        </w:div>
        <w:div w:id="1929533365">
          <w:marLeft w:val="0"/>
          <w:marRight w:val="0"/>
          <w:marTop w:val="0"/>
          <w:marBottom w:val="0"/>
          <w:divBdr>
            <w:top w:val="none" w:sz="0" w:space="0" w:color="auto"/>
            <w:left w:val="none" w:sz="0" w:space="0" w:color="auto"/>
            <w:bottom w:val="none" w:sz="0" w:space="0" w:color="auto"/>
            <w:right w:val="none" w:sz="0" w:space="0" w:color="auto"/>
          </w:divBdr>
        </w:div>
        <w:div w:id="1331985445">
          <w:marLeft w:val="0"/>
          <w:marRight w:val="0"/>
          <w:marTop w:val="0"/>
          <w:marBottom w:val="0"/>
          <w:divBdr>
            <w:top w:val="none" w:sz="0" w:space="0" w:color="auto"/>
            <w:left w:val="none" w:sz="0" w:space="0" w:color="auto"/>
            <w:bottom w:val="none" w:sz="0" w:space="0" w:color="auto"/>
            <w:right w:val="none" w:sz="0" w:space="0" w:color="auto"/>
          </w:divBdr>
        </w:div>
        <w:div w:id="1463690049">
          <w:marLeft w:val="0"/>
          <w:marRight w:val="0"/>
          <w:marTop w:val="0"/>
          <w:marBottom w:val="0"/>
          <w:divBdr>
            <w:top w:val="none" w:sz="0" w:space="0" w:color="auto"/>
            <w:left w:val="none" w:sz="0" w:space="0" w:color="auto"/>
            <w:bottom w:val="none" w:sz="0" w:space="0" w:color="auto"/>
            <w:right w:val="none" w:sz="0" w:space="0" w:color="auto"/>
          </w:divBdr>
        </w:div>
        <w:div w:id="352193430">
          <w:marLeft w:val="0"/>
          <w:marRight w:val="0"/>
          <w:marTop w:val="0"/>
          <w:marBottom w:val="0"/>
          <w:divBdr>
            <w:top w:val="none" w:sz="0" w:space="0" w:color="auto"/>
            <w:left w:val="none" w:sz="0" w:space="0" w:color="auto"/>
            <w:bottom w:val="none" w:sz="0" w:space="0" w:color="auto"/>
            <w:right w:val="none" w:sz="0" w:space="0" w:color="auto"/>
          </w:divBdr>
        </w:div>
        <w:div w:id="2143766725">
          <w:marLeft w:val="0"/>
          <w:marRight w:val="0"/>
          <w:marTop w:val="0"/>
          <w:marBottom w:val="0"/>
          <w:divBdr>
            <w:top w:val="none" w:sz="0" w:space="0" w:color="auto"/>
            <w:left w:val="none" w:sz="0" w:space="0" w:color="auto"/>
            <w:bottom w:val="none" w:sz="0" w:space="0" w:color="auto"/>
            <w:right w:val="none" w:sz="0" w:space="0" w:color="auto"/>
          </w:divBdr>
        </w:div>
        <w:div w:id="954672832">
          <w:marLeft w:val="0"/>
          <w:marRight w:val="0"/>
          <w:marTop w:val="0"/>
          <w:marBottom w:val="0"/>
          <w:divBdr>
            <w:top w:val="none" w:sz="0" w:space="0" w:color="auto"/>
            <w:left w:val="none" w:sz="0" w:space="0" w:color="auto"/>
            <w:bottom w:val="none" w:sz="0" w:space="0" w:color="auto"/>
            <w:right w:val="none" w:sz="0" w:space="0" w:color="auto"/>
          </w:divBdr>
        </w:div>
        <w:div w:id="825125068">
          <w:marLeft w:val="0"/>
          <w:marRight w:val="0"/>
          <w:marTop w:val="0"/>
          <w:marBottom w:val="0"/>
          <w:divBdr>
            <w:top w:val="none" w:sz="0" w:space="0" w:color="auto"/>
            <w:left w:val="none" w:sz="0" w:space="0" w:color="auto"/>
            <w:bottom w:val="none" w:sz="0" w:space="0" w:color="auto"/>
            <w:right w:val="none" w:sz="0" w:space="0" w:color="auto"/>
          </w:divBdr>
        </w:div>
        <w:div w:id="281696206">
          <w:marLeft w:val="0"/>
          <w:marRight w:val="0"/>
          <w:marTop w:val="0"/>
          <w:marBottom w:val="0"/>
          <w:divBdr>
            <w:top w:val="none" w:sz="0" w:space="0" w:color="auto"/>
            <w:left w:val="none" w:sz="0" w:space="0" w:color="auto"/>
            <w:bottom w:val="none" w:sz="0" w:space="0" w:color="auto"/>
            <w:right w:val="none" w:sz="0" w:space="0" w:color="auto"/>
          </w:divBdr>
        </w:div>
        <w:div w:id="431902207">
          <w:marLeft w:val="0"/>
          <w:marRight w:val="0"/>
          <w:marTop w:val="0"/>
          <w:marBottom w:val="0"/>
          <w:divBdr>
            <w:top w:val="none" w:sz="0" w:space="0" w:color="auto"/>
            <w:left w:val="none" w:sz="0" w:space="0" w:color="auto"/>
            <w:bottom w:val="none" w:sz="0" w:space="0" w:color="auto"/>
            <w:right w:val="none" w:sz="0" w:space="0" w:color="auto"/>
          </w:divBdr>
        </w:div>
        <w:div w:id="1600214346">
          <w:marLeft w:val="0"/>
          <w:marRight w:val="0"/>
          <w:marTop w:val="0"/>
          <w:marBottom w:val="0"/>
          <w:divBdr>
            <w:top w:val="none" w:sz="0" w:space="0" w:color="auto"/>
            <w:left w:val="none" w:sz="0" w:space="0" w:color="auto"/>
            <w:bottom w:val="none" w:sz="0" w:space="0" w:color="auto"/>
            <w:right w:val="none" w:sz="0" w:space="0" w:color="auto"/>
          </w:divBdr>
        </w:div>
        <w:div w:id="122114352">
          <w:marLeft w:val="0"/>
          <w:marRight w:val="0"/>
          <w:marTop w:val="0"/>
          <w:marBottom w:val="0"/>
          <w:divBdr>
            <w:top w:val="none" w:sz="0" w:space="0" w:color="auto"/>
            <w:left w:val="none" w:sz="0" w:space="0" w:color="auto"/>
            <w:bottom w:val="none" w:sz="0" w:space="0" w:color="auto"/>
            <w:right w:val="none" w:sz="0" w:space="0" w:color="auto"/>
          </w:divBdr>
        </w:div>
        <w:div w:id="1062631538">
          <w:marLeft w:val="0"/>
          <w:marRight w:val="0"/>
          <w:marTop w:val="0"/>
          <w:marBottom w:val="0"/>
          <w:divBdr>
            <w:top w:val="none" w:sz="0" w:space="0" w:color="auto"/>
            <w:left w:val="none" w:sz="0" w:space="0" w:color="auto"/>
            <w:bottom w:val="none" w:sz="0" w:space="0" w:color="auto"/>
            <w:right w:val="none" w:sz="0" w:space="0" w:color="auto"/>
          </w:divBdr>
        </w:div>
        <w:div w:id="1219710907">
          <w:marLeft w:val="0"/>
          <w:marRight w:val="0"/>
          <w:marTop w:val="0"/>
          <w:marBottom w:val="0"/>
          <w:divBdr>
            <w:top w:val="none" w:sz="0" w:space="0" w:color="auto"/>
            <w:left w:val="none" w:sz="0" w:space="0" w:color="auto"/>
            <w:bottom w:val="none" w:sz="0" w:space="0" w:color="auto"/>
            <w:right w:val="none" w:sz="0" w:space="0" w:color="auto"/>
          </w:divBdr>
        </w:div>
        <w:div w:id="1704747186">
          <w:marLeft w:val="0"/>
          <w:marRight w:val="0"/>
          <w:marTop w:val="0"/>
          <w:marBottom w:val="0"/>
          <w:divBdr>
            <w:top w:val="none" w:sz="0" w:space="0" w:color="auto"/>
            <w:left w:val="none" w:sz="0" w:space="0" w:color="auto"/>
            <w:bottom w:val="none" w:sz="0" w:space="0" w:color="auto"/>
            <w:right w:val="none" w:sz="0" w:space="0" w:color="auto"/>
          </w:divBdr>
        </w:div>
        <w:div w:id="1122309900">
          <w:marLeft w:val="0"/>
          <w:marRight w:val="0"/>
          <w:marTop w:val="0"/>
          <w:marBottom w:val="0"/>
          <w:divBdr>
            <w:top w:val="none" w:sz="0" w:space="0" w:color="auto"/>
            <w:left w:val="none" w:sz="0" w:space="0" w:color="auto"/>
            <w:bottom w:val="none" w:sz="0" w:space="0" w:color="auto"/>
            <w:right w:val="none" w:sz="0" w:space="0" w:color="auto"/>
          </w:divBdr>
        </w:div>
        <w:div w:id="996155514">
          <w:marLeft w:val="0"/>
          <w:marRight w:val="0"/>
          <w:marTop w:val="0"/>
          <w:marBottom w:val="0"/>
          <w:divBdr>
            <w:top w:val="none" w:sz="0" w:space="0" w:color="auto"/>
            <w:left w:val="none" w:sz="0" w:space="0" w:color="auto"/>
            <w:bottom w:val="none" w:sz="0" w:space="0" w:color="auto"/>
            <w:right w:val="none" w:sz="0" w:space="0" w:color="auto"/>
          </w:divBdr>
        </w:div>
        <w:div w:id="1841118077">
          <w:marLeft w:val="0"/>
          <w:marRight w:val="0"/>
          <w:marTop w:val="0"/>
          <w:marBottom w:val="0"/>
          <w:divBdr>
            <w:top w:val="none" w:sz="0" w:space="0" w:color="auto"/>
            <w:left w:val="none" w:sz="0" w:space="0" w:color="auto"/>
            <w:bottom w:val="none" w:sz="0" w:space="0" w:color="auto"/>
            <w:right w:val="none" w:sz="0" w:space="0" w:color="auto"/>
          </w:divBdr>
        </w:div>
        <w:div w:id="1278216843">
          <w:marLeft w:val="0"/>
          <w:marRight w:val="0"/>
          <w:marTop w:val="0"/>
          <w:marBottom w:val="0"/>
          <w:divBdr>
            <w:top w:val="none" w:sz="0" w:space="0" w:color="auto"/>
            <w:left w:val="none" w:sz="0" w:space="0" w:color="auto"/>
            <w:bottom w:val="none" w:sz="0" w:space="0" w:color="auto"/>
            <w:right w:val="none" w:sz="0" w:space="0" w:color="auto"/>
          </w:divBdr>
        </w:div>
        <w:div w:id="240867847">
          <w:marLeft w:val="0"/>
          <w:marRight w:val="0"/>
          <w:marTop w:val="0"/>
          <w:marBottom w:val="0"/>
          <w:divBdr>
            <w:top w:val="none" w:sz="0" w:space="0" w:color="auto"/>
            <w:left w:val="none" w:sz="0" w:space="0" w:color="auto"/>
            <w:bottom w:val="none" w:sz="0" w:space="0" w:color="auto"/>
            <w:right w:val="none" w:sz="0" w:space="0" w:color="auto"/>
          </w:divBdr>
        </w:div>
        <w:div w:id="1654144379">
          <w:marLeft w:val="0"/>
          <w:marRight w:val="0"/>
          <w:marTop w:val="0"/>
          <w:marBottom w:val="0"/>
          <w:divBdr>
            <w:top w:val="none" w:sz="0" w:space="0" w:color="auto"/>
            <w:left w:val="none" w:sz="0" w:space="0" w:color="auto"/>
            <w:bottom w:val="none" w:sz="0" w:space="0" w:color="auto"/>
            <w:right w:val="none" w:sz="0" w:space="0" w:color="auto"/>
          </w:divBdr>
        </w:div>
      </w:divsChild>
    </w:div>
    <w:div w:id="593784766">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35539784">
      <w:bodyDiv w:val="1"/>
      <w:marLeft w:val="0"/>
      <w:marRight w:val="0"/>
      <w:marTop w:val="0"/>
      <w:marBottom w:val="0"/>
      <w:divBdr>
        <w:top w:val="none" w:sz="0" w:space="0" w:color="auto"/>
        <w:left w:val="none" w:sz="0" w:space="0" w:color="auto"/>
        <w:bottom w:val="none" w:sz="0" w:space="0" w:color="auto"/>
        <w:right w:val="none" w:sz="0" w:space="0" w:color="auto"/>
      </w:divBdr>
      <w:divsChild>
        <w:div w:id="1024132131">
          <w:marLeft w:val="0"/>
          <w:marRight w:val="0"/>
          <w:marTop w:val="0"/>
          <w:marBottom w:val="0"/>
          <w:divBdr>
            <w:top w:val="none" w:sz="0" w:space="0" w:color="auto"/>
            <w:left w:val="none" w:sz="0" w:space="0" w:color="auto"/>
            <w:bottom w:val="none" w:sz="0" w:space="0" w:color="auto"/>
            <w:right w:val="none" w:sz="0" w:space="0" w:color="auto"/>
          </w:divBdr>
          <w:divsChild>
            <w:div w:id="10260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44731069">
      <w:bodyDiv w:val="1"/>
      <w:marLeft w:val="0"/>
      <w:marRight w:val="0"/>
      <w:marTop w:val="0"/>
      <w:marBottom w:val="0"/>
      <w:divBdr>
        <w:top w:val="none" w:sz="0" w:space="0" w:color="auto"/>
        <w:left w:val="none" w:sz="0" w:space="0" w:color="auto"/>
        <w:bottom w:val="none" w:sz="0" w:space="0" w:color="auto"/>
        <w:right w:val="none" w:sz="0" w:space="0" w:color="auto"/>
      </w:divBdr>
      <w:divsChild>
        <w:div w:id="787314528">
          <w:marLeft w:val="0"/>
          <w:marRight w:val="0"/>
          <w:marTop w:val="0"/>
          <w:marBottom w:val="0"/>
          <w:divBdr>
            <w:top w:val="none" w:sz="0" w:space="0" w:color="auto"/>
            <w:left w:val="none" w:sz="0" w:space="0" w:color="auto"/>
            <w:bottom w:val="none" w:sz="0" w:space="0" w:color="auto"/>
            <w:right w:val="none" w:sz="0" w:space="0" w:color="auto"/>
          </w:divBdr>
          <w:divsChild>
            <w:div w:id="76507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22712560">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6383963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89532846">
      <w:bodyDiv w:val="1"/>
      <w:marLeft w:val="0"/>
      <w:marRight w:val="0"/>
      <w:marTop w:val="0"/>
      <w:marBottom w:val="0"/>
      <w:divBdr>
        <w:top w:val="none" w:sz="0" w:space="0" w:color="auto"/>
        <w:left w:val="none" w:sz="0" w:space="0" w:color="auto"/>
        <w:bottom w:val="none" w:sz="0" w:space="0" w:color="auto"/>
        <w:right w:val="none" w:sz="0" w:space="0" w:color="auto"/>
      </w:divBdr>
      <w:divsChild>
        <w:div w:id="2078088376">
          <w:marLeft w:val="0"/>
          <w:marRight w:val="0"/>
          <w:marTop w:val="0"/>
          <w:marBottom w:val="240"/>
          <w:divBdr>
            <w:top w:val="none" w:sz="0" w:space="0" w:color="auto"/>
            <w:left w:val="none" w:sz="0" w:space="0" w:color="auto"/>
            <w:bottom w:val="none" w:sz="0" w:space="0" w:color="auto"/>
            <w:right w:val="none" w:sz="0" w:space="0" w:color="auto"/>
          </w:divBdr>
        </w:div>
      </w:divsChild>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19457548">
      <w:bodyDiv w:val="1"/>
      <w:marLeft w:val="0"/>
      <w:marRight w:val="0"/>
      <w:marTop w:val="0"/>
      <w:marBottom w:val="0"/>
      <w:divBdr>
        <w:top w:val="none" w:sz="0" w:space="0" w:color="auto"/>
        <w:left w:val="none" w:sz="0" w:space="0" w:color="auto"/>
        <w:bottom w:val="none" w:sz="0" w:space="0" w:color="auto"/>
        <w:right w:val="none" w:sz="0" w:space="0" w:color="auto"/>
      </w:divBdr>
      <w:divsChild>
        <w:div w:id="810903159">
          <w:marLeft w:val="0"/>
          <w:marRight w:val="0"/>
          <w:marTop w:val="0"/>
          <w:marBottom w:val="0"/>
          <w:divBdr>
            <w:top w:val="none" w:sz="0" w:space="0" w:color="auto"/>
            <w:left w:val="none" w:sz="0" w:space="0" w:color="auto"/>
            <w:bottom w:val="none" w:sz="0" w:space="0" w:color="auto"/>
            <w:right w:val="none" w:sz="0" w:space="0" w:color="auto"/>
          </w:divBdr>
          <w:divsChild>
            <w:div w:id="18530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56636" TargetMode="External"/><Relationship Id="rId21" Type="http://schemas.openxmlformats.org/officeDocument/2006/relationships/hyperlink" Target="https://doi.org/10.2196/42358?utm_source=gemini" TargetMode="External"/><Relationship Id="rId42" Type="http://schemas.openxmlformats.org/officeDocument/2006/relationships/hyperlink" Target="https://www.ageuk.org.uk/siteassets/documents/reports-and-publications/reports-and-briefings/offline-and-overlooked-report.pdf" TargetMode="External"/><Relationship Id="rId47" Type="http://schemas.openxmlformats.org/officeDocument/2006/relationships/hyperlink" Target="https://doi.org/10.1136/bmj-2022-070910" TargetMode="External"/><Relationship Id="rId63" Type="http://schemas.openxmlformats.org/officeDocument/2006/relationships/hyperlink" Target="https://doi.org/10.1007/s10680-021-09583-3" TargetMode="External"/><Relationship Id="rId68" Type="http://schemas.openxmlformats.org/officeDocument/2006/relationships/hyperlink" Target="https://doi.org/10.12669/pjms.41.3.10639" TargetMode="External"/><Relationship Id="rId16" Type="http://schemas.openxmlformats.org/officeDocument/2006/relationships/hyperlink" Target="https://doi.org/10.1016/j.eclinm.2022.101708" TargetMode="External"/><Relationship Id="rId11" Type="http://schemas.openxmlformats.org/officeDocument/2006/relationships/hyperlink" Target="file:///C:\Users\Azra%20Laptop\Desktop\UC-17350%20file.png" TargetMode="External"/><Relationship Id="rId32" Type="http://schemas.openxmlformats.org/officeDocument/2006/relationships/hyperlink" Target="https://doi.org/10.1007/s10433-020-00582-7" TargetMode="External"/><Relationship Id="rId37" Type="http://schemas.openxmlformats.org/officeDocument/2006/relationships/hyperlink" Target="https://doi.org/10.1080/0144929x.2024.2368087" TargetMode="External"/><Relationship Id="rId53" Type="http://schemas.openxmlformats.org/officeDocument/2006/relationships/hyperlink" Target="https://doi.org/10.1186/s12939-019-1103-2" TargetMode="External"/><Relationship Id="rId58" Type="http://schemas.openxmlformats.org/officeDocument/2006/relationships/hyperlink" Target="https://pmc.ncbi.nlm.nih.gov/articles/PMC13540343/" TargetMode="External"/><Relationship Id="rId74" Type="http://schemas.openxmlformats.org/officeDocument/2006/relationships/hyperlink" Target="https://doi.org/10.1080/0144929x.2024.2368087"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1186/s12889-023-15370-y" TargetMode="External"/><Relationship Id="rId19" Type="http://schemas.openxmlformats.org/officeDocument/2006/relationships/hyperlink" Target="https://doi.org/10.1111/bld.12636" TargetMode="External"/><Relationship Id="rId14" Type="http://schemas.openxmlformats.org/officeDocument/2006/relationships/hyperlink" Target="https://doi.org/10.1186/s12916-024-03572-z" TargetMode="External"/><Relationship Id="rId22" Type="http://schemas.openxmlformats.org/officeDocument/2006/relationships/hyperlink" Target="https://doi.org/10.1186/s12889-023-15370-y" TargetMode="External"/><Relationship Id="rId27" Type="http://schemas.openxmlformats.org/officeDocument/2006/relationships/hyperlink" Target="https://doi.org/10.1136/jech-2022-219654" TargetMode="External"/><Relationship Id="rId30" Type="http://schemas.openxmlformats.org/officeDocument/2006/relationships/hyperlink" Target="https://doi.org/10.1016/s0140-6736(21)00317-2" TargetMode="External"/><Relationship Id="rId35" Type="http://schemas.openxmlformats.org/officeDocument/2006/relationships/hyperlink" Target="https://doi.org/10.1093/geronb/gbae028" TargetMode="External"/><Relationship Id="rId43" Type="http://schemas.openxmlformats.org/officeDocument/2006/relationships/hyperlink" Target="https://doi.org/10.3310/quvv2680" TargetMode="External"/><Relationship Id="rId48" Type="http://schemas.openxmlformats.org/officeDocument/2006/relationships/hyperlink" Target="https://pubmed.ncbi.nlm.nih.gov/41057836/" TargetMode="External"/><Relationship Id="rId56" Type="http://schemas.openxmlformats.org/officeDocument/2006/relationships/hyperlink" Target="https://nhsrho.org/wp-content/uploads/2023/05/RHO-Rapid-Review-Final-Report_.pdf" TargetMode="External"/><Relationship Id="rId64" Type="http://schemas.openxmlformats.org/officeDocument/2006/relationships/hyperlink" Target="https://doi.org/10.2196/56636" TargetMode="External"/><Relationship Id="rId69" Type="http://schemas.openxmlformats.org/officeDocument/2006/relationships/hyperlink" Target="https://doi.org/10.1007/s10433-020-00582-7" TargetMode="External"/><Relationship Id="rId77" Type="http://schemas.openxmlformats.org/officeDocument/2006/relationships/hyperlink" Target="https://doi.org/10.1016/s2468-2667(20)30287-5" TargetMode="External"/><Relationship Id="rId8" Type="http://schemas.openxmlformats.org/officeDocument/2006/relationships/image" Target="media/image1.png"/><Relationship Id="rId51" Type="http://schemas.openxmlformats.org/officeDocument/2006/relationships/hyperlink" Target="https://doi.org/10.1101/2025.01.02.25319907" TargetMode="External"/><Relationship Id="rId72" Type="http://schemas.openxmlformats.org/officeDocument/2006/relationships/hyperlink" Target="https://doi.org/10.1093/geronb/gbae028"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Azra%20Laptop\Downloads\1.pdf" TargetMode="External"/><Relationship Id="rId17" Type="http://schemas.openxmlformats.org/officeDocument/2006/relationships/hyperlink" Target="https://doi.org/10.1136/bmjdh-2026-000051" TargetMode="External"/><Relationship Id="rId25" Type="http://schemas.openxmlformats.org/officeDocument/2006/relationships/hyperlink" Target="https://doi.org/10.1093/haschl/qxae094" TargetMode="External"/><Relationship Id="rId33" Type="http://schemas.openxmlformats.org/officeDocument/2006/relationships/hyperlink" Target="https://doi.org/10.1017/s0144686x24000205" TargetMode="External"/><Relationship Id="rId38" Type="http://schemas.openxmlformats.org/officeDocument/2006/relationships/hyperlink" Target="https://doi.org/10.3389/fpubh.2022.906089" TargetMode="External"/><Relationship Id="rId46" Type="http://schemas.openxmlformats.org/officeDocument/2006/relationships/hyperlink" Target="https://doi.org/10.1136/bmjdh-2026-000051" TargetMode="External"/><Relationship Id="rId59" Type="http://schemas.openxmlformats.org/officeDocument/2006/relationships/hyperlink" Target="https://pmc.ncbi.nlm.nih.gov/articles/PMC12079407/" TargetMode="External"/><Relationship Id="rId67" Type="http://schemas.openxmlformats.org/officeDocument/2006/relationships/hyperlink" Target="https://doi.org/10.1016/s0140-6736(21)00317-2" TargetMode="External"/><Relationship Id="rId20" Type="http://schemas.openxmlformats.org/officeDocument/2006/relationships/hyperlink" Target="https://doi.org/10.1186/s12939-019-1103-2" TargetMode="External"/><Relationship Id="rId41" Type="http://schemas.openxmlformats.org/officeDocument/2006/relationships/hyperlink" Target="https://doi.org/10.1136/jech-2022-219654" TargetMode="External"/><Relationship Id="rId54" Type="http://schemas.openxmlformats.org/officeDocument/2006/relationships/hyperlink" Target="https://doi.org/10.1177/02692163221133977" TargetMode="External"/><Relationship Id="rId62" Type="http://schemas.openxmlformats.org/officeDocument/2006/relationships/hyperlink" Target="https://doi.org/10.1080/01419870.2024.2311833" TargetMode="External"/><Relationship Id="rId70" Type="http://schemas.openxmlformats.org/officeDocument/2006/relationships/hyperlink" Target="https://doi.org/10.1017/s0144686x24000205" TargetMode="External"/><Relationship Id="rId75" Type="http://schemas.openxmlformats.org/officeDocument/2006/relationships/hyperlink" Target="https://doi.org/10.3389/fpubh.2022.90608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zra%20Laptop\Downloads\1.pdf" TargetMode="External"/><Relationship Id="rId23" Type="http://schemas.openxmlformats.org/officeDocument/2006/relationships/hyperlink" Target="https://doi.org/10.1080/01419870.2024.2311833" TargetMode="External"/><Relationship Id="rId28" Type="http://schemas.openxmlformats.org/officeDocument/2006/relationships/hyperlink" Target="https://doi.org/10.3390/su151410839" TargetMode="External"/><Relationship Id="rId36" Type="http://schemas.openxmlformats.org/officeDocument/2006/relationships/hyperlink" Target="https://doi.org/10.1007/s10433-020-00564-9" TargetMode="External"/><Relationship Id="rId49" Type="http://schemas.openxmlformats.org/officeDocument/2006/relationships/hyperlink" Target="https://doi.org/10.1093/haschl/qxae094" TargetMode="External"/><Relationship Id="rId57" Type="http://schemas.openxmlformats.org/officeDocument/2006/relationships/hyperlink" Target="https://doi.org/10.1192/bjb.2020.78" TargetMode="External"/><Relationship Id="rId10" Type="http://schemas.openxmlformats.org/officeDocument/2006/relationships/hyperlink" Target="https://www.ageuk.org.uk/siteassets/documents/reports-and-publications/reports-and-briefings/offline-and-overlooked-report.pdf" TargetMode="External"/><Relationship Id="rId31" Type="http://schemas.openxmlformats.org/officeDocument/2006/relationships/hyperlink" Target="https://doi.org/10.12669/pjms.41.3.10639" TargetMode="External"/><Relationship Id="rId44" Type="http://schemas.openxmlformats.org/officeDocument/2006/relationships/hyperlink" Target="https://doi.org/10.1186/s12916-024-03572-z" TargetMode="External"/><Relationship Id="rId52" Type="http://schemas.openxmlformats.org/officeDocument/2006/relationships/hyperlink" Target="https://doi.org/10.1111/bld.12636" TargetMode="External"/><Relationship Id="rId60" Type="http://schemas.openxmlformats.org/officeDocument/2006/relationships/hyperlink" Target="https://pmc.ncbi.nlm.nih.gov/articles/PMC12895809/" TargetMode="External"/><Relationship Id="rId65" Type="http://schemas.openxmlformats.org/officeDocument/2006/relationships/hyperlink" Target="https://doi.org/10.3390/su151410839" TargetMode="External"/><Relationship Id="rId73" Type="http://schemas.openxmlformats.org/officeDocument/2006/relationships/hyperlink" Target="https://doi.org/10.1007/s10433-020-00564-9" TargetMode="External"/><Relationship Id="rId78" Type="http://schemas.openxmlformats.org/officeDocument/2006/relationships/hyperlink" Target="https://pmc.ncbi.nlm.nih.gov/articles/PMC12379439/"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https://doi.org/10.1136/jech-2022-219654&amp;utm_source=gemini&amp;authuser=1" TargetMode="External"/><Relationship Id="rId13" Type="http://schemas.openxmlformats.org/officeDocument/2006/relationships/hyperlink" Target="https://doi.org/10.3310/quvv2680" TargetMode="External"/><Relationship Id="rId18" Type="http://schemas.openxmlformats.org/officeDocument/2006/relationships/hyperlink" Target="https://pubmed.ncbi.nlm.nih.gov/41057836/?utm_source=gemini" TargetMode="External"/><Relationship Id="rId39" Type="http://schemas.openxmlformats.org/officeDocument/2006/relationships/hyperlink" Target="https://doi.org/10.2196/44181" TargetMode="External"/><Relationship Id="rId34" Type="http://schemas.openxmlformats.org/officeDocument/2006/relationships/hyperlink" Target="https://doi.org/10.1186/s12875-024-02453-x" TargetMode="External"/><Relationship Id="rId50" Type="http://schemas.openxmlformats.org/officeDocument/2006/relationships/hyperlink" Target="https://doi.org/10.1161/hypertensionaha.123.21354" TargetMode="External"/><Relationship Id="rId55" Type="http://schemas.openxmlformats.org/officeDocument/2006/relationships/hyperlink" Target="https://doi.org/10.2196/42358" TargetMode="External"/><Relationship Id="rId76" Type="http://schemas.openxmlformats.org/officeDocument/2006/relationships/hyperlink" Target="https://doi.org/10.2196/44181" TargetMode="External"/><Relationship Id="rId7" Type="http://schemas.openxmlformats.org/officeDocument/2006/relationships/endnotes" Target="endnotes.xml"/><Relationship Id="rId71" Type="http://schemas.openxmlformats.org/officeDocument/2006/relationships/hyperlink" Target="https://doi.org/10.1186/s12875-024-02453-x" TargetMode="External"/><Relationship Id="rId2" Type="http://schemas.openxmlformats.org/officeDocument/2006/relationships/numbering" Target="numbering.xml"/><Relationship Id="rId29" Type="http://schemas.openxmlformats.org/officeDocument/2006/relationships/hyperlink" Target="https://doi.org/10.3399/bjgp.2024.0308" TargetMode="External"/><Relationship Id="rId24" Type="http://schemas.openxmlformats.org/officeDocument/2006/relationships/hyperlink" Target="https://doi.org/10.1007/s10680-021-09583-3" TargetMode="External"/><Relationship Id="rId40" Type="http://schemas.openxmlformats.org/officeDocument/2006/relationships/hyperlink" Target="https://doi.org/10.1016/s2468-2667(20)30287-5" TargetMode="External"/><Relationship Id="rId45" Type="http://schemas.openxmlformats.org/officeDocument/2006/relationships/hyperlink" Target="https://doi.org/10.1016/j.eclinm.2022.101708" TargetMode="External"/><Relationship Id="rId66" Type="http://schemas.openxmlformats.org/officeDocument/2006/relationships/hyperlink" Target="https://doi.org/10.3399/bjgp.2024.0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2721F-F013-4800-9C1D-C8BE4B446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63</Pages>
  <Words>17486</Words>
  <Characters>99676</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Chloe Harries</dc:creator>
  <cp:lastModifiedBy>Shafeena Hussain Mushtaq (2314453)</cp:lastModifiedBy>
  <cp:revision>5</cp:revision>
  <dcterms:created xsi:type="dcterms:W3CDTF">2026-09-30T11:49:00Z</dcterms:created>
  <dcterms:modified xsi:type="dcterms:W3CDTF">2026-09-30T14:49:00Z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c74146d3-4673-477a-8772-9973a26b37a8</vt:lpwstr>
  </property>
</Properties>
</file>