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This assignment will provide a critical res</w:t>
      </w:r>
      <w:bookmarkStart w:id="0" w:name="_GoBack"/>
      <w:bookmarkEnd w:id="0"/>
      <w:r>
        <w:rPr>
          <w:rStyle w:val="normaltextrun"/>
          <w:rFonts w:ascii="Calibri" w:hAnsi="Calibri" w:cs="Calibri"/>
          <w:sz w:val="22"/>
          <w:szCs w:val="22"/>
        </w:rPr>
        <w:t>ponse to the article ‘Non- Native English Students Learning in English, Reviewing and Reflecting on the Research’ (Bernardo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2011). From enquiry, the writer understands that at the time of the article's publication, both authors were respected educational professors in De La Salle University.  Specialising in psychology and applied linguistics, research suggests the authors have high authority and knowledge within their field with the article having good creditability (De La Salle University 2017). The article examines what experiences bilingual students, who already speak both Filipino (L1) and English (L2) go through as they undertake learning tasks in their second language, English. The intended readership of the article are educationalists who teach bilingual learners, as the authors review studies that adopt different perspectives on development of learning in a second language, while also suggesting recommendations for teachers. Therefore, in this essay, the key themes discussed in the article will be explored in the context of Wales and teaching Welsh as a second language, in the English-medium sector of education. </w:t>
      </w:r>
      <w:r>
        <w:rPr>
          <w:rStyle w:val="eop"/>
          <w:rFonts w:ascii="Calibri" w:hAnsi="Calibri" w:cs="Calibri"/>
          <w:sz w:val="22"/>
          <w:szCs w:val="22"/>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Firstly, from research it is clear to see the term ‘bilingual’ is difficult to define with many authors having different opinions. Therefore, raises initially concerns about the usefulness of this article in application to education in Wales, as the approach to bilingual education is very different in both countries.  Throughout the article the writer interprets the term ‘bilingual education’ as the teaching of children in their L2, even though they already have high levels of understanding in both L1 and L2.  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(2011, p.2) highlight how English is an international language which is deemed important in many countries, and as a result many countries including the Philippine education system use English as the medium of instruction yet “almost all Filipinos do not speak English as their first language”.  This is describing a form of immersive Bilingual education, where the children embark on education in L2, when from an L1 speaking community (Johnson and Swain 1997). This approach to bilingual education favours Cummins (2000) Cognitive Academic Language Proficiency (CALP) whereby the children have sound knowledge of a language and are able utilise it into different domains to improve themselves academically.   </w:t>
      </w:r>
      <w:proofErr w:type="spellStart"/>
      <w:r>
        <w:rPr>
          <w:rStyle w:val="normaltextrun"/>
          <w:rFonts w:ascii="Calibri" w:hAnsi="Calibri" w:cs="Calibri"/>
          <w:sz w:val="22"/>
          <w:szCs w:val="22"/>
        </w:rPr>
        <w:t>Oestreicher</w:t>
      </w:r>
      <w:proofErr w:type="spellEnd"/>
      <w:r>
        <w:rPr>
          <w:rStyle w:val="normaltextrun"/>
          <w:rFonts w:ascii="Calibri" w:hAnsi="Calibri" w:cs="Calibri"/>
          <w:sz w:val="22"/>
          <w:szCs w:val="22"/>
        </w:rPr>
        <w:t xml:space="preserve"> (1974, p. 9) supports this approach as he suggests that for someone to be bilingual, they require “complete mastery of two different languages.”  However, this could be argued as an extreme view due to lack of consideration for all aspects of bilingualism, it does not account for people who may be able to speak the language but struggle to write it, suggesting they are non-bilingual, therefore leaves questions as to if anyone can reach ‘mastery’.  This is often the case in Wales as Welsh is a minority language and therefore the bilingual education in English medium sectors only use “Welsh as the medium of teaching or learning for between 20% and 50% of the primary curriculum overall” (WAG, 2007, p.9).  This form of education favours Cummins (2000) Basic Interpersonal Communication Skills (BICS) </w:t>
      </w:r>
      <w:r>
        <w:rPr>
          <w:rStyle w:val="normaltextrun"/>
          <w:rFonts w:ascii="Calibri" w:hAnsi="Calibri" w:cs="Calibri"/>
          <w:sz w:val="22"/>
          <w:szCs w:val="22"/>
        </w:rPr>
        <w:lastRenderedPageBreak/>
        <w:t>theory, whereby children learn simple spoken language that will help them for informal interaction.  Grosjean (2010) suggests this is bilingualism, as the child can use two languages in everyday life. However, Valdez &amp; </w:t>
      </w:r>
      <w:proofErr w:type="spellStart"/>
      <w:r>
        <w:rPr>
          <w:rStyle w:val="spellingerror"/>
          <w:rFonts w:ascii="Calibri" w:hAnsi="Calibri" w:cs="Calibri"/>
          <w:sz w:val="22"/>
          <w:szCs w:val="22"/>
        </w:rPr>
        <w:t>Figeora</w:t>
      </w:r>
      <w:proofErr w:type="spellEnd"/>
      <w:r>
        <w:rPr>
          <w:rStyle w:val="normaltextrun"/>
          <w:rFonts w:ascii="Calibri" w:hAnsi="Calibri" w:cs="Calibri"/>
          <w:sz w:val="22"/>
          <w:szCs w:val="22"/>
        </w:rPr>
        <w:t> (1994) challenge these views further, believing that bilingualism can be simply defined as knowing two languages, which is further supported by Haugen (1953, p. 7) who suggests bilingualism is when someone can “produce complete meaningful utterances in the other language.” However, the term ‘knowing’ is very ambiguous with everyone's opinion on the word varying, therefore is it unlikely that everyone will have the same opinion on the term bilingualism in education. Moreover, it is also possible to suggest that a simple utterance is not enough, as it suggests sufficient second language learning is not required to be bilingual.  With all definitions being outdated, the writer believes that the term bilingualism in relation to education is summarised well by Garcia (2009, p.6), who states that bilingual education should be “a way of providing meaningful and equitable education” that not only allows learners to build on linguistics but also develops understanding and appreciation around the culture and language. This is a focus for Welsh learning in Education, as the ACCAC (2003) suggest education in Wales should encourage celebration of Welshness.  </w:t>
      </w:r>
      <w:r>
        <w:rPr>
          <w:rStyle w:val="eop"/>
          <w:rFonts w:ascii="Calibri" w:hAnsi="Calibri" w:cs="Calibri"/>
          <w:sz w:val="22"/>
          <w:szCs w:val="22"/>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Moreover, a main theme discussed in the article explores the psycholinguistic perspective of learning a language discussing the “underlying cognitive physiological processes that relate to language related behaviours” (Bernardo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2011, p. 2).  A key finding by 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(2011, p. 3) was that monolinguals often perform worse than bilinguals, with bilinguals tending to have more “enhanced cognitive functions” and therefore suggesting a positive correlation.  Researchers such as Diaz (1997) and Peal &amp; Lambert (1962) support this claim, highlighting that bilingualism has a positive effect on intelligence, with bilinguals often outperforming monolingual peers due to more advanced cognitive flexibility.  However, prior to these findings research undertaken up to the 1960’s suggested a negative correlation, Laurie (1890, p. 15 cited in Baker 2011, p. 143) states that if a child is bilingual their “intellectual and spiritual growth would not therefore be doubled, but halved.” Furthermore, UNCESO (1953) suggest that the quickest way to learn is through a native, mother tongue language which is not the case in L2 learning.  Nevertheless, much of this research is outdated with more recent research carried out in the 21</w:t>
      </w:r>
      <w:r>
        <w:rPr>
          <w:rStyle w:val="normaltextrun"/>
          <w:rFonts w:ascii="Calibri" w:hAnsi="Calibri" w:cs="Calibri"/>
          <w:sz w:val="13"/>
          <w:szCs w:val="13"/>
          <w:vertAlign w:val="superscript"/>
        </w:rPr>
        <w:t>st</w:t>
      </w:r>
      <w:r>
        <w:rPr>
          <w:rStyle w:val="normaltextrun"/>
          <w:rFonts w:ascii="Calibri" w:hAnsi="Calibri" w:cs="Calibri"/>
          <w:sz w:val="22"/>
          <w:szCs w:val="22"/>
        </w:rPr>
        <w:t> century by Cummins (2000) and Cumming (2012), who generally agree on the benefits of bilingualism, such as greater intelligence and increased cognitive development.  The writer believes that bilingualism does have a positive effect on children's cognitive abilities with research discussed emphasising the need to improve the number of confident bilinguals in Wales, however for this to be the case educationalists need to be aware of other factors affecting L2 learning. </w:t>
      </w:r>
      <w:r>
        <w:rPr>
          <w:rStyle w:val="eop"/>
          <w:rFonts w:ascii="Calibri" w:hAnsi="Calibri" w:cs="Calibri"/>
          <w:sz w:val="22"/>
          <w:szCs w:val="22"/>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lastRenderedPageBreak/>
        <w:t>Another theme raised by the article explores the sociolinguistic influences on learning a language, favouring the idea that learning experiences also influence language learning (Bernardo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2011).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(2009 cited in 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2011) found that one main factor that students felt helped their learning L2, was that their teachers were being good role models of L2. </w:t>
      </w:r>
      <w:proofErr w:type="spellStart"/>
      <w:r>
        <w:rPr>
          <w:rStyle w:val="spellingerror"/>
          <w:rFonts w:ascii="Calibri" w:hAnsi="Calibri" w:cs="Calibri"/>
          <w:sz w:val="22"/>
          <w:szCs w:val="22"/>
        </w:rPr>
        <w:t>Lightbown</w:t>
      </w:r>
      <w:proofErr w:type="spellEnd"/>
      <w:r>
        <w:rPr>
          <w:rStyle w:val="normaltextrun"/>
          <w:rFonts w:ascii="Calibri" w:hAnsi="Calibri" w:cs="Calibri"/>
          <w:sz w:val="22"/>
          <w:szCs w:val="22"/>
        </w:rPr>
        <w:t> and Spada (1999) support this view, stating that children learning in L2 improve their own understanding and progression when they interact in the L2 with someone who is more knowledgeable.  Richard and Rodgers (2001) also emphasise that modelling is essential, as students strive to model those they aspire to be like.  However, this is not often the case in Wales, documentation highlights a need for an improvement in language skills for teachers, who teach Welsh.  Donaldson (2015) suggests that the teaching workforce lack the skills, confidence and teaching methodologies needed for effective learning and modelling.  Welsh Government (2013) also suggests that the majority of teachers in the English medium sectors are not Welsh specialists.  Welsh Government (2017a, p. 12) states one recommendation to reach the target of a million Welsh speakers by 2050 is to “increase the number of primary teachers who can teach in Welsh from 2,900 to 3,900 by 2031.”  However, it is doubtful that this recommendation will be met unless provisions are put in place to improve teaching standards.  Estyn (2018a) states that “many teachers lack confidence in teaching Welsh as there are not enough opportunities for them to improve their skills.”  However, the Sabbatical Scheme for Welsh Language does aim to provide teachers with the opportunity to up-skill their Welsh ability. Estyn (2016) discusses the benefits of these educational schemes, highlighting the need to develop a confident co-ordinator to steer the school in the right direction and as a helpful contribution to improving in second language learning across Wales.  Although it is unlikely that the improvement of one teacher’s ability will increase the confidence and ability of all facilitators across the school.  Baker (2011) states that subject leaders and teachers need to be enthusiastic and confident individuals, or they cannot use their status and role to create a rich, immersive environment.  During Personal Teaching Experience (PTE) the writer saw few Welsh specialists within the school.  Not only this but, it could be seen that modelling of L2 was much more effective with teachers in the Foundation Phase than in Key Stage 2 (KS2), with teachers modelling Welsh language daily, with the children communicating and using it effectively.  Welsh Government (2013, p.3) state that “Key Stage 2 teachers are not confident enough and lack the knowledge to teach Welsh to an appropriate level.” This was seen on PTE when teachers in KS2 would shy away from using welsh, getting a cover/supply teacher to teach a Welsh lesson during teachers Planning, Preparation and Assessment time (PPA).  </w:t>
      </w:r>
      <w:r>
        <w:rPr>
          <w:rStyle w:val="eop"/>
          <w:rFonts w:ascii="Calibri" w:hAnsi="Calibri" w:cs="Calibri"/>
          <w:sz w:val="22"/>
          <w:szCs w:val="22"/>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Another key point made by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(2009 cited in 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xml:space="preserve">, 2011, p. 5), is that learners were positively influenced by “family-related factors” as it helped them shape their English </w:t>
      </w:r>
      <w:r>
        <w:rPr>
          <w:rStyle w:val="normaltextrun"/>
          <w:rFonts w:ascii="Calibri" w:hAnsi="Calibri" w:cs="Calibri"/>
          <w:sz w:val="22"/>
          <w:szCs w:val="22"/>
        </w:rPr>
        <w:lastRenderedPageBreak/>
        <w:t>language experiences.  Rhys (2014) states that children who are taught in a language that they speak at home are more likely to overachieve compared to those who do not speak the language at home, suggesting language beyond the classroom has a positive effect on L2 learning. However, in Wales, Estyn (2018a) suggests that pupils do not use and apply their language skills enough outside of school and in real life social settings to progress their language. In addition,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(2009 cited in 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2011) suggests that children do not consider their community as having an influence on their learning, suggesting their surrounding environment does not conduce the second language, which is also the case in Wales.  Welsh Assembly Government (2010) emphasis that if a language is not reinforced and fostered by the community the child's fluency is unlikely to maintain. In English-medium schools where children are learning Welsh as a second language parents and wider community often have little involvement with the language compared to the children in education, and as a result cannot help children's improvement of their L2 education outside of school (WG 2013). Baker (2000) states that parents may be concerned if their child is submerged to second language learning as they have not got the confidence to support them, yet parents’ encouragement is key.  Welsh Government (2017b, p.14) recognise this in their ‘Welsh Education Action Plan’, highlighting that “communication with parents and carers about the benefits of learning the language and how they can support their children will be essential.”  EWR (2019) also encourage Welsh in the English medium sector by promoting enjoyable activities through use of a Language Charter for not only the learners but also involving parents and the community.  Estyn (2018b) furthers this concept and suggests good practice comes from schools who involve parents and the community into the learning process. They provide workshops to parents to improve specific skills, as well as partnership within the community offering welsh courses to families who which to further understanding and support (Estyn 2018b).  The writer observed aspects of good practice during PTE where the school had a welsh morning, every month.  During this morning session parents/carers would be invited to come in to observe what the class were doing in Welsh and complete activities alongside their children to improve understanding.  Nevertheless, the writer also observed many working parents unable to attend the session, with other parents having little interaction with the language during the time spent in school, and therefore unlikely improving their own personal skills if this is the case. </w:t>
      </w:r>
      <w:r>
        <w:rPr>
          <w:rStyle w:val="eop"/>
          <w:rFonts w:ascii="Calibri" w:hAnsi="Calibri" w:cs="Calibri"/>
          <w:sz w:val="22"/>
          <w:szCs w:val="22"/>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lang w:val="en-US"/>
        </w:rPr>
        <w:t xml:space="preserve">Overall this essay is an analytical look at the different experiences that effects a child's learning when completing work in L2 which is not native to them, this within the field of education is an important concept in ensuring effective teaching and learning. However, the application of themes discussed in the article are unlikely to be applied to education in Wales, successfully unless recommendations are made and acted upon. One key recommendation the writer suggest is </w:t>
      </w:r>
      <w:r>
        <w:rPr>
          <w:rStyle w:val="normaltextrun"/>
          <w:rFonts w:ascii="Calibri" w:hAnsi="Calibri" w:cs="Calibri"/>
          <w:sz w:val="22"/>
          <w:szCs w:val="22"/>
          <w:lang w:val="en-US"/>
        </w:rPr>
        <w:lastRenderedPageBreak/>
        <w:t>that the weighting of teaching Welsh should be increased, </w:t>
      </w:r>
      <w:r>
        <w:rPr>
          <w:rStyle w:val="normaltextrun"/>
          <w:rFonts w:ascii="Calibri" w:hAnsi="Calibri" w:cs="Calibri"/>
          <w:sz w:val="22"/>
          <w:szCs w:val="22"/>
        </w:rPr>
        <w:t>Bernardo and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(2011, p.5) suggest that by giving children the availability of two languages to communicate, provides children with “additional resources for learning.” Yet currently, Welsh Government (2013) highlight that time given to teach in Welsh is insufficient.  Nevertheless, within the proposed new curriculum, Donaldson (2015) discusses the need for an equal weighting of teaching for all Areas of Learning and Experience, and therefore also the need for improvement in teachers’ confidence and ability in language to be able to support both languages equally.  Not only this but there is also the need for an increasingly strong Welsh ethos within English medium schools as well as outside within the community is also a valuable factor. Children and parents need to be able to see the Language is valuable and additive, whereby it is adding to their skills but not taking away from what they already know (Cook 2008).  To conclude, the writer believes that </w:t>
      </w:r>
      <w:proofErr w:type="spellStart"/>
      <w:r>
        <w:rPr>
          <w:rStyle w:val="spellingerror"/>
          <w:rFonts w:ascii="Calibri" w:hAnsi="Calibri" w:cs="Calibri"/>
          <w:sz w:val="22"/>
          <w:szCs w:val="22"/>
        </w:rPr>
        <w:t>Strubell’s</w:t>
      </w:r>
      <w:proofErr w:type="spellEnd"/>
      <w:r>
        <w:rPr>
          <w:rStyle w:val="normaltextrun"/>
          <w:rFonts w:ascii="Calibri" w:hAnsi="Calibri" w:cs="Calibri"/>
          <w:sz w:val="22"/>
          <w:szCs w:val="22"/>
        </w:rPr>
        <w:t> (2011 cited in Welsh Government 2017a) ‘Catherine Wheel’ demonstrates a useful model in developing and improving the use of a threatened language, he discusses how factors such as motivation, learning, services and perception need to have an interrelationship to ensure progression.</w:t>
      </w:r>
      <w:r>
        <w:rPr>
          <w:rStyle w:val="eop"/>
          <w:rFonts w:ascii="Calibri" w:hAnsi="Calibri" w:cs="Calibri"/>
          <w:sz w:val="22"/>
          <w:szCs w:val="22"/>
        </w:rPr>
        <w:t> </w:t>
      </w:r>
    </w:p>
    <w:p w:rsidR="001A1813" w:rsidRDefault="001A1813" w:rsidP="001A1813">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sz w:val="22"/>
          <w:szCs w:val="22"/>
        </w:rPr>
        <w:t>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Work count: 2186</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u w:val="single"/>
        </w:rPr>
        <w:t>Refences</w:t>
      </w:r>
      <w:r>
        <w:rPr>
          <w:rStyle w:val="normaltextrun"/>
          <w:rFonts w:ascii="Calibri" w:hAnsi="Calibri" w:cs="Calibri"/>
          <w:sz w:val="22"/>
          <w:szCs w:val="22"/>
        </w:rPr>
        <w:t>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Baker, C. (2011). Foundations of bilingual education and bilingualism. Bristol: Multilingual Matters.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Baker, C. (2000) a Parent and Teachers guide to bilingualism. 2</w:t>
      </w:r>
      <w:r>
        <w:rPr>
          <w:rStyle w:val="normaltextrun"/>
          <w:rFonts w:ascii="Calibri" w:hAnsi="Calibri" w:cs="Calibri"/>
          <w:sz w:val="13"/>
          <w:szCs w:val="13"/>
          <w:vertAlign w:val="superscript"/>
        </w:rPr>
        <w:t>nd</w:t>
      </w:r>
      <w:r>
        <w:rPr>
          <w:rStyle w:val="normaltextrun"/>
          <w:rFonts w:ascii="Calibri" w:hAnsi="Calibri" w:cs="Calibri"/>
          <w:sz w:val="22"/>
          <w:szCs w:val="22"/>
        </w:rPr>
        <w:t> Ed. Clevedon: Multilingual Matter LTD.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Bernardo, A.B.I. &amp; </w:t>
      </w:r>
      <w:proofErr w:type="spellStart"/>
      <w:r>
        <w:rPr>
          <w:rStyle w:val="normaltextrun"/>
          <w:rFonts w:ascii="Calibri" w:hAnsi="Calibri" w:cs="Calibri"/>
          <w:sz w:val="22"/>
          <w:szCs w:val="22"/>
        </w:rPr>
        <w:t>Gaerlan</w:t>
      </w:r>
      <w:proofErr w:type="spellEnd"/>
      <w:r>
        <w:rPr>
          <w:rStyle w:val="normaltextrun"/>
          <w:rFonts w:ascii="Calibri" w:hAnsi="Calibri" w:cs="Calibri"/>
          <w:sz w:val="22"/>
          <w:szCs w:val="22"/>
        </w:rPr>
        <w:t>, M.J.M. (2011) Non-Native English Students Learning in English: Reviewing and Reﬂecting on the Research.  In </w:t>
      </w:r>
      <w:proofErr w:type="spellStart"/>
      <w:r>
        <w:rPr>
          <w:rStyle w:val="normaltextrun"/>
          <w:rFonts w:ascii="Calibri" w:hAnsi="Calibri" w:cs="Calibri"/>
          <w:sz w:val="22"/>
          <w:szCs w:val="22"/>
        </w:rPr>
        <w:t>Jaidey</w:t>
      </w:r>
      <w:proofErr w:type="spellEnd"/>
      <w:r>
        <w:rPr>
          <w:rStyle w:val="normaltextrun"/>
          <w:rFonts w:ascii="Calibri" w:hAnsi="Calibri" w:cs="Calibri"/>
          <w:sz w:val="22"/>
          <w:szCs w:val="22"/>
        </w:rPr>
        <w:t>, R., </w:t>
      </w:r>
      <w:proofErr w:type="spellStart"/>
      <w:r>
        <w:rPr>
          <w:rStyle w:val="normaltextrun"/>
          <w:rFonts w:ascii="Calibri" w:hAnsi="Calibri" w:cs="Calibri"/>
          <w:sz w:val="22"/>
          <w:szCs w:val="22"/>
        </w:rPr>
        <w:t>Sadorra</w:t>
      </w:r>
      <w:proofErr w:type="spellEnd"/>
      <w:r>
        <w:rPr>
          <w:rStyle w:val="normaltextrun"/>
          <w:rFonts w:ascii="Calibri" w:hAnsi="Calibri" w:cs="Calibri"/>
          <w:sz w:val="22"/>
          <w:szCs w:val="22"/>
        </w:rPr>
        <w:t>, M.L.C., Wong, J.O., Lee, M.C. &amp; </w:t>
      </w:r>
      <w:proofErr w:type="spellStart"/>
      <w:r>
        <w:rPr>
          <w:rStyle w:val="normaltextrun"/>
          <w:rFonts w:ascii="Calibri" w:hAnsi="Calibri" w:cs="Calibri"/>
          <w:sz w:val="22"/>
          <w:szCs w:val="22"/>
        </w:rPr>
        <w:t>Lorente</w:t>
      </w:r>
      <w:proofErr w:type="spellEnd"/>
      <w:r>
        <w:rPr>
          <w:rStyle w:val="normaltextrun"/>
          <w:rFonts w:ascii="Calibri" w:hAnsi="Calibri" w:cs="Calibri"/>
          <w:sz w:val="22"/>
          <w:szCs w:val="22"/>
        </w:rPr>
        <w:t>, M.C. (eds.) Global perspectives, local initiatives: Reflections and practices in ELT.  National University of Singapore, CELC, pp.1-9.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Cook, V.J. (2008) Second Language Learning and Language Teaching, 4 </w:t>
      </w:r>
      <w:proofErr w:type="spellStart"/>
      <w:r>
        <w:rPr>
          <w:rStyle w:val="spellingerror"/>
          <w:rFonts w:ascii="Calibri" w:hAnsi="Calibri" w:cs="Calibri"/>
          <w:sz w:val="22"/>
          <w:szCs w:val="22"/>
        </w:rPr>
        <w:t>th</w:t>
      </w:r>
      <w:proofErr w:type="spellEnd"/>
      <w:r>
        <w:rPr>
          <w:rStyle w:val="normaltextrun"/>
          <w:rFonts w:ascii="Calibri" w:hAnsi="Calibri" w:cs="Calibri"/>
          <w:sz w:val="22"/>
          <w:szCs w:val="22"/>
        </w:rPr>
        <w:t> Edition. London: Hodder Education.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Cumming, B. (2012). Implementing a successful bilingual education program in Japan: support for minority languages and the present climate of bilingual education. The Journal of the Faculty of Foreign Studies, 44, 77–101.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Cummins, J. (2000) Language, Power and Pedagogy. Clevedon: Multilingual Matters LTD.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Donaldson, G. (2015) Successful Futures, Cardiff: Crown.  Available at: </w:t>
      </w:r>
      <w:hyperlink r:id="rId6" w:tgtFrame="_blank" w:history="1">
        <w:r>
          <w:rPr>
            <w:rStyle w:val="normaltextrun"/>
            <w:rFonts w:ascii="Calibri" w:hAnsi="Calibri" w:cs="Calibri"/>
            <w:color w:val="0563C1"/>
            <w:sz w:val="22"/>
            <w:szCs w:val="22"/>
            <w:u w:val="single"/>
          </w:rPr>
          <w:t>file:///C:/Users/1701843/Downloads/Donaldson%20Report%20-%20Successful%20Futures%20-%20Independent%20Review%20of%20Curriculum%20and%20Assessment%20Arrangements%20in%20Wales.pdf</w:t>
        </w:r>
      </w:hyperlink>
      <w:r>
        <w:rPr>
          <w:rStyle w:val="normaltextrun"/>
          <w:rFonts w:ascii="Calibri" w:hAnsi="Calibri" w:cs="Calibri"/>
          <w:sz w:val="22"/>
          <w:szCs w:val="22"/>
        </w:rPr>
        <w:t>  at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Estyn (2016) Annual Report of Her Majesty’s Chief Inspector of Education and Training in Wales 2013-2014. Cardiff: Crown. Available at: </w:t>
      </w:r>
      <w:hyperlink r:id="rId7" w:tgtFrame="_blank" w:history="1">
        <w:r>
          <w:rPr>
            <w:rStyle w:val="normaltextrun"/>
            <w:rFonts w:ascii="Calibri" w:hAnsi="Calibri" w:cs="Calibri"/>
            <w:color w:val="0563C1"/>
            <w:sz w:val="22"/>
            <w:szCs w:val="22"/>
            <w:u w:val="single"/>
          </w:rPr>
          <w:t>file:///C:/Users/Caitlin/Downloads/Estyn_Annual%20Report_2016%20-%2017_English_Accessible.pdf</w:t>
        </w:r>
      </w:hyperlink>
      <w:r>
        <w:rPr>
          <w:rStyle w:val="normaltextrun"/>
          <w:rFonts w:ascii="Calibri" w:hAnsi="Calibri" w:cs="Calibri"/>
          <w:color w:val="0563C1"/>
          <w:sz w:val="22"/>
          <w:szCs w:val="22"/>
          <w:u w:val="single"/>
        </w:rPr>
        <w:t>   </w:t>
      </w:r>
      <w:r>
        <w:rPr>
          <w:rStyle w:val="normaltextrun"/>
          <w:rFonts w:ascii="Calibri" w:hAnsi="Calibri" w:cs="Calibri"/>
          <w:sz w:val="22"/>
          <w:szCs w:val="22"/>
        </w:rPr>
        <w:t>(Last Accessed 25</w:t>
      </w:r>
      <w:r>
        <w:rPr>
          <w:rStyle w:val="normaltextrun"/>
          <w:rFonts w:ascii="Calibri" w:hAnsi="Calibri" w:cs="Calibri"/>
          <w:sz w:val="17"/>
          <w:szCs w:val="17"/>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Estyn (2018a) The Annual Report of Her Majesty's Chief Inspector of Education and Training in Wales, Cardiff: Crown.  Available at: </w:t>
      </w:r>
      <w:r>
        <w:rPr>
          <w:rStyle w:val="normaltextrun"/>
          <w:rFonts w:ascii="Calibri" w:hAnsi="Calibri" w:cs="Calibri"/>
          <w:color w:val="0563C1"/>
          <w:sz w:val="22"/>
          <w:szCs w:val="22"/>
          <w:u w:val="single"/>
        </w:rPr>
        <w:t> </w:t>
      </w:r>
      <w:hyperlink r:id="rId8" w:tgtFrame="_blank" w:history="1">
        <w:r>
          <w:rPr>
            <w:rStyle w:val="normaltextrun"/>
            <w:rFonts w:ascii="Calibri" w:hAnsi="Calibri" w:cs="Calibri"/>
            <w:color w:val="0563C1"/>
            <w:sz w:val="22"/>
            <w:szCs w:val="22"/>
            <w:u w:val="single"/>
          </w:rPr>
          <w:t>http://www.assembly.wales/laid%20documents/gen-ld11387/gen-ld11387-e.pdf</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Estyn (2018b) Making Families Partners in Learning, Cardiff: Crown.  Available at: </w:t>
      </w:r>
      <w:hyperlink r:id="rId9" w:tgtFrame="_blank" w:history="1">
        <w:r>
          <w:rPr>
            <w:rStyle w:val="normaltextrun"/>
            <w:rFonts w:ascii="Calibri" w:hAnsi="Calibri" w:cs="Calibri"/>
            <w:color w:val="0563C1"/>
            <w:sz w:val="22"/>
            <w:szCs w:val="22"/>
            <w:u w:val="single"/>
          </w:rPr>
          <w:t>https://www.estyn.gov.wales/effective-practice/making-families-partners-learning</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1"/>
          <w:szCs w:val="21"/>
        </w:rPr>
        <w:t>Garcia, O. (2009) Bilingual education in the 21st century. A global perspective. Malden and Oxford: Wiley-Blackwell. </w:t>
      </w:r>
      <w:r>
        <w:rPr>
          <w:rStyle w:val="eop"/>
          <w:rFonts w:ascii="Calibri" w:hAnsi="Calibri" w:cs="Calibri"/>
          <w:sz w:val="21"/>
          <w:szCs w:val="21"/>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1"/>
          <w:szCs w:val="21"/>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1"/>
          <w:szCs w:val="21"/>
        </w:rPr>
        <w:t>Gass</w:t>
      </w:r>
      <w:proofErr w:type="spellEnd"/>
      <w:r>
        <w:rPr>
          <w:rStyle w:val="normaltextrun"/>
          <w:rFonts w:ascii="Calibri" w:hAnsi="Calibri" w:cs="Calibri"/>
          <w:sz w:val="21"/>
          <w:szCs w:val="21"/>
        </w:rPr>
        <w:t>, S. (1997) Input, Interaction and the Second Language Learner.  USA: Lawrence Erlbaum Associates Inc Publishers.  </w:t>
      </w:r>
      <w:r>
        <w:rPr>
          <w:rStyle w:val="eop"/>
          <w:rFonts w:ascii="Calibri" w:hAnsi="Calibri" w:cs="Calibri"/>
          <w:sz w:val="21"/>
          <w:szCs w:val="21"/>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1"/>
          <w:szCs w:val="21"/>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Grosjean, F. (2010) Bilingual, Life and Reality, USA: Library of Congress Cataloguing-in-Publication.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proofErr w:type="spellStart"/>
      <w:proofErr w:type="gramStart"/>
      <w:r>
        <w:rPr>
          <w:rStyle w:val="spellingerror"/>
          <w:rFonts w:ascii="Calibri" w:hAnsi="Calibri" w:cs="Calibri"/>
          <w:sz w:val="22"/>
          <w:szCs w:val="22"/>
        </w:rPr>
        <w:t>Haugen,E</w:t>
      </w:r>
      <w:proofErr w:type="spellEnd"/>
      <w:proofErr w:type="gramEnd"/>
      <w:r>
        <w:rPr>
          <w:rStyle w:val="normaltextrun"/>
          <w:rFonts w:ascii="Calibri" w:hAnsi="Calibri" w:cs="Calibri"/>
          <w:sz w:val="22"/>
          <w:szCs w:val="22"/>
        </w:rPr>
        <w:t> (1953) The Norwegian language in America: A study of bilingual behaviour. Philadelphia: University of Pennsylvania Press.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Johnson, R. and Swain, M. (2009). Immersion education. Cambridge: Cambridge University Press.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Calibri" w:hAnsi="Calibri" w:cs="Calibri"/>
          <w:sz w:val="22"/>
          <w:szCs w:val="22"/>
        </w:rPr>
        <w:t>Lightbown</w:t>
      </w:r>
      <w:proofErr w:type="spellEnd"/>
      <w:r>
        <w:rPr>
          <w:rStyle w:val="normaltextrun"/>
          <w:rFonts w:ascii="Calibri" w:hAnsi="Calibri" w:cs="Calibri"/>
          <w:sz w:val="22"/>
          <w:szCs w:val="22"/>
        </w:rPr>
        <w:t>, P. and Spada, N. (1999) How languages are learned. Oxford: Oxford University Press.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rPr>
        <w:t>Oestreicher</w:t>
      </w:r>
      <w:proofErr w:type="spellEnd"/>
      <w:r>
        <w:rPr>
          <w:rStyle w:val="normaltextrun"/>
          <w:rFonts w:ascii="Calibri" w:hAnsi="Calibri" w:cs="Calibri"/>
          <w:sz w:val="22"/>
          <w:szCs w:val="22"/>
        </w:rPr>
        <w:t>, J.P. (1974). The early teaching of a modern language, education and culture. Review of the Council for cultural cooperation of the council of Europe 24, 9‒16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Peal, E. &amp; Lambert, W. E. (1962). The relation of bilingualism to intelligence. Psychological Monographs: General and Applied, 76(27), 1-23.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Qualifications, Curriculum and Assessment Authority for Wales (ACCAC) (2003), Developing the Curriculum </w:t>
      </w:r>
      <w:proofErr w:type="spellStart"/>
      <w:r>
        <w:rPr>
          <w:rStyle w:val="normaltextrun"/>
          <w:rFonts w:ascii="Calibri" w:hAnsi="Calibri" w:cs="Calibri"/>
          <w:sz w:val="22"/>
          <w:szCs w:val="22"/>
        </w:rPr>
        <w:t>Cymreig</w:t>
      </w:r>
      <w:proofErr w:type="spellEnd"/>
      <w:r>
        <w:rPr>
          <w:rStyle w:val="normaltextrun"/>
          <w:rFonts w:ascii="Calibri" w:hAnsi="Calibri" w:cs="Calibri"/>
          <w:sz w:val="22"/>
          <w:szCs w:val="22"/>
        </w:rPr>
        <w:t>, </w:t>
      </w:r>
      <w:proofErr w:type="gramStart"/>
      <w:r>
        <w:rPr>
          <w:rStyle w:val="contextualspellingandgrammarerror"/>
          <w:rFonts w:ascii="Calibri" w:hAnsi="Calibri" w:cs="Calibri"/>
          <w:sz w:val="22"/>
          <w:szCs w:val="22"/>
        </w:rPr>
        <w:t>Cardiff :</w:t>
      </w:r>
      <w:proofErr w:type="gramEnd"/>
      <w:r>
        <w:rPr>
          <w:rStyle w:val="normaltextrun"/>
          <w:rFonts w:ascii="Calibri" w:hAnsi="Calibri" w:cs="Calibri"/>
          <w:sz w:val="22"/>
          <w:szCs w:val="22"/>
        </w:rPr>
        <w:t> ACCAC Publications. Available at: </w:t>
      </w:r>
      <w:hyperlink r:id="rId10" w:tgtFrame="_blank" w:history="1">
        <w:r>
          <w:rPr>
            <w:rStyle w:val="normaltextrun"/>
            <w:rFonts w:ascii="Calibri" w:hAnsi="Calibri" w:cs="Calibri"/>
            <w:color w:val="0563C1"/>
            <w:sz w:val="22"/>
            <w:szCs w:val="22"/>
            <w:u w:val="single"/>
          </w:rPr>
          <w:t>https://s3-eu-west-1.amazonaws.com/hwb-live-storage/5d/81/a2/22/5c604caab7b8fc2b04ebce7a/developing-the-curriculum-cymreig.pdf</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1"/>
          <w:szCs w:val="21"/>
        </w:rPr>
        <w:t>Richards, J. &amp; Rodger, T. (2001) Approaches and Methods in Language Teaching. 2</w:t>
      </w:r>
      <w:r>
        <w:rPr>
          <w:rStyle w:val="normaltextrun"/>
          <w:rFonts w:ascii="Calibri" w:hAnsi="Calibri" w:cs="Calibri"/>
          <w:sz w:val="12"/>
          <w:szCs w:val="12"/>
          <w:vertAlign w:val="superscript"/>
        </w:rPr>
        <w:t>nd</w:t>
      </w:r>
      <w:r>
        <w:rPr>
          <w:rStyle w:val="normaltextrun"/>
          <w:rFonts w:ascii="Calibri" w:hAnsi="Calibri" w:cs="Calibri"/>
          <w:sz w:val="21"/>
          <w:szCs w:val="21"/>
        </w:rPr>
        <w:t> ed. Cambridge: Cambridge University Press. </w:t>
      </w:r>
      <w:r>
        <w:rPr>
          <w:rStyle w:val="eop"/>
          <w:rFonts w:ascii="Calibri" w:hAnsi="Calibri" w:cs="Calibri"/>
          <w:sz w:val="21"/>
          <w:szCs w:val="21"/>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1"/>
          <w:szCs w:val="21"/>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sz w:val="22"/>
          <w:szCs w:val="22"/>
        </w:rPr>
        <w:t>Strubell</w:t>
      </w:r>
      <w:proofErr w:type="spellEnd"/>
      <w:r>
        <w:rPr>
          <w:rStyle w:val="normaltextrun"/>
          <w:rFonts w:ascii="Calibri" w:hAnsi="Calibri" w:cs="Calibri"/>
          <w:sz w:val="22"/>
          <w:szCs w:val="22"/>
        </w:rPr>
        <w:t>, M. (2001) ‘Catalan A Decade Later’, in Fishman, J. A. (ed.), Can Threatened Languages be Saved? Reversing Language Shift, Revisited: A 21st Century Perspective. England: Multilingual Matters.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UNESCO (1953) The Use of Vernacular Languages in Education, Monographs on Fundamental Education. Paris:  UNESCO.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Valdés, G. and </w:t>
      </w:r>
      <w:proofErr w:type="spellStart"/>
      <w:r>
        <w:rPr>
          <w:rStyle w:val="spellingerror"/>
          <w:rFonts w:ascii="Calibri" w:hAnsi="Calibri" w:cs="Calibri"/>
          <w:sz w:val="22"/>
          <w:szCs w:val="22"/>
        </w:rPr>
        <w:t>Figueroá</w:t>
      </w:r>
      <w:proofErr w:type="spellEnd"/>
      <w:r>
        <w:rPr>
          <w:rStyle w:val="normaltextrun"/>
          <w:rFonts w:ascii="Calibri" w:hAnsi="Calibri" w:cs="Calibri"/>
          <w:sz w:val="22"/>
          <w:szCs w:val="22"/>
        </w:rPr>
        <w:t>, R.A. 1994: Bilingualism and testing: a special case of bias. Norwood, NJ: </w:t>
      </w:r>
      <w:proofErr w:type="spellStart"/>
      <w:r>
        <w:rPr>
          <w:rStyle w:val="spellingerror"/>
          <w:rFonts w:ascii="Calibri" w:hAnsi="Calibri" w:cs="Calibri"/>
          <w:sz w:val="22"/>
          <w:szCs w:val="22"/>
        </w:rPr>
        <w:t>Ablex</w:t>
      </w:r>
      <w:proofErr w:type="spellEnd"/>
      <w:r>
        <w:rPr>
          <w:rStyle w:val="normaltextrun"/>
          <w:rFonts w:ascii="Calibri" w:hAnsi="Calibri" w:cs="Calibri"/>
          <w:sz w:val="22"/>
          <w:szCs w:val="22"/>
        </w:rPr>
        <w:t>. 265 pp.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Welsh Government (2012) A Living Language: </w:t>
      </w:r>
      <w:proofErr w:type="gramStart"/>
      <w:r>
        <w:rPr>
          <w:rStyle w:val="contextualspellingandgrammarerror"/>
          <w:rFonts w:ascii="Calibri" w:hAnsi="Calibri" w:cs="Calibri"/>
          <w:sz w:val="22"/>
          <w:szCs w:val="22"/>
        </w:rPr>
        <w:t>a</w:t>
      </w:r>
      <w:proofErr w:type="gramEnd"/>
      <w:r>
        <w:rPr>
          <w:rStyle w:val="normaltextrun"/>
          <w:rFonts w:ascii="Calibri" w:hAnsi="Calibri" w:cs="Calibri"/>
          <w:sz w:val="22"/>
          <w:szCs w:val="22"/>
        </w:rPr>
        <w:t> Language for Living Welsh Language Strategy 2012–17, Cardiff: Crown. Available at: </w:t>
      </w:r>
      <w:r>
        <w:rPr>
          <w:rStyle w:val="normaltextrun"/>
          <w:rFonts w:ascii="Calibri" w:hAnsi="Calibri" w:cs="Calibri"/>
          <w:color w:val="0563C1"/>
          <w:sz w:val="22"/>
          <w:szCs w:val="22"/>
          <w:u w:val="single"/>
        </w:rPr>
        <w:t> </w:t>
      </w:r>
      <w:hyperlink r:id="rId11" w:tgtFrame="_blank" w:history="1">
        <w:r>
          <w:rPr>
            <w:rStyle w:val="normaltextrun"/>
            <w:rFonts w:ascii="Calibri" w:hAnsi="Calibri" w:cs="Calibri"/>
            <w:color w:val="0563C1"/>
            <w:sz w:val="22"/>
            <w:szCs w:val="22"/>
            <w:u w:val="single"/>
          </w:rPr>
          <w:t>http://www.estynllaw.org/uploads/s_a_living_language.pdf</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Welsh Government (2013) One Language for all, Review of Welsh second language at Key Stages 3 and 4, Cardiff: Crown. Available at: </w:t>
      </w:r>
      <w:hyperlink r:id="rId12" w:tgtFrame="_blank" w:history="1">
        <w:r>
          <w:rPr>
            <w:rStyle w:val="normaltextrun"/>
            <w:rFonts w:ascii="Calibri" w:hAnsi="Calibri" w:cs="Calibri"/>
            <w:color w:val="0563C1"/>
            <w:sz w:val="22"/>
            <w:szCs w:val="22"/>
            <w:u w:val="single"/>
          </w:rPr>
          <w:t>https://gov.wales/sites/default/files/publications/2018-05/review-of-welsh-second-language-at-key-stages-3-and-4.pdf</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Welsh Government (2017a) </w:t>
      </w:r>
      <w:proofErr w:type="spellStart"/>
      <w:r>
        <w:rPr>
          <w:rStyle w:val="normaltextrun"/>
          <w:rFonts w:ascii="Calibri" w:hAnsi="Calibri" w:cs="Calibri"/>
          <w:sz w:val="22"/>
          <w:szCs w:val="22"/>
        </w:rPr>
        <w:t>Cymraeg</w:t>
      </w:r>
      <w:proofErr w:type="spellEnd"/>
      <w:r>
        <w:rPr>
          <w:rStyle w:val="normaltextrun"/>
          <w:rFonts w:ascii="Calibri" w:hAnsi="Calibri" w:cs="Calibri"/>
          <w:sz w:val="22"/>
          <w:szCs w:val="22"/>
        </w:rPr>
        <w:t> 2050 A Million Welsh speakers, Cardiff: Crown. Available at: </w:t>
      </w:r>
      <w:hyperlink r:id="rId13" w:tgtFrame="_blank" w:history="1">
        <w:r>
          <w:rPr>
            <w:rStyle w:val="normaltextrun"/>
            <w:rFonts w:ascii="Calibri" w:hAnsi="Calibri" w:cs="Calibri"/>
            <w:color w:val="0563C1"/>
            <w:sz w:val="22"/>
            <w:szCs w:val="22"/>
            <w:u w:val="single"/>
          </w:rPr>
          <w:t>http://www.assembly.wales/laid%20documents/gen-ld11108/gen-ld11108-e.pdf</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Welsh Government (2017b) Welsh in Education Action Plan, Cardiff: Crown. Available at: </w:t>
      </w:r>
      <w:hyperlink r:id="rId14" w:tgtFrame="_blank" w:history="1">
        <w:r>
          <w:rPr>
            <w:rStyle w:val="normaltextrun"/>
            <w:rFonts w:ascii="Calibri" w:hAnsi="Calibri" w:cs="Calibri"/>
            <w:color w:val="0563C1"/>
            <w:sz w:val="22"/>
            <w:szCs w:val="22"/>
            <w:u w:val="single"/>
          </w:rPr>
          <w:t>https://gov.wales/sites/default/files/publications/2018-02/welsh-in-education-action-plan-2017%E2%80%9321.pdf</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Welsh Assembly Government (2007), Defining Schools According to Welsh Medium Provisions, Cardiff: Crown. Available at: </w:t>
      </w:r>
      <w:hyperlink r:id="rId15" w:tgtFrame="_blank" w:history="1">
        <w:r>
          <w:rPr>
            <w:rStyle w:val="normaltextrun"/>
            <w:rFonts w:ascii="Calibri" w:hAnsi="Calibri" w:cs="Calibri"/>
            <w:color w:val="0563C1"/>
            <w:sz w:val="22"/>
            <w:szCs w:val="22"/>
            <w:u w:val="single"/>
          </w:rPr>
          <w:t>https://dera.ioe.ac.uk/7302/2/defining-schools-welsh-medi2_Redacted.pdf</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Welsh Assembly Government (2010) Welsh-medium Education Strategy, Cardiff: Crown. Available at:  </w:t>
      </w:r>
      <w:hyperlink r:id="rId16" w:tgtFrame="_blank" w:history="1">
        <w:r>
          <w:rPr>
            <w:rStyle w:val="normaltextrun"/>
            <w:rFonts w:ascii="Calibri" w:hAnsi="Calibri" w:cs="Calibri"/>
            <w:color w:val="0563C1"/>
            <w:sz w:val="22"/>
            <w:szCs w:val="22"/>
            <w:u w:val="single"/>
          </w:rPr>
          <w:t>https://dera.ioe.ac.uk/4248/1/100420welshmediumstrategyen.pdf</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1"/>
          <w:szCs w:val="21"/>
          <w:u w:val="single"/>
        </w:rPr>
        <w:t>Websites</w:t>
      </w:r>
      <w:r>
        <w:rPr>
          <w:rStyle w:val="normaltextrun"/>
          <w:rFonts w:ascii="Calibri" w:hAnsi="Calibri" w:cs="Calibri"/>
          <w:sz w:val="21"/>
          <w:szCs w:val="21"/>
        </w:rPr>
        <w:t> </w:t>
      </w:r>
      <w:r>
        <w:rPr>
          <w:rStyle w:val="eop"/>
          <w:rFonts w:ascii="Calibri" w:hAnsi="Calibri" w:cs="Calibri"/>
          <w:sz w:val="21"/>
          <w:szCs w:val="21"/>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 La Salle University (2017) Availale at:</w:t>
      </w:r>
      <w:r>
        <w:rPr>
          <w:rStyle w:val="normaltextrun"/>
          <w:rFonts w:ascii="Calibri" w:hAnsi="Calibri" w:cs="Calibri"/>
          <w:color w:val="0563C1"/>
          <w:sz w:val="22"/>
          <w:szCs w:val="22"/>
          <w:u w:val="single"/>
        </w:rPr>
        <w:t>  </w:t>
      </w:r>
      <w:hyperlink r:id="rId17" w:tgtFrame="_blank" w:history="1">
        <w:r>
          <w:rPr>
            <w:rStyle w:val="normaltextrun"/>
            <w:rFonts w:ascii="Calibri" w:hAnsi="Calibri" w:cs="Calibri"/>
            <w:color w:val="0563C1"/>
            <w:sz w:val="22"/>
            <w:szCs w:val="22"/>
            <w:u w:val="single"/>
          </w:rPr>
          <w:t>https://www.dlsu.edu.ph/staff-directory/?id=32742701084&amp;command=GETPROFILE&amp;stafftype=FACULTY</w:t>
        </w:r>
      </w:hyperlink>
      <w:r>
        <w:rPr>
          <w:rStyle w:val="normaltextrun"/>
          <w:rFonts w:ascii="Calibri" w:hAnsi="Calibri" w:cs="Calibri"/>
          <w:sz w:val="22"/>
          <w:szCs w:val="22"/>
        </w:rPr>
        <w:t>  (Last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ERW (2019) </w:t>
      </w:r>
      <w:proofErr w:type="spellStart"/>
      <w:r>
        <w:rPr>
          <w:rStyle w:val="normaltextrun"/>
          <w:rFonts w:ascii="Calibri" w:hAnsi="Calibri" w:cs="Calibri"/>
          <w:sz w:val="22"/>
          <w:szCs w:val="22"/>
        </w:rPr>
        <w:t>Cymraeg</w:t>
      </w:r>
      <w:proofErr w:type="spellEnd"/>
      <w:r>
        <w:rPr>
          <w:rStyle w:val="normaltextrun"/>
          <w:rFonts w:ascii="Calibri" w:hAnsi="Calibri" w:cs="Calibri"/>
          <w:sz w:val="22"/>
          <w:szCs w:val="22"/>
        </w:rPr>
        <w:t> Campus Language Charter. Available at: </w:t>
      </w:r>
      <w:hyperlink r:id="rId18" w:tgtFrame="_blank" w:history="1">
        <w:r>
          <w:rPr>
            <w:rStyle w:val="normaltextrun"/>
            <w:rFonts w:ascii="Calibri" w:hAnsi="Calibri" w:cs="Calibri"/>
            <w:color w:val="0563C1"/>
            <w:sz w:val="22"/>
            <w:szCs w:val="22"/>
            <w:u w:val="single"/>
          </w:rPr>
          <w:t>https://www.erw.wales/schools/teaching-and-learning/language-charter/</w:t>
        </w:r>
      </w:hyperlink>
      <w:r>
        <w:rPr>
          <w:rStyle w:val="normaltextrun"/>
          <w:rFonts w:ascii="Calibri" w:hAnsi="Calibri" w:cs="Calibri"/>
          <w:color w:val="0563C1"/>
          <w:sz w:val="22"/>
          <w:szCs w:val="22"/>
          <w:u w:val="single"/>
        </w:rPr>
        <w:t> </w:t>
      </w:r>
      <w:r>
        <w:rPr>
          <w:rStyle w:val="normaltextrun"/>
          <w:rFonts w:ascii="Calibri" w:hAnsi="Calibri" w:cs="Calibri"/>
          <w:sz w:val="22"/>
          <w:szCs w:val="22"/>
        </w:rPr>
        <w:t>(Last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eop"/>
          <w:rFonts w:ascii="Segoe UI" w:hAnsi="Segoe UI" w:cs="Segoe UI"/>
          <w:sz w:val="18"/>
          <w:szCs w:val="18"/>
        </w:rPr>
        <w:t> </w:t>
      </w:r>
    </w:p>
    <w:p w:rsidR="001A1813" w:rsidRDefault="001A1813" w:rsidP="001A1813">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Rhys, M. (2014) The trouble with bilingual education: The ever-increasing gap between research, policy and practice. Available at: </w:t>
      </w:r>
      <w:hyperlink r:id="rId19" w:tgtFrame="_blank" w:history="1">
        <w:r>
          <w:rPr>
            <w:rStyle w:val="normaltextrun"/>
            <w:rFonts w:ascii="Calibri" w:hAnsi="Calibri" w:cs="Calibri"/>
            <w:color w:val="0563C1"/>
            <w:sz w:val="21"/>
            <w:szCs w:val="21"/>
            <w:u w:val="single"/>
          </w:rPr>
          <w:t>https://www.iwa.wales/click/2014/11/the-trouble-with-bilingual-education-the-ever-increasing-gap-between-research-policy-and-practice/</w:t>
        </w:r>
      </w:hyperlink>
      <w:r>
        <w:rPr>
          <w:rStyle w:val="normaltextrun"/>
          <w:rFonts w:ascii="Calibri" w:hAnsi="Calibri" w:cs="Calibri"/>
          <w:sz w:val="21"/>
          <w:szCs w:val="21"/>
        </w:rPr>
        <w:t> </w:t>
      </w:r>
      <w:r>
        <w:rPr>
          <w:rStyle w:val="normaltextrun"/>
          <w:rFonts w:ascii="Calibri" w:hAnsi="Calibri" w:cs="Calibri"/>
          <w:sz w:val="22"/>
          <w:szCs w:val="22"/>
        </w:rPr>
        <w:t>(Last Accessed 25</w:t>
      </w:r>
      <w:r>
        <w:rPr>
          <w:rStyle w:val="normaltextrun"/>
          <w:rFonts w:ascii="Calibri" w:hAnsi="Calibri" w:cs="Calibri"/>
          <w:sz w:val="13"/>
          <w:szCs w:val="13"/>
          <w:vertAlign w:val="superscript"/>
        </w:rPr>
        <w:t>th</w:t>
      </w:r>
      <w:r>
        <w:rPr>
          <w:rStyle w:val="normaltextrun"/>
          <w:rFonts w:ascii="Calibri" w:hAnsi="Calibri" w:cs="Calibri"/>
          <w:sz w:val="22"/>
          <w:szCs w:val="22"/>
        </w:rPr>
        <w:t> October 2019) </w:t>
      </w:r>
      <w:r>
        <w:rPr>
          <w:rStyle w:val="eop"/>
          <w:rFonts w:ascii="Calibri" w:hAnsi="Calibri" w:cs="Calibri"/>
          <w:sz w:val="22"/>
          <w:szCs w:val="22"/>
        </w:rPr>
        <w:t> </w:t>
      </w:r>
    </w:p>
    <w:p w:rsidR="00D80DC1" w:rsidRDefault="00D80DC1"/>
    <w:sectPr w:rsidR="00D80DC1">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73BD" w:rsidRDefault="00AB73BD" w:rsidP="001A1813">
      <w:pPr>
        <w:spacing w:after="0" w:line="240" w:lineRule="auto"/>
      </w:pPr>
      <w:r>
        <w:separator/>
      </w:r>
    </w:p>
  </w:endnote>
  <w:endnote w:type="continuationSeparator" w:id="0">
    <w:p w:rsidR="00AB73BD" w:rsidRDefault="00AB73BD" w:rsidP="001A1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9317175"/>
      <w:docPartObj>
        <w:docPartGallery w:val="Page Numbers (Bottom of Page)"/>
        <w:docPartUnique/>
      </w:docPartObj>
    </w:sdtPr>
    <w:sdtEndPr>
      <w:rPr>
        <w:noProof/>
      </w:rPr>
    </w:sdtEndPr>
    <w:sdtContent>
      <w:p w:rsidR="001A1813" w:rsidRDefault="001A1813">
        <w:pPr>
          <w:pStyle w:val="Footer"/>
        </w:pPr>
        <w:r>
          <w:fldChar w:fldCharType="begin"/>
        </w:r>
        <w:r>
          <w:instrText xml:space="preserve"> PAGE   \* MERGEFORMAT </w:instrText>
        </w:r>
        <w:r>
          <w:fldChar w:fldCharType="separate"/>
        </w:r>
        <w:r>
          <w:rPr>
            <w:noProof/>
          </w:rPr>
          <w:t>2</w:t>
        </w:r>
        <w:r>
          <w:rPr>
            <w:noProof/>
          </w:rPr>
          <w:fldChar w:fldCharType="end"/>
        </w:r>
      </w:p>
    </w:sdtContent>
  </w:sdt>
  <w:p w:rsidR="001A1813" w:rsidRDefault="001A18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73BD" w:rsidRDefault="00AB73BD" w:rsidP="001A1813">
      <w:pPr>
        <w:spacing w:after="0" w:line="240" w:lineRule="auto"/>
      </w:pPr>
      <w:r>
        <w:separator/>
      </w:r>
    </w:p>
  </w:footnote>
  <w:footnote w:type="continuationSeparator" w:id="0">
    <w:p w:rsidR="00AB73BD" w:rsidRDefault="00AB73BD" w:rsidP="001A1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1813" w:rsidRDefault="001A1813">
    <w:pPr>
      <w:pStyle w:val="Header"/>
    </w:pPr>
    <w:r>
      <w:t>1701843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813"/>
    <w:rsid w:val="001A1813"/>
    <w:rsid w:val="00AB73BD"/>
    <w:rsid w:val="00D80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7FF9B"/>
  <w15:chartTrackingRefBased/>
  <w15:docId w15:val="{77F9DEDD-7450-41E8-A8B5-EC6C2BB35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1A18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1A1813"/>
  </w:style>
  <w:style w:type="character" w:customStyle="1" w:styleId="eop">
    <w:name w:val="eop"/>
    <w:basedOn w:val="DefaultParagraphFont"/>
    <w:rsid w:val="001A1813"/>
  </w:style>
  <w:style w:type="character" w:customStyle="1" w:styleId="spellingerror">
    <w:name w:val="spellingerror"/>
    <w:basedOn w:val="DefaultParagraphFont"/>
    <w:rsid w:val="001A1813"/>
  </w:style>
  <w:style w:type="character" w:customStyle="1" w:styleId="contextualspellingandgrammarerror">
    <w:name w:val="contextualspellingandgrammarerror"/>
    <w:basedOn w:val="DefaultParagraphFont"/>
    <w:rsid w:val="001A1813"/>
  </w:style>
  <w:style w:type="paragraph" w:styleId="Header">
    <w:name w:val="header"/>
    <w:basedOn w:val="Normal"/>
    <w:link w:val="HeaderChar"/>
    <w:uiPriority w:val="99"/>
    <w:unhideWhenUsed/>
    <w:rsid w:val="001A18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813"/>
  </w:style>
  <w:style w:type="paragraph" w:styleId="Footer">
    <w:name w:val="footer"/>
    <w:basedOn w:val="Normal"/>
    <w:link w:val="FooterChar"/>
    <w:uiPriority w:val="99"/>
    <w:unhideWhenUsed/>
    <w:rsid w:val="001A18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8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331765">
      <w:bodyDiv w:val="1"/>
      <w:marLeft w:val="0"/>
      <w:marRight w:val="0"/>
      <w:marTop w:val="0"/>
      <w:marBottom w:val="0"/>
      <w:divBdr>
        <w:top w:val="none" w:sz="0" w:space="0" w:color="auto"/>
        <w:left w:val="none" w:sz="0" w:space="0" w:color="auto"/>
        <w:bottom w:val="none" w:sz="0" w:space="0" w:color="auto"/>
        <w:right w:val="none" w:sz="0" w:space="0" w:color="auto"/>
      </w:divBdr>
      <w:divsChild>
        <w:div w:id="1435789720">
          <w:marLeft w:val="0"/>
          <w:marRight w:val="0"/>
          <w:marTop w:val="0"/>
          <w:marBottom w:val="0"/>
          <w:divBdr>
            <w:top w:val="none" w:sz="0" w:space="0" w:color="auto"/>
            <w:left w:val="none" w:sz="0" w:space="0" w:color="auto"/>
            <w:bottom w:val="none" w:sz="0" w:space="0" w:color="auto"/>
            <w:right w:val="none" w:sz="0" w:space="0" w:color="auto"/>
          </w:divBdr>
        </w:div>
        <w:div w:id="545533740">
          <w:marLeft w:val="0"/>
          <w:marRight w:val="0"/>
          <w:marTop w:val="0"/>
          <w:marBottom w:val="0"/>
          <w:divBdr>
            <w:top w:val="none" w:sz="0" w:space="0" w:color="auto"/>
            <w:left w:val="none" w:sz="0" w:space="0" w:color="auto"/>
            <w:bottom w:val="none" w:sz="0" w:space="0" w:color="auto"/>
            <w:right w:val="none" w:sz="0" w:space="0" w:color="auto"/>
          </w:divBdr>
        </w:div>
        <w:div w:id="1266963297">
          <w:marLeft w:val="0"/>
          <w:marRight w:val="0"/>
          <w:marTop w:val="0"/>
          <w:marBottom w:val="0"/>
          <w:divBdr>
            <w:top w:val="none" w:sz="0" w:space="0" w:color="auto"/>
            <w:left w:val="none" w:sz="0" w:space="0" w:color="auto"/>
            <w:bottom w:val="none" w:sz="0" w:space="0" w:color="auto"/>
            <w:right w:val="none" w:sz="0" w:space="0" w:color="auto"/>
          </w:divBdr>
        </w:div>
        <w:div w:id="1388605982">
          <w:marLeft w:val="0"/>
          <w:marRight w:val="0"/>
          <w:marTop w:val="0"/>
          <w:marBottom w:val="0"/>
          <w:divBdr>
            <w:top w:val="none" w:sz="0" w:space="0" w:color="auto"/>
            <w:left w:val="none" w:sz="0" w:space="0" w:color="auto"/>
            <w:bottom w:val="none" w:sz="0" w:space="0" w:color="auto"/>
            <w:right w:val="none" w:sz="0" w:space="0" w:color="auto"/>
          </w:divBdr>
        </w:div>
        <w:div w:id="143088308">
          <w:marLeft w:val="0"/>
          <w:marRight w:val="0"/>
          <w:marTop w:val="0"/>
          <w:marBottom w:val="0"/>
          <w:divBdr>
            <w:top w:val="none" w:sz="0" w:space="0" w:color="auto"/>
            <w:left w:val="none" w:sz="0" w:space="0" w:color="auto"/>
            <w:bottom w:val="none" w:sz="0" w:space="0" w:color="auto"/>
            <w:right w:val="none" w:sz="0" w:space="0" w:color="auto"/>
          </w:divBdr>
        </w:div>
        <w:div w:id="1396852352">
          <w:marLeft w:val="0"/>
          <w:marRight w:val="0"/>
          <w:marTop w:val="0"/>
          <w:marBottom w:val="0"/>
          <w:divBdr>
            <w:top w:val="none" w:sz="0" w:space="0" w:color="auto"/>
            <w:left w:val="none" w:sz="0" w:space="0" w:color="auto"/>
            <w:bottom w:val="none" w:sz="0" w:space="0" w:color="auto"/>
            <w:right w:val="none" w:sz="0" w:space="0" w:color="auto"/>
          </w:divBdr>
        </w:div>
        <w:div w:id="794443566">
          <w:marLeft w:val="0"/>
          <w:marRight w:val="0"/>
          <w:marTop w:val="0"/>
          <w:marBottom w:val="0"/>
          <w:divBdr>
            <w:top w:val="none" w:sz="0" w:space="0" w:color="auto"/>
            <w:left w:val="none" w:sz="0" w:space="0" w:color="auto"/>
            <w:bottom w:val="none" w:sz="0" w:space="0" w:color="auto"/>
            <w:right w:val="none" w:sz="0" w:space="0" w:color="auto"/>
          </w:divBdr>
        </w:div>
        <w:div w:id="1613591747">
          <w:marLeft w:val="0"/>
          <w:marRight w:val="0"/>
          <w:marTop w:val="0"/>
          <w:marBottom w:val="0"/>
          <w:divBdr>
            <w:top w:val="none" w:sz="0" w:space="0" w:color="auto"/>
            <w:left w:val="none" w:sz="0" w:space="0" w:color="auto"/>
            <w:bottom w:val="none" w:sz="0" w:space="0" w:color="auto"/>
            <w:right w:val="none" w:sz="0" w:space="0" w:color="auto"/>
          </w:divBdr>
        </w:div>
        <w:div w:id="298923668">
          <w:marLeft w:val="0"/>
          <w:marRight w:val="0"/>
          <w:marTop w:val="0"/>
          <w:marBottom w:val="0"/>
          <w:divBdr>
            <w:top w:val="none" w:sz="0" w:space="0" w:color="auto"/>
            <w:left w:val="none" w:sz="0" w:space="0" w:color="auto"/>
            <w:bottom w:val="none" w:sz="0" w:space="0" w:color="auto"/>
            <w:right w:val="none" w:sz="0" w:space="0" w:color="auto"/>
          </w:divBdr>
        </w:div>
        <w:div w:id="1577012090">
          <w:marLeft w:val="0"/>
          <w:marRight w:val="0"/>
          <w:marTop w:val="0"/>
          <w:marBottom w:val="0"/>
          <w:divBdr>
            <w:top w:val="none" w:sz="0" w:space="0" w:color="auto"/>
            <w:left w:val="none" w:sz="0" w:space="0" w:color="auto"/>
            <w:bottom w:val="none" w:sz="0" w:space="0" w:color="auto"/>
            <w:right w:val="none" w:sz="0" w:space="0" w:color="auto"/>
          </w:divBdr>
        </w:div>
        <w:div w:id="795566310">
          <w:marLeft w:val="0"/>
          <w:marRight w:val="0"/>
          <w:marTop w:val="0"/>
          <w:marBottom w:val="0"/>
          <w:divBdr>
            <w:top w:val="none" w:sz="0" w:space="0" w:color="auto"/>
            <w:left w:val="none" w:sz="0" w:space="0" w:color="auto"/>
            <w:bottom w:val="none" w:sz="0" w:space="0" w:color="auto"/>
            <w:right w:val="none" w:sz="0" w:space="0" w:color="auto"/>
          </w:divBdr>
        </w:div>
        <w:div w:id="2099666886">
          <w:marLeft w:val="0"/>
          <w:marRight w:val="0"/>
          <w:marTop w:val="0"/>
          <w:marBottom w:val="0"/>
          <w:divBdr>
            <w:top w:val="none" w:sz="0" w:space="0" w:color="auto"/>
            <w:left w:val="none" w:sz="0" w:space="0" w:color="auto"/>
            <w:bottom w:val="none" w:sz="0" w:space="0" w:color="auto"/>
            <w:right w:val="none" w:sz="0" w:space="0" w:color="auto"/>
          </w:divBdr>
        </w:div>
        <w:div w:id="1492452578">
          <w:marLeft w:val="0"/>
          <w:marRight w:val="0"/>
          <w:marTop w:val="0"/>
          <w:marBottom w:val="0"/>
          <w:divBdr>
            <w:top w:val="none" w:sz="0" w:space="0" w:color="auto"/>
            <w:left w:val="none" w:sz="0" w:space="0" w:color="auto"/>
            <w:bottom w:val="none" w:sz="0" w:space="0" w:color="auto"/>
            <w:right w:val="none" w:sz="0" w:space="0" w:color="auto"/>
          </w:divBdr>
        </w:div>
        <w:div w:id="1348673387">
          <w:marLeft w:val="0"/>
          <w:marRight w:val="0"/>
          <w:marTop w:val="0"/>
          <w:marBottom w:val="0"/>
          <w:divBdr>
            <w:top w:val="none" w:sz="0" w:space="0" w:color="auto"/>
            <w:left w:val="none" w:sz="0" w:space="0" w:color="auto"/>
            <w:bottom w:val="none" w:sz="0" w:space="0" w:color="auto"/>
            <w:right w:val="none" w:sz="0" w:space="0" w:color="auto"/>
          </w:divBdr>
        </w:div>
        <w:div w:id="1710300617">
          <w:marLeft w:val="0"/>
          <w:marRight w:val="0"/>
          <w:marTop w:val="0"/>
          <w:marBottom w:val="0"/>
          <w:divBdr>
            <w:top w:val="none" w:sz="0" w:space="0" w:color="auto"/>
            <w:left w:val="none" w:sz="0" w:space="0" w:color="auto"/>
            <w:bottom w:val="none" w:sz="0" w:space="0" w:color="auto"/>
            <w:right w:val="none" w:sz="0" w:space="0" w:color="auto"/>
          </w:divBdr>
        </w:div>
        <w:div w:id="957839048">
          <w:marLeft w:val="0"/>
          <w:marRight w:val="0"/>
          <w:marTop w:val="0"/>
          <w:marBottom w:val="0"/>
          <w:divBdr>
            <w:top w:val="none" w:sz="0" w:space="0" w:color="auto"/>
            <w:left w:val="none" w:sz="0" w:space="0" w:color="auto"/>
            <w:bottom w:val="none" w:sz="0" w:space="0" w:color="auto"/>
            <w:right w:val="none" w:sz="0" w:space="0" w:color="auto"/>
          </w:divBdr>
        </w:div>
        <w:div w:id="2019891833">
          <w:marLeft w:val="0"/>
          <w:marRight w:val="0"/>
          <w:marTop w:val="0"/>
          <w:marBottom w:val="0"/>
          <w:divBdr>
            <w:top w:val="none" w:sz="0" w:space="0" w:color="auto"/>
            <w:left w:val="none" w:sz="0" w:space="0" w:color="auto"/>
            <w:bottom w:val="none" w:sz="0" w:space="0" w:color="auto"/>
            <w:right w:val="none" w:sz="0" w:space="0" w:color="auto"/>
          </w:divBdr>
        </w:div>
        <w:div w:id="381254459">
          <w:marLeft w:val="0"/>
          <w:marRight w:val="0"/>
          <w:marTop w:val="0"/>
          <w:marBottom w:val="0"/>
          <w:divBdr>
            <w:top w:val="none" w:sz="0" w:space="0" w:color="auto"/>
            <w:left w:val="none" w:sz="0" w:space="0" w:color="auto"/>
            <w:bottom w:val="none" w:sz="0" w:space="0" w:color="auto"/>
            <w:right w:val="none" w:sz="0" w:space="0" w:color="auto"/>
          </w:divBdr>
        </w:div>
        <w:div w:id="582570844">
          <w:marLeft w:val="0"/>
          <w:marRight w:val="0"/>
          <w:marTop w:val="0"/>
          <w:marBottom w:val="0"/>
          <w:divBdr>
            <w:top w:val="none" w:sz="0" w:space="0" w:color="auto"/>
            <w:left w:val="none" w:sz="0" w:space="0" w:color="auto"/>
            <w:bottom w:val="none" w:sz="0" w:space="0" w:color="auto"/>
            <w:right w:val="none" w:sz="0" w:space="0" w:color="auto"/>
          </w:divBdr>
        </w:div>
        <w:div w:id="387727025">
          <w:marLeft w:val="0"/>
          <w:marRight w:val="0"/>
          <w:marTop w:val="0"/>
          <w:marBottom w:val="0"/>
          <w:divBdr>
            <w:top w:val="none" w:sz="0" w:space="0" w:color="auto"/>
            <w:left w:val="none" w:sz="0" w:space="0" w:color="auto"/>
            <w:bottom w:val="none" w:sz="0" w:space="0" w:color="auto"/>
            <w:right w:val="none" w:sz="0" w:space="0" w:color="auto"/>
          </w:divBdr>
        </w:div>
        <w:div w:id="973557892">
          <w:marLeft w:val="0"/>
          <w:marRight w:val="0"/>
          <w:marTop w:val="0"/>
          <w:marBottom w:val="0"/>
          <w:divBdr>
            <w:top w:val="none" w:sz="0" w:space="0" w:color="auto"/>
            <w:left w:val="none" w:sz="0" w:space="0" w:color="auto"/>
            <w:bottom w:val="none" w:sz="0" w:space="0" w:color="auto"/>
            <w:right w:val="none" w:sz="0" w:space="0" w:color="auto"/>
          </w:divBdr>
        </w:div>
        <w:div w:id="1912034015">
          <w:marLeft w:val="0"/>
          <w:marRight w:val="0"/>
          <w:marTop w:val="0"/>
          <w:marBottom w:val="0"/>
          <w:divBdr>
            <w:top w:val="none" w:sz="0" w:space="0" w:color="auto"/>
            <w:left w:val="none" w:sz="0" w:space="0" w:color="auto"/>
            <w:bottom w:val="none" w:sz="0" w:space="0" w:color="auto"/>
            <w:right w:val="none" w:sz="0" w:space="0" w:color="auto"/>
          </w:divBdr>
        </w:div>
        <w:div w:id="1403671899">
          <w:marLeft w:val="0"/>
          <w:marRight w:val="0"/>
          <w:marTop w:val="0"/>
          <w:marBottom w:val="0"/>
          <w:divBdr>
            <w:top w:val="none" w:sz="0" w:space="0" w:color="auto"/>
            <w:left w:val="none" w:sz="0" w:space="0" w:color="auto"/>
            <w:bottom w:val="none" w:sz="0" w:space="0" w:color="auto"/>
            <w:right w:val="none" w:sz="0" w:space="0" w:color="auto"/>
          </w:divBdr>
        </w:div>
        <w:div w:id="422721433">
          <w:marLeft w:val="0"/>
          <w:marRight w:val="0"/>
          <w:marTop w:val="0"/>
          <w:marBottom w:val="0"/>
          <w:divBdr>
            <w:top w:val="none" w:sz="0" w:space="0" w:color="auto"/>
            <w:left w:val="none" w:sz="0" w:space="0" w:color="auto"/>
            <w:bottom w:val="none" w:sz="0" w:space="0" w:color="auto"/>
            <w:right w:val="none" w:sz="0" w:space="0" w:color="auto"/>
          </w:divBdr>
        </w:div>
        <w:div w:id="2110345107">
          <w:marLeft w:val="0"/>
          <w:marRight w:val="0"/>
          <w:marTop w:val="0"/>
          <w:marBottom w:val="0"/>
          <w:divBdr>
            <w:top w:val="none" w:sz="0" w:space="0" w:color="auto"/>
            <w:left w:val="none" w:sz="0" w:space="0" w:color="auto"/>
            <w:bottom w:val="none" w:sz="0" w:space="0" w:color="auto"/>
            <w:right w:val="none" w:sz="0" w:space="0" w:color="auto"/>
          </w:divBdr>
        </w:div>
        <w:div w:id="1224870610">
          <w:marLeft w:val="0"/>
          <w:marRight w:val="0"/>
          <w:marTop w:val="0"/>
          <w:marBottom w:val="0"/>
          <w:divBdr>
            <w:top w:val="none" w:sz="0" w:space="0" w:color="auto"/>
            <w:left w:val="none" w:sz="0" w:space="0" w:color="auto"/>
            <w:bottom w:val="none" w:sz="0" w:space="0" w:color="auto"/>
            <w:right w:val="none" w:sz="0" w:space="0" w:color="auto"/>
          </w:divBdr>
        </w:div>
        <w:div w:id="433018297">
          <w:marLeft w:val="0"/>
          <w:marRight w:val="0"/>
          <w:marTop w:val="0"/>
          <w:marBottom w:val="0"/>
          <w:divBdr>
            <w:top w:val="none" w:sz="0" w:space="0" w:color="auto"/>
            <w:left w:val="none" w:sz="0" w:space="0" w:color="auto"/>
            <w:bottom w:val="none" w:sz="0" w:space="0" w:color="auto"/>
            <w:right w:val="none" w:sz="0" w:space="0" w:color="auto"/>
          </w:divBdr>
        </w:div>
        <w:div w:id="711274687">
          <w:marLeft w:val="0"/>
          <w:marRight w:val="0"/>
          <w:marTop w:val="0"/>
          <w:marBottom w:val="0"/>
          <w:divBdr>
            <w:top w:val="none" w:sz="0" w:space="0" w:color="auto"/>
            <w:left w:val="none" w:sz="0" w:space="0" w:color="auto"/>
            <w:bottom w:val="none" w:sz="0" w:space="0" w:color="auto"/>
            <w:right w:val="none" w:sz="0" w:space="0" w:color="auto"/>
          </w:divBdr>
        </w:div>
        <w:div w:id="648293989">
          <w:marLeft w:val="0"/>
          <w:marRight w:val="0"/>
          <w:marTop w:val="0"/>
          <w:marBottom w:val="0"/>
          <w:divBdr>
            <w:top w:val="none" w:sz="0" w:space="0" w:color="auto"/>
            <w:left w:val="none" w:sz="0" w:space="0" w:color="auto"/>
            <w:bottom w:val="none" w:sz="0" w:space="0" w:color="auto"/>
            <w:right w:val="none" w:sz="0" w:space="0" w:color="auto"/>
          </w:divBdr>
        </w:div>
        <w:div w:id="2129203439">
          <w:marLeft w:val="0"/>
          <w:marRight w:val="0"/>
          <w:marTop w:val="0"/>
          <w:marBottom w:val="0"/>
          <w:divBdr>
            <w:top w:val="none" w:sz="0" w:space="0" w:color="auto"/>
            <w:left w:val="none" w:sz="0" w:space="0" w:color="auto"/>
            <w:bottom w:val="none" w:sz="0" w:space="0" w:color="auto"/>
            <w:right w:val="none" w:sz="0" w:space="0" w:color="auto"/>
          </w:divBdr>
        </w:div>
        <w:div w:id="925460568">
          <w:marLeft w:val="0"/>
          <w:marRight w:val="0"/>
          <w:marTop w:val="0"/>
          <w:marBottom w:val="0"/>
          <w:divBdr>
            <w:top w:val="none" w:sz="0" w:space="0" w:color="auto"/>
            <w:left w:val="none" w:sz="0" w:space="0" w:color="auto"/>
            <w:bottom w:val="none" w:sz="0" w:space="0" w:color="auto"/>
            <w:right w:val="none" w:sz="0" w:space="0" w:color="auto"/>
          </w:divBdr>
        </w:div>
        <w:div w:id="542209622">
          <w:marLeft w:val="0"/>
          <w:marRight w:val="0"/>
          <w:marTop w:val="0"/>
          <w:marBottom w:val="0"/>
          <w:divBdr>
            <w:top w:val="none" w:sz="0" w:space="0" w:color="auto"/>
            <w:left w:val="none" w:sz="0" w:space="0" w:color="auto"/>
            <w:bottom w:val="none" w:sz="0" w:space="0" w:color="auto"/>
            <w:right w:val="none" w:sz="0" w:space="0" w:color="auto"/>
          </w:divBdr>
        </w:div>
        <w:div w:id="1870990353">
          <w:marLeft w:val="0"/>
          <w:marRight w:val="0"/>
          <w:marTop w:val="0"/>
          <w:marBottom w:val="0"/>
          <w:divBdr>
            <w:top w:val="none" w:sz="0" w:space="0" w:color="auto"/>
            <w:left w:val="none" w:sz="0" w:space="0" w:color="auto"/>
            <w:bottom w:val="none" w:sz="0" w:space="0" w:color="auto"/>
            <w:right w:val="none" w:sz="0" w:space="0" w:color="auto"/>
          </w:divBdr>
        </w:div>
        <w:div w:id="1634097890">
          <w:marLeft w:val="0"/>
          <w:marRight w:val="0"/>
          <w:marTop w:val="0"/>
          <w:marBottom w:val="0"/>
          <w:divBdr>
            <w:top w:val="none" w:sz="0" w:space="0" w:color="auto"/>
            <w:left w:val="none" w:sz="0" w:space="0" w:color="auto"/>
            <w:bottom w:val="none" w:sz="0" w:space="0" w:color="auto"/>
            <w:right w:val="none" w:sz="0" w:space="0" w:color="auto"/>
          </w:divBdr>
        </w:div>
        <w:div w:id="809442070">
          <w:marLeft w:val="0"/>
          <w:marRight w:val="0"/>
          <w:marTop w:val="0"/>
          <w:marBottom w:val="0"/>
          <w:divBdr>
            <w:top w:val="none" w:sz="0" w:space="0" w:color="auto"/>
            <w:left w:val="none" w:sz="0" w:space="0" w:color="auto"/>
            <w:bottom w:val="none" w:sz="0" w:space="0" w:color="auto"/>
            <w:right w:val="none" w:sz="0" w:space="0" w:color="auto"/>
          </w:divBdr>
        </w:div>
        <w:div w:id="432752834">
          <w:marLeft w:val="0"/>
          <w:marRight w:val="0"/>
          <w:marTop w:val="0"/>
          <w:marBottom w:val="0"/>
          <w:divBdr>
            <w:top w:val="none" w:sz="0" w:space="0" w:color="auto"/>
            <w:left w:val="none" w:sz="0" w:space="0" w:color="auto"/>
            <w:bottom w:val="none" w:sz="0" w:space="0" w:color="auto"/>
            <w:right w:val="none" w:sz="0" w:space="0" w:color="auto"/>
          </w:divBdr>
        </w:div>
        <w:div w:id="1748964543">
          <w:marLeft w:val="0"/>
          <w:marRight w:val="0"/>
          <w:marTop w:val="0"/>
          <w:marBottom w:val="0"/>
          <w:divBdr>
            <w:top w:val="none" w:sz="0" w:space="0" w:color="auto"/>
            <w:left w:val="none" w:sz="0" w:space="0" w:color="auto"/>
            <w:bottom w:val="none" w:sz="0" w:space="0" w:color="auto"/>
            <w:right w:val="none" w:sz="0" w:space="0" w:color="auto"/>
          </w:divBdr>
        </w:div>
        <w:div w:id="2106728475">
          <w:marLeft w:val="0"/>
          <w:marRight w:val="0"/>
          <w:marTop w:val="0"/>
          <w:marBottom w:val="0"/>
          <w:divBdr>
            <w:top w:val="none" w:sz="0" w:space="0" w:color="auto"/>
            <w:left w:val="none" w:sz="0" w:space="0" w:color="auto"/>
            <w:bottom w:val="none" w:sz="0" w:space="0" w:color="auto"/>
            <w:right w:val="none" w:sz="0" w:space="0" w:color="auto"/>
          </w:divBdr>
        </w:div>
        <w:div w:id="1271619546">
          <w:marLeft w:val="0"/>
          <w:marRight w:val="0"/>
          <w:marTop w:val="0"/>
          <w:marBottom w:val="0"/>
          <w:divBdr>
            <w:top w:val="none" w:sz="0" w:space="0" w:color="auto"/>
            <w:left w:val="none" w:sz="0" w:space="0" w:color="auto"/>
            <w:bottom w:val="none" w:sz="0" w:space="0" w:color="auto"/>
            <w:right w:val="none" w:sz="0" w:space="0" w:color="auto"/>
          </w:divBdr>
        </w:div>
        <w:div w:id="1234318407">
          <w:marLeft w:val="0"/>
          <w:marRight w:val="0"/>
          <w:marTop w:val="0"/>
          <w:marBottom w:val="0"/>
          <w:divBdr>
            <w:top w:val="none" w:sz="0" w:space="0" w:color="auto"/>
            <w:left w:val="none" w:sz="0" w:space="0" w:color="auto"/>
            <w:bottom w:val="none" w:sz="0" w:space="0" w:color="auto"/>
            <w:right w:val="none" w:sz="0" w:space="0" w:color="auto"/>
          </w:divBdr>
        </w:div>
        <w:div w:id="779103699">
          <w:marLeft w:val="0"/>
          <w:marRight w:val="0"/>
          <w:marTop w:val="0"/>
          <w:marBottom w:val="0"/>
          <w:divBdr>
            <w:top w:val="none" w:sz="0" w:space="0" w:color="auto"/>
            <w:left w:val="none" w:sz="0" w:space="0" w:color="auto"/>
            <w:bottom w:val="none" w:sz="0" w:space="0" w:color="auto"/>
            <w:right w:val="none" w:sz="0" w:space="0" w:color="auto"/>
          </w:divBdr>
        </w:div>
        <w:div w:id="284889530">
          <w:marLeft w:val="0"/>
          <w:marRight w:val="0"/>
          <w:marTop w:val="0"/>
          <w:marBottom w:val="0"/>
          <w:divBdr>
            <w:top w:val="none" w:sz="0" w:space="0" w:color="auto"/>
            <w:left w:val="none" w:sz="0" w:space="0" w:color="auto"/>
            <w:bottom w:val="none" w:sz="0" w:space="0" w:color="auto"/>
            <w:right w:val="none" w:sz="0" w:space="0" w:color="auto"/>
          </w:divBdr>
        </w:div>
        <w:div w:id="728918090">
          <w:marLeft w:val="0"/>
          <w:marRight w:val="0"/>
          <w:marTop w:val="0"/>
          <w:marBottom w:val="0"/>
          <w:divBdr>
            <w:top w:val="none" w:sz="0" w:space="0" w:color="auto"/>
            <w:left w:val="none" w:sz="0" w:space="0" w:color="auto"/>
            <w:bottom w:val="none" w:sz="0" w:space="0" w:color="auto"/>
            <w:right w:val="none" w:sz="0" w:space="0" w:color="auto"/>
          </w:divBdr>
        </w:div>
        <w:div w:id="56903132">
          <w:marLeft w:val="0"/>
          <w:marRight w:val="0"/>
          <w:marTop w:val="0"/>
          <w:marBottom w:val="0"/>
          <w:divBdr>
            <w:top w:val="none" w:sz="0" w:space="0" w:color="auto"/>
            <w:left w:val="none" w:sz="0" w:space="0" w:color="auto"/>
            <w:bottom w:val="none" w:sz="0" w:space="0" w:color="auto"/>
            <w:right w:val="none" w:sz="0" w:space="0" w:color="auto"/>
          </w:divBdr>
        </w:div>
        <w:div w:id="714046034">
          <w:marLeft w:val="0"/>
          <w:marRight w:val="0"/>
          <w:marTop w:val="0"/>
          <w:marBottom w:val="0"/>
          <w:divBdr>
            <w:top w:val="none" w:sz="0" w:space="0" w:color="auto"/>
            <w:left w:val="none" w:sz="0" w:space="0" w:color="auto"/>
            <w:bottom w:val="none" w:sz="0" w:space="0" w:color="auto"/>
            <w:right w:val="none" w:sz="0" w:space="0" w:color="auto"/>
          </w:divBdr>
        </w:div>
        <w:div w:id="1213344098">
          <w:marLeft w:val="0"/>
          <w:marRight w:val="0"/>
          <w:marTop w:val="0"/>
          <w:marBottom w:val="0"/>
          <w:divBdr>
            <w:top w:val="none" w:sz="0" w:space="0" w:color="auto"/>
            <w:left w:val="none" w:sz="0" w:space="0" w:color="auto"/>
            <w:bottom w:val="none" w:sz="0" w:space="0" w:color="auto"/>
            <w:right w:val="none" w:sz="0" w:space="0" w:color="auto"/>
          </w:divBdr>
        </w:div>
        <w:div w:id="960301723">
          <w:marLeft w:val="0"/>
          <w:marRight w:val="0"/>
          <w:marTop w:val="0"/>
          <w:marBottom w:val="0"/>
          <w:divBdr>
            <w:top w:val="none" w:sz="0" w:space="0" w:color="auto"/>
            <w:left w:val="none" w:sz="0" w:space="0" w:color="auto"/>
            <w:bottom w:val="none" w:sz="0" w:space="0" w:color="auto"/>
            <w:right w:val="none" w:sz="0" w:space="0" w:color="auto"/>
          </w:divBdr>
        </w:div>
        <w:div w:id="1930237195">
          <w:marLeft w:val="0"/>
          <w:marRight w:val="0"/>
          <w:marTop w:val="0"/>
          <w:marBottom w:val="0"/>
          <w:divBdr>
            <w:top w:val="none" w:sz="0" w:space="0" w:color="auto"/>
            <w:left w:val="none" w:sz="0" w:space="0" w:color="auto"/>
            <w:bottom w:val="none" w:sz="0" w:space="0" w:color="auto"/>
            <w:right w:val="none" w:sz="0" w:space="0" w:color="auto"/>
          </w:divBdr>
        </w:div>
        <w:div w:id="1721590817">
          <w:marLeft w:val="0"/>
          <w:marRight w:val="0"/>
          <w:marTop w:val="0"/>
          <w:marBottom w:val="0"/>
          <w:divBdr>
            <w:top w:val="none" w:sz="0" w:space="0" w:color="auto"/>
            <w:left w:val="none" w:sz="0" w:space="0" w:color="auto"/>
            <w:bottom w:val="none" w:sz="0" w:space="0" w:color="auto"/>
            <w:right w:val="none" w:sz="0" w:space="0" w:color="auto"/>
          </w:divBdr>
        </w:div>
        <w:div w:id="1520466587">
          <w:marLeft w:val="0"/>
          <w:marRight w:val="0"/>
          <w:marTop w:val="0"/>
          <w:marBottom w:val="0"/>
          <w:divBdr>
            <w:top w:val="none" w:sz="0" w:space="0" w:color="auto"/>
            <w:left w:val="none" w:sz="0" w:space="0" w:color="auto"/>
            <w:bottom w:val="none" w:sz="0" w:space="0" w:color="auto"/>
            <w:right w:val="none" w:sz="0" w:space="0" w:color="auto"/>
          </w:divBdr>
        </w:div>
        <w:div w:id="906961804">
          <w:marLeft w:val="0"/>
          <w:marRight w:val="0"/>
          <w:marTop w:val="0"/>
          <w:marBottom w:val="0"/>
          <w:divBdr>
            <w:top w:val="none" w:sz="0" w:space="0" w:color="auto"/>
            <w:left w:val="none" w:sz="0" w:space="0" w:color="auto"/>
            <w:bottom w:val="none" w:sz="0" w:space="0" w:color="auto"/>
            <w:right w:val="none" w:sz="0" w:space="0" w:color="auto"/>
          </w:divBdr>
        </w:div>
        <w:div w:id="972447040">
          <w:marLeft w:val="0"/>
          <w:marRight w:val="0"/>
          <w:marTop w:val="0"/>
          <w:marBottom w:val="0"/>
          <w:divBdr>
            <w:top w:val="none" w:sz="0" w:space="0" w:color="auto"/>
            <w:left w:val="none" w:sz="0" w:space="0" w:color="auto"/>
            <w:bottom w:val="none" w:sz="0" w:space="0" w:color="auto"/>
            <w:right w:val="none" w:sz="0" w:space="0" w:color="auto"/>
          </w:divBdr>
        </w:div>
        <w:div w:id="10689985">
          <w:marLeft w:val="0"/>
          <w:marRight w:val="0"/>
          <w:marTop w:val="0"/>
          <w:marBottom w:val="0"/>
          <w:divBdr>
            <w:top w:val="none" w:sz="0" w:space="0" w:color="auto"/>
            <w:left w:val="none" w:sz="0" w:space="0" w:color="auto"/>
            <w:bottom w:val="none" w:sz="0" w:space="0" w:color="auto"/>
            <w:right w:val="none" w:sz="0" w:space="0" w:color="auto"/>
          </w:divBdr>
        </w:div>
        <w:div w:id="2136440347">
          <w:marLeft w:val="0"/>
          <w:marRight w:val="0"/>
          <w:marTop w:val="0"/>
          <w:marBottom w:val="0"/>
          <w:divBdr>
            <w:top w:val="none" w:sz="0" w:space="0" w:color="auto"/>
            <w:left w:val="none" w:sz="0" w:space="0" w:color="auto"/>
            <w:bottom w:val="none" w:sz="0" w:space="0" w:color="auto"/>
            <w:right w:val="none" w:sz="0" w:space="0" w:color="auto"/>
          </w:divBdr>
        </w:div>
        <w:div w:id="2112620674">
          <w:marLeft w:val="0"/>
          <w:marRight w:val="0"/>
          <w:marTop w:val="0"/>
          <w:marBottom w:val="0"/>
          <w:divBdr>
            <w:top w:val="none" w:sz="0" w:space="0" w:color="auto"/>
            <w:left w:val="none" w:sz="0" w:space="0" w:color="auto"/>
            <w:bottom w:val="none" w:sz="0" w:space="0" w:color="auto"/>
            <w:right w:val="none" w:sz="0" w:space="0" w:color="auto"/>
          </w:divBdr>
        </w:div>
        <w:div w:id="1618830086">
          <w:marLeft w:val="0"/>
          <w:marRight w:val="0"/>
          <w:marTop w:val="0"/>
          <w:marBottom w:val="0"/>
          <w:divBdr>
            <w:top w:val="none" w:sz="0" w:space="0" w:color="auto"/>
            <w:left w:val="none" w:sz="0" w:space="0" w:color="auto"/>
            <w:bottom w:val="none" w:sz="0" w:space="0" w:color="auto"/>
            <w:right w:val="none" w:sz="0" w:space="0" w:color="auto"/>
          </w:divBdr>
        </w:div>
        <w:div w:id="222449785">
          <w:marLeft w:val="0"/>
          <w:marRight w:val="0"/>
          <w:marTop w:val="0"/>
          <w:marBottom w:val="0"/>
          <w:divBdr>
            <w:top w:val="none" w:sz="0" w:space="0" w:color="auto"/>
            <w:left w:val="none" w:sz="0" w:space="0" w:color="auto"/>
            <w:bottom w:val="none" w:sz="0" w:space="0" w:color="auto"/>
            <w:right w:val="none" w:sz="0" w:space="0" w:color="auto"/>
          </w:divBdr>
        </w:div>
        <w:div w:id="1118372436">
          <w:marLeft w:val="0"/>
          <w:marRight w:val="0"/>
          <w:marTop w:val="0"/>
          <w:marBottom w:val="0"/>
          <w:divBdr>
            <w:top w:val="none" w:sz="0" w:space="0" w:color="auto"/>
            <w:left w:val="none" w:sz="0" w:space="0" w:color="auto"/>
            <w:bottom w:val="none" w:sz="0" w:space="0" w:color="auto"/>
            <w:right w:val="none" w:sz="0" w:space="0" w:color="auto"/>
          </w:divBdr>
        </w:div>
        <w:div w:id="1553617724">
          <w:marLeft w:val="0"/>
          <w:marRight w:val="0"/>
          <w:marTop w:val="0"/>
          <w:marBottom w:val="0"/>
          <w:divBdr>
            <w:top w:val="none" w:sz="0" w:space="0" w:color="auto"/>
            <w:left w:val="none" w:sz="0" w:space="0" w:color="auto"/>
            <w:bottom w:val="none" w:sz="0" w:space="0" w:color="auto"/>
            <w:right w:val="none" w:sz="0" w:space="0" w:color="auto"/>
          </w:divBdr>
        </w:div>
        <w:div w:id="1148859083">
          <w:marLeft w:val="0"/>
          <w:marRight w:val="0"/>
          <w:marTop w:val="0"/>
          <w:marBottom w:val="0"/>
          <w:divBdr>
            <w:top w:val="none" w:sz="0" w:space="0" w:color="auto"/>
            <w:left w:val="none" w:sz="0" w:space="0" w:color="auto"/>
            <w:bottom w:val="none" w:sz="0" w:space="0" w:color="auto"/>
            <w:right w:val="none" w:sz="0" w:space="0" w:color="auto"/>
          </w:divBdr>
        </w:div>
        <w:div w:id="947158207">
          <w:marLeft w:val="0"/>
          <w:marRight w:val="0"/>
          <w:marTop w:val="0"/>
          <w:marBottom w:val="0"/>
          <w:divBdr>
            <w:top w:val="none" w:sz="0" w:space="0" w:color="auto"/>
            <w:left w:val="none" w:sz="0" w:space="0" w:color="auto"/>
            <w:bottom w:val="none" w:sz="0" w:space="0" w:color="auto"/>
            <w:right w:val="none" w:sz="0" w:space="0" w:color="auto"/>
          </w:divBdr>
        </w:div>
        <w:div w:id="1669164828">
          <w:marLeft w:val="0"/>
          <w:marRight w:val="0"/>
          <w:marTop w:val="0"/>
          <w:marBottom w:val="0"/>
          <w:divBdr>
            <w:top w:val="none" w:sz="0" w:space="0" w:color="auto"/>
            <w:left w:val="none" w:sz="0" w:space="0" w:color="auto"/>
            <w:bottom w:val="none" w:sz="0" w:space="0" w:color="auto"/>
            <w:right w:val="none" w:sz="0" w:space="0" w:color="auto"/>
          </w:divBdr>
        </w:div>
        <w:div w:id="860700771">
          <w:marLeft w:val="0"/>
          <w:marRight w:val="0"/>
          <w:marTop w:val="0"/>
          <w:marBottom w:val="0"/>
          <w:divBdr>
            <w:top w:val="none" w:sz="0" w:space="0" w:color="auto"/>
            <w:left w:val="none" w:sz="0" w:space="0" w:color="auto"/>
            <w:bottom w:val="none" w:sz="0" w:space="0" w:color="auto"/>
            <w:right w:val="none" w:sz="0" w:space="0" w:color="auto"/>
          </w:divBdr>
        </w:div>
        <w:div w:id="861670850">
          <w:marLeft w:val="0"/>
          <w:marRight w:val="0"/>
          <w:marTop w:val="0"/>
          <w:marBottom w:val="0"/>
          <w:divBdr>
            <w:top w:val="none" w:sz="0" w:space="0" w:color="auto"/>
            <w:left w:val="none" w:sz="0" w:space="0" w:color="auto"/>
            <w:bottom w:val="none" w:sz="0" w:space="0" w:color="auto"/>
            <w:right w:val="none" w:sz="0" w:space="0" w:color="auto"/>
          </w:divBdr>
        </w:div>
        <w:div w:id="1783258978">
          <w:marLeft w:val="0"/>
          <w:marRight w:val="0"/>
          <w:marTop w:val="0"/>
          <w:marBottom w:val="0"/>
          <w:divBdr>
            <w:top w:val="none" w:sz="0" w:space="0" w:color="auto"/>
            <w:left w:val="none" w:sz="0" w:space="0" w:color="auto"/>
            <w:bottom w:val="none" w:sz="0" w:space="0" w:color="auto"/>
            <w:right w:val="none" w:sz="0" w:space="0" w:color="auto"/>
          </w:divBdr>
        </w:div>
        <w:div w:id="1238129169">
          <w:marLeft w:val="0"/>
          <w:marRight w:val="0"/>
          <w:marTop w:val="0"/>
          <w:marBottom w:val="0"/>
          <w:divBdr>
            <w:top w:val="none" w:sz="0" w:space="0" w:color="auto"/>
            <w:left w:val="none" w:sz="0" w:space="0" w:color="auto"/>
            <w:bottom w:val="none" w:sz="0" w:space="0" w:color="auto"/>
            <w:right w:val="none" w:sz="0" w:space="0" w:color="auto"/>
          </w:divBdr>
        </w:div>
        <w:div w:id="1818568963">
          <w:marLeft w:val="0"/>
          <w:marRight w:val="0"/>
          <w:marTop w:val="0"/>
          <w:marBottom w:val="0"/>
          <w:divBdr>
            <w:top w:val="none" w:sz="0" w:space="0" w:color="auto"/>
            <w:left w:val="none" w:sz="0" w:space="0" w:color="auto"/>
            <w:bottom w:val="none" w:sz="0" w:space="0" w:color="auto"/>
            <w:right w:val="none" w:sz="0" w:space="0" w:color="auto"/>
          </w:divBdr>
        </w:div>
        <w:div w:id="1868715951">
          <w:marLeft w:val="0"/>
          <w:marRight w:val="0"/>
          <w:marTop w:val="0"/>
          <w:marBottom w:val="0"/>
          <w:divBdr>
            <w:top w:val="none" w:sz="0" w:space="0" w:color="auto"/>
            <w:left w:val="none" w:sz="0" w:space="0" w:color="auto"/>
            <w:bottom w:val="none" w:sz="0" w:space="0" w:color="auto"/>
            <w:right w:val="none" w:sz="0" w:space="0" w:color="auto"/>
          </w:divBdr>
        </w:div>
        <w:div w:id="1814446775">
          <w:marLeft w:val="0"/>
          <w:marRight w:val="0"/>
          <w:marTop w:val="0"/>
          <w:marBottom w:val="0"/>
          <w:divBdr>
            <w:top w:val="none" w:sz="0" w:space="0" w:color="auto"/>
            <w:left w:val="none" w:sz="0" w:space="0" w:color="auto"/>
            <w:bottom w:val="none" w:sz="0" w:space="0" w:color="auto"/>
            <w:right w:val="none" w:sz="0" w:space="0" w:color="auto"/>
          </w:divBdr>
        </w:div>
        <w:div w:id="119346043">
          <w:marLeft w:val="0"/>
          <w:marRight w:val="0"/>
          <w:marTop w:val="0"/>
          <w:marBottom w:val="0"/>
          <w:divBdr>
            <w:top w:val="none" w:sz="0" w:space="0" w:color="auto"/>
            <w:left w:val="none" w:sz="0" w:space="0" w:color="auto"/>
            <w:bottom w:val="none" w:sz="0" w:space="0" w:color="auto"/>
            <w:right w:val="none" w:sz="0" w:space="0" w:color="auto"/>
          </w:divBdr>
        </w:div>
        <w:div w:id="1714689289">
          <w:marLeft w:val="0"/>
          <w:marRight w:val="0"/>
          <w:marTop w:val="0"/>
          <w:marBottom w:val="0"/>
          <w:divBdr>
            <w:top w:val="none" w:sz="0" w:space="0" w:color="auto"/>
            <w:left w:val="none" w:sz="0" w:space="0" w:color="auto"/>
            <w:bottom w:val="none" w:sz="0" w:space="0" w:color="auto"/>
            <w:right w:val="none" w:sz="0" w:space="0" w:color="auto"/>
          </w:divBdr>
        </w:div>
        <w:div w:id="137187979">
          <w:marLeft w:val="0"/>
          <w:marRight w:val="0"/>
          <w:marTop w:val="0"/>
          <w:marBottom w:val="0"/>
          <w:divBdr>
            <w:top w:val="none" w:sz="0" w:space="0" w:color="auto"/>
            <w:left w:val="none" w:sz="0" w:space="0" w:color="auto"/>
            <w:bottom w:val="none" w:sz="0" w:space="0" w:color="auto"/>
            <w:right w:val="none" w:sz="0" w:space="0" w:color="auto"/>
          </w:divBdr>
        </w:div>
        <w:div w:id="846871030">
          <w:marLeft w:val="0"/>
          <w:marRight w:val="0"/>
          <w:marTop w:val="0"/>
          <w:marBottom w:val="0"/>
          <w:divBdr>
            <w:top w:val="none" w:sz="0" w:space="0" w:color="auto"/>
            <w:left w:val="none" w:sz="0" w:space="0" w:color="auto"/>
            <w:bottom w:val="none" w:sz="0" w:space="0" w:color="auto"/>
            <w:right w:val="none" w:sz="0" w:space="0" w:color="auto"/>
          </w:divBdr>
        </w:div>
        <w:div w:id="1024673052">
          <w:marLeft w:val="0"/>
          <w:marRight w:val="0"/>
          <w:marTop w:val="0"/>
          <w:marBottom w:val="0"/>
          <w:divBdr>
            <w:top w:val="none" w:sz="0" w:space="0" w:color="auto"/>
            <w:left w:val="none" w:sz="0" w:space="0" w:color="auto"/>
            <w:bottom w:val="none" w:sz="0" w:space="0" w:color="auto"/>
            <w:right w:val="none" w:sz="0" w:space="0" w:color="auto"/>
          </w:divBdr>
        </w:div>
        <w:div w:id="1913392979">
          <w:marLeft w:val="0"/>
          <w:marRight w:val="0"/>
          <w:marTop w:val="0"/>
          <w:marBottom w:val="0"/>
          <w:divBdr>
            <w:top w:val="none" w:sz="0" w:space="0" w:color="auto"/>
            <w:left w:val="none" w:sz="0" w:space="0" w:color="auto"/>
            <w:bottom w:val="none" w:sz="0" w:space="0" w:color="auto"/>
            <w:right w:val="none" w:sz="0" w:space="0" w:color="auto"/>
          </w:divBdr>
        </w:div>
        <w:div w:id="1892763086">
          <w:marLeft w:val="0"/>
          <w:marRight w:val="0"/>
          <w:marTop w:val="0"/>
          <w:marBottom w:val="0"/>
          <w:divBdr>
            <w:top w:val="none" w:sz="0" w:space="0" w:color="auto"/>
            <w:left w:val="none" w:sz="0" w:space="0" w:color="auto"/>
            <w:bottom w:val="none" w:sz="0" w:space="0" w:color="auto"/>
            <w:right w:val="none" w:sz="0" w:space="0" w:color="auto"/>
          </w:divBdr>
        </w:div>
        <w:div w:id="29456670">
          <w:marLeft w:val="0"/>
          <w:marRight w:val="0"/>
          <w:marTop w:val="0"/>
          <w:marBottom w:val="0"/>
          <w:divBdr>
            <w:top w:val="none" w:sz="0" w:space="0" w:color="auto"/>
            <w:left w:val="none" w:sz="0" w:space="0" w:color="auto"/>
            <w:bottom w:val="none" w:sz="0" w:space="0" w:color="auto"/>
            <w:right w:val="none" w:sz="0" w:space="0" w:color="auto"/>
          </w:divBdr>
        </w:div>
        <w:div w:id="6029553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sembly.wales/laid%20documents/gen-ld11387/gen-ld11387-e.pdf" TargetMode="External"/><Relationship Id="rId13" Type="http://schemas.openxmlformats.org/officeDocument/2006/relationships/hyperlink" Target="http://www.assembly.wales/laid%20documents/gen-ld11108/gen-ld11108-e.pdf" TargetMode="External"/><Relationship Id="rId18" Type="http://schemas.openxmlformats.org/officeDocument/2006/relationships/hyperlink" Target="https://www.erw.wales/schools/teaching-and-learning/language-charter/"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file:///C:\Users\Caitlin\Downloads\Estyn_Annual%20Report_2016%20-%2017_English_Accessible.pdf" TargetMode="External"/><Relationship Id="rId12" Type="http://schemas.openxmlformats.org/officeDocument/2006/relationships/hyperlink" Target="https://gov.wales/sites/default/files/publications/2018-05/review-of-welsh-second-language-at-key-stages-3-and-4.pdf" TargetMode="External"/><Relationship Id="rId17" Type="http://schemas.openxmlformats.org/officeDocument/2006/relationships/hyperlink" Target="https://www.dlsu.edu.ph/staff-directory/?id=32742701084&amp;command=GETPROFILE&amp;stafftype=FACULTY" TargetMode="External"/><Relationship Id="rId2" Type="http://schemas.openxmlformats.org/officeDocument/2006/relationships/settings" Target="settings.xml"/><Relationship Id="rId16" Type="http://schemas.openxmlformats.org/officeDocument/2006/relationships/hyperlink" Target="https://dera.ioe.ac.uk/4248/1/100420welshmediumstrategyen.pdf"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file:///C:\Users\1701843\Downloads\Donaldson%20Report%20-%20Successful%20Futures%20-%20Independent%20Review%20of%20Curriculum%20and%20Assessment%20Arrangements%20in%20Wales.pdf" TargetMode="External"/><Relationship Id="rId11" Type="http://schemas.openxmlformats.org/officeDocument/2006/relationships/hyperlink" Target="http://www.estynllaw.org/uploads/s_a_living_language.pdf" TargetMode="External"/><Relationship Id="rId5" Type="http://schemas.openxmlformats.org/officeDocument/2006/relationships/endnotes" Target="endnotes.xml"/><Relationship Id="rId15" Type="http://schemas.openxmlformats.org/officeDocument/2006/relationships/hyperlink" Target="https://dera.ioe.ac.uk/7302/2/defining-schools-welsh-medi2_Redacted.pdf" TargetMode="External"/><Relationship Id="rId23" Type="http://schemas.openxmlformats.org/officeDocument/2006/relationships/theme" Target="theme/theme1.xml"/><Relationship Id="rId10" Type="http://schemas.openxmlformats.org/officeDocument/2006/relationships/hyperlink" Target="https://s3-eu-west-1.amazonaws.com/hwb-live-storage/5d/81/a2/22/5c604caab7b8fc2b04ebce7a/developing-the-curriculum-cymreig.pdf" TargetMode="External"/><Relationship Id="rId19" Type="http://schemas.openxmlformats.org/officeDocument/2006/relationships/hyperlink" Target="https://www.iwa.wales/click/2014/11/the-trouble-with-bilingual-education-the-ever-increasing-gap-between-research-policy-and-practice/" TargetMode="External"/><Relationship Id="rId4" Type="http://schemas.openxmlformats.org/officeDocument/2006/relationships/footnotes" Target="footnotes.xml"/><Relationship Id="rId9" Type="http://schemas.openxmlformats.org/officeDocument/2006/relationships/hyperlink" Target="https://www.estyn.gov.wales/effective-practice/making-families-partners-learning" TargetMode="External"/><Relationship Id="rId14" Type="http://schemas.openxmlformats.org/officeDocument/2006/relationships/hyperlink" Target="https://gov.wales/sites/default/files/publications/2018-02/welsh-in-education-action-plan-2017%E2%80%9321.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3267</Words>
  <Characters>18622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Ford (1701843)</dc:creator>
  <cp:keywords/>
  <dc:description/>
  <cp:lastModifiedBy>Caitlin Ford (1701843)</cp:lastModifiedBy>
  <cp:revision>1</cp:revision>
  <dcterms:created xsi:type="dcterms:W3CDTF">2019-11-06T14:16:00Z</dcterms:created>
  <dcterms:modified xsi:type="dcterms:W3CDTF">2019-11-06T14:17:00Z</dcterms:modified>
</cp:coreProperties>
</file>