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8A56B8A" w14:textId="241E97CB" w:rsidR="009F2528" w:rsidRPr="00A53845" w:rsidRDefault="009F2528" w:rsidP="009F2528">
      <w:pPr>
        <w:rPr>
          <w:rFonts w:ascii="Arial" w:hAnsi="Arial" w:cs="Arial"/>
          <w:b/>
          <w:bCs/>
          <w:sz w:val="28"/>
          <w:szCs w:val="32"/>
        </w:rPr>
      </w:pPr>
      <w:r w:rsidRPr="00A53845">
        <w:rPr>
          <w:rFonts w:ascii="Arial" w:hAnsi="Arial" w:cs="Arial"/>
          <w:b/>
          <w:bCs/>
          <w:sz w:val="28"/>
          <w:szCs w:val="32"/>
        </w:rPr>
        <w:t>Average Investment</w:t>
      </w:r>
    </w:p>
    <w:p w14:paraId="3995F1D4" w14:textId="7C4EDD90" w:rsidR="009F2528" w:rsidRPr="009F2528" w:rsidRDefault="009F2528" w:rsidP="009F2528">
      <w:pPr>
        <w:rPr>
          <w:rFonts w:ascii="Arial" w:hAnsi="Arial" w:cs="Arial"/>
          <w:b/>
          <w:bCs/>
          <w:sz w:val="24"/>
          <w:szCs w:val="28"/>
        </w:rPr>
      </w:pPr>
      <w:r w:rsidRPr="009F2528">
        <w:rPr>
          <w:rFonts w:ascii="Arial" w:hAnsi="Arial" w:cs="Arial"/>
          <w:b/>
          <w:bCs/>
          <w:sz w:val="24"/>
          <w:szCs w:val="28"/>
        </w:rPr>
        <w:t>Explanation:</w:t>
      </w:r>
    </w:p>
    <w:p w14:paraId="4FF49F75" w14:textId="5D1EC51F" w:rsidR="009F2528" w:rsidRDefault="00A53845" w:rsidP="009F2528">
      <w:pPr>
        <w:rPr>
          <w:rFonts w:ascii="Arial" w:hAnsi="Arial" w:cs="Arial"/>
        </w:rPr>
      </w:pPr>
      <w:r>
        <w:rPr>
          <w:rFonts w:ascii="Arial" w:hAnsi="Arial" w:cs="Arial"/>
          <w:noProof/>
        </w:rPr>
        <mc:AlternateContent>
          <mc:Choice Requires="wpg">
            <w:drawing>
              <wp:anchor distT="0" distB="0" distL="114300" distR="114300" simplePos="0" relativeHeight="251681792" behindDoc="0" locked="0" layoutInCell="1" allowOverlap="1" wp14:anchorId="007D1D24" wp14:editId="43D30A02">
                <wp:simplePos x="0" y="0"/>
                <wp:positionH relativeFrom="column">
                  <wp:posOffset>376843</wp:posOffset>
                </wp:positionH>
                <wp:positionV relativeFrom="paragraph">
                  <wp:posOffset>1159775</wp:posOffset>
                </wp:positionV>
                <wp:extent cx="3918219" cy="2077646"/>
                <wp:effectExtent l="0" t="0" r="0" b="0"/>
                <wp:wrapNone/>
                <wp:docPr id="960474869" name="Group 5"/>
                <wp:cNvGraphicFramePr/>
                <a:graphic xmlns:a="http://schemas.openxmlformats.org/drawingml/2006/main">
                  <a:graphicData uri="http://schemas.microsoft.com/office/word/2010/wordprocessingGroup">
                    <wpg:wgp>
                      <wpg:cNvGrpSpPr/>
                      <wpg:grpSpPr>
                        <a:xfrm>
                          <a:off x="0" y="0"/>
                          <a:ext cx="3918219" cy="2077646"/>
                          <a:chOff x="0" y="0"/>
                          <a:chExt cx="3918219" cy="2077646"/>
                        </a:xfrm>
                      </wpg:grpSpPr>
                      <wps:wsp>
                        <wps:cNvPr id="162705273" name="Straight Arrow Connector 2"/>
                        <wps:cNvCnPr/>
                        <wps:spPr>
                          <a:xfrm flipV="1">
                            <a:off x="670840" y="113832"/>
                            <a:ext cx="0" cy="1519237"/>
                          </a:xfrm>
                          <a:prstGeom prst="straightConnector1">
                            <a:avLst/>
                          </a:prstGeom>
                          <a:ln w="127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634819702" name="Straight Arrow Connector 2"/>
                        <wps:cNvCnPr/>
                        <wps:spPr>
                          <a:xfrm>
                            <a:off x="673178" y="1632924"/>
                            <a:ext cx="2881312" cy="0"/>
                          </a:xfrm>
                          <a:prstGeom prst="straightConnector1">
                            <a:avLst/>
                          </a:prstGeom>
                          <a:ln w="127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426390456" name="Straight Connector 3"/>
                        <wps:cNvCnPr/>
                        <wps:spPr>
                          <a:xfrm>
                            <a:off x="667568" y="474029"/>
                            <a:ext cx="2022339" cy="849887"/>
                          </a:xfrm>
                          <a:prstGeom prst="line">
                            <a:avLst/>
                          </a:prstGeom>
                          <a:ln w="19050">
                            <a:solidFill>
                              <a:schemeClr val="tx2"/>
                            </a:solidFill>
                          </a:ln>
                        </wps:spPr>
                        <wps:style>
                          <a:lnRef idx="1">
                            <a:schemeClr val="accent1"/>
                          </a:lnRef>
                          <a:fillRef idx="0">
                            <a:schemeClr val="accent1"/>
                          </a:fillRef>
                          <a:effectRef idx="0">
                            <a:schemeClr val="accent1"/>
                          </a:effectRef>
                          <a:fontRef idx="minor">
                            <a:schemeClr val="tx1"/>
                          </a:fontRef>
                        </wps:style>
                        <wps:bodyPr/>
                      </wps:wsp>
                      <wps:wsp>
                        <wps:cNvPr id="555343632" name="Straight Connector 4"/>
                        <wps:cNvCnPr/>
                        <wps:spPr>
                          <a:xfrm>
                            <a:off x="2689907" y="1318307"/>
                            <a:ext cx="0" cy="314445"/>
                          </a:xfrm>
                          <a:prstGeom prst="line">
                            <a:avLst/>
                          </a:prstGeom>
                          <a:ln w="19050">
                            <a:solidFill>
                              <a:schemeClr val="tx1"/>
                            </a:solidFill>
                            <a:prstDash val="sysDot"/>
                          </a:ln>
                        </wps:spPr>
                        <wps:style>
                          <a:lnRef idx="1">
                            <a:schemeClr val="accent1"/>
                          </a:lnRef>
                          <a:fillRef idx="0">
                            <a:schemeClr val="accent1"/>
                          </a:fillRef>
                          <a:effectRef idx="0">
                            <a:schemeClr val="accent1"/>
                          </a:effectRef>
                          <a:fontRef idx="minor">
                            <a:schemeClr val="tx1"/>
                          </a:fontRef>
                        </wps:style>
                        <wps:bodyPr/>
                      </wps:wsp>
                      <wps:wsp>
                        <wps:cNvPr id="1784373444" name="Straight Connector 4"/>
                        <wps:cNvCnPr/>
                        <wps:spPr>
                          <a:xfrm flipH="1" flipV="1">
                            <a:off x="661958" y="1321112"/>
                            <a:ext cx="2027727" cy="0"/>
                          </a:xfrm>
                          <a:prstGeom prst="line">
                            <a:avLst/>
                          </a:prstGeom>
                          <a:ln w="19050">
                            <a:solidFill>
                              <a:schemeClr val="tx1"/>
                            </a:solidFill>
                            <a:prstDash val="sysDot"/>
                          </a:ln>
                        </wps:spPr>
                        <wps:style>
                          <a:lnRef idx="1">
                            <a:schemeClr val="accent1"/>
                          </a:lnRef>
                          <a:fillRef idx="0">
                            <a:schemeClr val="accent1"/>
                          </a:fillRef>
                          <a:effectRef idx="0">
                            <a:schemeClr val="accent1"/>
                          </a:effectRef>
                          <a:fontRef idx="minor">
                            <a:schemeClr val="tx1"/>
                          </a:fontRef>
                        </wps:style>
                        <wps:bodyPr/>
                      </wps:wsp>
                      <wps:wsp>
                        <wps:cNvPr id="737792551" name="Text Box 2"/>
                        <wps:cNvSpPr txBox="1">
                          <a:spLocks noChangeArrowheads="1"/>
                        </wps:cNvSpPr>
                        <wps:spPr bwMode="auto">
                          <a:xfrm>
                            <a:off x="0" y="308540"/>
                            <a:ext cx="681355" cy="431165"/>
                          </a:xfrm>
                          <a:prstGeom prst="rect">
                            <a:avLst/>
                          </a:prstGeom>
                          <a:noFill/>
                          <a:ln w="9525">
                            <a:noFill/>
                            <a:miter lim="800000"/>
                            <a:headEnd/>
                            <a:tailEnd/>
                          </a:ln>
                        </wps:spPr>
                        <wps:txbx>
                          <w:txbxContent>
                            <w:p w14:paraId="30F2AB8D" w14:textId="24DE4121" w:rsidR="00A53845" w:rsidRDefault="00A53845">
                              <m:oMathPara>
                                <m:oMath>
                                  <m:r>
                                    <w:rPr>
                                      <w:rFonts w:ascii="Cambria Math" w:hAnsi="Cambria Math"/>
                                    </w:rPr>
                                    <m:t>10,000</m:t>
                                  </m:r>
                                </m:oMath>
                              </m:oMathPara>
                            </w:p>
                          </w:txbxContent>
                        </wps:txbx>
                        <wps:bodyPr rot="0" vert="horz" wrap="square" lIns="91440" tIns="45720" rIns="91440" bIns="45720" anchor="t" anchorCtr="0">
                          <a:spAutoFit/>
                        </wps:bodyPr>
                      </wps:wsp>
                      <wps:wsp>
                        <wps:cNvPr id="583974047" name="Text Box 2"/>
                        <wps:cNvSpPr txBox="1">
                          <a:spLocks noChangeArrowheads="1"/>
                        </wps:cNvSpPr>
                        <wps:spPr bwMode="auto">
                          <a:xfrm>
                            <a:off x="25244" y="1158427"/>
                            <a:ext cx="681355" cy="431165"/>
                          </a:xfrm>
                          <a:prstGeom prst="rect">
                            <a:avLst/>
                          </a:prstGeom>
                          <a:noFill/>
                          <a:ln w="9525">
                            <a:noFill/>
                            <a:miter lim="800000"/>
                            <a:headEnd/>
                            <a:tailEnd/>
                          </a:ln>
                        </wps:spPr>
                        <wps:txbx>
                          <w:txbxContent>
                            <w:p w14:paraId="450B3595" w14:textId="62E19BB1" w:rsidR="00A53845" w:rsidRDefault="00A53845" w:rsidP="00A53845">
                              <m:oMathPara>
                                <m:oMath>
                                  <m:r>
                                    <w:rPr>
                                      <w:rFonts w:ascii="Cambria Math" w:hAnsi="Cambria Math"/>
                                    </w:rPr>
                                    <m:t>2</m:t>
                                  </m:r>
                                  <m:r>
                                    <w:rPr>
                                      <w:rFonts w:ascii="Cambria Math" w:hAnsi="Cambria Math"/>
                                    </w:rPr>
                                    <m:t>,000</m:t>
                                  </m:r>
                                </m:oMath>
                              </m:oMathPara>
                            </w:p>
                          </w:txbxContent>
                        </wps:txbx>
                        <wps:bodyPr rot="0" vert="horz" wrap="square" lIns="91440" tIns="45720" rIns="91440" bIns="45720" anchor="t" anchorCtr="0">
                          <a:spAutoFit/>
                        </wps:bodyPr>
                      </wps:wsp>
                      <wps:wsp>
                        <wps:cNvPr id="347299703" name="Text Box 2"/>
                        <wps:cNvSpPr txBox="1">
                          <a:spLocks noChangeArrowheads="1"/>
                        </wps:cNvSpPr>
                        <wps:spPr bwMode="auto">
                          <a:xfrm>
                            <a:off x="347808" y="1629651"/>
                            <a:ext cx="681355" cy="431165"/>
                          </a:xfrm>
                          <a:prstGeom prst="rect">
                            <a:avLst/>
                          </a:prstGeom>
                          <a:noFill/>
                          <a:ln w="9525">
                            <a:noFill/>
                            <a:miter lim="800000"/>
                            <a:headEnd/>
                            <a:tailEnd/>
                          </a:ln>
                        </wps:spPr>
                        <wps:txbx>
                          <w:txbxContent>
                            <w:p w14:paraId="78C03E23" w14:textId="0F2EB4BD" w:rsidR="00A53845" w:rsidRDefault="00A53845" w:rsidP="00A53845">
                              <m:oMathPara>
                                <m:oMath>
                                  <m:r>
                                    <w:rPr>
                                      <w:rFonts w:ascii="Cambria Math" w:hAnsi="Cambria Math"/>
                                    </w:rPr>
                                    <m:t>0</m:t>
                                  </m:r>
                                </m:oMath>
                              </m:oMathPara>
                            </w:p>
                          </w:txbxContent>
                        </wps:txbx>
                        <wps:bodyPr rot="0" vert="horz" wrap="square" lIns="91440" tIns="45720" rIns="91440" bIns="45720" anchor="t" anchorCtr="0">
                          <a:spAutoFit/>
                        </wps:bodyPr>
                      </wps:wsp>
                      <wps:wsp>
                        <wps:cNvPr id="1601902977" name="Text Box 2"/>
                        <wps:cNvSpPr txBox="1">
                          <a:spLocks noChangeArrowheads="1"/>
                        </wps:cNvSpPr>
                        <wps:spPr bwMode="auto">
                          <a:xfrm>
                            <a:off x="2358927" y="1632456"/>
                            <a:ext cx="681355" cy="431165"/>
                          </a:xfrm>
                          <a:prstGeom prst="rect">
                            <a:avLst/>
                          </a:prstGeom>
                          <a:noFill/>
                          <a:ln w="9525">
                            <a:noFill/>
                            <a:miter lim="800000"/>
                            <a:headEnd/>
                            <a:tailEnd/>
                          </a:ln>
                        </wps:spPr>
                        <wps:txbx>
                          <w:txbxContent>
                            <w:p w14:paraId="70A506CF" w14:textId="2C58884C" w:rsidR="00A53845" w:rsidRDefault="00A53845" w:rsidP="00A53845">
                              <m:oMathPara>
                                <m:oMath>
                                  <m:r>
                                    <w:rPr>
                                      <w:rFonts w:ascii="Cambria Math" w:hAnsi="Cambria Math"/>
                                    </w:rPr>
                                    <m:t>1</m:t>
                                  </m:r>
                                </m:oMath>
                              </m:oMathPara>
                            </w:p>
                          </w:txbxContent>
                        </wps:txbx>
                        <wps:bodyPr rot="0" vert="horz" wrap="square" lIns="91440" tIns="45720" rIns="91440" bIns="45720" anchor="t" anchorCtr="0">
                          <a:spAutoFit/>
                        </wps:bodyPr>
                      </wps:wsp>
                      <wps:wsp>
                        <wps:cNvPr id="1329994694" name="Text Box 2"/>
                        <wps:cNvSpPr txBox="1">
                          <a:spLocks noChangeArrowheads="1"/>
                        </wps:cNvSpPr>
                        <wps:spPr bwMode="auto">
                          <a:xfrm>
                            <a:off x="3236864" y="1646481"/>
                            <a:ext cx="681355" cy="431165"/>
                          </a:xfrm>
                          <a:prstGeom prst="rect">
                            <a:avLst/>
                          </a:prstGeom>
                          <a:noFill/>
                          <a:ln w="9525">
                            <a:noFill/>
                            <a:miter lim="800000"/>
                            <a:headEnd/>
                            <a:tailEnd/>
                          </a:ln>
                        </wps:spPr>
                        <wps:txbx>
                          <w:txbxContent>
                            <w:p w14:paraId="1B9E0CE9" w14:textId="65CAC98E" w:rsidR="00A53845" w:rsidRDefault="00A53845" w:rsidP="00A53845">
                              <m:oMathPara>
                                <m:oMath>
                                  <m:r>
                                    <w:rPr>
                                      <w:rFonts w:ascii="Cambria Math" w:hAnsi="Cambria Math"/>
                                    </w:rPr>
                                    <m:t>Time</m:t>
                                  </m:r>
                                </m:oMath>
                              </m:oMathPara>
                            </w:p>
                          </w:txbxContent>
                        </wps:txbx>
                        <wps:bodyPr rot="0" vert="horz" wrap="square" lIns="91440" tIns="45720" rIns="91440" bIns="45720" anchor="t" anchorCtr="0">
                          <a:spAutoFit/>
                        </wps:bodyPr>
                      </wps:wsp>
                      <wps:wsp>
                        <wps:cNvPr id="140900863" name="Text Box 2"/>
                        <wps:cNvSpPr txBox="1">
                          <a:spLocks noChangeArrowheads="1"/>
                        </wps:cNvSpPr>
                        <wps:spPr bwMode="auto">
                          <a:xfrm>
                            <a:off x="117806" y="0"/>
                            <a:ext cx="2381250" cy="431165"/>
                          </a:xfrm>
                          <a:prstGeom prst="rect">
                            <a:avLst/>
                          </a:prstGeom>
                          <a:noFill/>
                          <a:ln w="9525">
                            <a:noFill/>
                            <a:miter lim="800000"/>
                            <a:headEnd/>
                            <a:tailEnd/>
                          </a:ln>
                        </wps:spPr>
                        <wps:txbx>
                          <w:txbxContent>
                            <w:p w14:paraId="03ED7273" w14:textId="64D2AB94" w:rsidR="00A53845" w:rsidRPr="00A53845" w:rsidRDefault="00A53845" w:rsidP="00A53845">
                              <w:pPr>
                                <w:rPr>
                                  <w:rFonts w:hint="eastAsia"/>
                                </w:rPr>
                              </w:pPr>
                              <m:oMathPara>
                                <m:oMath>
                                  <m:r>
                                    <w:rPr>
                                      <w:rFonts w:ascii="Cambria Math" w:hAnsi="Cambria Math"/>
                                    </w:rPr>
                                    <m:t>Remainning Value</m:t>
                                  </m:r>
                                </m:oMath>
                              </m:oMathPara>
                            </w:p>
                          </w:txbxContent>
                        </wps:txbx>
                        <wps:bodyPr rot="0" vert="horz" wrap="square" lIns="91440" tIns="45720" rIns="91440" bIns="45720" anchor="t" anchorCtr="0">
                          <a:spAutoFit/>
                        </wps:bodyPr>
                      </wps:wsp>
                      <wps:wsp>
                        <wps:cNvPr id="2068451160" name="Straight Connector 4"/>
                        <wps:cNvCnPr/>
                        <wps:spPr>
                          <a:xfrm flipH="1" flipV="1">
                            <a:off x="681592" y="900375"/>
                            <a:ext cx="984760" cy="0"/>
                          </a:xfrm>
                          <a:prstGeom prst="line">
                            <a:avLst/>
                          </a:prstGeom>
                          <a:ln w="19050">
                            <a:solidFill>
                              <a:schemeClr val="tx1"/>
                            </a:solidFill>
                            <a:prstDash val="sysDot"/>
                          </a:ln>
                        </wps:spPr>
                        <wps:style>
                          <a:lnRef idx="1">
                            <a:schemeClr val="accent1"/>
                          </a:lnRef>
                          <a:fillRef idx="0">
                            <a:schemeClr val="accent1"/>
                          </a:fillRef>
                          <a:effectRef idx="0">
                            <a:schemeClr val="accent1"/>
                          </a:effectRef>
                          <a:fontRef idx="minor">
                            <a:schemeClr val="tx1"/>
                          </a:fontRef>
                        </wps:style>
                        <wps:bodyPr/>
                      </wps:wsp>
                      <wps:wsp>
                        <wps:cNvPr id="1973407349" name="Text Box 2"/>
                        <wps:cNvSpPr txBox="1">
                          <a:spLocks noChangeArrowheads="1"/>
                        </wps:cNvSpPr>
                        <wps:spPr bwMode="auto">
                          <a:xfrm>
                            <a:off x="22439" y="732081"/>
                            <a:ext cx="681355" cy="431165"/>
                          </a:xfrm>
                          <a:prstGeom prst="rect">
                            <a:avLst/>
                          </a:prstGeom>
                          <a:noFill/>
                          <a:ln w="9525">
                            <a:noFill/>
                            <a:miter lim="800000"/>
                            <a:headEnd/>
                            <a:tailEnd/>
                          </a:ln>
                        </wps:spPr>
                        <wps:txbx>
                          <w:txbxContent>
                            <w:p w14:paraId="53A234DC" w14:textId="68BD9878" w:rsidR="00A53845" w:rsidRDefault="00A53845" w:rsidP="00A53845">
                              <m:oMathPara>
                                <m:oMath>
                                  <m:r>
                                    <w:rPr>
                                      <w:rFonts w:ascii="Cambria Math" w:hAnsi="Cambria Math"/>
                                    </w:rPr>
                                    <m:t>6,000</m:t>
                                  </m:r>
                                </m:oMath>
                              </m:oMathPara>
                            </w:p>
                          </w:txbxContent>
                        </wps:txbx>
                        <wps:bodyPr rot="0" vert="horz" wrap="square" lIns="91440" tIns="45720" rIns="91440" bIns="45720" anchor="t" anchorCtr="0">
                          <a:spAutoFit/>
                        </wps:bodyPr>
                      </wps:wsp>
                    </wpg:wgp>
                  </a:graphicData>
                </a:graphic>
              </wp:anchor>
            </w:drawing>
          </mc:Choice>
          <mc:Fallback>
            <w:pict>
              <v:group w14:anchorId="007D1D24" id="Group 5" o:spid="_x0000_s1026" style="position:absolute;margin-left:29.65pt;margin-top:91.3pt;width:308.5pt;height:163.6pt;z-index:251681792" coordsize="39182,207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">
                <v:shapetype id="_x0000_t32" coordsize="21600,21600" o:spt="32" o:oned="t" path="m,l21600,21600e" filled="f">
                  <v:path arrowok="t" fillok="f" o:connecttype="none"/>
                  <o:lock v:ext="edit" shapetype="t"/>
                </v:shapetype>
                <v:shape id="Straight Arrow Connector 2" o:spid="_x0000_s1027" type="#_x0000_t32" style="position:absolute;left:6708;top:1138;width:0;height:15192;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" strokecolor="black [3213]" strokeweight="1pt">
                  <v:stroke endarrow="block" joinstyle="miter"/>
                </v:shape>
                <v:shape id="Straight Arrow Connector 2" o:spid="_x0000_s1028" type="#_x0000_t32" style="position:absolute;left:6731;top:16329;width:2881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" strokecolor="black [3213]" strokeweight="1pt">
                  <v:stroke endarrow="block" joinstyle="miter"/>
                </v:shape>
                <v:line id="Straight Connector 3" o:spid="_x0000_s1029" style="position:absolute;visibility:visible;mso-wrap-style:square" from="6675,4740" to="26899,132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" strokecolor="#0e2841 [3215]" strokeweight="1.5pt">
                  <v:stroke joinstyle="miter"/>
                </v:line>
                <v:line id="Straight Connector 4" o:spid="_x0000_s1030" style="position:absolute;visibility:visible;mso-wrap-style:square" from="26899,13183" to="26899,163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" strokecolor="black [3213]" strokeweight="1.5pt">
                  <v:stroke dashstyle="1 1" joinstyle="miter"/>
                </v:line>
                <v:line id="Straight Connector 4" o:spid="_x0000_s1031" style="position:absolute;flip:x y;visibility:visible;mso-wrap-style:square" from="6619,13211" to="26896,132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" strokecolor="black [3213]" strokeweight="1.5pt">
                  <v:stroke dashstyle="1 1" joinstyle="miter"/>
                </v:line>
                <v:shapetype id="_x0000_t202" coordsize="21600,21600" o:spt="202" path="m,l,21600r21600,l21600,xe">
                  <v:stroke joinstyle="miter"/>
                  <v:path gradientshapeok="t" o:connecttype="rect"/>
                </v:shapetype>
                <v:shape id="Text Box 2" o:spid="_x0000_s1032" type="#_x0000_t202" style="position:absolute;top:3085;width:6813;height:43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" filled="f" stroked="f">
                  <v:textbox style="mso-fit-shape-to-text:t">
                    <w:txbxContent>
                      <w:p w14:paraId="30F2AB8D" w14:textId="24DE4121" w:rsidR="00A53845" w:rsidRDefault="00A53845">
                        <m:oMathPara>
                          <m:oMath>
                            <m:r>
                              <w:rPr>
                                <w:rFonts w:ascii="Cambria Math" w:hAnsi="Cambria Math"/>
                              </w:rPr>
                              <m:t>10,000</m:t>
                            </m:r>
                          </m:oMath>
                        </m:oMathPara>
                      </w:p>
                    </w:txbxContent>
                  </v:textbox>
                </v:shape>
                <v:shape id="Text Box 2" o:spid="_x0000_s1033" type="#_x0000_t202" style="position:absolute;left:252;top:11584;width:6813;height:43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" filled="f" stroked="f">
                  <v:textbox style="mso-fit-shape-to-text:t">
                    <w:txbxContent>
                      <w:p w14:paraId="450B3595" w14:textId="62E19BB1" w:rsidR="00A53845" w:rsidRDefault="00A53845" w:rsidP="00A53845">
                        <m:oMathPara>
                          <m:oMath>
                            <m:r>
                              <w:rPr>
                                <w:rFonts w:ascii="Cambria Math" w:hAnsi="Cambria Math"/>
                              </w:rPr>
                              <m:t>2</m:t>
                            </m:r>
                            <m:r>
                              <w:rPr>
                                <w:rFonts w:ascii="Cambria Math" w:hAnsi="Cambria Math"/>
                              </w:rPr>
                              <m:t>,000</m:t>
                            </m:r>
                          </m:oMath>
                        </m:oMathPara>
                      </w:p>
                    </w:txbxContent>
                  </v:textbox>
                </v:shape>
                <v:shape id="Text Box 2" o:spid="_x0000_s1034" type="#_x0000_t202" style="position:absolute;left:3478;top:16296;width:6813;height:43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" filled="f" stroked="f">
                  <v:textbox style="mso-fit-shape-to-text:t">
                    <w:txbxContent>
                      <w:p w14:paraId="78C03E23" w14:textId="0F2EB4BD" w:rsidR="00A53845" w:rsidRDefault="00A53845" w:rsidP="00A53845">
                        <m:oMathPara>
                          <m:oMath>
                            <m:r>
                              <w:rPr>
                                <w:rFonts w:ascii="Cambria Math" w:hAnsi="Cambria Math"/>
                              </w:rPr>
                              <m:t>0</m:t>
                            </m:r>
                          </m:oMath>
                        </m:oMathPara>
                      </w:p>
                    </w:txbxContent>
                  </v:textbox>
                </v:shape>
                <v:shape id="Text Box 2" o:spid="_x0000_s1035" type="#_x0000_t202" style="position:absolute;left:23589;top:16324;width:6813;height:43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" filled="f" stroked="f">
                  <v:textbox style="mso-fit-shape-to-text:t">
                    <w:txbxContent>
                      <w:p w14:paraId="70A506CF" w14:textId="2C58884C" w:rsidR="00A53845" w:rsidRDefault="00A53845" w:rsidP="00A53845">
                        <m:oMathPara>
                          <m:oMath>
                            <m:r>
                              <w:rPr>
                                <w:rFonts w:ascii="Cambria Math" w:hAnsi="Cambria Math"/>
                              </w:rPr>
                              <m:t>1</m:t>
                            </m:r>
                          </m:oMath>
                        </m:oMathPara>
                      </w:p>
                    </w:txbxContent>
                  </v:textbox>
                </v:shape>
                <v:shape id="Text Box 2" o:spid="_x0000_s1036" type="#_x0000_t202" style="position:absolute;left:32368;top:16464;width:6814;height:43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" filled="f" stroked="f">
                  <v:textbox style="mso-fit-shape-to-text:t">
                    <w:txbxContent>
                      <w:p w14:paraId="1B9E0CE9" w14:textId="65CAC98E" w:rsidR="00A53845" w:rsidRDefault="00A53845" w:rsidP="00A53845">
                        <m:oMathPara>
                          <m:oMath>
                            <m:r>
                              <w:rPr>
                                <w:rFonts w:ascii="Cambria Math" w:hAnsi="Cambria Math"/>
                              </w:rPr>
                              <m:t>Time</m:t>
                            </m:r>
                          </m:oMath>
                        </m:oMathPara>
                      </w:p>
                    </w:txbxContent>
                  </v:textbox>
                </v:shape>
                <v:shape id="Text Box 2" o:spid="_x0000_s1037" type="#_x0000_t202" style="position:absolute;left:1178;width:23812;height:43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" filled="f" stroked="f">
                  <v:textbox style="mso-fit-shape-to-text:t">
                    <w:txbxContent>
                      <w:p w14:paraId="03ED7273" w14:textId="64D2AB94" w:rsidR="00A53845" w:rsidRPr="00A53845" w:rsidRDefault="00A53845" w:rsidP="00A53845">
                        <w:pPr>
                          <w:rPr>
                            <w:rFonts w:hint="eastAsia"/>
                          </w:rPr>
                        </w:pPr>
                        <m:oMathPara>
                          <m:oMath>
                            <m:r>
                              <w:rPr>
                                <w:rFonts w:ascii="Cambria Math" w:hAnsi="Cambria Math"/>
                              </w:rPr>
                              <m:t>Remainning Value</m:t>
                            </m:r>
                          </m:oMath>
                        </m:oMathPara>
                      </w:p>
                    </w:txbxContent>
                  </v:textbox>
                </v:shape>
                <v:line id="Straight Connector 4" o:spid="_x0000_s1038" style="position:absolute;flip:x y;visibility:visible;mso-wrap-style:square" from="6815,9003" to="16663,90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" strokecolor="black [3213]" strokeweight="1.5pt">
                  <v:stroke dashstyle="1 1" joinstyle="miter"/>
                </v:line>
                <v:shape id="Text Box 2" o:spid="_x0000_s1039" type="#_x0000_t202" style="position:absolute;left:224;top:7320;width:6813;height:43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" filled="f" stroked="f">
                  <v:textbox style="mso-fit-shape-to-text:t">
                    <w:txbxContent>
                      <w:p w14:paraId="53A234DC" w14:textId="68BD9878" w:rsidR="00A53845" w:rsidRDefault="00A53845" w:rsidP="00A53845">
                        <m:oMathPara>
                          <m:oMath>
                            <m:r>
                              <w:rPr>
                                <w:rFonts w:ascii="Cambria Math" w:hAnsi="Cambria Math"/>
                              </w:rPr>
                              <m:t>6,000</m:t>
                            </m:r>
                          </m:oMath>
                        </m:oMathPara>
                      </w:p>
                    </w:txbxContent>
                  </v:textbox>
                </v:shape>
              </v:group>
            </w:pict>
          </mc:Fallback>
        </mc:AlternateContent>
      </w:r>
      <w:r w:rsidR="009F2528" w:rsidRPr="009F2528">
        <w:rPr>
          <w:rFonts w:ascii="Arial" w:hAnsi="Arial" w:cs="Arial"/>
        </w:rPr>
        <w:t xml:space="preserve">This formula assumes that the value of an asset gradually declines from its </w:t>
      </w:r>
      <w:r w:rsidR="009F2528" w:rsidRPr="009F2528">
        <w:rPr>
          <w:rFonts w:ascii="Arial" w:hAnsi="Arial" w:cs="Arial"/>
          <w:b/>
          <w:bCs/>
        </w:rPr>
        <w:t>initial investment</w:t>
      </w:r>
      <w:r w:rsidR="009F2528" w:rsidRPr="009F2528">
        <w:rPr>
          <w:rFonts w:ascii="Arial" w:hAnsi="Arial" w:cs="Arial"/>
        </w:rPr>
        <w:t xml:space="preserve"> (the starting value when the asset is first purchased) to its </w:t>
      </w:r>
      <w:r w:rsidR="009F2528" w:rsidRPr="009F2528">
        <w:rPr>
          <w:rFonts w:ascii="Arial" w:hAnsi="Arial" w:cs="Arial"/>
          <w:b/>
          <w:bCs/>
        </w:rPr>
        <w:t>scrap value</w:t>
      </w:r>
      <w:r w:rsidR="009F2528" w:rsidRPr="009F2528">
        <w:rPr>
          <w:rFonts w:ascii="Arial" w:hAnsi="Arial" w:cs="Arial"/>
        </w:rPr>
        <w:t xml:space="preserve"> (the residual or salvage value at the end of the asset's useful life)</w:t>
      </w:r>
      <w:r w:rsidR="009F2528">
        <w:rPr>
          <w:rFonts w:ascii="Arial" w:hAnsi="Arial" w:cs="Arial" w:hint="eastAsia"/>
        </w:rPr>
        <w:t xml:space="preserve"> in an </w:t>
      </w:r>
      <w:r w:rsidR="009F2528" w:rsidRPr="009F2528">
        <w:rPr>
          <w:rFonts w:ascii="Arial" w:hAnsi="Arial" w:cs="Arial" w:hint="eastAsia"/>
          <w:b/>
          <w:bCs/>
        </w:rPr>
        <w:t>even</w:t>
      </w:r>
      <w:r w:rsidR="009F2528">
        <w:rPr>
          <w:rFonts w:ascii="Arial" w:hAnsi="Arial" w:cs="Arial" w:hint="eastAsia"/>
        </w:rPr>
        <w:t xml:space="preserve"> way</w:t>
      </w:r>
      <w:r w:rsidR="009F2528" w:rsidRPr="009F2528">
        <w:rPr>
          <w:rFonts w:ascii="Arial" w:hAnsi="Arial" w:cs="Arial"/>
        </w:rPr>
        <w:t>. The average investment essentially represents the midpoint or average capital tied up in the asset throughout its life cycle.</w:t>
      </w:r>
    </w:p>
    <w:p w14:paraId="591B9476" w14:textId="01971AFE" w:rsidR="00A53845" w:rsidRDefault="00A53845" w:rsidP="009F2528">
      <w:pPr>
        <w:rPr>
          <w:rFonts w:ascii="Arial" w:hAnsi="Arial" w:cs="Arial"/>
        </w:rPr>
      </w:pPr>
    </w:p>
    <w:p w14:paraId="28647F93" w14:textId="1A01BB5E" w:rsidR="00A53845" w:rsidRDefault="00A53845" w:rsidP="009F2528">
      <w:pPr>
        <w:rPr>
          <w:rFonts w:ascii="Arial" w:hAnsi="Arial" w:cs="Arial" w:hint="eastAsia"/>
        </w:rPr>
      </w:pPr>
    </w:p>
    <w:p w14:paraId="40655EDE" w14:textId="4AE202C9" w:rsidR="00A53845" w:rsidRDefault="00A53845" w:rsidP="009F2528">
      <w:pPr>
        <w:rPr>
          <w:rFonts w:ascii="Arial" w:hAnsi="Arial" w:cs="Arial"/>
        </w:rPr>
      </w:pPr>
    </w:p>
    <w:p w14:paraId="5D22EC21" w14:textId="6B78570B" w:rsidR="00A53845" w:rsidRDefault="00A53845" w:rsidP="009F2528">
      <w:pPr>
        <w:rPr>
          <w:rFonts w:ascii="Arial" w:hAnsi="Arial" w:cs="Arial"/>
        </w:rPr>
      </w:pPr>
    </w:p>
    <w:p w14:paraId="14CAFAE5" w14:textId="091B0815" w:rsidR="00A53845" w:rsidRPr="009F2528" w:rsidRDefault="00A53845" w:rsidP="009F2528">
      <w:pPr>
        <w:rPr>
          <w:rFonts w:ascii="Arial" w:hAnsi="Arial" w:cs="Arial" w:hint="eastAsia"/>
        </w:rPr>
      </w:pPr>
    </w:p>
    <w:p w14:paraId="7A16683D" w14:textId="52C87019" w:rsidR="00A53845" w:rsidRDefault="00A53845" w:rsidP="009F2528">
      <w:pPr>
        <w:rPr>
          <w:rFonts w:ascii="Arial" w:hAnsi="Arial" w:cs="Arial"/>
          <w:b/>
          <w:bCs/>
          <w:sz w:val="24"/>
          <w:szCs w:val="28"/>
        </w:rPr>
      </w:pPr>
    </w:p>
    <w:p w14:paraId="398A215C" w14:textId="77777777" w:rsidR="00A53845" w:rsidRDefault="00A53845" w:rsidP="009F2528">
      <w:pPr>
        <w:rPr>
          <w:rFonts w:ascii="Arial" w:hAnsi="Arial" w:cs="Arial"/>
          <w:b/>
          <w:bCs/>
          <w:sz w:val="24"/>
          <w:szCs w:val="28"/>
        </w:rPr>
      </w:pPr>
    </w:p>
    <w:p w14:paraId="76962F88" w14:textId="48A9EA30" w:rsidR="009F2528" w:rsidRPr="009F2528" w:rsidRDefault="009F2528" w:rsidP="009F2528">
      <w:pPr>
        <w:rPr>
          <w:rFonts w:ascii="Arial" w:hAnsi="Arial" w:cs="Arial"/>
          <w:b/>
          <w:bCs/>
          <w:sz w:val="24"/>
          <w:szCs w:val="28"/>
        </w:rPr>
      </w:pPr>
      <w:r w:rsidRPr="009F2528">
        <w:rPr>
          <w:rFonts w:ascii="Arial" w:hAnsi="Arial" w:cs="Arial"/>
          <w:b/>
          <w:bCs/>
          <w:sz w:val="24"/>
          <w:szCs w:val="28"/>
        </w:rPr>
        <w:t xml:space="preserve">Here’s </w:t>
      </w:r>
      <w:r>
        <w:rPr>
          <w:rFonts w:ascii="Arial" w:hAnsi="Arial" w:cs="Arial" w:hint="eastAsia"/>
          <w:b/>
          <w:bCs/>
          <w:sz w:val="24"/>
          <w:szCs w:val="28"/>
        </w:rPr>
        <w:t>how</w:t>
      </w:r>
      <w:r w:rsidRPr="009F2528">
        <w:rPr>
          <w:rFonts w:ascii="Arial" w:hAnsi="Arial" w:cs="Arial"/>
          <w:b/>
          <w:bCs/>
          <w:sz w:val="24"/>
          <w:szCs w:val="28"/>
        </w:rPr>
        <w:t xml:space="preserve"> this formula is used:</w:t>
      </w:r>
    </w:p>
    <w:p w14:paraId="7AAA610D" w14:textId="29543464" w:rsidR="009F2528" w:rsidRPr="009F2528" w:rsidRDefault="009F2528" w:rsidP="009F2528">
      <w:pPr>
        <w:rPr>
          <w:rFonts w:ascii="Arial" w:hAnsi="Arial" w:cs="Arial"/>
        </w:rPr>
      </w:pPr>
      <w:r w:rsidRPr="009F2528">
        <w:rPr>
          <w:rFonts w:ascii="Arial" w:hAnsi="Arial" w:cs="Arial"/>
          <w:b/>
          <w:bCs/>
        </w:rPr>
        <w:t>Initial Investment:</w:t>
      </w:r>
      <w:r w:rsidRPr="009F2528">
        <w:rPr>
          <w:rFonts w:ascii="Arial" w:hAnsi="Arial" w:cs="Arial"/>
        </w:rPr>
        <w:t xml:space="preserve"> This is the total cost to acquire or set up the asset, which could include purchasing equipment, building infrastructure, etc.</w:t>
      </w:r>
    </w:p>
    <w:p w14:paraId="1C6111B7" w14:textId="2A638DAB" w:rsidR="009F2528" w:rsidRPr="009F2528" w:rsidRDefault="009F2528" w:rsidP="009F2528">
      <w:pPr>
        <w:rPr>
          <w:rFonts w:ascii="Arial" w:hAnsi="Arial" w:cs="Arial" w:hint="eastAsia"/>
        </w:rPr>
      </w:pPr>
      <w:r w:rsidRPr="009F2528">
        <w:rPr>
          <w:rFonts w:ascii="Arial" w:hAnsi="Arial" w:cs="Arial"/>
          <w:b/>
          <w:bCs/>
        </w:rPr>
        <w:t>Scrap Value</w:t>
      </w:r>
      <w:r w:rsidRPr="009F2528">
        <w:rPr>
          <w:rFonts w:ascii="Arial" w:hAnsi="Arial" w:cs="Arial"/>
        </w:rPr>
        <w:t>: At the end of the asset’s life, it still has some value, which might come from selling it for parts, recycling it, or repurposing it.</w:t>
      </w:r>
    </w:p>
    <w:p w14:paraId="79C184EF" w14:textId="77777777" w:rsidR="009F2528" w:rsidRPr="009F2528" w:rsidRDefault="009F2528" w:rsidP="009F2528">
      <w:pPr>
        <w:rPr>
          <w:rFonts w:ascii="Arial" w:hAnsi="Arial" w:cs="Arial"/>
        </w:rPr>
      </w:pPr>
    </w:p>
    <w:p w14:paraId="2B5A5024" w14:textId="5568DFE1" w:rsidR="009F2528" w:rsidRPr="009F2528" w:rsidRDefault="009F2528" w:rsidP="009F2528">
      <w:pPr>
        <w:rPr>
          <w:rFonts w:ascii="Arial" w:hAnsi="Arial" w:cs="Arial" w:hint="eastAsia"/>
          <w:b/>
          <w:bCs/>
          <w:sz w:val="24"/>
          <w:szCs w:val="28"/>
        </w:rPr>
      </w:pPr>
      <w:r>
        <w:rPr>
          <w:rFonts w:ascii="Arial" w:hAnsi="Arial" w:cs="Arial" w:hint="eastAsia"/>
          <w:b/>
          <w:bCs/>
          <w:sz w:val="24"/>
          <w:szCs w:val="28"/>
        </w:rPr>
        <w:t>Benefits:</w:t>
      </w:r>
    </w:p>
    <w:p w14:paraId="42C13A03" w14:textId="30DA2858" w:rsidR="009F2528" w:rsidRPr="009F2528" w:rsidRDefault="009F2528" w:rsidP="009F2528">
      <w:pPr>
        <w:rPr>
          <w:rFonts w:ascii="Arial" w:hAnsi="Arial" w:cs="Arial"/>
        </w:rPr>
      </w:pPr>
      <w:r w:rsidRPr="009F2528">
        <w:rPr>
          <w:rFonts w:ascii="Arial" w:hAnsi="Arial" w:cs="Arial"/>
        </w:rPr>
        <w:t xml:space="preserve">1. </w:t>
      </w:r>
      <w:r w:rsidRPr="009F2528">
        <w:rPr>
          <w:rFonts w:ascii="Arial" w:hAnsi="Arial" w:cs="Arial"/>
          <w:b/>
          <w:bCs/>
        </w:rPr>
        <w:t>Simple and Practical:</w:t>
      </w:r>
      <w:r w:rsidRPr="009F2528">
        <w:rPr>
          <w:rFonts w:ascii="Arial" w:hAnsi="Arial" w:cs="Arial"/>
        </w:rPr>
        <w:t xml:space="preserve"> The average investment method offers a quick estimate for decision-making purposes in capital budgeting.</w:t>
      </w:r>
    </w:p>
    <w:p w14:paraId="09DB6321" w14:textId="0FAC7335" w:rsidR="009F2528" w:rsidRPr="009F2528" w:rsidRDefault="009F2528" w:rsidP="009F2528">
      <w:pPr>
        <w:rPr>
          <w:rFonts w:ascii="Arial" w:hAnsi="Arial" w:cs="Arial"/>
        </w:rPr>
      </w:pPr>
      <w:r w:rsidRPr="009F2528">
        <w:rPr>
          <w:rFonts w:ascii="Arial" w:hAnsi="Arial" w:cs="Arial"/>
        </w:rPr>
        <w:t xml:space="preserve">2. </w:t>
      </w:r>
      <w:r w:rsidRPr="009F2528">
        <w:rPr>
          <w:rFonts w:ascii="Arial" w:hAnsi="Arial" w:cs="Arial"/>
          <w:b/>
          <w:bCs/>
        </w:rPr>
        <w:t>Amortization Reflection:</w:t>
      </w:r>
      <w:r w:rsidRPr="009F2528">
        <w:rPr>
          <w:rFonts w:ascii="Arial" w:hAnsi="Arial" w:cs="Arial"/>
        </w:rPr>
        <w:t xml:space="preserve"> It reflects the fact that the asset’s value declines over time as it’s depreciated, but there is still some value (scrap) at the end.</w:t>
      </w:r>
    </w:p>
    <w:p w14:paraId="40769AE4" w14:textId="5EAEE54B" w:rsidR="009F2528" w:rsidRPr="009F2528" w:rsidRDefault="009F2528" w:rsidP="009F2528">
      <w:pPr>
        <w:rPr>
          <w:rFonts w:ascii="Arial" w:hAnsi="Arial" w:cs="Arial"/>
        </w:rPr>
      </w:pPr>
      <w:r w:rsidRPr="009F2528">
        <w:rPr>
          <w:rFonts w:ascii="Arial" w:hAnsi="Arial" w:cs="Arial"/>
        </w:rPr>
        <w:t xml:space="preserve">3. </w:t>
      </w:r>
      <w:r w:rsidRPr="009F2528">
        <w:rPr>
          <w:rFonts w:ascii="Arial" w:hAnsi="Arial" w:cs="Arial"/>
          <w:b/>
          <w:bCs/>
        </w:rPr>
        <w:t>Use in Return on Investment (ROI)</w:t>
      </w:r>
      <w:r w:rsidRPr="009F2528">
        <w:rPr>
          <w:rFonts w:ascii="Arial" w:hAnsi="Arial" w:cs="Arial"/>
        </w:rPr>
        <w:t>: This method can be useful when calculating returns (e.g., in Return on Investment (ROI) or Return on Capital Employed (ROCE)), as it approximates the average amount of capital that has been invested in the project or asset over time.</w:t>
      </w:r>
    </w:p>
    <w:p w14:paraId="2120F59F" w14:textId="77777777" w:rsidR="009F2528" w:rsidRPr="009F2528" w:rsidRDefault="009F2528" w:rsidP="009F2528">
      <w:pPr>
        <w:rPr>
          <w:rFonts w:ascii="Arial" w:hAnsi="Arial" w:cs="Arial"/>
        </w:rPr>
      </w:pPr>
    </w:p>
    <w:p w14:paraId="078DADAC" w14:textId="5DA1F044" w:rsidR="009F2528" w:rsidRPr="009F2528" w:rsidRDefault="009F2528" w:rsidP="009F2528">
      <w:pPr>
        <w:rPr>
          <w:rFonts w:ascii="Arial" w:hAnsi="Arial" w:cs="Arial" w:hint="eastAsia"/>
          <w:b/>
          <w:bCs/>
          <w:sz w:val="24"/>
          <w:szCs w:val="28"/>
        </w:rPr>
      </w:pPr>
      <w:r w:rsidRPr="009F2528">
        <w:rPr>
          <w:rFonts w:ascii="Arial" w:hAnsi="Arial" w:cs="Arial"/>
          <w:b/>
          <w:bCs/>
          <w:sz w:val="24"/>
          <w:szCs w:val="28"/>
        </w:rPr>
        <w:lastRenderedPageBreak/>
        <w:t>Limitations:</w:t>
      </w:r>
    </w:p>
    <w:p w14:paraId="614C4219" w14:textId="59EFF90B" w:rsidR="009F2528" w:rsidRPr="009F2528" w:rsidRDefault="009F2528" w:rsidP="009F2528">
      <w:pPr>
        <w:rPr>
          <w:rFonts w:ascii="Arial" w:hAnsi="Arial" w:cs="Arial"/>
        </w:rPr>
      </w:pPr>
      <w:r>
        <w:rPr>
          <w:rFonts w:ascii="Arial" w:hAnsi="Arial" w:cs="Arial" w:hint="eastAsia"/>
        </w:rPr>
        <w:t>1.</w:t>
      </w:r>
      <w:r w:rsidRPr="009F2528">
        <w:rPr>
          <w:rFonts w:ascii="Arial" w:hAnsi="Arial" w:cs="Arial"/>
        </w:rPr>
        <w:t xml:space="preserve"> </w:t>
      </w:r>
      <w:r w:rsidRPr="009F2528">
        <w:rPr>
          <w:rFonts w:ascii="Arial" w:hAnsi="Arial" w:cs="Arial"/>
          <w:b/>
          <w:bCs/>
        </w:rPr>
        <w:t>Even Depreciation Assumption</w:t>
      </w:r>
      <w:r w:rsidRPr="009F2528">
        <w:rPr>
          <w:rFonts w:ascii="Arial" w:hAnsi="Arial" w:cs="Arial"/>
        </w:rPr>
        <w:t>: This formula assumes that the asset’s value declines at a steady rate, which may not always be realistic. In many cases, the asset's value might decline faster in the earlier years (as in declining balance depreciation).</w:t>
      </w:r>
    </w:p>
    <w:p w14:paraId="4590B623" w14:textId="133A06F3" w:rsidR="009F2528" w:rsidRPr="009F2528" w:rsidRDefault="009F2528" w:rsidP="009F2528">
      <w:pPr>
        <w:rPr>
          <w:rFonts w:ascii="Arial" w:hAnsi="Arial" w:cs="Arial"/>
        </w:rPr>
      </w:pPr>
      <w:r>
        <w:rPr>
          <w:rFonts w:ascii="Arial" w:hAnsi="Arial" w:cs="Arial" w:hint="eastAsia"/>
        </w:rPr>
        <w:t>2.</w:t>
      </w:r>
      <w:r w:rsidRPr="009F2528">
        <w:rPr>
          <w:rFonts w:ascii="Arial" w:hAnsi="Arial" w:cs="Arial"/>
        </w:rPr>
        <w:t xml:space="preserve"> </w:t>
      </w:r>
      <w:r w:rsidRPr="009F2528">
        <w:rPr>
          <w:rFonts w:ascii="Arial" w:hAnsi="Arial" w:cs="Arial"/>
          <w:b/>
          <w:bCs/>
        </w:rPr>
        <w:t>No Adjustments for Maintenance Costs</w:t>
      </w:r>
      <w:r w:rsidRPr="009F2528">
        <w:rPr>
          <w:rFonts w:ascii="Arial" w:hAnsi="Arial" w:cs="Arial"/>
        </w:rPr>
        <w:t>: This method doesn’t account for operating or maintenance costs that may increase as the asset ages, potentially impacting the net cash flow.</w:t>
      </w:r>
    </w:p>
    <w:p w14:paraId="36D62AD0" w14:textId="34295B57" w:rsidR="009F2528" w:rsidRPr="009F2528" w:rsidRDefault="009F2528" w:rsidP="009F2528">
      <w:pPr>
        <w:rPr>
          <w:rFonts w:ascii="Arial" w:hAnsi="Arial" w:cs="Arial"/>
        </w:rPr>
      </w:pPr>
    </w:p>
    <w:sectPr w:rsidR="009F2528" w:rsidRPr="009F2528">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2528"/>
    <w:rsid w:val="009F2528"/>
    <w:rsid w:val="00A53845"/>
    <w:rsid w:val="00BB2D63"/>
    <w:rsid w:val="00F820F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CBF112"/>
  <w15:chartTrackingRefBased/>
  <w15:docId w15:val="{11AB5E11-B2DF-44A6-A1D0-21B7D951D7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pPr>
  </w:style>
  <w:style w:type="paragraph" w:styleId="Heading1">
    <w:name w:val="heading 1"/>
    <w:basedOn w:val="Normal"/>
    <w:next w:val="Normal"/>
    <w:link w:val="Heading1Char"/>
    <w:uiPriority w:val="9"/>
    <w:qFormat/>
    <w:rsid w:val="009F2528"/>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Heading2">
    <w:name w:val="heading 2"/>
    <w:basedOn w:val="Normal"/>
    <w:next w:val="Normal"/>
    <w:link w:val="Heading2Char"/>
    <w:uiPriority w:val="9"/>
    <w:semiHidden/>
    <w:unhideWhenUsed/>
    <w:qFormat/>
    <w:rsid w:val="009F2528"/>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Heading3">
    <w:name w:val="heading 3"/>
    <w:basedOn w:val="Normal"/>
    <w:next w:val="Normal"/>
    <w:link w:val="Heading3Char"/>
    <w:uiPriority w:val="9"/>
    <w:semiHidden/>
    <w:unhideWhenUsed/>
    <w:qFormat/>
    <w:rsid w:val="009F2528"/>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Heading4">
    <w:name w:val="heading 4"/>
    <w:basedOn w:val="Normal"/>
    <w:next w:val="Normal"/>
    <w:link w:val="Heading4Char"/>
    <w:uiPriority w:val="9"/>
    <w:semiHidden/>
    <w:unhideWhenUsed/>
    <w:qFormat/>
    <w:rsid w:val="009F2528"/>
    <w:pPr>
      <w:keepNext/>
      <w:keepLines/>
      <w:spacing w:before="80" w:after="40"/>
      <w:outlineLvl w:val="3"/>
    </w:pPr>
    <w:rPr>
      <w:rFonts w:cstheme="majorBidi"/>
      <w:color w:val="0F4761" w:themeColor="accent1" w:themeShade="BF"/>
      <w:sz w:val="28"/>
      <w:szCs w:val="28"/>
    </w:rPr>
  </w:style>
  <w:style w:type="paragraph" w:styleId="Heading5">
    <w:name w:val="heading 5"/>
    <w:basedOn w:val="Normal"/>
    <w:next w:val="Normal"/>
    <w:link w:val="Heading5Char"/>
    <w:uiPriority w:val="9"/>
    <w:semiHidden/>
    <w:unhideWhenUsed/>
    <w:qFormat/>
    <w:rsid w:val="009F2528"/>
    <w:pPr>
      <w:keepNext/>
      <w:keepLines/>
      <w:spacing w:before="80" w:after="40"/>
      <w:outlineLvl w:val="4"/>
    </w:pPr>
    <w:rPr>
      <w:rFonts w:cstheme="majorBidi"/>
      <w:color w:val="0F4761" w:themeColor="accent1" w:themeShade="BF"/>
      <w:sz w:val="24"/>
    </w:rPr>
  </w:style>
  <w:style w:type="paragraph" w:styleId="Heading6">
    <w:name w:val="heading 6"/>
    <w:basedOn w:val="Normal"/>
    <w:next w:val="Normal"/>
    <w:link w:val="Heading6Char"/>
    <w:uiPriority w:val="9"/>
    <w:semiHidden/>
    <w:unhideWhenUsed/>
    <w:qFormat/>
    <w:rsid w:val="009F2528"/>
    <w:pPr>
      <w:keepNext/>
      <w:keepLines/>
      <w:spacing w:before="40" w:after="0"/>
      <w:outlineLvl w:val="5"/>
    </w:pPr>
    <w:rPr>
      <w:rFonts w:cstheme="majorBidi"/>
      <w:b/>
      <w:bCs/>
      <w:color w:val="0F4761" w:themeColor="accent1" w:themeShade="BF"/>
    </w:rPr>
  </w:style>
  <w:style w:type="paragraph" w:styleId="Heading7">
    <w:name w:val="heading 7"/>
    <w:basedOn w:val="Normal"/>
    <w:next w:val="Normal"/>
    <w:link w:val="Heading7Char"/>
    <w:uiPriority w:val="9"/>
    <w:semiHidden/>
    <w:unhideWhenUsed/>
    <w:qFormat/>
    <w:rsid w:val="009F2528"/>
    <w:pPr>
      <w:keepNext/>
      <w:keepLines/>
      <w:spacing w:before="40" w:after="0"/>
      <w:outlineLvl w:val="6"/>
    </w:pPr>
    <w:rPr>
      <w:rFonts w:cstheme="majorBidi"/>
      <w:b/>
      <w:bCs/>
      <w:color w:val="595959" w:themeColor="text1" w:themeTint="A6"/>
    </w:rPr>
  </w:style>
  <w:style w:type="paragraph" w:styleId="Heading8">
    <w:name w:val="heading 8"/>
    <w:basedOn w:val="Normal"/>
    <w:next w:val="Normal"/>
    <w:link w:val="Heading8Char"/>
    <w:uiPriority w:val="9"/>
    <w:semiHidden/>
    <w:unhideWhenUsed/>
    <w:qFormat/>
    <w:rsid w:val="009F2528"/>
    <w:pPr>
      <w:keepNext/>
      <w:keepLines/>
      <w:spacing w:after="0"/>
      <w:outlineLvl w:val="7"/>
    </w:pPr>
    <w:rPr>
      <w:rFonts w:cstheme="majorBidi"/>
      <w:color w:val="595959" w:themeColor="text1" w:themeTint="A6"/>
    </w:rPr>
  </w:style>
  <w:style w:type="paragraph" w:styleId="Heading9">
    <w:name w:val="heading 9"/>
    <w:basedOn w:val="Normal"/>
    <w:next w:val="Normal"/>
    <w:link w:val="Heading9Char"/>
    <w:uiPriority w:val="9"/>
    <w:semiHidden/>
    <w:unhideWhenUsed/>
    <w:qFormat/>
    <w:rsid w:val="009F2528"/>
    <w:pPr>
      <w:keepNext/>
      <w:keepLines/>
      <w:spacing w:after="0"/>
      <w:outlineLvl w:val="8"/>
    </w:pPr>
    <w:rPr>
      <w:rFonts w:eastAsiaTheme="majorEastAsia" w:cstheme="majorBidi"/>
      <w:color w:val="595959" w:themeColor="text1" w:themeTint="A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2528"/>
    <w:rPr>
      <w:rFonts w:asciiTheme="majorHAnsi" w:eastAsiaTheme="majorEastAsia" w:hAnsiTheme="majorHAnsi" w:cstheme="majorBidi"/>
      <w:color w:val="0F4761" w:themeColor="accent1" w:themeShade="BF"/>
      <w:sz w:val="48"/>
      <w:szCs w:val="48"/>
    </w:rPr>
  </w:style>
  <w:style w:type="character" w:customStyle="1" w:styleId="Heading2Char">
    <w:name w:val="Heading 2 Char"/>
    <w:basedOn w:val="DefaultParagraphFont"/>
    <w:link w:val="Heading2"/>
    <w:uiPriority w:val="9"/>
    <w:semiHidden/>
    <w:rsid w:val="009F2528"/>
    <w:rPr>
      <w:rFonts w:asciiTheme="majorHAnsi" w:eastAsiaTheme="majorEastAsia" w:hAnsiTheme="majorHAnsi" w:cstheme="majorBidi"/>
      <w:color w:val="0F4761" w:themeColor="accent1" w:themeShade="BF"/>
      <w:sz w:val="40"/>
      <w:szCs w:val="40"/>
    </w:rPr>
  </w:style>
  <w:style w:type="character" w:customStyle="1" w:styleId="Heading3Char">
    <w:name w:val="Heading 3 Char"/>
    <w:basedOn w:val="DefaultParagraphFont"/>
    <w:link w:val="Heading3"/>
    <w:uiPriority w:val="9"/>
    <w:semiHidden/>
    <w:rsid w:val="009F2528"/>
    <w:rPr>
      <w:rFonts w:asciiTheme="majorHAnsi" w:eastAsiaTheme="majorEastAsia" w:hAnsiTheme="majorHAnsi" w:cstheme="majorBidi"/>
      <w:color w:val="0F4761" w:themeColor="accent1" w:themeShade="BF"/>
      <w:sz w:val="32"/>
      <w:szCs w:val="32"/>
    </w:rPr>
  </w:style>
  <w:style w:type="character" w:customStyle="1" w:styleId="Heading4Char">
    <w:name w:val="Heading 4 Char"/>
    <w:basedOn w:val="DefaultParagraphFont"/>
    <w:link w:val="Heading4"/>
    <w:uiPriority w:val="9"/>
    <w:semiHidden/>
    <w:rsid w:val="009F2528"/>
    <w:rPr>
      <w:rFonts w:cstheme="majorBidi"/>
      <w:color w:val="0F4761" w:themeColor="accent1" w:themeShade="BF"/>
      <w:sz w:val="28"/>
      <w:szCs w:val="28"/>
    </w:rPr>
  </w:style>
  <w:style w:type="character" w:customStyle="1" w:styleId="Heading5Char">
    <w:name w:val="Heading 5 Char"/>
    <w:basedOn w:val="DefaultParagraphFont"/>
    <w:link w:val="Heading5"/>
    <w:uiPriority w:val="9"/>
    <w:semiHidden/>
    <w:rsid w:val="009F2528"/>
    <w:rPr>
      <w:rFonts w:cstheme="majorBidi"/>
      <w:color w:val="0F4761" w:themeColor="accent1" w:themeShade="BF"/>
      <w:sz w:val="24"/>
    </w:rPr>
  </w:style>
  <w:style w:type="character" w:customStyle="1" w:styleId="Heading6Char">
    <w:name w:val="Heading 6 Char"/>
    <w:basedOn w:val="DefaultParagraphFont"/>
    <w:link w:val="Heading6"/>
    <w:uiPriority w:val="9"/>
    <w:semiHidden/>
    <w:rsid w:val="009F2528"/>
    <w:rPr>
      <w:rFonts w:cstheme="majorBidi"/>
      <w:b/>
      <w:bCs/>
      <w:color w:val="0F4761" w:themeColor="accent1" w:themeShade="BF"/>
    </w:rPr>
  </w:style>
  <w:style w:type="character" w:customStyle="1" w:styleId="Heading7Char">
    <w:name w:val="Heading 7 Char"/>
    <w:basedOn w:val="DefaultParagraphFont"/>
    <w:link w:val="Heading7"/>
    <w:uiPriority w:val="9"/>
    <w:semiHidden/>
    <w:rsid w:val="009F2528"/>
    <w:rPr>
      <w:rFonts w:cstheme="majorBidi"/>
      <w:b/>
      <w:bCs/>
      <w:color w:val="595959" w:themeColor="text1" w:themeTint="A6"/>
    </w:rPr>
  </w:style>
  <w:style w:type="character" w:customStyle="1" w:styleId="Heading8Char">
    <w:name w:val="Heading 8 Char"/>
    <w:basedOn w:val="DefaultParagraphFont"/>
    <w:link w:val="Heading8"/>
    <w:uiPriority w:val="9"/>
    <w:semiHidden/>
    <w:rsid w:val="009F2528"/>
    <w:rPr>
      <w:rFonts w:cstheme="majorBidi"/>
      <w:color w:val="595959" w:themeColor="text1" w:themeTint="A6"/>
    </w:rPr>
  </w:style>
  <w:style w:type="character" w:customStyle="1" w:styleId="Heading9Char">
    <w:name w:val="Heading 9 Char"/>
    <w:basedOn w:val="DefaultParagraphFont"/>
    <w:link w:val="Heading9"/>
    <w:uiPriority w:val="9"/>
    <w:semiHidden/>
    <w:rsid w:val="009F2528"/>
    <w:rPr>
      <w:rFonts w:eastAsiaTheme="majorEastAsia" w:cstheme="majorBidi"/>
      <w:color w:val="595959" w:themeColor="text1" w:themeTint="A6"/>
    </w:rPr>
  </w:style>
  <w:style w:type="paragraph" w:styleId="Title">
    <w:name w:val="Title"/>
    <w:basedOn w:val="Normal"/>
    <w:next w:val="Normal"/>
    <w:link w:val="TitleChar"/>
    <w:uiPriority w:val="10"/>
    <w:qFormat/>
    <w:rsid w:val="009F2528"/>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F252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F2528"/>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F2528"/>
    <w:rPr>
      <w:rFonts w:asciiTheme="majorHAnsi" w:eastAsiaTheme="majorEastAsia" w:hAnsiTheme="majorHAnsi" w:cstheme="majorBidi"/>
      <w:color w:val="595959" w:themeColor="text1" w:themeTint="A6"/>
      <w:spacing w:val="15"/>
      <w:sz w:val="28"/>
      <w:szCs w:val="28"/>
    </w:rPr>
  </w:style>
  <w:style w:type="paragraph" w:styleId="Quote">
    <w:name w:val="Quote"/>
    <w:basedOn w:val="Normal"/>
    <w:next w:val="Normal"/>
    <w:link w:val="QuoteChar"/>
    <w:uiPriority w:val="29"/>
    <w:qFormat/>
    <w:rsid w:val="009F2528"/>
    <w:pPr>
      <w:spacing w:before="160"/>
      <w:jc w:val="center"/>
    </w:pPr>
    <w:rPr>
      <w:i/>
      <w:iCs/>
      <w:color w:val="404040" w:themeColor="text1" w:themeTint="BF"/>
    </w:rPr>
  </w:style>
  <w:style w:type="character" w:customStyle="1" w:styleId="QuoteChar">
    <w:name w:val="Quote Char"/>
    <w:basedOn w:val="DefaultParagraphFont"/>
    <w:link w:val="Quote"/>
    <w:uiPriority w:val="29"/>
    <w:rsid w:val="009F2528"/>
    <w:rPr>
      <w:i/>
      <w:iCs/>
      <w:color w:val="404040" w:themeColor="text1" w:themeTint="BF"/>
    </w:rPr>
  </w:style>
  <w:style w:type="paragraph" w:styleId="ListParagraph">
    <w:name w:val="List Paragraph"/>
    <w:basedOn w:val="Normal"/>
    <w:uiPriority w:val="34"/>
    <w:qFormat/>
    <w:rsid w:val="009F2528"/>
    <w:pPr>
      <w:ind w:left="720"/>
      <w:contextualSpacing/>
    </w:pPr>
  </w:style>
  <w:style w:type="character" w:styleId="IntenseEmphasis">
    <w:name w:val="Intense Emphasis"/>
    <w:basedOn w:val="DefaultParagraphFont"/>
    <w:uiPriority w:val="21"/>
    <w:qFormat/>
    <w:rsid w:val="009F2528"/>
    <w:rPr>
      <w:i/>
      <w:iCs/>
      <w:color w:val="0F4761" w:themeColor="accent1" w:themeShade="BF"/>
    </w:rPr>
  </w:style>
  <w:style w:type="paragraph" w:styleId="IntenseQuote">
    <w:name w:val="Intense Quote"/>
    <w:basedOn w:val="Normal"/>
    <w:next w:val="Normal"/>
    <w:link w:val="IntenseQuoteChar"/>
    <w:uiPriority w:val="30"/>
    <w:qFormat/>
    <w:rsid w:val="009F252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F2528"/>
    <w:rPr>
      <w:i/>
      <w:iCs/>
      <w:color w:val="0F4761" w:themeColor="accent1" w:themeShade="BF"/>
    </w:rPr>
  </w:style>
  <w:style w:type="character" w:styleId="IntenseReference">
    <w:name w:val="Intense Reference"/>
    <w:basedOn w:val="DefaultParagraphFont"/>
    <w:uiPriority w:val="32"/>
    <w:qFormat/>
    <w:rsid w:val="009F2528"/>
    <w:rPr>
      <w:b/>
      <w:bCs/>
      <w:smallCaps/>
      <w:color w:val="0F4761" w:themeColor="accent1" w:themeShade="BF"/>
      <w:spacing w:val="5"/>
    </w:rPr>
  </w:style>
  <w:style w:type="character" w:styleId="PlaceholderText">
    <w:name w:val="Placeholder Text"/>
    <w:basedOn w:val="DefaultParagraphFont"/>
    <w:uiPriority w:val="99"/>
    <w:semiHidden/>
    <w:rsid w:val="00A53845"/>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53</TotalTime>
  <Pages>1</Pages>
  <Words>264</Words>
  <Characters>1510</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SHENGFENG Mei (PGR)</dc:creator>
  <cp:keywords/>
  <dc:description/>
  <cp:lastModifiedBy>SHENGFENG Mei (PGR)</cp:lastModifiedBy>
  <cp:revision>3</cp:revision>
  <dcterms:created xsi:type="dcterms:W3CDTF">2024-10-17T10:45:00Z</dcterms:created>
  <dcterms:modified xsi:type="dcterms:W3CDTF">2024-10-17T11:39:00Z</dcterms:modified>
</cp:coreProperties>
</file>