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sz w:val="36"/>
        </w:rPr>
      </w:pPr>
      <w:r>
        <w:rPr>
          <w:sz w:val="36"/>
        </w:rPr>
        <w:t>AHAN 5005</w:t>
      </w:r>
    </w:p>
    <w:p>
      <w:pPr>
        <w:jc w:val="center"/>
        <w:rPr>
          <w:sz w:val="36"/>
        </w:rPr>
      </w:pPr>
    </w:p>
    <w:p>
      <w:pPr>
        <w:jc w:val="center"/>
        <w:rPr>
          <w:sz w:val="36"/>
        </w:rPr>
      </w:pPr>
      <w:r>
        <w:rPr>
          <w:sz w:val="36"/>
        </w:rPr>
        <w:t>Stephen Moyes</w:t>
      </w:r>
    </w:p>
    <w:p>
      <w:pPr>
        <w:jc w:val="center"/>
        <w:rPr>
          <w:sz w:val="36"/>
        </w:rPr>
      </w:pPr>
    </w:p>
    <w:p>
      <w:pPr>
        <w:jc w:val="center"/>
        <w:rPr>
          <w:sz w:val="36"/>
        </w:rPr>
      </w:pPr>
      <w:r>
        <w:rPr>
          <w:sz w:val="36"/>
        </w:rPr>
        <w:t>Student Number 1504278</w:t>
      </w:r>
    </w:p>
    <w:p>
      <w:pPr>
        <w:jc w:val="center"/>
        <w:rPr>
          <w:sz w:val="36"/>
        </w:rPr>
      </w:pPr>
    </w:p>
    <w:p>
      <w:pPr>
        <w:jc w:val="center"/>
        <w:rPr>
          <w:sz w:val="36"/>
        </w:rPr>
      </w:pPr>
      <w:r>
        <w:rPr>
          <w:sz w:val="36"/>
        </w:rPr>
        <w:t>19 January 2018</w:t>
      </w:r>
    </w:p>
    <w:p>
      <w:pPr>
        <w:jc w:val="center"/>
        <w:rPr>
          <w:sz w:val="36"/>
        </w:rPr>
      </w:pPr>
    </w:p>
    <w:p>
      <w:pPr>
        <w:rPr>
          <w:sz w:val="36"/>
        </w:rPr>
      </w:pPr>
      <w:r>
        <w:rPr>
          <w:sz w:val="36"/>
        </w:rPr>
        <w:t>Assignment 2 - Research Assignment: Write an anthropological analysis of a material object of your choice. You must apply two different approaches from the ones listed below to the analysis of the object and assess their benefits and limitations.</w:t>
      </w:r>
    </w:p>
    <w:p>
      <w:pPr>
        <w:rPr>
          <w:sz w:val="36"/>
        </w:rPr>
      </w:pPr>
    </w:p>
    <w:p>
      <w:pPr>
        <w:ind w:left="720" w:hanging="360"/>
        <w:numPr>
          <w:numId w:val="1"/>
        </w:numPr>
        <w:rPr>
          <w:sz w:val="36"/>
        </w:rPr>
      </w:pPr>
      <w:r>
        <w:rPr>
          <w:sz w:val="36"/>
        </w:rPr>
        <w:t>McDonaldization</w:t>
      </w:r>
    </w:p>
    <w:p>
      <w:pPr>
        <w:ind w:left="720" w:hanging="360"/>
        <w:numPr>
          <w:numId w:val="1"/>
        </w:numPr>
        <w:rPr>
          <w:sz w:val="36"/>
        </w:rPr>
      </w:pPr>
      <w:r>
        <w:rPr>
          <w:sz w:val="36"/>
        </w:rPr>
        <w:t>Social Hierarchies</w:t>
      </w:r>
    </w:p>
    <w:p>
      <w:pPr>
        <w:ind w:left="720" w:hanging="360"/>
        <w:numPr>
          <w:numId w:val="1"/>
        </w:numPr>
        <w:rPr>
          <w:sz w:val="36"/>
        </w:rPr>
      </w:pPr>
      <w:r>
        <w:rPr>
          <w:sz w:val="36"/>
        </w:rPr>
        <w:t>Creative Consumption</w:t>
      </w:r>
    </w:p>
    <w:p>
      <w:pPr>
        <w:ind w:left="720" w:hanging="360"/>
        <w:numPr>
          <w:numId w:val="1"/>
        </w:numPr>
        <w:rPr>
          <w:sz w:val="36"/>
        </w:rPr>
      </w:pPr>
      <w:r>
        <w:rPr>
          <w:sz w:val="36"/>
        </w:rPr>
        <w:t>Biographical Objects</w:t>
      </w:r>
    </w:p>
    <w:p>
      <w:pPr>
        <w:ind w:left="720" w:hanging="360"/>
        <w:numPr>
          <w:numId w:val="1"/>
        </w:numPr>
        <w:rPr>
          <w:sz w:val="36"/>
        </w:rPr>
      </w:pPr>
      <w:r>
        <w:rPr>
          <w:sz w:val="36"/>
        </w:rPr>
        <w:t>Exchange</w:t>
      </w:r>
    </w:p>
    <w:p>
      <w:pPr>
        <w:ind w:left="720" w:hanging="360"/>
        <w:numPr>
          <w:numId w:val="1"/>
        </w:numPr>
        <w:rPr>
          <w:sz w:val="36"/>
        </w:rPr>
      </w:pPr>
      <w:r>
        <w:rPr>
          <w:sz w:val="36"/>
        </w:rPr>
        <w:t>Materiality</w:t>
      </w:r>
    </w:p>
    <w:p>
      <w:pPr>
        <w:jc w:val="center"/>
        <w:rPr>
          <w:sz w:val="36"/>
        </w:rPr>
      </w:pPr>
    </w:p>
    <w:p>
      <w:pPr>
        <w:jc w:val="center"/>
        <w:rPr>
          <w:sz w:val="36"/>
        </w:rPr>
      </w:pPr>
    </w:p>
    <w:p>
      <w:pPr>
        <w:spacing w:line="360" w:lineRule="auto"/>
        <w:jc w:val="center"/>
        <w:rPr>
          <w:sz w:val="24"/>
          <w:u w:val="single"/>
        </w:rPr>
      </w:pPr>
      <w:r>
        <w:rPr>
          <w:sz w:val="36"/>
        </w:rPr>
        <w:br w:type="page"/>
      </w:r>
      <w:r>
        <w:rPr>
          <w:sz w:val="24"/>
          <w:u w:val="single"/>
        </w:rPr>
        <w:t>Anthropological Analysis of the Wristwatch from Two Approaches.</w:t>
      </w:r>
    </w:p>
    <w:p>
      <w:pPr>
        <w:spacing w:line="360" w:lineRule="auto"/>
        <w:jc w:val="center"/>
        <w:rPr>
          <w:sz w:val="24"/>
          <w:u w:val="single"/>
        </w:rPr>
      </w:pPr>
    </w:p>
    <w:p>
      <w:pPr>
        <w:spacing w:line="360" w:lineRule="auto"/>
        <w:rPr>
          <w:sz w:val="24"/>
        </w:rPr>
      </w:pPr>
      <w:r>
        <w:rPr>
          <w:sz w:val="24"/>
        </w:rPr>
        <w:t>The wristwatch is a commonplace object, yet it can be seen as having cultural significance beyond it’s practical use as a time–measuring instrument. In exploring its various roles, via two different analytical approaches – social hierarchies and materiality – we can begin to get a sense of that significance.</w:t>
      </w:r>
    </w:p>
    <w:p>
      <w:pPr>
        <w:spacing w:line="360" w:lineRule="auto"/>
        <w:rPr>
          <w:sz w:val="24"/>
        </w:rPr>
      </w:pPr>
    </w:p>
    <w:p>
      <w:pPr>
        <w:spacing w:line="360" w:lineRule="auto"/>
        <w:jc w:val="center"/>
        <w:rPr>
          <w:sz w:val="24"/>
        </w:rPr>
      </w:pPr>
      <w:r>
        <w:rPr>
          <w:sz w:val="24"/>
          <w:u w:val="single"/>
        </w:rPr>
        <w:t>Social Hierarchies</w:t>
      </w:r>
    </w:p>
    <w:p>
      <w:pPr>
        <w:spacing w:line="360" w:lineRule="auto"/>
        <w:jc w:val="center"/>
        <w:rPr>
          <w:sz w:val="24"/>
        </w:rPr>
      </w:pPr>
    </w:p>
    <w:p>
      <w:pPr>
        <w:spacing w:line="360" w:lineRule="auto"/>
        <w:rPr>
          <w:sz w:val="24"/>
        </w:rPr>
      </w:pPr>
      <w:r>
        <w:rPr>
          <w:sz w:val="24"/>
        </w:rPr>
        <w:t>When Bishop Bob Okalla addresses his audience in Accra, Ghana, they cannot help noticing his wristwatch, as he promises them that if they go to church on Sunday and pray hard enough, they will be saved from the Millennium Comet, which has been seen overhead and, it has been rumoured, is about to destroy their country (Shipley, 2009). Yet Bishop Bob is not a real Bishop. He is the creation of the comedian Samuel Baubeng, and is a parody of real life charismatic preachers,  who live luxurious lifestyles, while casting moral judgement on poor Ghanaians, who may not even have enough food to eat. Bishop Bob’s ‘wristwatch’ is actually a large wall clock attached to his arm and seemingly weighing him down, mocking the expensive watch which may be warn by a real pastor, an apparent signal of his relative wealth and high status.</w:t>
      </w:r>
    </w:p>
    <w:p>
      <w:pPr>
        <w:spacing w:line="360" w:lineRule="auto"/>
        <w:rPr>
          <w:sz w:val="24"/>
        </w:rPr>
      </w:pPr>
    </w:p>
    <w:p>
      <w:pPr>
        <w:spacing w:line="360" w:lineRule="auto"/>
        <w:rPr>
          <w:sz w:val="24"/>
        </w:rPr>
      </w:pPr>
      <w:r>
        <w:rPr>
          <w:sz w:val="24"/>
        </w:rPr>
        <w:t>Since their invention around 200 years ago, wristwatches have had a number of varied roles in society, from fashion items worn mainly by women in the late nineteenth century, their use by military men for synchronising maneuvers during the First World War, to fairly mundane time-telling devices for mass markets (Bruton, 2004). The production of expensive watches, using precious metals and jewels, some selling for tens of thousands, or even millions of pounds, has meant they can also be seen as indicative of social hierarchies. While the majority of people make do with relatively inexpensive mass-produces watches, or increasingly, in a period when accurate timekeeping is available on digital devices such as smartphones, the more expensive wristwatches have become items of what could be considered conspicuous consumption, for wealthy elites.</w:t>
      </w:r>
    </w:p>
    <w:p>
      <w:pPr>
        <w:spacing w:line="360" w:lineRule="auto"/>
        <w:rPr>
          <w:sz w:val="24"/>
        </w:rPr>
      </w:pPr>
    </w:p>
    <w:p>
      <w:pPr>
        <w:spacing w:line="360" w:lineRule="auto"/>
        <w:rPr>
          <w:sz w:val="24"/>
        </w:rPr>
      </w:pPr>
      <w:r>
        <w:rPr>
          <w:sz w:val="24"/>
        </w:rPr>
        <w:t xml:space="preserve">The wearing of a wristwatch chosen for its design and monetary value, rather than merely its utility, could be seen as a matter of taste. This would be the argument put forward by Thorstein Veblen in </w:t>
      </w:r>
      <w:r>
        <w:rPr>
          <w:sz w:val="24"/>
          <w:i/>
        </w:rPr>
        <w:t>The Leisure Class</w:t>
      </w:r>
      <w:r>
        <w:rPr>
          <w:sz w:val="24"/>
        </w:rPr>
        <w:t xml:space="preserve"> (2001). The leisured class that Veblen wrote about were those who had no need to work for a living, having inherited wealth. They were able to spend their time pursuing cultural activities, and their tastes and lifestyles were thought to have been inherited along with their property. This gave rise to the concept of good and bad taste, and the belief that one could instinctively know good taste when one saw it. When an item, was to be purchased, it was chosen according to its finish and workmanship – signs of good taste – rather than it’s utility (p 72). Their consumption of such goods needed to be conspicuous, as a signal of their place at the top of the social hierarchy, which they believed to be the natural order of things.</w:t>
      </w:r>
    </w:p>
    <w:p>
      <w:pPr>
        <w:spacing w:line="360" w:lineRule="auto"/>
        <w:rPr>
          <w:sz w:val="24"/>
        </w:rPr>
      </w:pPr>
    </w:p>
    <w:p>
      <w:pPr>
        <w:spacing w:line="360" w:lineRule="auto"/>
        <w:rPr>
          <w:sz w:val="24"/>
        </w:rPr>
      </w:pPr>
      <w:r>
        <w:rPr>
          <w:sz w:val="24"/>
        </w:rPr>
        <w:t xml:space="preserve">Pierre Bourdieu’s </w:t>
      </w:r>
      <w:r>
        <w:rPr>
          <w:sz w:val="24"/>
          <w:i/>
        </w:rPr>
        <w:t>Distinction</w:t>
      </w:r>
      <w:r>
        <w:rPr>
          <w:sz w:val="24"/>
        </w:rPr>
        <w:t xml:space="preserve"> (1984) makes some of the same points made by Veblen but, largely, perhaps, due to having been written more recently - 1979, as opposed to 1899 – concentrates more on the differences in how the bourgeoisie come about their aesthetic tastes via different routes to the newly-rich. For the leisure class, an item such as an expensive wristwatch may act to confirm their own good taste and position in the social hierarchy to themselves and their peers, for those who have gained wealth through their own activities – entrepreneurs, entertainers etcetera – it is more likely to be a signal of their success, to be broadcast to the wider public. A member of the landed leisure class may still see the newly-rich as having poor taste, even though they may be displaying some of the same material objects. Bourdieu would disagree, believing that taste is arrived at socially and through exposure to a particular culture.</w:t>
      </w:r>
    </w:p>
    <w:p>
      <w:pPr>
        <w:spacing w:line="360" w:lineRule="auto"/>
        <w:rPr>
          <w:sz w:val="24"/>
        </w:rPr>
      </w:pPr>
    </w:p>
    <w:p>
      <w:pPr>
        <w:spacing w:line="360" w:lineRule="auto"/>
        <w:rPr>
          <w:sz w:val="24"/>
        </w:rPr>
      </w:pPr>
      <w:r>
        <w:rPr>
          <w:sz w:val="24"/>
        </w:rPr>
        <w:t>The presence of wristwatches in ethnographic accounts of other cultures indicates that it not only in European and North American society where they have significance as indicators of social class or wealth. Osella and Osella (2009), in their study of South Indian entrepreneurs, tell of PV, a successful businessman who stresses his humble beginnings, but wears a diamond-encrusted platinum watch, as a signifier of his wealth. Frembgen (1998) describes how wristwatches are among the symbols depicted on the tombstones of upper class Muslims, in the Gangar Mountains of Pakistan. Kratz (2010) describes how, In a photographic session for a focus group studying primary health care for women in rural Kenya, photos of women wearing watches are rejected, as they make the subjects look “too expensive” (p 817).</w:t>
      </w:r>
    </w:p>
    <w:p>
      <w:pPr>
        <w:spacing w:line="360" w:lineRule="auto"/>
        <w:rPr>
          <w:sz w:val="24"/>
        </w:rPr>
      </w:pPr>
    </w:p>
    <w:p>
      <w:pPr>
        <w:spacing w:line="360" w:lineRule="auto"/>
        <w:rPr>
          <w:sz w:val="24"/>
        </w:rPr>
      </w:pPr>
      <w:r>
        <w:rPr>
          <w:sz w:val="24"/>
        </w:rPr>
        <w:t>Although wristwatches continue to be common in all levels of society, there can be little doubt that the less common, higher value watches can still be seen as symbols of wealth an status, whether that perceived status is the result of being born into an ‘upper class’ family, or the acquiring of new wealth.</w:t>
      </w:r>
    </w:p>
    <w:p>
      <w:pPr>
        <w:spacing w:line="360" w:lineRule="auto"/>
        <w:rPr>
          <w:sz w:val="24"/>
        </w:rPr>
      </w:pPr>
    </w:p>
    <w:p>
      <w:pPr>
        <w:spacing w:line="360" w:lineRule="auto"/>
        <w:rPr>
          <w:sz w:val="24"/>
        </w:rPr>
      </w:pPr>
    </w:p>
    <w:p>
      <w:pPr>
        <w:spacing w:line="360" w:lineRule="auto"/>
        <w:jc w:val="center"/>
        <w:rPr>
          <w:sz w:val="24"/>
        </w:rPr>
      </w:pPr>
      <w:r>
        <w:rPr>
          <w:sz w:val="24"/>
          <w:u w:val="single"/>
        </w:rPr>
        <w:t>Materiality</w:t>
      </w:r>
    </w:p>
    <w:p>
      <w:pPr>
        <w:spacing w:line="360" w:lineRule="auto"/>
        <w:rPr>
          <w:sz w:val="24"/>
        </w:rPr>
      </w:pPr>
    </w:p>
    <w:p>
      <w:pPr>
        <w:spacing w:line="360" w:lineRule="auto"/>
        <w:rPr>
          <w:sz w:val="24"/>
        </w:rPr>
      </w:pPr>
      <w:r>
        <w:rPr>
          <w:sz w:val="24"/>
        </w:rPr>
        <w:t>Current interest in the concept of materiality and material agency can largely be attributed to the work of Bruno Latour and, more recently Jane Bennett. The wristwatch can be a useful object to consider, when trying to understand their ideas.</w:t>
      </w:r>
    </w:p>
    <w:p>
      <w:pPr>
        <w:spacing w:line="360" w:lineRule="auto"/>
        <w:rPr>
          <w:sz w:val="24"/>
        </w:rPr>
      </w:pPr>
    </w:p>
    <w:p>
      <w:pPr>
        <w:spacing w:line="360" w:lineRule="auto"/>
        <w:rPr>
          <w:sz w:val="24"/>
        </w:rPr>
      </w:pPr>
      <w:r>
        <w:rPr>
          <w:sz w:val="24"/>
        </w:rPr>
        <w:t>The term materiality refers to the concept that the physical properties of material objects have cultural, social significance, and can have affect on, among other things, humans. It is this ascribing agency to objects which makes materiality of particular interest to anthropologists, despite the apparent aim of  ‘new materialists’ to look at the world in less anthropocentric ways (Dolphijn and van der Tuin, 2012). It can be useful, for example, to consider whether an object, such as a wristwatch, can have affect on humans that may come into contact with it, whether users, makers, sellers or repairers, or even indirectly to others who may interact with those individuals.</w:t>
      </w:r>
    </w:p>
    <w:p>
      <w:pPr>
        <w:spacing w:line="360" w:lineRule="auto"/>
        <w:rPr>
          <w:sz w:val="24"/>
        </w:rPr>
      </w:pPr>
    </w:p>
    <w:p>
      <w:pPr>
        <w:spacing w:line="360" w:lineRule="auto"/>
        <w:rPr>
          <w:sz w:val="24"/>
        </w:rPr>
      </w:pPr>
      <w:r>
        <w:rPr>
          <w:sz w:val="24"/>
        </w:rPr>
        <w:t xml:space="preserve">Latour’s Actor Network Theory, proposed in </w:t>
      </w:r>
      <w:r>
        <w:rPr>
          <w:sz w:val="24"/>
          <w:i/>
        </w:rPr>
        <w:t>Reassembling the Social</w:t>
      </w:r>
      <w:r>
        <w:rPr>
          <w:sz w:val="24"/>
        </w:rPr>
        <w:t xml:space="preserve"> (2005), goes some way towards at least trying to explain the value of ascribing agency to material objects. ANT considers people, objects, systems and concepts all to be necessary actors in order for any social activity to take place. An example of this could be the use of wristwatches to co-ordinate military maneuvers during the First World War. The individual military personnel, their synchronised watches, weapons, vehicles, even their prepared plans, could all be seen as vital parts of a network, or nodes. The success of the maneuver would depend on all nodes working effectively and maintaining their connection with other nodes. If any part of the network, even, perhaps, just one watch, the planned action could collapse.</w:t>
      </w:r>
    </w:p>
    <w:p>
      <w:pPr>
        <w:spacing w:line="360" w:lineRule="auto"/>
        <w:rPr>
          <w:sz w:val="24"/>
        </w:rPr>
      </w:pPr>
    </w:p>
    <w:p>
      <w:pPr>
        <w:spacing w:line="360" w:lineRule="auto"/>
        <w:rPr>
          <w:sz w:val="24"/>
        </w:rPr>
      </w:pPr>
      <w:r>
        <w:rPr>
          <w:sz w:val="24"/>
        </w:rPr>
        <w:t>On another level, individual components of a wristwatch – metal case, glass, strap, springs, cogs etcetera - could be seen as part of a network connecting the procurers of raw materials, manufacturers and final purchasers/owners, the metals, glass and jewels all playing parts as vital as the human actants. Clearly a single subject or object can be part of more than one actor network and it can be difficult to determine where to draw boundaries to a network. The number of connected nodes could be potentially limitless.</w:t>
      </w:r>
    </w:p>
    <w:p>
      <w:pPr>
        <w:spacing w:line="360" w:lineRule="auto"/>
        <w:rPr>
          <w:sz w:val="24"/>
        </w:rPr>
      </w:pPr>
    </w:p>
    <w:p>
      <w:pPr>
        <w:spacing w:line="360" w:lineRule="auto"/>
        <w:rPr>
          <w:sz w:val="24"/>
        </w:rPr>
      </w:pPr>
      <w:r>
        <w:rPr>
          <w:sz w:val="24"/>
        </w:rPr>
        <w:t>While Latour’s Actor Network Theory ascribes agency to material objects, the networks he describes still come into being, usually, as the result of human social activity. Jane Bennett (2010) goes further and describes matter as having a kind of vitality or vibrance, or to use Bennett’s own term thing power. Objects, materials and non-human animals are able to act independently of humans and human culture. Things can call out to us, influence our behaviour, regardless of our will, and actually change us. An object such as a wristwatch can call me to it and if I interact with it, not only does it become part of my networks, I become part of any network it is part of. As a result of ascribing such a degree of agency to material objects, we humans may be less inclined to see ourselves as masters of the universe and controllers of nature. Matter has its own agency which is not reliant on human cultural activity. Bennett believes we may be less willing to arrogantly destroy the world around us, disregarding the environmental consequences.</w:t>
      </w:r>
    </w:p>
    <w:p>
      <w:pPr>
        <w:spacing w:line="360" w:lineRule="auto"/>
        <w:rPr>
          <w:sz w:val="24"/>
        </w:rPr>
      </w:pPr>
    </w:p>
    <w:p>
      <w:pPr>
        <w:spacing w:line="360" w:lineRule="auto"/>
        <w:rPr>
          <w:sz w:val="24"/>
        </w:rPr>
      </w:pPr>
      <w:r>
        <w:rPr>
          <w:sz w:val="24"/>
        </w:rPr>
        <w:t>Karen Barad goes even further still in the direction of developing a less anthropocentric viewpoint. Her theory of agential realism (2007) proposes that materials, including humans bodies, intra-act, that is they become entangled on a quantum level in a way that means boundaries are erased. In an actor network for example, the actants become permanently entangled. The materiality of a wristwatch and it’s user are already touching, before the watch is even worn, and can never be separated.</w:t>
      </w:r>
    </w:p>
    <w:p>
      <w:pPr>
        <w:spacing w:line="360" w:lineRule="auto"/>
        <w:rPr>
          <w:sz w:val="24"/>
        </w:rPr>
      </w:pPr>
    </w:p>
    <w:p>
      <w:pPr>
        <w:spacing w:line="360" w:lineRule="auto"/>
        <w:jc w:val="center"/>
        <w:rPr>
          <w:sz w:val="24"/>
          <w:u w:val="single"/>
        </w:rPr>
      </w:pPr>
      <w:r>
        <w:rPr>
          <w:sz w:val="24"/>
          <w:u w:val="single"/>
        </w:rPr>
        <w:t>Conclusions</w:t>
      </w:r>
    </w:p>
    <w:p>
      <w:pPr>
        <w:spacing w:line="360" w:lineRule="auto"/>
        <w:jc w:val="center"/>
        <w:rPr>
          <w:sz w:val="24"/>
          <w:u w:val="single"/>
        </w:rPr>
      </w:pPr>
    </w:p>
    <w:p>
      <w:pPr>
        <w:spacing w:line="360" w:lineRule="auto"/>
        <w:rPr>
          <w:sz w:val="24"/>
        </w:rPr>
      </w:pPr>
      <w:r>
        <w:rPr>
          <w:sz w:val="24"/>
        </w:rPr>
        <w:t>The materiality of a wristwatch may seem to have little to do with its role as a signifier of social hierarchies. If it is being used to demonstrate its wearers wealth or social standing, its material structure may be viewed as important. The precious metals and jewels and the skill involved in its making may be acknowledged and appreciated, but it’s role as an actant in the kind of network Latour describes is likely to remain unrecognised. However its practical use as a time-measuring device means that it may become a vital part of human activity. Its presence may influence and even change the people who come into contact with it in ways that they are not aware of.</w:t>
      </w:r>
    </w:p>
    <w:p>
      <w:pPr>
        <w:rPr>
          <w:sz w:val="24"/>
        </w:rPr>
      </w:pPr>
    </w:p>
    <w:p>
      <w:pPr>
        <w:rPr>
          <w:sz w:val="24"/>
        </w:rPr>
      </w:pPr>
    </w:p>
    <w:p>
      <w:pPr>
        <w:rPr>
          <w:sz w:val="24"/>
        </w:rPr>
      </w:pPr>
    </w:p>
    <w:p>
      <w:pPr>
        <w:rPr>
          <w:sz w:val="24"/>
        </w:rPr>
      </w:pPr>
    </w:p>
    <w:p>
      <w:pPr>
        <w:jc w:val="center"/>
        <w:rPr>
          <w:sz w:val="28"/>
          <w:b/>
        </w:rPr>
      </w:pPr>
      <w:r>
        <w:rPr>
          <w:sz w:val="36"/>
        </w:rPr>
        <w:br w:type="page"/>
      </w:r>
      <w:r>
        <w:rPr>
          <w:sz w:val="28"/>
          <w:b/>
        </w:rPr>
        <w:t>References</w:t>
      </w:r>
    </w:p>
    <w:p>
      <w:pPr>
        <w:jc w:val="center"/>
        <w:rPr>
          <w:sz w:val="28"/>
          <w:b/>
        </w:rPr>
      </w:pPr>
    </w:p>
    <w:p>
      <w:pPr>
        <w:rPr>
          <w:sz w:val="24"/>
        </w:rPr>
      </w:pPr>
      <w:r>
        <w:rPr>
          <w:sz w:val="24"/>
        </w:rPr>
        <w:t xml:space="preserve">Barad, K., (2007). </w:t>
      </w:r>
      <w:r>
        <w:rPr>
          <w:sz w:val="24"/>
          <w:i/>
        </w:rPr>
        <w:t>Meeting the Universe Halfway: Quantum Physics and the Entanglement of Matter and Meaning.</w:t>
      </w:r>
      <w:r>
        <w:rPr>
          <w:sz w:val="24"/>
        </w:rPr>
        <w:t xml:space="preserve"> Durham: Duke University Press.</w:t>
      </w:r>
    </w:p>
    <w:p>
      <w:pPr>
        <w:rPr>
          <w:sz w:val="24"/>
        </w:rPr>
      </w:pPr>
    </w:p>
    <w:p>
      <w:pPr>
        <w:rPr>
          <w:sz w:val="24"/>
        </w:rPr>
      </w:pPr>
      <w:r>
        <w:rPr>
          <w:sz w:val="24"/>
        </w:rPr>
        <w:t xml:space="preserve">Bennett, J., (2010). </w:t>
      </w:r>
      <w:r>
        <w:rPr>
          <w:sz w:val="24"/>
          <w:i/>
        </w:rPr>
        <w:t>Vibrant Matter: A Political Ecology of Things</w:t>
      </w:r>
      <w:r>
        <w:rPr>
          <w:sz w:val="24"/>
        </w:rPr>
        <w:t>. Durham: Duke University Press.</w:t>
      </w:r>
    </w:p>
    <w:p>
      <w:pPr>
        <w:rPr>
          <w:sz w:val="24"/>
        </w:rPr>
      </w:pPr>
    </w:p>
    <w:p>
      <w:pPr>
        <w:rPr>
          <w:sz w:val="24"/>
        </w:rPr>
      </w:pPr>
      <w:r>
        <w:rPr>
          <w:sz w:val="24"/>
        </w:rPr>
        <w:t xml:space="preserve">Bourdieu, P., (1984). </w:t>
      </w:r>
      <w:r>
        <w:rPr>
          <w:sz w:val="24"/>
          <w:i/>
        </w:rPr>
        <w:t>Distinction: A Social Critique of the Judgement of Taste</w:t>
      </w:r>
      <w:r>
        <w:rPr>
          <w:sz w:val="24"/>
        </w:rPr>
        <w:t>. Cambridge: Harvard University Press.</w:t>
      </w:r>
    </w:p>
    <w:p>
      <w:pPr>
        <w:rPr>
          <w:sz w:val="24"/>
        </w:rPr>
      </w:pPr>
    </w:p>
    <w:p>
      <w:pPr>
        <w:rPr>
          <w:sz w:val="24"/>
        </w:rPr>
      </w:pPr>
      <w:r>
        <w:rPr>
          <w:sz w:val="24"/>
        </w:rPr>
        <w:t xml:space="preserve">Bruton, E., (2004). </w:t>
      </w:r>
      <w:r>
        <w:rPr>
          <w:sz w:val="24"/>
          <w:i/>
        </w:rPr>
        <w:t>History of Clocks and Watches</w:t>
      </w:r>
      <w:r>
        <w:rPr>
          <w:sz w:val="24"/>
        </w:rPr>
        <w:t>. Secaucus: Chartwell Books.</w:t>
      </w:r>
    </w:p>
    <w:p>
      <w:pPr>
        <w:rPr>
          <w:sz w:val="24"/>
        </w:rPr>
      </w:pPr>
    </w:p>
    <w:p>
      <w:pPr>
        <w:rPr>
          <w:sz w:val="24"/>
        </w:rPr>
      </w:pPr>
      <w:r>
        <w:rPr>
          <w:sz w:val="24"/>
        </w:rPr>
        <w:t xml:space="preserve">Dolphijn, R. and van der Tuin, I., (2012). </w:t>
      </w:r>
      <w:r>
        <w:rPr>
          <w:sz w:val="24"/>
          <w:i/>
        </w:rPr>
        <w:t>New Materialism: Interviews and Cartographies</w:t>
      </w:r>
      <w:r>
        <w:rPr>
          <w:sz w:val="24"/>
        </w:rPr>
        <w:t>. Ann Arbor: Open Humanities Press.</w:t>
      </w:r>
    </w:p>
    <w:p>
      <w:pPr>
        <w:rPr>
          <w:sz w:val="24"/>
        </w:rPr>
      </w:pPr>
    </w:p>
    <w:p>
      <w:pPr>
        <w:rPr>
          <w:sz w:val="24"/>
        </w:rPr>
      </w:pPr>
      <w:r>
        <w:rPr>
          <w:sz w:val="24"/>
        </w:rPr>
        <w:t>Frembgen, W. J., (1998). Religious Folk Art as an Expression of Identity: Muslim Tombstones in the Gangar Mountains of Pakistan. Muqarnas, [e-journal] Vol. 15. Available through: University of Wales Trinity Saint David website &lt;</w:t>
        <w:fldChar w:fldCharType="begin"/>
        <w:instrText xml:space="preserve"> HYPERLINK "http://www.jstor.org.ezproxy.uwtsd.ac.uk/stable/pdf/1523283.pdf" </w:instrText>
        <w:fldChar w:fldCharType="separate"/>
      </w:r>
      <w:r>
        <w:rPr>
          <w:sz w:val="24"/>
          <w:color w:val="000000"/>
        </w:rPr>
        <w:t>http://www.jstor.org.ezproxy.uwtsd.ac.uk/stable/pdf/1523283.pdf</w:t>
        <w:fldChar w:fldCharType="end"/>
      </w:r>
      <w:r>
        <w:rPr>
          <w:sz w:val="24"/>
        </w:rPr>
        <w:t>&gt; [Accessed 16 January 2018].</w:t>
      </w:r>
    </w:p>
    <w:p>
      <w:pPr>
        <w:rPr>
          <w:sz w:val="24"/>
        </w:rPr>
      </w:pPr>
    </w:p>
    <w:p>
      <w:pPr>
        <w:rPr>
          <w:sz w:val="24"/>
        </w:rPr>
      </w:pPr>
      <w:r>
        <w:rPr>
          <w:sz w:val="24"/>
        </w:rPr>
        <w:t xml:space="preserve">Kratz, C. (2010). In and out of focus. </w:t>
      </w:r>
      <w:r>
        <w:rPr>
          <w:sz w:val="24"/>
          <w:i/>
        </w:rPr>
        <w:t>American Ethnologist</w:t>
      </w:r>
      <w:r>
        <w:rPr>
          <w:sz w:val="24"/>
        </w:rPr>
        <w:t>, 37(4), 805-826 [Online]. Available at: &lt;http://www.jstor.org.ezproxy.uwtsd.ac.uk/stable/40890789&gt; [Accessed 15 January 2018].</w:t>
      </w:r>
    </w:p>
    <w:p>
      <w:pPr>
        <w:rPr>
          <w:sz w:val="24"/>
        </w:rPr>
      </w:pPr>
    </w:p>
    <w:p>
      <w:pPr>
        <w:rPr>
          <w:sz w:val="24"/>
        </w:rPr>
      </w:pPr>
      <w:r>
        <w:rPr>
          <w:sz w:val="24"/>
        </w:rPr>
        <w:t xml:space="preserve">Latour, B., (2005). </w:t>
      </w:r>
      <w:r>
        <w:rPr>
          <w:sz w:val="24"/>
          <w:i/>
        </w:rPr>
        <w:t>Reassembling the Social: An Introduction to Actor-Network-Theory</w:t>
      </w:r>
      <w:r>
        <w:rPr>
          <w:sz w:val="24"/>
        </w:rPr>
        <w:t>. Oxford: Oxford University Press.</w:t>
      </w:r>
    </w:p>
    <w:p>
      <w:pPr>
        <w:rPr>
          <w:sz w:val="24"/>
        </w:rPr>
      </w:pPr>
    </w:p>
    <w:p>
      <w:pPr>
        <w:rPr>
          <w:sz w:val="24"/>
        </w:rPr>
      </w:pPr>
      <w:r>
        <w:rPr>
          <w:sz w:val="24"/>
        </w:rPr>
        <w:t xml:space="preserve">Osella, F., and Osella, C. (2009). Muslim Entrepreneurs in Public Life between India and the Gulf: Making Good and Doing Good. </w:t>
      </w:r>
      <w:r>
        <w:rPr>
          <w:sz w:val="24"/>
          <w:i/>
        </w:rPr>
        <w:t>The Journal of the Royal Anthropological Institute</w:t>
      </w:r>
      <w:r>
        <w:rPr>
          <w:sz w:val="24"/>
        </w:rPr>
        <w:t>, 15, S202-S221. Available at: &lt;http://www.jstor.org.ezproxy.uwtsd.ac.uk/stable/20527697&gt; [Accessed 15 January 2018].</w:t>
      </w:r>
    </w:p>
    <w:p>
      <w:pPr>
        <w:rPr>
          <w:sz w:val="24"/>
        </w:rPr>
      </w:pPr>
    </w:p>
    <w:p>
      <w:pPr>
        <w:rPr>
          <w:sz w:val="24"/>
        </w:rPr>
      </w:pPr>
      <w:r>
        <w:rPr>
          <w:sz w:val="24"/>
        </w:rPr>
        <w:t xml:space="preserve">Shipley, J. (2009). Comedians, Pastors, and the Miraculous Agency of Charisma in Ghana. </w:t>
      </w:r>
      <w:r>
        <w:rPr>
          <w:sz w:val="24"/>
          <w:i/>
        </w:rPr>
        <w:t>Cultural Anthropology</w:t>
      </w:r>
      <w:r>
        <w:rPr>
          <w:sz w:val="24"/>
        </w:rPr>
        <w:t>, 24(3), 523-552 [Online]. Available at: &lt;</w:t>
        <w:fldChar w:fldCharType="begin"/>
        <w:instrText xml:space="preserve"> HYPERLINK "http://www.jstor.org.ezproxy.uwtsd.ac.uk/stable/25619794" </w:instrText>
        <w:fldChar w:fldCharType="separate"/>
        <w:t>http://www.jstor.org.ezproxy.uwtsd.ac.uk/stable/25619794</w:t>
        <w:fldChar w:fldCharType="end"/>
        <w:t>&gt; [Accessed 15 January 2018].</w:t>
      </w:r>
    </w:p>
    <w:p>
      <w:pPr>
        <w:rPr>
          <w:sz w:val="24"/>
        </w:rPr>
      </w:pPr>
    </w:p>
    <w:p>
      <w:pPr>
        <w:rPr>
          <w:sz w:val="24"/>
        </w:rPr>
      </w:pPr>
      <w:r>
        <w:rPr>
          <w:sz w:val="24"/>
        </w:rPr>
        <w:t xml:space="preserve">Veblen, T., (2001). </w:t>
      </w:r>
      <w:r>
        <w:rPr>
          <w:sz w:val="24"/>
          <w:i/>
        </w:rPr>
        <w:t>The Theory of the Leisure Class: An Economic Study of Institutions</w:t>
      </w:r>
      <w:r>
        <w:rPr>
          <w:sz w:val="24"/>
        </w:rPr>
        <w:t>. New York: Modern Library.</w:t>
      </w:r>
    </w:p>
    <w:sectPr>
      <w:pgSz w:w="11906" w:h="16838"/>
      <w:pgMar w:top="850" w:right="1134" w:bottom="850" w:left="1134" w:header="0" w:footer="0"/>
      <w:cols w:space="720"/>
      <w:noEndnote/>
      <w:pgNumType w:fmt="decimal"/>
      <w:footnotePr>
        <w:numFmt w:val="decimal"/>
        <w:numRestart w:val="continuous"/>
        <w:numStart w:val="1"/>
        <w:pos w:val="pageBottom"/>
      </w:footnotePr>
      <w:endnotePr>
        <w:numFmt w:val="lowerRoman"/>
        <w:numRestart w:val="continuous"/>
        <w:numStart w:val="1"/>
        <w:pos w:val="docEnd"/>
      </w:endnotePr>
    </w:sectPr>
  </w:body>
</w:document>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singleLevel"/>
    <w:lvl w:ilvl="0">
      <w:start w:val="1"/>
      <w:numFmt w:val="decimal"/>
      <w:pPr>
        <w:ind w:left="720" w:hanging="360"/>
      </w:pPr>
      <w:lvlJc w:val="left"/>
      <w:lvlText w:val="%1."/>
      <w:suff w:val="tab"/>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5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GB"/>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ing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5.12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dc:creator>
  <dcterms:created xsi:type="dcterms:W3CDTF">2018-01-16T14:20:38Z</dcterms:created>
  <dcterms:modified xsi:type="dcterms:W3CDTF">2018-01-19T23:37:19Z</dcterms:modified>
</cp:coreProperties>
</file>