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NET 22.9.0 -->
  <w:body>
    <w:p>
      <w:pPr>
        <w:sectPr>
          <w:headerReference w:type="default" r:id="rId4"/>
          <w:footerReference w:type="default" r:id="rId5"/>
          <w:footerReference w:type="first" r:id="rId6"/>
          <w:pgSz w:w="12240" w:h="15840"/>
          <w:pgMar w:top="840" w:right="1000" w:bottom="840" w:left="1000" w:header="400" w:footer="400"/>
          <w:pgNumType w:fmt="decimal"/>
          <w:cols w:space="720"/>
          <w:titlePg/>
        </w:sectPr>
      </w:pPr>
    </w:p>
    <w:p>
      <w:pPr>
        <w:keepNext w:val="0"/>
        <w:spacing w:after="60" w:line="360" w:lineRule="atLeast"/>
        <w:ind w:left="0" w:right="0" w:firstLine="0"/>
        <w:jc w:val="center"/>
      </w:pPr>
      <w:r>
        <w:rPr>
          <w:rFonts w:ascii="arial" w:eastAsia="arial" w:hAnsi="arial" w:cs="arial"/>
          <w:b/>
          <w:i w:val="0"/>
          <w:strike w:val="0"/>
          <w:noProof w:val="0"/>
          <w:color w:val="000000"/>
          <w:position w:val="0"/>
          <w:sz w:val="30"/>
          <w:u w:val="none"/>
          <w:vertAlign w:val="baseline"/>
        </w:rPr>
        <w:t>75    Agreement for sale—whole of registered or unregistered freehold property</w:t>
      </w:r>
      <w:bookmarkStart w:id="0" w:name="Backward_fnref_ukContentItem6441c59d-549"/>
      <w:hyperlink w:anchor="Forward_fnref_ukContentItem6441c59d-5490-4ad9-b741-1ea6c6d989b6_REF" w:history="1">
        <w:r>
          <w:rPr>
            <w:rFonts w:ascii="arial" w:eastAsia="arial" w:hAnsi="arial" w:cs="arial"/>
            <w:b/>
            <w:i w:val="0"/>
            <w:strike w:val="0"/>
            <w:noProof w:val="0"/>
            <w:color w:val="BE161D"/>
            <w:position w:val="0"/>
            <w:sz w:val="30"/>
            <w:u w:val="none"/>
            <w:shd w:val="clear" w:color="auto" w:fill="FFFFFF"/>
            <w:vertAlign w:val="superscript"/>
          </w:rPr>
          <w:t>1</w:t>
        </w:r>
      </w:hyperlink>
      <w:bookmarkEnd w:id="0"/>
    </w:p>
    <w:p>
      <w:pPr>
        <w:keepNext w:val="0"/>
        <w:spacing w:before="120" w:after="60" w:line="360" w:lineRule="atLeast"/>
        <w:ind w:left="0" w:right="0" w:firstLine="0"/>
        <w:jc w:val="left"/>
      </w:pPr>
      <w:r>
        <w:br/>
      </w:r>
      <w:r>
        <w:rPr>
          <w:rFonts w:ascii="arial" w:eastAsia="arial" w:hAnsi="arial" w:cs="arial"/>
          <w:b/>
          <w:i w:val="0"/>
          <w:strike w:val="0"/>
          <w:noProof w:val="0"/>
          <w:color w:val="000000"/>
          <w:position w:val="0"/>
          <w:sz w:val="30"/>
          <w:u w:val="none"/>
          <w:vertAlign w:val="baseline"/>
        </w:rPr>
        <w:t>75    Agreement for sale—whole of registered or unregistered freehold property</w:t>
      </w:r>
      <w:hyperlink w:anchor="Forward_fnref_ukContentItem6441c59d-5490-4ad9-b741-1ea6c6d989b6_REF" w:history="1">
        <w:r>
          <w:rPr>
            <w:rFonts w:ascii="arial" w:eastAsia="arial" w:hAnsi="arial" w:cs="arial"/>
            <w:b/>
            <w:i w:val="0"/>
            <w:strike w:val="0"/>
            <w:noProof w:val="0"/>
            <w:color w:val="BE161D"/>
            <w:position w:val="0"/>
            <w:sz w:val="30"/>
            <w:u w:val="none"/>
            <w:shd w:val="clear" w:color="auto" w:fill="FFFFFF"/>
            <w:vertAlign w:val="superscript"/>
          </w:rPr>
          <w:t>1</w:t>
        </w:r>
      </w:hyperlink>
    </w:p>
    <w:p>
      <w:pPr>
        <w:spacing w:line="240" w:lineRule="exact"/>
      </w:pPr>
    </w:p>
    <w:p>
      <w:pPr>
        <w:keepNext w:val="0"/>
        <w:spacing w:before="120" w:after="120" w:line="280" w:lineRule="atLeast"/>
        <w:ind w:left="0" w:right="0" w:firstLine="0"/>
        <w:jc w:val="left"/>
      </w:pPr>
      <w:r>
        <w:rPr>
          <w:rFonts w:ascii="arial" w:eastAsia="arial" w:hAnsi="arial" w:cs="arial"/>
          <w:b/>
          <w:i w:val="0"/>
          <w:strike w:val="0"/>
          <w:noProof w:val="0"/>
          <w:color w:val="000000"/>
          <w:position w:val="0"/>
          <w:sz w:val="22"/>
          <w:u w:val="none"/>
          <w:vertAlign w:val="baseline"/>
        </w:rPr>
        <w:t xml:space="preserve">Encyclopaedia of Forms and Precedents </w:t>
      </w:r>
      <w:r>
        <w:rPr>
          <w:rFonts w:ascii="arial" w:eastAsia="arial" w:hAnsi="arial" w:cs="arial"/>
          <w:b/>
          <w:i w:val="0"/>
          <w:strike w:val="0"/>
          <w:noProof w:val="0"/>
          <w:color w:val="000000"/>
          <w:position w:val="0"/>
          <w:sz w:val="22"/>
          <w:u w:val="none"/>
          <w:vertAlign w:val="baseline"/>
        </w:rPr>
        <w:t xml:space="preserve">  &gt;  </w:t>
      </w:r>
      <w:r>
        <w:rPr>
          <w:rFonts w:ascii="arial" w:eastAsia="arial" w:hAnsi="arial" w:cs="arial"/>
          <w:b/>
          <w:i w:val="0"/>
          <w:strike w:val="0"/>
          <w:noProof w:val="0"/>
          <w:color w:val="000000"/>
          <w:position w:val="0"/>
          <w:sz w:val="22"/>
          <w:u w:val="none"/>
          <w:vertAlign w:val="baseline"/>
        </w:rPr>
        <w:t>SALE OF LAND vol 36 pre-contract documents, contracts, clauses for contracts</w:t>
      </w:r>
      <w:r>
        <w:rPr>
          <w:rFonts w:ascii="arial" w:eastAsia="arial" w:hAnsi="arial" w:cs="arial"/>
          <w:b/>
          <w:i w:val="0"/>
          <w:strike w:val="0"/>
          <w:noProof w:val="0"/>
          <w:color w:val="000000"/>
          <w:position w:val="0"/>
          <w:sz w:val="22"/>
          <w:u w:val="none"/>
          <w:vertAlign w:val="baseline"/>
        </w:rPr>
        <w:t xml:space="preserve">  &gt;  </w:t>
      </w:r>
      <w:r>
        <w:rPr>
          <w:rFonts w:ascii="arial" w:eastAsia="arial" w:hAnsi="arial" w:cs="arial"/>
          <w:b/>
          <w:i w:val="0"/>
          <w:strike w:val="0"/>
          <w:noProof w:val="0"/>
          <w:color w:val="000000"/>
          <w:position w:val="0"/>
          <w:sz w:val="22"/>
          <w:u w:val="none"/>
          <w:vertAlign w:val="baseline"/>
        </w:rPr>
        <w:t>Forms and Precedents</w:t>
      </w:r>
      <w:r>
        <w:rPr>
          <w:rFonts w:ascii="arial" w:eastAsia="arial" w:hAnsi="arial" w:cs="arial"/>
          <w:b/>
          <w:i w:val="0"/>
          <w:strike w:val="0"/>
          <w:noProof w:val="0"/>
          <w:color w:val="000000"/>
          <w:position w:val="0"/>
          <w:sz w:val="22"/>
          <w:u w:val="none"/>
          <w:vertAlign w:val="baseline"/>
        </w:rPr>
        <w:t xml:space="preserve">  &gt;  </w:t>
      </w:r>
      <w:r>
        <w:rPr>
          <w:rFonts w:ascii="arial" w:eastAsia="arial" w:hAnsi="arial" w:cs="arial"/>
          <w:b/>
          <w:i w:val="0"/>
          <w:strike w:val="0"/>
          <w:noProof w:val="0"/>
          <w:color w:val="000000"/>
          <w:position w:val="0"/>
          <w:sz w:val="22"/>
          <w:u w:val="none"/>
          <w:vertAlign w:val="baseline"/>
        </w:rPr>
        <w:t>(10) CONTRACTS FOR SALE</w:t>
      </w:r>
      <w:r>
        <w:rPr>
          <w:rFonts w:ascii="arial" w:eastAsia="arial" w:hAnsi="arial" w:cs="arial"/>
          <w:b/>
          <w:i w:val="0"/>
          <w:strike w:val="0"/>
          <w:noProof w:val="0"/>
          <w:color w:val="000000"/>
          <w:position w:val="0"/>
          <w:sz w:val="22"/>
          <w:u w:val="none"/>
          <w:vertAlign w:val="baseline"/>
        </w:rPr>
        <w:t xml:space="preserve">  &gt;  </w:t>
      </w:r>
      <w:r>
        <w:rPr>
          <w:rFonts w:ascii="arial" w:eastAsia="arial" w:hAnsi="arial" w:cs="arial"/>
          <w:b/>
          <w:i w:val="0"/>
          <w:strike w:val="0"/>
          <w:noProof w:val="0"/>
          <w:color w:val="000000"/>
          <w:position w:val="0"/>
          <w:sz w:val="22"/>
          <w:u w:val="none"/>
          <w:vertAlign w:val="baseline"/>
        </w:rPr>
        <w:t>A: BASIC FORMS: FREEHOLD LAND</w:t>
      </w:r>
    </w:p>
    <w:p/>
    <w:p>
      <w:pPr>
        <w:keepNext w:val="0"/>
        <w:spacing w:after="0" w:line="260" w:lineRule="atLeast"/>
        <w:ind w:left="0" w:right="0" w:firstLine="0"/>
        <w:jc w:val="both"/>
      </w:pPr>
      <w:r>
        <w:rPr>
          <w:rFonts w:ascii="arial" w:eastAsia="arial" w:hAnsi="arial" w:cs="arial"/>
          <w:b w:val="0"/>
          <w:i w:val="0"/>
          <w:strike w:val="0"/>
          <w:noProof w:val="0"/>
          <w:color w:val="000000"/>
          <w:position w:val="0"/>
          <w:sz w:val="20"/>
          <w:u w:val="none"/>
          <w:vertAlign w:val="baseline"/>
        </w:rPr>
        <w:t>Brexit note</w:t>
      </w:r>
    </w:p>
    <w:p>
      <w:pPr>
        <w:keepNext w:val="0"/>
        <w:spacing w:before="0" w:after="0" w:line="260" w:lineRule="atLeast"/>
        <w:ind w:left="0" w:right="0" w:firstLine="0"/>
        <w:jc w:val="right"/>
      </w:pPr>
      <w:r>
        <w:br/>
      </w:r>
      <w:r>
        <w:rPr>
          <w:rFonts w:ascii="arial" w:eastAsia="arial" w:hAnsi="arial" w:cs="arial"/>
          <w:b w:val="0"/>
          <w:i w:val="0"/>
          <w:strike w:val="0"/>
          <w:noProof w:val="0"/>
          <w:color w:val="000000"/>
          <w:position w:val="0"/>
          <w:sz w:val="20"/>
          <w:u w:val="none"/>
          <w:vertAlign w:val="baseline"/>
        </w:rPr>
        <w:t>[500]</w:t>
      </w:r>
    </w:p>
    <w:p>
      <w:pPr>
        <w:keepNext w:val="0"/>
        <w:spacing w:before="0" w:after="0" w:line="260" w:lineRule="atLeast"/>
        <w:ind w:left="0" w:right="0" w:firstLine="0"/>
        <w:jc w:val="center"/>
      </w:pPr>
      <w:r>
        <w:br/>
      </w:r>
      <w:r>
        <w:rPr>
          <w:rFonts w:ascii="arial" w:eastAsia="arial" w:hAnsi="arial" w:cs="arial"/>
          <w:b w:val="0"/>
          <w:i/>
          <w:strike w:val="0"/>
          <w:noProof w:val="0"/>
          <w:color w:val="000000"/>
          <w:position w:val="0"/>
          <w:sz w:val="20"/>
          <w:u w:val="none"/>
          <w:vertAlign w:val="baseline"/>
        </w:rPr>
        <w:t>EFP 36: 09/2019.</w:t>
      </w:r>
    </w:p>
    <w:p>
      <w:pPr>
        <w:keepNext w:val="0"/>
        <w:spacing w:before="0" w:after="0" w:line="260" w:lineRule="atLeast"/>
        <w:ind w:left="0" w:right="0" w:firstLine="0"/>
        <w:jc w:val="left"/>
      </w:pPr>
      <w:r>
        <w:br/>
      </w:r>
      <w:r>
        <w:rPr>
          <w:rFonts w:ascii="arial" w:eastAsia="arial" w:hAnsi="arial" w:cs="arial"/>
          <w:b w:val="0"/>
          <w:i w:val="0"/>
          <w:caps/>
          <w:strike w:val="0"/>
          <w:noProof w:val="0"/>
          <w:color w:val="000000"/>
          <w:position w:val="0"/>
          <w:sz w:val="20"/>
          <w:u w:val="none"/>
          <w:vertAlign w:val="baseline"/>
        </w:rPr>
        <w:t>This Agreement</w:t>
      </w:r>
      <w:r>
        <w:rPr>
          <w:rFonts w:ascii="arial" w:eastAsia="arial" w:hAnsi="arial" w:cs="arial"/>
          <w:b w:val="0"/>
          <w:i w:val="0"/>
          <w:strike w:val="0"/>
          <w:noProof w:val="0"/>
          <w:color w:val="000000"/>
          <w:position w:val="0"/>
          <w:sz w:val="20"/>
          <w:u w:val="none"/>
          <w:vertAlign w:val="baseline"/>
        </w:rPr>
        <w:t xml:space="preserve"> is made on [</w:t>
      </w:r>
      <w:r>
        <w:rPr>
          <w:rFonts w:ascii="arial" w:eastAsia="arial" w:hAnsi="arial" w:cs="arial"/>
          <w:b w:val="0"/>
          <w:i/>
          <w:strike w:val="0"/>
          <w:noProof w:val="0"/>
          <w:color w:val="000000"/>
          <w:position w:val="0"/>
          <w:sz w:val="20"/>
          <w:u w:val="none"/>
          <w:vertAlign w:val="baseline"/>
        </w:rPr>
        <w:t>date</w:t>
      </w:r>
      <w:r>
        <w:rPr>
          <w:rFonts w:ascii="arial" w:eastAsia="arial" w:hAnsi="arial" w:cs="arial"/>
          <w:b w:val="0"/>
          <w:i w:val="0"/>
          <w:strike w:val="0"/>
          <w:noProof w:val="0"/>
          <w:color w:val="000000"/>
          <w:position w:val="0"/>
          <w:sz w:val="20"/>
          <w:u w:val="none"/>
          <w:vertAlign w:val="baseline"/>
        </w:rPr>
        <w:t>]</w:t>
      </w:r>
      <w:r>
        <w:t>
</w:t>
      </w:r>
    </w:p>
    <w:p>
      <w:pPr>
        <w:keepNext w:val="0"/>
        <w:spacing w:after="60" w:line="300" w:lineRule="atLeast"/>
        <w:ind w:left="0" w:right="0" w:firstLine="0"/>
        <w:jc w:val="left"/>
      </w:pPr>
      <w:r>
        <w:rPr>
          <w:rFonts w:ascii="arial" w:eastAsia="arial" w:hAnsi="arial" w:cs="arial"/>
          <w:b/>
          <w:i w:val="0"/>
          <w:caps/>
          <w:strike w:val="0"/>
          <w:noProof w:val="0"/>
          <w:color w:val="000000"/>
          <w:position w:val="0"/>
          <w:sz w:val="24"/>
          <w:u w:val="none"/>
          <w:vertAlign w:val="baseline"/>
        </w:rPr>
        <w:t>Parties</w:t>
      </w:r>
      <w:bookmarkStart w:id="1" w:name="Backward_fnref_TheStandardConditionsOfSa"/>
      <w:hyperlink w:anchor="Forward_fnref_TheStandardConditionsOfSale5thEdnx2-9B4D4789_REF" w:history="1">
        <w:r>
          <w:rPr>
            <w:rFonts w:ascii="arial" w:eastAsia="arial" w:hAnsi="arial" w:cs="arial"/>
            <w:b/>
            <w:i w:val="0"/>
            <w:caps/>
            <w:strike w:val="0"/>
            <w:noProof w:val="0"/>
            <w:color w:val="BE161D"/>
            <w:position w:val="0"/>
            <w:sz w:val="24"/>
            <w:u w:val="none"/>
            <w:shd w:val="clear" w:color="auto" w:fill="FFFFFF"/>
            <w:vertAlign w:val="superscript"/>
          </w:rPr>
          <w:t>2</w:t>
        </w:r>
      </w:hyperlink>
      <w:bookmarkEnd w:id="1"/>
    </w:p>
    <w:p>
      <w:pPr>
        <w:keepNext w:val="0"/>
        <w:spacing w:after="0" w:line="260" w:lineRule="atLeast"/>
        <w:ind w:left="360" w:right="0" w:firstLine="0"/>
        <w:jc w:val="left"/>
      </w:pPr>
      <w:r>
        <w:rPr>
          <w:rFonts w:ascii="arial" w:eastAsia="arial" w:hAnsi="arial" w:cs="arial"/>
          <w:b/>
          <w:i w:val="0"/>
          <w:strike w:val="0"/>
          <w:noProof w:val="0"/>
          <w:color w:val="000000"/>
          <w:position w:val="0"/>
          <w:sz w:val="20"/>
          <w:u w:val="none"/>
          <w:vertAlign w:val="baseline"/>
        </w:rPr>
        <w:t>1</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val="0"/>
          <w:i/>
          <w:strike w:val="0"/>
          <w:noProof w:val="0"/>
          <w:color w:val="000000"/>
          <w:position w:val="0"/>
          <w:sz w:val="20"/>
          <w:u w:val="none"/>
          <w:vertAlign w:val="baseline"/>
        </w:rPr>
        <w:t>seller</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of [</w:t>
      </w:r>
      <w:r>
        <w:rPr>
          <w:rFonts w:ascii="arial" w:eastAsia="arial" w:hAnsi="arial" w:cs="arial"/>
          <w:b w:val="0"/>
          <w:i/>
          <w:strike w:val="0"/>
          <w:noProof w:val="0"/>
          <w:color w:val="000000"/>
          <w:position w:val="0"/>
          <w:sz w:val="20"/>
          <w:u w:val="none"/>
          <w:vertAlign w:val="baseline"/>
        </w:rPr>
        <w:t>address</w:t>
      </w:r>
      <w:r>
        <w:rPr>
          <w:rFonts w:ascii="arial" w:eastAsia="arial" w:hAnsi="arial" w:cs="arial"/>
          <w:b w:val="0"/>
          <w:i w:val="0"/>
          <w:strike w:val="0"/>
          <w:noProof w:val="0"/>
          <w:color w:val="000000"/>
          <w:position w:val="0"/>
          <w:sz w:val="20"/>
          <w:u w:val="none"/>
          <w:vertAlign w:val="baseline"/>
        </w:rPr>
        <w:t>] OR (Company Registration Number [</w:t>
      </w:r>
      <w:r>
        <w:rPr>
          <w:rFonts w:ascii="arial" w:eastAsia="arial" w:hAnsi="arial" w:cs="arial"/>
          <w:b w:val="0"/>
          <w:i/>
          <w:strike w:val="0"/>
          <w:noProof w:val="0"/>
          <w:color w:val="000000"/>
          <w:position w:val="0"/>
          <w:sz w:val="20"/>
          <w:u w:val="none"/>
          <w:vertAlign w:val="baseline"/>
        </w:rPr>
        <w:t>number</w:t>
      </w:r>
      <w:r>
        <w:rPr>
          <w:rFonts w:ascii="arial" w:eastAsia="arial" w:hAnsi="arial" w:cs="arial"/>
          <w:b w:val="0"/>
          <w:i w:val="0"/>
          <w:strike w:val="0"/>
          <w:noProof w:val="0"/>
          <w:color w:val="000000"/>
          <w:position w:val="0"/>
          <w:sz w:val="20"/>
          <w:u w:val="none"/>
          <w:vertAlign w:val="baseline"/>
        </w:rPr>
        <w:t>]) whose registered office is at [</w:t>
      </w:r>
      <w:r>
        <w:rPr>
          <w:rFonts w:ascii="arial" w:eastAsia="arial" w:hAnsi="arial" w:cs="arial"/>
          <w:b w:val="0"/>
          <w:i/>
          <w:strike w:val="0"/>
          <w:noProof w:val="0"/>
          <w:color w:val="000000"/>
          <w:position w:val="0"/>
          <w:sz w:val="20"/>
          <w:u w:val="none"/>
          <w:vertAlign w:val="baseline"/>
        </w:rPr>
        <w:t>address</w:t>
      </w: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(the </w:t>
      </w:r>
      <w:r>
        <w:rPr>
          <w:rFonts w:ascii="arial" w:eastAsia="arial" w:hAnsi="arial" w:cs="arial"/>
          <w:b/>
          <w:i w:val="0"/>
          <w:strike w:val="0"/>
          <w:noProof w:val="0"/>
          <w:color w:val="000000"/>
          <w:position w:val="0"/>
          <w:sz w:val="20"/>
          <w:u w:val="none"/>
          <w:vertAlign w:val="baseline"/>
        </w:rPr>
        <w:t>Seller</w:t>
      </w:r>
      <w:r>
        <w:rPr>
          <w:rFonts w:ascii="arial" w:eastAsia="arial" w:hAnsi="arial" w:cs="arial"/>
          <w:b w:val="0"/>
          <w:i w:val="0"/>
          <w:strike w:val="0"/>
          <w:noProof w:val="0"/>
          <w:color w:val="000000"/>
          <w:position w:val="0"/>
          <w:sz w:val="20"/>
          <w:u w:val="none"/>
          <w:vertAlign w:val="baseline"/>
        </w:rPr>
        <w:t>); and</w:t>
      </w:r>
    </w:p>
    <w:p/>
    <w:p>
      <w:pPr>
        <w:keepNext w:val="0"/>
        <w:spacing w:after="0" w:line="260" w:lineRule="atLeast"/>
        <w:ind w:left="360" w:right="0" w:firstLine="0"/>
        <w:jc w:val="left"/>
      </w:pPr>
      <w:r>
        <w:rPr>
          <w:rFonts w:ascii="arial" w:eastAsia="arial" w:hAnsi="arial" w:cs="arial"/>
          <w:b/>
          <w:i w:val="0"/>
          <w:strike w:val="0"/>
          <w:noProof w:val="0"/>
          <w:color w:val="000000"/>
          <w:position w:val="0"/>
          <w:sz w:val="20"/>
          <w:u w:val="none"/>
          <w:vertAlign w:val="baseline"/>
        </w:rPr>
        <w:t>2</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val="0"/>
          <w:i/>
          <w:strike w:val="0"/>
          <w:noProof w:val="0"/>
          <w:color w:val="000000"/>
          <w:position w:val="0"/>
          <w:sz w:val="20"/>
          <w:u w:val="none"/>
          <w:vertAlign w:val="baseline"/>
        </w:rPr>
        <w:t>buyer</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of [</w:t>
      </w:r>
      <w:r>
        <w:rPr>
          <w:rFonts w:ascii="arial" w:eastAsia="arial" w:hAnsi="arial" w:cs="arial"/>
          <w:b w:val="0"/>
          <w:i/>
          <w:strike w:val="0"/>
          <w:noProof w:val="0"/>
          <w:color w:val="000000"/>
          <w:position w:val="0"/>
          <w:sz w:val="20"/>
          <w:u w:val="none"/>
          <w:vertAlign w:val="baseline"/>
        </w:rPr>
        <w:t>address</w:t>
      </w:r>
      <w:r>
        <w:rPr>
          <w:rFonts w:ascii="arial" w:eastAsia="arial" w:hAnsi="arial" w:cs="arial"/>
          <w:b w:val="0"/>
          <w:i w:val="0"/>
          <w:strike w:val="0"/>
          <w:noProof w:val="0"/>
          <w:color w:val="000000"/>
          <w:position w:val="0"/>
          <w:sz w:val="20"/>
          <w:u w:val="none"/>
          <w:vertAlign w:val="baseline"/>
        </w:rPr>
        <w:t>] OR (Company Registration Number [</w:t>
      </w:r>
      <w:r>
        <w:rPr>
          <w:rFonts w:ascii="arial" w:eastAsia="arial" w:hAnsi="arial" w:cs="arial"/>
          <w:b w:val="0"/>
          <w:i/>
          <w:strike w:val="0"/>
          <w:noProof w:val="0"/>
          <w:color w:val="000000"/>
          <w:position w:val="0"/>
          <w:sz w:val="20"/>
          <w:u w:val="none"/>
          <w:vertAlign w:val="baseline"/>
        </w:rPr>
        <w:t>number</w:t>
      </w:r>
      <w:r>
        <w:rPr>
          <w:rFonts w:ascii="arial" w:eastAsia="arial" w:hAnsi="arial" w:cs="arial"/>
          <w:b w:val="0"/>
          <w:i w:val="0"/>
          <w:strike w:val="0"/>
          <w:noProof w:val="0"/>
          <w:color w:val="000000"/>
          <w:position w:val="0"/>
          <w:sz w:val="20"/>
          <w:u w:val="none"/>
          <w:vertAlign w:val="baseline"/>
        </w:rPr>
        <w:t>]) whose registered office is at [</w:t>
      </w:r>
      <w:r>
        <w:rPr>
          <w:rFonts w:ascii="arial" w:eastAsia="arial" w:hAnsi="arial" w:cs="arial"/>
          <w:b w:val="0"/>
          <w:i/>
          <w:strike w:val="0"/>
          <w:noProof w:val="0"/>
          <w:color w:val="000000"/>
          <w:position w:val="0"/>
          <w:sz w:val="20"/>
          <w:u w:val="none"/>
          <w:vertAlign w:val="baseline"/>
        </w:rPr>
        <w:t>address</w:t>
      </w: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(the </w:t>
      </w:r>
      <w:r>
        <w:rPr>
          <w:rFonts w:ascii="arial" w:eastAsia="arial" w:hAnsi="arial" w:cs="arial"/>
          <w:b/>
          <w:i w:val="0"/>
          <w:strike w:val="0"/>
          <w:noProof w:val="0"/>
          <w:color w:val="000000"/>
          <w:position w:val="0"/>
          <w:sz w:val="20"/>
          <w:u w:val="none"/>
          <w:vertAlign w:val="baseline"/>
        </w:rPr>
        <w:t>Buyer</w:t>
      </w:r>
      <w:r>
        <w:rPr>
          <w:rFonts w:ascii="arial" w:eastAsia="arial" w:hAnsi="arial" w:cs="arial"/>
          <w:b w:val="0"/>
          <w:i w:val="0"/>
          <w:strike w:val="0"/>
          <w:noProof w:val="0"/>
          <w:color w:val="000000"/>
          <w:position w:val="0"/>
          <w:sz w:val="20"/>
          <w:u w:val="none"/>
          <w:vertAlign w:val="baseline"/>
        </w:rPr>
        <w:t>).</w:t>
      </w:r>
    </w:p>
    <w:p/>
    <w:p>
      <w:pPr>
        <w:keepNext w:val="0"/>
        <w:spacing w:after="0" w:line="260" w:lineRule="atLeast"/>
        <w:ind w:left="0" w:right="0" w:firstLine="0"/>
        <w:jc w:val="left"/>
      </w:pPr>
      <w:r>
        <w:rPr>
          <w:rFonts w:ascii="arial" w:eastAsia="arial" w:hAnsi="arial" w:cs="arial"/>
          <w:b w:val="0"/>
          <w:i w:val="0"/>
          <w:caps/>
          <w:strike w:val="0"/>
          <w:noProof w:val="0"/>
          <w:color w:val="000000"/>
          <w:position w:val="0"/>
          <w:sz w:val="20"/>
          <w:u w:val="none"/>
          <w:vertAlign w:val="baseline"/>
        </w:rPr>
        <w:t>The parties agree</w:t>
      </w:r>
      <w:r>
        <w:rPr>
          <w:rFonts w:ascii="arial" w:eastAsia="arial" w:hAnsi="arial" w:cs="arial"/>
          <w:b w:val="0"/>
          <w:i w:val="0"/>
          <w:strike w:val="0"/>
          <w:noProof w:val="0"/>
          <w:color w:val="000000"/>
          <w:position w:val="0"/>
          <w:sz w:val="20"/>
          <w:u w:val="none"/>
          <w:vertAlign w:val="baseline"/>
        </w:rPr>
        <w:t>:</w:t>
      </w:r>
      <w:r>
        <w:t>
</w:t>
      </w:r>
    </w:p>
    <w:p>
      <w:pPr>
        <w:keepNext w:val="0"/>
        <w:spacing w:after="0" w:line="260" w:lineRule="atLeast"/>
        <w:ind w:left="720" w:right="0" w:firstLine="0"/>
        <w:jc w:val="left"/>
      </w:pPr>
      <w:r>
        <w:rPr>
          <w:rFonts w:ascii="arial" w:eastAsia="arial" w:hAnsi="arial" w:cs="arial"/>
          <w:b/>
          <w:i w:val="0"/>
          <w:strike w:val="0"/>
          <w:noProof w:val="0"/>
          <w:color w:val="000000"/>
          <w:position w:val="0"/>
          <w:sz w:val="20"/>
          <w:u w:val="none"/>
          <w:vertAlign w:val="baseline"/>
        </w:rPr>
        <w:t>1</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Definitions and interpretation</w:t>
      </w:r>
      <w:bookmarkStart w:id="2" w:name="Backward_fnref_ukContentItem2eca7875-28a"/>
      <w:hyperlink w:anchor="Forward_fnref_ukContentItem2eca7875-28a6-4940-ab95-00dfc6474da8_REF" w:history="1">
        <w:r>
          <w:rPr>
            <w:rFonts w:ascii="arial" w:eastAsia="arial" w:hAnsi="arial" w:cs="arial"/>
            <w:b/>
            <w:i w:val="0"/>
            <w:strike w:val="0"/>
            <w:noProof w:val="0"/>
            <w:color w:val="BE161D"/>
            <w:position w:val="0"/>
            <w:sz w:val="20"/>
            <w:u w:val="none"/>
            <w:shd w:val="clear" w:color="auto" w:fill="FFFFFF"/>
            <w:vertAlign w:val="superscript"/>
          </w:rPr>
          <w:t>3</w:t>
        </w:r>
      </w:hyperlink>
      <w:bookmarkEnd w:id="2"/>
    </w:p>
    <w:p>
      <w:pPr>
        <w:keepNext w:val="0"/>
        <w:spacing w:after="0" w:line="260" w:lineRule="atLeast"/>
        <w:ind w:left="1080" w:right="0" w:firstLine="0"/>
        <w:jc w:val="left"/>
      </w:pPr>
      <w:r>
        <w:rPr>
          <w:rFonts w:ascii="arial" w:eastAsia="arial" w:hAnsi="arial" w:cs="arial"/>
          <w:b/>
          <w:i w:val="0"/>
          <w:strike w:val="0"/>
          <w:noProof w:val="0"/>
          <w:color w:val="000000"/>
          <w:position w:val="0"/>
          <w:sz w:val="20"/>
          <w:u w:val="none"/>
          <w:vertAlign w:val="baseline"/>
        </w:rPr>
        <w:t>1.1</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Definitions</w:t>
      </w:r>
    </w:p>
    <w:p>
      <w:pPr>
        <w:keepNext w:val="0"/>
        <w:spacing w:before="0" w:after="0" w:line="260" w:lineRule="atLeast"/>
        <w:ind w:left="1080" w:right="0" w:firstLine="0"/>
        <w:jc w:val="both"/>
      </w:pPr>
      <w:r>
        <w:br/>
      </w:r>
      <w:r>
        <w:rPr>
          <w:rFonts w:ascii="arial" w:eastAsia="arial" w:hAnsi="arial" w:cs="arial"/>
          <w:b w:val="0"/>
          <w:i w:val="0"/>
          <w:strike w:val="0"/>
          <w:noProof w:val="0"/>
          <w:color w:val="000000"/>
          <w:position w:val="0"/>
          <w:sz w:val="20"/>
          <w:u w:val="none"/>
          <w:vertAlign w:val="baseline"/>
        </w:rPr>
        <w:t>In this Agreement:</w:t>
      </w:r>
    </w:p>
    <w:p>
      <w:pPr>
        <w:keepNext w:val="0"/>
        <w:spacing w:before="0" w:after="0" w:line="260" w:lineRule="atLeast"/>
        <w:ind w:left="1080" w:right="0" w:firstLine="0"/>
        <w:jc w:val="left"/>
      </w:pPr>
      <w:r>
        <w:br/>
      </w:r>
      <w:r>
        <w:rPr>
          <w:rFonts w:ascii="arial" w:eastAsia="arial" w:hAnsi="arial" w:cs="arial"/>
          <w:b/>
          <w:i w:val="0"/>
          <w:strike w:val="0"/>
          <w:noProof w:val="0"/>
          <w:color w:val="000000"/>
          <w:position w:val="0"/>
          <w:sz w:val="20"/>
          <w:u w:val="none"/>
          <w:vertAlign w:val="baseline"/>
        </w:rPr>
        <w:t>Buyer’s Solicitors</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w:t>
      </w:r>
      <w:r>
        <w:rPr>
          <w:rFonts w:ascii="arial" w:eastAsia="arial" w:hAnsi="arial" w:cs="arial"/>
          <w:b w:val="0"/>
          <w:i/>
          <w:strike w:val="0"/>
          <w:noProof w:val="0"/>
          <w:color w:val="000000"/>
          <w:position w:val="0"/>
          <w:sz w:val="20"/>
          <w:u w:val="none"/>
          <w:vertAlign w:val="baseline"/>
        </w:rPr>
        <w:t>insert name and address of person or firm</w:t>
      </w:r>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Completion Date</w:t>
      </w:r>
      <w:bookmarkStart w:id="3" w:name="Backward_fnref_ukContentItem0ec16d76-30c"/>
      <w:hyperlink w:anchor="Forward_fnref_ukContentItem0ec16d76-30c5-4eb3-a93f-e47e08b02385_REF" w:history="1">
        <w:r>
          <w:rPr>
            <w:rFonts w:ascii="arial" w:eastAsia="arial" w:hAnsi="arial" w:cs="arial"/>
            <w:b/>
            <w:i w:val="0"/>
            <w:strike w:val="0"/>
            <w:noProof w:val="0"/>
            <w:color w:val="BE161D"/>
            <w:position w:val="0"/>
            <w:sz w:val="20"/>
            <w:u w:val="none"/>
            <w:shd w:val="clear" w:color="auto" w:fill="FFFFFF"/>
            <w:vertAlign w:val="superscript"/>
          </w:rPr>
          <w:t>4</w:t>
        </w:r>
      </w:hyperlink>
      <w:bookmarkEnd w:id="3"/>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w:t>
      </w:r>
      <w:r>
        <w:rPr>
          <w:rFonts w:ascii="arial" w:eastAsia="arial" w:hAnsi="arial" w:cs="arial"/>
          <w:b w:val="0"/>
          <w:i/>
          <w:strike w:val="0"/>
          <w:noProof w:val="0"/>
          <w:color w:val="000000"/>
          <w:position w:val="0"/>
          <w:sz w:val="20"/>
          <w:u w:val="none"/>
          <w:vertAlign w:val="baseline"/>
        </w:rPr>
        <w:t>date</w:t>
      </w:r>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both"/>
      </w:pP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Contents</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the contents of the Property specified in the attached list of contents;</w:t>
      </w:r>
      <w:r>
        <w:rPr>
          <w:rFonts w:ascii="arial" w:eastAsia="arial" w:hAnsi="arial" w:cs="arial"/>
          <w:b/>
          <w:i w:val="0"/>
          <w:strike w:val="0"/>
          <w:noProof w:val="0"/>
          <w:color w:val="000000"/>
          <w:position w:val="0"/>
          <w:sz w:val="20"/>
          <w:u w:val="none"/>
          <w:vertAlign w:val="baseline"/>
        </w:rPr>
        <w:t>]</w:t>
      </w:r>
    </w:p>
    <w:p/>
    <w:p>
      <w:pPr>
        <w:keepNext w:val="0"/>
        <w:spacing w:before="0" w:after="0" w:line="260" w:lineRule="atLeast"/>
        <w:ind w:left="1080" w:right="0"/>
        <w:jc w:val="both"/>
      </w:pP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Contents Price</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w:t>
      </w:r>
      <w:r>
        <w:rPr>
          <w:rFonts w:ascii="arial" w:eastAsia="arial" w:hAnsi="arial" w:cs="arial"/>
          <w:b w:val="0"/>
          <w:i/>
          <w:strike w:val="0"/>
          <w:noProof w:val="0"/>
          <w:color w:val="000000"/>
          <w:position w:val="0"/>
          <w:sz w:val="20"/>
          <w:u w:val="none"/>
          <w:vertAlign w:val="baseline"/>
        </w:rPr>
        <w:t>amount</w:t>
      </w: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p>
    <w:p/>
    <w:p>
      <w:pPr>
        <w:keepNext w:val="0"/>
        <w:spacing w:before="0" w:after="0" w:line="260" w:lineRule="atLeast"/>
        <w:ind w:left="1080" w:right="0"/>
        <w:jc w:val="both"/>
      </w:pP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Documents</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the documents (if any) particulars of which are set out in Schedule 2;</w:t>
      </w:r>
      <w:r>
        <w:rPr>
          <w:rFonts w:ascii="arial" w:eastAsia="arial" w:hAnsi="arial" w:cs="arial"/>
          <w:b/>
          <w:i w:val="0"/>
          <w:strike w:val="0"/>
          <w:noProof w:val="0"/>
          <w:color w:val="000000"/>
          <w:position w:val="0"/>
          <w:sz w:val="20"/>
          <w:u w:val="none"/>
          <w:vertAlign w:val="baseline"/>
        </w:rPr>
        <w:t>]</w:t>
      </w:r>
    </w:p>
    <w:p/>
    <w:p>
      <w:pPr>
        <w:keepNext w:val="0"/>
        <w:spacing w:before="0" w:after="0" w:line="260" w:lineRule="atLeast"/>
        <w:ind w:left="1080" w:right="0"/>
        <w:jc w:val="both"/>
      </w:pP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Plan</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the plan attached to this Agreement;</w:t>
      </w:r>
      <w:bookmarkStart w:id="4" w:name="Backward_fnref_ukContentItem143b8988-efc"/>
      <w:hyperlink w:anchor="Forward_fnref_ukContentItem143b8988-efcd-4a22-b4e1-fa364754ab72_REF" w:history="1">
        <w:r>
          <w:rPr>
            <w:rFonts w:ascii="arial" w:eastAsia="arial" w:hAnsi="arial" w:cs="arial"/>
            <w:b/>
            <w:i w:val="0"/>
            <w:strike w:val="0"/>
            <w:noProof w:val="0"/>
            <w:color w:val="BE161D"/>
            <w:position w:val="0"/>
            <w:sz w:val="20"/>
            <w:u w:val="none"/>
            <w:shd w:val="clear" w:color="auto" w:fill="FFFFFF"/>
            <w:vertAlign w:val="superscript"/>
          </w:rPr>
          <w:t>5</w:t>
        </w:r>
      </w:hyperlink>
      <w:bookmarkEnd w:id="4"/>
      <w:r>
        <w:rPr>
          <w:rFonts w:ascii="arial" w:eastAsia="arial" w:hAnsi="arial" w:cs="arial"/>
          <w:b/>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Property</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 xml:space="preserve">means the freehold property described in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the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Schedule 1;</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Purchase Price</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w:t>
      </w:r>
      <w:r>
        <w:rPr>
          <w:rFonts w:ascii="arial" w:eastAsia="arial" w:hAnsi="arial" w:cs="arial"/>
          <w:b w:val="0"/>
          <w:i/>
          <w:strike w:val="0"/>
          <w:noProof w:val="0"/>
          <w:color w:val="000000"/>
          <w:position w:val="0"/>
          <w:sz w:val="20"/>
          <w:u w:val="none"/>
          <w:vertAlign w:val="baseline"/>
        </w:rPr>
        <w:t>amount</w:t>
      </w:r>
      <w:r>
        <w:rPr>
          <w:rFonts w:ascii="arial" w:eastAsia="arial" w:hAnsi="arial" w:cs="arial"/>
          <w:b w:val="0"/>
          <w:i w:val="0"/>
          <w:strike w:val="0"/>
          <w:noProof w:val="0"/>
          <w:color w:val="000000"/>
          <w:position w:val="0"/>
          <w:sz w:val="20"/>
          <w:u w:val="none"/>
          <w:vertAlign w:val="baseline"/>
        </w:rPr>
        <w:t>]</w:t>
      </w:r>
      <w:bookmarkStart w:id="5" w:name="Backward_fnref_ukContentIteme425526b-919"/>
      <w:hyperlink w:anchor="Forward_fnref_ukContentIteme425526b-9197-4007-ae7c-edb97172befa_REF" w:history="1">
        <w:r>
          <w:rPr>
            <w:rFonts w:ascii="arial" w:eastAsia="arial" w:hAnsi="arial" w:cs="arial"/>
            <w:b/>
            <w:i w:val="0"/>
            <w:strike w:val="0"/>
            <w:noProof w:val="0"/>
            <w:color w:val="BE161D"/>
            <w:position w:val="0"/>
            <w:sz w:val="20"/>
            <w:u w:val="none"/>
            <w:shd w:val="clear" w:color="auto" w:fill="FFFFFF"/>
            <w:vertAlign w:val="superscript"/>
          </w:rPr>
          <w:t>6</w:t>
        </w:r>
      </w:hyperlink>
      <w:bookmarkEnd w:id="5"/>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Seller’s Solicitors</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w:t>
      </w:r>
      <w:r>
        <w:rPr>
          <w:rFonts w:ascii="arial" w:eastAsia="arial" w:hAnsi="arial" w:cs="arial"/>
          <w:b w:val="0"/>
          <w:i/>
          <w:strike w:val="0"/>
          <w:noProof w:val="0"/>
          <w:color w:val="000000"/>
          <w:position w:val="0"/>
          <w:sz w:val="20"/>
          <w:u w:val="none"/>
          <w:vertAlign w:val="baseline"/>
        </w:rPr>
        <w:t>insert name and address of person or firm</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w:t>
      </w:r>
      <w:r>
        <w:rPr>
          <w:rFonts w:ascii="arial" w:eastAsia="arial" w:hAnsi="arial" w:cs="arial"/>
          <w:b/>
          <w:i w:val="0"/>
          <w:strike w:val="0"/>
          <w:noProof w:val="0"/>
          <w:color w:val="000000"/>
          <w:position w:val="0"/>
          <w:sz w:val="20"/>
          <w:u w:val="none"/>
          <w:vertAlign w:val="baseline"/>
        </w:rPr>
        <w:t>]</w:t>
      </w:r>
    </w:p>
    <w:p/>
    <w:p>
      <w:pPr>
        <w:keepNext w:val="0"/>
        <w:spacing w:before="0" w:after="0" w:line="260" w:lineRule="atLeast"/>
        <w:ind w:left="1080" w:right="0"/>
        <w:jc w:val="both"/>
      </w:pP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Seller’s Solicitors’ Account</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means [</w:t>
      </w:r>
      <w:r>
        <w:rPr>
          <w:rFonts w:ascii="arial" w:eastAsia="arial" w:hAnsi="arial" w:cs="arial"/>
          <w:b w:val="0"/>
          <w:i/>
          <w:strike w:val="0"/>
          <w:noProof w:val="0"/>
          <w:color w:val="000000"/>
          <w:position w:val="0"/>
          <w:sz w:val="20"/>
          <w:u w:val="none"/>
          <w:vertAlign w:val="baseline"/>
        </w:rPr>
        <w:t>insert client account details</w:t>
      </w:r>
      <w:r>
        <w:rPr>
          <w:rFonts w:ascii="arial" w:eastAsia="arial" w:hAnsi="arial" w:cs="arial"/>
          <w:b w:val="0"/>
          <w:i w:val="0"/>
          <w:strike w:val="0"/>
          <w:noProof w:val="0"/>
          <w:color w:val="000000"/>
          <w:position w:val="0"/>
          <w:sz w:val="20"/>
          <w:u w:val="none"/>
          <w:vertAlign w:val="baseline"/>
        </w:rPr>
        <w:t>]; and</w:t>
      </w:r>
      <w:r>
        <w:rPr>
          <w:rFonts w:ascii="arial" w:eastAsia="arial" w:hAnsi="arial" w:cs="arial"/>
          <w:b/>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Standard Conditions</w:t>
      </w:r>
      <w:r>
        <w:t>
</w:t>
      </w:r>
    </w:p>
    <w:p>
      <w:pPr>
        <w:keepNext w:val="0"/>
        <w:spacing w:before="120" w:after="0" w:line="260" w:lineRule="atLeast"/>
        <w:ind w:left="1800" w:right="0"/>
        <w:jc w:val="both"/>
      </w:pPr>
      <w:r>
        <w:rPr>
          <w:rFonts w:ascii="arial" w:eastAsia="arial" w:hAnsi="arial" w:cs="arial"/>
          <w:b w:val="0"/>
          <w:i w:val="0"/>
          <w:strike w:val="0"/>
          <w:noProof w:val="0"/>
          <w:color w:val="000000"/>
          <w:position w:val="0"/>
          <w:sz w:val="20"/>
          <w:u w:val="none"/>
          <w:vertAlign w:val="baseline"/>
        </w:rPr>
        <w:t xml:space="preserve">means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the Standard Conditions of Sale (5th Edn—2018 Revision) OR the Standard Commercial Property Conditions (3rd Edn—2018 Revision)</w:t>
      </w:r>
      <w:r>
        <w:rPr>
          <w:rFonts w:ascii="arial" w:eastAsia="arial" w:hAnsi="arial" w:cs="arial"/>
          <w:b/>
          <w:i w:val="0"/>
          <w:strike w:val="0"/>
          <w:noProof w:val="0"/>
          <w:color w:val="000000"/>
          <w:position w:val="0"/>
          <w:sz w:val="20"/>
          <w:u w:val="none"/>
          <w:vertAlign w:val="baseline"/>
        </w:rPr>
        <w:t>]</w:t>
      </w:r>
      <w:bookmarkStart w:id="6" w:name="Backward_fnref_ukContentItem1572235346-1"/>
      <w:hyperlink w:anchor="Forward_fnref_ukContentItem1572235346-138536169_REF" w:history="1">
        <w:r>
          <w:rPr>
            <w:rFonts w:ascii="arial" w:eastAsia="arial" w:hAnsi="arial" w:cs="arial"/>
            <w:b/>
            <w:i w:val="0"/>
            <w:strike w:val="0"/>
            <w:noProof w:val="0"/>
            <w:color w:val="BE161D"/>
            <w:position w:val="0"/>
            <w:sz w:val="20"/>
            <w:u w:val="none"/>
            <w:shd w:val="clear" w:color="auto" w:fill="FFFFFF"/>
            <w:vertAlign w:val="superscript"/>
          </w:rPr>
          <w:t>7</w:t>
        </w:r>
      </w:hyperlink>
      <w:bookmarkEnd w:id="6"/>
      <w:r>
        <w:rPr>
          <w:rFonts w:ascii="arial" w:eastAsia="arial" w:hAnsi="arial" w:cs="arial"/>
          <w:b w:val="0"/>
          <w:i w:val="0"/>
          <w:strike w:val="0"/>
          <w:noProof w:val="0"/>
          <w:color w:val="000000"/>
          <w:position w:val="0"/>
          <w:sz w:val="20"/>
          <w:u w:val="none"/>
          <w:vertAlign w:val="baseline"/>
        </w:rPr>
        <w:t>.</w:t>
      </w:r>
    </w:p>
    <w:p/>
    <w:p/>
    <w:p>
      <w:pPr>
        <w:keepNext w:val="0"/>
        <w:spacing w:before="0" w:after="0" w:line="260" w:lineRule="atLeast"/>
        <w:ind w:left="720" w:right="0"/>
        <w:jc w:val="right"/>
      </w:pPr>
      <w:r>
        <w:rPr>
          <w:rFonts w:ascii="arial" w:eastAsia="arial" w:hAnsi="arial" w:cs="arial"/>
          <w:b w:val="0"/>
          <w:i w:val="0"/>
          <w:strike w:val="0"/>
          <w:noProof w:val="0"/>
          <w:color w:val="000000"/>
          <w:position w:val="0"/>
          <w:sz w:val="20"/>
          <w:u w:val="none"/>
          <w:vertAlign w:val="baseline"/>
        </w:rPr>
        <w:t>[501]</w:t>
      </w:r>
      <w:r>
        <w:t>
</w:t>
      </w:r>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1.2</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Interpretation</w:t>
      </w:r>
    </w:p>
    <w:p>
      <w:pPr>
        <w:keepNext w:val="0"/>
        <w:spacing w:before="0" w:after="0" w:line="260" w:lineRule="atLeast"/>
        <w:ind w:left="1440" w:right="0"/>
        <w:jc w:val="left"/>
      </w:pPr>
      <w:r>
        <w:rPr>
          <w:rFonts w:ascii="arial" w:eastAsia="arial" w:hAnsi="arial" w:cs="arial"/>
          <w:b/>
          <w:i w:val="0"/>
          <w:strike w:val="0"/>
          <w:noProof w:val="0"/>
          <w:color w:val="000000"/>
          <w:position w:val="0"/>
          <w:sz w:val="20"/>
          <w:u w:val="none"/>
          <w:vertAlign w:val="baseline"/>
        </w:rPr>
        <w:t>1.2.1</w:t>
      </w:r>
      <w:r>
        <w:rPr>
          <w:rFonts w:ascii="arial" w:eastAsia="arial" w:hAnsi="arial" w:cs="arial"/>
          <w:b w:val="0"/>
          <w:i w:val="0"/>
          <w:strike w:val="0"/>
          <w:noProof w:val="0"/>
          <w:color w:val="000000"/>
          <w:position w:val="0"/>
          <w:sz w:val="20"/>
          <w:u w:val="none"/>
          <w:vertAlign w:val="baseline"/>
        </w:rPr>
        <w:t xml:space="preserve"> Where the context so admits, the expression</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s</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Seller</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and </w:t>
      </w:r>
      <w:r>
        <w:rPr>
          <w:rFonts w:ascii="arial" w:eastAsia="arial" w:hAnsi="arial" w:cs="arial"/>
          <w:b/>
          <w:i w:val="0"/>
          <w:strike w:val="0"/>
          <w:noProof w:val="0"/>
          <w:color w:val="000000"/>
          <w:position w:val="0"/>
          <w:sz w:val="20"/>
          <w:u w:val="none"/>
          <w:vertAlign w:val="baseline"/>
        </w:rPr>
        <w:t>Buyer</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include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s</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the personal representatives of the Seller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the Buyer</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insert only if assignment or sub-sales are permitted</w:t>
      </w:r>
      <w:r>
        <w:rPr>
          <w:rFonts w:ascii="arial" w:eastAsia="arial" w:hAnsi="arial" w:cs="arial"/>
          <w:b w:val="0"/>
          <w:i w:val="0"/>
          <w:strike w:val="0"/>
          <w:noProof w:val="0"/>
          <w:color w:val="000000"/>
          <w:position w:val="0"/>
          <w:sz w:val="20"/>
          <w:u w:val="none"/>
          <w:vertAlign w:val="baseline"/>
        </w:rPr>
        <w:t xml:space="preserve">] and </w:t>
      </w:r>
      <w:r>
        <w:rPr>
          <w:rFonts w:ascii="arial" w:eastAsia="arial" w:hAnsi="arial" w:cs="arial"/>
          <w:b/>
          <w:i w:val="0"/>
          <w:strike w:val="0"/>
          <w:noProof w:val="0"/>
          <w:color w:val="000000"/>
          <w:position w:val="0"/>
          <w:sz w:val="20"/>
          <w:u w:val="none"/>
          <w:vertAlign w:val="baseline"/>
        </w:rPr>
        <w:t>Buyer</w:t>
      </w:r>
      <w:r>
        <w:rPr>
          <w:rFonts w:ascii="arial" w:eastAsia="arial" w:hAnsi="arial" w:cs="arial"/>
          <w:b w:val="0"/>
          <w:i w:val="0"/>
          <w:strike w:val="0"/>
          <w:noProof w:val="0"/>
          <w:color w:val="000000"/>
          <w:position w:val="0"/>
          <w:sz w:val="20"/>
          <w:u w:val="none"/>
          <w:vertAlign w:val="baseline"/>
        </w:rPr>
        <w:t xml:space="preserve"> shall include any successors in title of the Buyer</w:t>
      </w:r>
      <w:r>
        <w:rPr>
          <w:rFonts w:ascii="arial" w:eastAsia="arial" w:hAnsi="arial" w:cs="arial"/>
          <w:b/>
          <w:i w:val="0"/>
          <w:strike w:val="0"/>
          <w:noProof w:val="0"/>
          <w:color w:val="000000"/>
          <w:position w:val="0"/>
          <w:sz w:val="20"/>
          <w:u w:val="none"/>
          <w:vertAlign w:val="baseline"/>
        </w:rPr>
        <w:t>]</w:t>
      </w:r>
      <w:bookmarkStart w:id="7" w:name="Backward_fnref_ukContentItem0a77697b-12b"/>
      <w:hyperlink w:anchor="Forward_fnref_ukContentItem0a77697b-12b9-4cb8-ab70-cc3461147cc5_REF" w:history="1">
        <w:r>
          <w:rPr>
            <w:rFonts w:ascii="arial" w:eastAsia="arial" w:hAnsi="arial" w:cs="arial"/>
            <w:b/>
            <w:i w:val="0"/>
            <w:strike w:val="0"/>
            <w:noProof w:val="0"/>
            <w:color w:val="BE161D"/>
            <w:position w:val="0"/>
            <w:sz w:val="20"/>
            <w:u w:val="none"/>
            <w:shd w:val="clear" w:color="auto" w:fill="FFFFFF"/>
            <w:vertAlign w:val="superscript"/>
          </w:rPr>
          <w:t>8</w:t>
        </w:r>
      </w:hyperlink>
      <w:bookmarkEnd w:id="7"/>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440" w:right="0"/>
        <w:jc w:val="left"/>
      </w:pPr>
      <w:r>
        <w:rPr>
          <w:rFonts w:ascii="arial" w:eastAsia="arial" w:hAnsi="arial" w:cs="arial"/>
          <w:b/>
          <w:i w:val="0"/>
          <w:strike w:val="0"/>
          <w:noProof w:val="0"/>
          <w:color w:val="000000"/>
          <w:position w:val="0"/>
          <w:sz w:val="20"/>
          <w:u w:val="none"/>
          <w:vertAlign w:val="baseline"/>
        </w:rPr>
        <w:t>1.2.2</w:t>
      </w:r>
      <w:r>
        <w:rPr>
          <w:rFonts w:ascii="arial" w:eastAsia="arial" w:hAnsi="arial" w:cs="arial"/>
          <w:b w:val="0"/>
          <w:i w:val="0"/>
          <w:strike w:val="0"/>
          <w:noProof w:val="0"/>
          <w:color w:val="000000"/>
          <w:position w:val="0"/>
          <w:sz w:val="20"/>
          <w:u w:val="none"/>
          <w:vertAlign w:val="baseline"/>
        </w:rPr>
        <w:t xml:space="preserve"> The clause headings do not form part of this Agreement and shall not be taken into account in its construction or interpretation.</w:t>
      </w:r>
    </w:p>
    <w:p/>
    <w:p>
      <w:pPr>
        <w:keepNext w:val="0"/>
        <w:spacing w:before="0" w:after="0" w:line="260" w:lineRule="atLeast"/>
        <w:ind w:left="1440" w:right="0"/>
        <w:jc w:val="left"/>
      </w:pPr>
      <w:r>
        <w:rPr>
          <w:rFonts w:ascii="arial" w:eastAsia="arial" w:hAnsi="arial" w:cs="arial"/>
          <w:b/>
          <w:i w:val="0"/>
          <w:strike w:val="0"/>
          <w:noProof w:val="0"/>
          <w:color w:val="000000"/>
          <w:position w:val="0"/>
          <w:sz w:val="20"/>
          <w:u w:val="none"/>
          <w:vertAlign w:val="baseline"/>
        </w:rPr>
        <w:t>1.2.3</w:t>
      </w:r>
      <w:r>
        <w:rPr>
          <w:rFonts w:ascii="arial" w:eastAsia="arial" w:hAnsi="arial" w:cs="arial"/>
          <w:b w:val="0"/>
          <w:i w:val="0"/>
          <w:strike w:val="0"/>
          <w:noProof w:val="0"/>
          <w:color w:val="000000"/>
          <w:position w:val="0"/>
          <w:sz w:val="20"/>
          <w:u w:val="none"/>
          <w:vertAlign w:val="baseline"/>
        </w:rPr>
        <w:t xml:space="preserve"> Any reference to a clause, paragraph or schedule is to one in this Agreement so numbered.</w:t>
      </w:r>
    </w:p>
    <w:p/>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2</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Agreement for sale</w:t>
      </w:r>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The Seller shall sell and the Buyer shall buy the Property at the Purchase Price.</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3</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Deposit</w:t>
      </w:r>
      <w:bookmarkStart w:id="8" w:name="Backward_fnref_ukContentItemc7d8b206-ee8"/>
      <w:hyperlink w:anchor="Forward_fnref_ukContentItemc7d8b206-ee87-4b74-b47e-98b0914f27f4_REF" w:history="1">
        <w:r>
          <w:rPr>
            <w:rFonts w:ascii="arial" w:eastAsia="arial" w:hAnsi="arial" w:cs="arial"/>
            <w:b/>
            <w:i w:val="0"/>
            <w:strike w:val="0"/>
            <w:noProof w:val="0"/>
            <w:color w:val="BE161D"/>
            <w:position w:val="0"/>
            <w:sz w:val="20"/>
            <w:u w:val="none"/>
            <w:shd w:val="clear" w:color="auto" w:fill="FFFFFF"/>
            <w:vertAlign w:val="superscript"/>
          </w:rPr>
          <w:t>9</w:t>
        </w:r>
      </w:hyperlink>
      <w:bookmarkEnd w:id="8"/>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 xml:space="preserve">The Buyer shall on or before the date of this Agreement pay a deposit of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10%</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of the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total of the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Purchase Price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the Contents Price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of the VAT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to the Seller’s Solicitors as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stakeholders OR agents for the Seller</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such payment to be made electronically in pounds sterling to the credit of the Seller’s Solicitors’ Account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4</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Completion</w:t>
      </w:r>
      <w:bookmarkStart w:id="9" w:name="Backward_fnref_ukContentItem3d60effb-f9f"/>
      <w:hyperlink w:anchor="Forward_fnref_ukContentItem3d60effb-f9f4-470d-90a9-daa567cf19af_REF" w:history="1">
        <w:r>
          <w:rPr>
            <w:rFonts w:ascii="arial" w:eastAsia="arial" w:hAnsi="arial" w:cs="arial"/>
            <w:b/>
            <w:i w:val="0"/>
            <w:strike w:val="0"/>
            <w:noProof w:val="0"/>
            <w:color w:val="BE161D"/>
            <w:position w:val="0"/>
            <w:sz w:val="20"/>
            <w:u w:val="none"/>
            <w:shd w:val="clear" w:color="auto" w:fill="FFFFFF"/>
            <w:vertAlign w:val="superscript"/>
          </w:rPr>
          <w:t>10</w:t>
        </w:r>
      </w:hyperlink>
      <w:bookmarkEnd w:id="9"/>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 xml:space="preserve">Completion of the sale and purchase and payment of the balance of the Purchase Price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of the Contents Price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of the VAT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shall take place on the Completion Date.</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5</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Title guarantee</w:t>
      </w:r>
      <w:bookmarkStart w:id="10" w:name="Backward_fnref_ukContentItem19974dee-d58"/>
      <w:hyperlink w:anchor="Forward_fnref_ukContentItem19974dee-d58f-4bb0-923c-3c79d8bbdd6b_REF" w:history="1">
        <w:r>
          <w:rPr>
            <w:rFonts w:ascii="arial" w:eastAsia="arial" w:hAnsi="arial" w:cs="arial"/>
            <w:b/>
            <w:i w:val="0"/>
            <w:strike w:val="0"/>
            <w:noProof w:val="0"/>
            <w:color w:val="BE161D"/>
            <w:position w:val="0"/>
            <w:sz w:val="20"/>
            <w:u w:val="none"/>
            <w:shd w:val="clear" w:color="auto" w:fill="FFFFFF"/>
            <w:vertAlign w:val="superscript"/>
          </w:rPr>
          <w:t>11</w:t>
        </w:r>
      </w:hyperlink>
      <w:bookmarkEnd w:id="10"/>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 xml:space="preserve">The Seller sells with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full OR limited</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title guarantee.</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6</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Possession</w:t>
      </w:r>
      <w:bookmarkStart w:id="11" w:name="Backward_fnref_ukContentItem63fa8e8a-76b"/>
      <w:hyperlink w:anchor="Forward_fnref_ukContentItem63fa8e8a-76bf-43c1-a011-84f0b63ec8f3_REF" w:history="1">
        <w:r>
          <w:rPr>
            <w:rFonts w:ascii="arial" w:eastAsia="arial" w:hAnsi="arial" w:cs="arial"/>
            <w:b/>
            <w:i w:val="0"/>
            <w:strike w:val="0"/>
            <w:noProof w:val="0"/>
            <w:color w:val="BE161D"/>
            <w:position w:val="0"/>
            <w:sz w:val="20"/>
            <w:u w:val="none"/>
            <w:shd w:val="clear" w:color="auto" w:fill="FFFFFF"/>
            <w:vertAlign w:val="superscript"/>
          </w:rPr>
          <w:t>12</w:t>
        </w:r>
      </w:hyperlink>
      <w:bookmarkEnd w:id="11"/>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The Property is sold with vacant possession on completion.</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7</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Title</w:t>
      </w:r>
      <w:bookmarkStart w:id="12" w:name="Backward_fnref_ukContentItemf15891e0-c6d"/>
      <w:hyperlink w:anchor="Forward_fnref_ukContentItemf15891e0-c6d2-4571-ba9b-60b910a02cb6_REF" w:history="1">
        <w:r>
          <w:rPr>
            <w:rFonts w:ascii="arial" w:eastAsia="arial" w:hAnsi="arial" w:cs="arial"/>
            <w:b/>
            <w:i w:val="0"/>
            <w:strike w:val="0"/>
            <w:noProof w:val="0"/>
            <w:color w:val="BE161D"/>
            <w:position w:val="0"/>
            <w:sz w:val="20"/>
            <w:u w:val="none"/>
            <w:shd w:val="clear" w:color="auto" w:fill="FFFFFF"/>
            <w:vertAlign w:val="superscript"/>
          </w:rPr>
          <w:t>13</w:t>
        </w:r>
      </w:hyperlink>
      <w:bookmarkEnd w:id="12"/>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7.1</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The title to the Property is unregistered and shall commence with [</w:t>
      </w:r>
      <w:r>
        <w:rPr>
          <w:rFonts w:ascii="arial" w:eastAsia="arial" w:hAnsi="arial" w:cs="arial"/>
          <w:b w:val="0"/>
          <w:i/>
          <w:strike w:val="0"/>
          <w:noProof w:val="0"/>
          <w:color w:val="000000"/>
          <w:position w:val="0"/>
          <w:sz w:val="20"/>
          <w:u w:val="none"/>
          <w:vertAlign w:val="baseline"/>
        </w:rPr>
        <w:t>description of instrument</w:t>
      </w:r>
      <w:r>
        <w:rPr>
          <w:rFonts w:ascii="arial" w:eastAsia="arial" w:hAnsi="arial" w:cs="arial"/>
          <w:b w:val="0"/>
          <w:i w:val="0"/>
          <w:strike w:val="0"/>
          <w:noProof w:val="0"/>
          <w:color w:val="000000"/>
          <w:position w:val="0"/>
          <w:sz w:val="20"/>
          <w:u w:val="none"/>
          <w:vertAlign w:val="baseline"/>
        </w:rPr>
        <w:t>] dated [</w:t>
      </w:r>
      <w:r>
        <w:rPr>
          <w:rFonts w:ascii="arial" w:eastAsia="arial" w:hAnsi="arial" w:cs="arial"/>
          <w:b w:val="0"/>
          <w:i/>
          <w:strike w:val="0"/>
          <w:noProof w:val="0"/>
          <w:color w:val="000000"/>
          <w:position w:val="0"/>
          <w:sz w:val="20"/>
          <w:u w:val="none"/>
          <w:vertAlign w:val="baseline"/>
        </w:rPr>
        <w:t>date</w:t>
      </w:r>
      <w:r>
        <w:rPr>
          <w:rFonts w:ascii="arial" w:eastAsia="arial" w:hAnsi="arial" w:cs="arial"/>
          <w:b w:val="0"/>
          <w:i w:val="0"/>
          <w:strike w:val="0"/>
          <w:noProof w:val="0"/>
          <w:color w:val="000000"/>
          <w:position w:val="0"/>
          <w:sz w:val="20"/>
          <w:u w:val="none"/>
          <w:vertAlign w:val="baseline"/>
        </w:rPr>
        <w:t>] and made between [</w:t>
      </w:r>
      <w:r>
        <w:rPr>
          <w:rFonts w:ascii="arial" w:eastAsia="arial" w:hAnsi="arial" w:cs="arial"/>
          <w:b w:val="0"/>
          <w:i/>
          <w:strike w:val="0"/>
          <w:noProof w:val="0"/>
          <w:color w:val="000000"/>
          <w:position w:val="0"/>
          <w:sz w:val="20"/>
          <w:u w:val="none"/>
          <w:vertAlign w:val="baseline"/>
        </w:rPr>
        <w:t>parties</w:t>
      </w:r>
      <w:r>
        <w:rPr>
          <w:rFonts w:ascii="arial" w:eastAsia="arial" w:hAnsi="arial" w:cs="arial"/>
          <w:b w:val="0"/>
          <w:i w:val="0"/>
          <w:strike w:val="0"/>
          <w:noProof w:val="0"/>
          <w:color w:val="000000"/>
          <w:position w:val="0"/>
          <w:sz w:val="20"/>
          <w:u w:val="none"/>
          <w:vertAlign w:val="baseline"/>
        </w:rPr>
        <w:t>].</w:t>
      </w:r>
    </w:p>
    <w:p>
      <w:pPr>
        <w:keepNext w:val="0"/>
        <w:spacing w:before="0" w:after="0" w:line="260" w:lineRule="atLeast"/>
        <w:ind w:left="1080" w:right="0"/>
        <w:jc w:val="both"/>
      </w:pPr>
      <w:r>
        <w:br/>
      </w:r>
      <w:r>
        <w:rPr>
          <w:rFonts w:ascii="arial" w:eastAsia="arial" w:hAnsi="arial" w:cs="arial"/>
          <w:b w:val="0"/>
          <w:i w:val="0"/>
          <w:strike w:val="0"/>
          <w:noProof w:val="0"/>
          <w:color w:val="000000"/>
          <w:position w:val="0"/>
          <w:sz w:val="20"/>
          <w:u w:val="none"/>
          <w:vertAlign w:val="baseline"/>
        </w:rPr>
        <w:t>OR</w:t>
      </w:r>
    </w:p>
    <w:p>
      <w:pPr>
        <w:keepNext w:val="0"/>
        <w:spacing w:before="0" w:after="0" w:line="260" w:lineRule="atLeast"/>
        <w:ind w:left="1080" w:right="0"/>
        <w:jc w:val="both"/>
      </w:pPr>
      <w:r>
        <w:br/>
      </w:r>
      <w:r>
        <w:rPr>
          <w:rFonts w:ascii="arial" w:eastAsia="arial" w:hAnsi="arial" w:cs="arial"/>
          <w:b w:val="0"/>
          <w:i w:val="0"/>
          <w:strike w:val="0"/>
          <w:noProof w:val="0"/>
          <w:color w:val="000000"/>
          <w:position w:val="0"/>
          <w:sz w:val="20"/>
          <w:u w:val="none"/>
          <w:vertAlign w:val="baseline"/>
        </w:rPr>
        <w:t>The title to the Property is registered at the Land Registry with absolute title under title number [</w:t>
      </w:r>
      <w:r>
        <w:rPr>
          <w:rFonts w:ascii="arial" w:eastAsia="arial" w:hAnsi="arial" w:cs="arial"/>
          <w:b w:val="0"/>
          <w:i/>
          <w:strike w:val="0"/>
          <w:noProof w:val="0"/>
          <w:color w:val="000000"/>
          <w:position w:val="0"/>
          <w:sz w:val="20"/>
          <w:u w:val="none"/>
          <w:vertAlign w:val="baseline"/>
        </w:rPr>
        <w:t>number</w:t>
      </w:r>
      <w:r>
        <w:rPr>
          <w:rFonts w:ascii="arial" w:eastAsia="arial" w:hAnsi="arial" w:cs="arial"/>
          <w:b w:val="0"/>
          <w:i w:val="0"/>
          <w:strike w:val="0"/>
          <w:noProof w:val="0"/>
          <w:color w:val="000000"/>
          <w:position w:val="0"/>
          <w:sz w:val="20"/>
          <w:u w:val="none"/>
          <w:vertAlign w:val="baseline"/>
        </w:rPr>
        <w:t xml:space="preserve">] and in relation to that title the Seller shall provide to the Buyer the evidence of title referred to in Standard Condition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4.1.2 OR 7.1.2</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except charges or incumbrances registered or protected on the register which are to be discharged or overridden at or before completion.</w:t>
      </w:r>
      <w:bookmarkStart w:id="13" w:name="Backward_fnref_Clausex2014proofOfTitleAs"/>
      <w:hyperlink w:anchor="Forward_fnref_Clausex2014proofOfTitleAsToInstrume-9B4F498C_REF" w:history="1">
        <w:r>
          <w:rPr>
            <w:rFonts w:ascii="arial" w:eastAsia="arial" w:hAnsi="arial" w:cs="arial"/>
            <w:b/>
            <w:i w:val="0"/>
            <w:strike w:val="0"/>
            <w:noProof w:val="0"/>
            <w:color w:val="BE161D"/>
            <w:position w:val="0"/>
            <w:sz w:val="20"/>
            <w:u w:val="none"/>
            <w:shd w:val="clear" w:color="auto" w:fill="FFFFFF"/>
            <w:vertAlign w:val="superscript"/>
          </w:rPr>
          <w:t>14</w:t>
        </w:r>
      </w:hyperlink>
      <w:bookmarkEnd w:id="13"/>
      <w:r>
        <w:rPr>
          <w:rFonts w:ascii="arial" w:eastAsia="arial" w:hAnsi="arial" w:cs="arial"/>
          <w:b/>
          <w:i w:val="0"/>
          <w:strike w:val="0"/>
          <w:noProof w:val="0"/>
          <w:color w:val="000000"/>
          <w:position w:val="0"/>
          <w:sz w:val="20"/>
          <w:u w:val="none"/>
          <w:vertAlign w:val="baseline"/>
        </w:rPr>
        <w:t>]</w:t>
      </w:r>
      <w:r>
        <w:t>
</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7.2</w:t>
      </w:r>
      <w:r>
        <w:rPr>
          <w:rFonts w:ascii="arial" w:eastAsia="arial" w:hAnsi="arial" w:cs="arial"/>
          <w:b w:val="0"/>
          <w:i w:val="0"/>
          <w:strike w:val="0"/>
          <w:noProof w:val="0"/>
          <w:color w:val="000000"/>
          <w:position w:val="0"/>
          <w:sz w:val="20"/>
          <w:u w:val="none"/>
          <w:vertAlign w:val="baseline"/>
        </w:rPr>
        <w:t xml:space="preserve"> Title having been deduced prior to the date of this Agreement, the Buyer accepts the Seller’s title to the Property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as set out in the unregistered title deduced to the Buyer in accordance with clause 7.1 OR as at the date and time of the official copies of the land register supplied to the Buyer by the Seller in accordance with clause 7.1</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7.3</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If the seller is not registered at the Land Registry as proprietor, insert the appropriate clause from Form 156 [1874] or Form 157 [1876] below</w:t>
      </w:r>
      <w:r>
        <w:rPr>
          <w:rFonts w:ascii="arial" w:eastAsia="arial" w:hAnsi="arial" w:cs="arial"/>
          <w:b w:val="0"/>
          <w:i w:val="0"/>
          <w:strike w:val="0"/>
          <w:noProof w:val="0"/>
          <w:color w:val="000000"/>
          <w:position w:val="0"/>
          <w:sz w:val="20"/>
          <w:u w:val="none"/>
          <w:vertAlign w:val="baseline"/>
        </w:rPr>
        <w:t>]</w:t>
      </w:r>
      <w:bookmarkStart w:id="14" w:name="Backward_fnref_ukContentIteme65106f9-a36"/>
      <w:hyperlink w:anchor="Forward_fnref_ukContentIteme65106f9-a367-4da8-921b-0e1787aa5688_REF" w:history="1">
        <w:r>
          <w:rPr>
            <w:rFonts w:ascii="arial" w:eastAsia="arial" w:hAnsi="arial" w:cs="arial"/>
            <w:b/>
            <w:i w:val="0"/>
            <w:strike w:val="0"/>
            <w:noProof w:val="0"/>
            <w:color w:val="BE161D"/>
            <w:position w:val="0"/>
            <w:sz w:val="20"/>
            <w:u w:val="none"/>
            <w:shd w:val="clear" w:color="auto" w:fill="FFFFFF"/>
            <w:vertAlign w:val="superscript"/>
          </w:rPr>
          <w:t>15</w:t>
        </w:r>
      </w:hyperlink>
      <w:bookmarkEnd w:id="14"/>
      <w:r>
        <w:rPr>
          <w:rFonts w:ascii="arial" w:eastAsia="arial" w:hAnsi="arial" w:cs="arial"/>
          <w:b/>
          <w:i w:val="0"/>
          <w:strike w:val="0"/>
          <w:noProof w:val="0"/>
          <w:color w:val="000000"/>
          <w:position w:val="0"/>
          <w:sz w:val="20"/>
          <w:u w:val="none"/>
          <w:vertAlign w:val="baseline"/>
        </w:rPr>
        <w:t>]</w:t>
      </w:r>
    </w:p>
    <w:p/>
    <w:p/>
    <w:p>
      <w:pPr>
        <w:keepNext w:val="0"/>
        <w:spacing w:before="0" w:after="0" w:line="260" w:lineRule="atLeast"/>
        <w:ind w:left="360" w:right="0"/>
        <w:jc w:val="right"/>
      </w:pPr>
      <w:r>
        <w:rPr>
          <w:rFonts w:ascii="arial" w:eastAsia="arial" w:hAnsi="arial" w:cs="arial"/>
          <w:b w:val="0"/>
          <w:i w:val="0"/>
          <w:strike w:val="0"/>
          <w:noProof w:val="0"/>
          <w:color w:val="000000"/>
          <w:position w:val="0"/>
          <w:sz w:val="20"/>
          <w:u w:val="none"/>
          <w:vertAlign w:val="baseline"/>
        </w:rPr>
        <w:t>[502]</w:t>
      </w:r>
      <w:r>
        <w:t>
</w:t>
      </w:r>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8</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Incumbrances</w:t>
      </w:r>
      <w:bookmarkStart w:id="15" w:name="Backward_fnref_ukContentItemddf4ed91-9d1"/>
      <w:hyperlink w:anchor="Forward_fnref_ukContentItemddf4ed91-9d1d-4576-af9e-0fc5d8e94a7d_REF" w:history="1">
        <w:r>
          <w:rPr>
            <w:rFonts w:ascii="arial" w:eastAsia="arial" w:hAnsi="arial" w:cs="arial"/>
            <w:b/>
            <w:i w:val="0"/>
            <w:strike w:val="0"/>
            <w:noProof w:val="0"/>
            <w:color w:val="BE161D"/>
            <w:position w:val="0"/>
            <w:sz w:val="20"/>
            <w:u w:val="none"/>
            <w:shd w:val="clear" w:color="auto" w:fill="FFFFFF"/>
            <w:vertAlign w:val="superscript"/>
          </w:rPr>
          <w:t>16</w:t>
        </w:r>
      </w:hyperlink>
      <w:bookmarkEnd w:id="15"/>
    </w:p>
    <w:p>
      <w:pPr>
        <w:keepNext w:val="0"/>
        <w:spacing w:before="0" w:after="0" w:line="260" w:lineRule="atLeast"/>
        <w:ind w:left="720" w:right="0"/>
        <w:jc w:val="left"/>
      </w:pPr>
      <w:r>
        <w:br/>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insert clauses 8.1 and 8.2 where the form of the transfer is not attached</w:t>
      </w:r>
      <w:r>
        <w:rPr>
          <w:rFonts w:ascii="arial" w:eastAsia="arial" w:hAnsi="arial" w:cs="arial"/>
          <w:b w:val="0"/>
          <w:i w:val="0"/>
          <w:strike w:val="0"/>
          <w:noProof w:val="0"/>
          <w:color w:val="000000"/>
          <w:position w:val="0"/>
          <w:sz w:val="20"/>
          <w:u w:val="none"/>
          <w:vertAlign w:val="baseline"/>
        </w:rPr>
        <w:t>]</w:t>
      </w:r>
      <w:r>
        <w:t>
</w:t>
      </w:r>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8.1</w:t>
      </w:r>
      <w:r>
        <w:rPr>
          <w:rFonts w:ascii="arial" w:eastAsia="arial" w:hAnsi="arial" w:cs="arial"/>
          <w:b w:val="0"/>
          <w:i w:val="0"/>
          <w:strike w:val="0"/>
          <w:noProof w:val="0"/>
          <w:color w:val="000000"/>
          <w:position w:val="0"/>
          <w:sz w:val="20"/>
          <w:u w:val="none"/>
          <w:vertAlign w:val="baseline"/>
        </w:rPr>
        <w:t xml:space="preserve"> The Property is sold subject to and (where appropriate) with the benefit of the matters contained or referred to in the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Documents</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property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proprietorship</w:t>
      </w:r>
      <w:r>
        <w:rPr>
          <w:rFonts w:ascii="arial" w:eastAsia="arial" w:hAnsi="arial" w:cs="arial"/>
          <w:b/>
          <w:i w:val="0"/>
          <w:strike w:val="0"/>
          <w:noProof w:val="0"/>
          <w:color w:val="000000"/>
          <w:position w:val="0"/>
          <w:sz w:val="20"/>
          <w:u w:val="none"/>
          <w:vertAlign w:val="baseline"/>
        </w:rPr>
        <w:t>]</w:t>
      </w:r>
      <w:bookmarkStart w:id="16" w:name="Backward_fnref_ukContentItem48e3f907-c8a"/>
      <w:hyperlink w:anchor="Forward_fnref_ukContentItem48e3f907-c8aa-41e1-9085-a1df8ff51b03_REF" w:history="1">
        <w:r>
          <w:rPr>
            <w:rFonts w:ascii="arial" w:eastAsia="arial" w:hAnsi="arial" w:cs="arial"/>
            <w:b/>
            <w:i w:val="0"/>
            <w:strike w:val="0"/>
            <w:noProof w:val="0"/>
            <w:color w:val="BE161D"/>
            <w:position w:val="0"/>
            <w:sz w:val="20"/>
            <w:u w:val="none"/>
            <w:shd w:val="clear" w:color="auto" w:fill="FFFFFF"/>
            <w:vertAlign w:val="superscript"/>
          </w:rPr>
          <w:t>17</w:t>
        </w:r>
      </w:hyperlink>
      <w:bookmarkEnd w:id="16"/>
      <w:r>
        <w:rPr>
          <w:rFonts w:ascii="arial" w:eastAsia="arial" w:hAnsi="arial" w:cs="arial"/>
          <w:b w:val="0"/>
          <w:i w:val="0"/>
          <w:strike w:val="0"/>
          <w:noProof w:val="0"/>
          <w:color w:val="000000"/>
          <w:position w:val="0"/>
          <w:sz w:val="20"/>
          <w:u w:val="none"/>
          <w:vertAlign w:val="baseline"/>
        </w:rPr>
        <w:t xml:space="preserve"> and charges registers of title number [</w:t>
      </w:r>
      <w:r>
        <w:rPr>
          <w:rFonts w:ascii="arial" w:eastAsia="arial" w:hAnsi="arial" w:cs="arial"/>
          <w:b w:val="0"/>
          <w:i/>
          <w:strike w:val="0"/>
          <w:noProof w:val="0"/>
          <w:color w:val="000000"/>
          <w:position w:val="0"/>
          <w:sz w:val="20"/>
          <w:u w:val="none"/>
          <w:vertAlign w:val="baseline"/>
        </w:rPr>
        <w:t>number</w:t>
      </w:r>
      <w:r>
        <w:rPr>
          <w:rFonts w:ascii="arial" w:eastAsia="arial" w:hAnsi="arial" w:cs="arial"/>
          <w:b w:val="0"/>
          <w:i w:val="0"/>
          <w:strike w:val="0"/>
          <w:noProof w:val="0"/>
          <w:color w:val="000000"/>
          <w:position w:val="0"/>
          <w:sz w:val="20"/>
          <w:u w:val="none"/>
          <w:vertAlign w:val="baseline"/>
        </w:rPr>
        <w:t>] as at the date and time of the official copies of the land register supplied to the Buyer by the Seller in accordance with clause 7.1</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except for the Seller’s subsisting mortgage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8.2</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The transfer of the Property shall contain a covenant by the Buyer (by way of indemnity only) that the Buyer will observe and perform the covenants, conditions and other matters contained or referred to in the documents referred to in clause 8.1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to the extent that they are subsisting and capable of taking effect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and will indemnify the Seller and the Seller's estate against all actions, proceedings, demands, claims, losses, costs, expenses, damages or liabilities of whatever kind which may be suffered or incurred by the Seller or the Seller's estate in respect of any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future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breach or non-observance or non-performance of those covenants, conditions and other matters.</w:t>
      </w:r>
      <w:bookmarkStart w:id="17" w:name="Backward_fnref_ukContentItem64b6391b-52e"/>
      <w:hyperlink w:anchor="Forward_fnref_ukContentItem64b6391b-52e0-48eb-91d7-68b173276678_REF" w:history="1">
        <w:r>
          <w:rPr>
            <w:rFonts w:ascii="arial" w:eastAsia="arial" w:hAnsi="arial" w:cs="arial"/>
            <w:b/>
            <w:i w:val="0"/>
            <w:strike w:val="0"/>
            <w:noProof w:val="0"/>
            <w:color w:val="BE161D"/>
            <w:position w:val="0"/>
            <w:sz w:val="20"/>
            <w:u w:val="none"/>
            <w:shd w:val="clear" w:color="auto" w:fill="FFFFFF"/>
            <w:vertAlign w:val="superscript"/>
          </w:rPr>
          <w:t>18</w:t>
        </w:r>
      </w:hyperlink>
      <w:bookmarkEnd w:id="17"/>
      <w:r>
        <w:rPr>
          <w:rFonts w:ascii="arial" w:eastAsia="arial" w:hAnsi="arial" w:cs="arial"/>
          <w:b/>
          <w:i w:val="0"/>
          <w:strike w:val="0"/>
          <w:noProof w:val="0"/>
          <w:color w:val="000000"/>
          <w:position w:val="0"/>
          <w:sz w:val="20"/>
          <w:u w:val="none"/>
          <w:vertAlign w:val="baseline"/>
        </w:rPr>
        <w:t>]</w:t>
      </w:r>
    </w:p>
    <w:p/>
    <w:p>
      <w:pPr>
        <w:keepNext w:val="0"/>
        <w:spacing w:before="0" w:after="0" w:line="260" w:lineRule="atLeast"/>
        <w:ind w:left="720" w:right="0"/>
        <w:jc w:val="both"/>
      </w:pPr>
      <w:r>
        <w:rPr>
          <w:rFonts w:ascii="arial" w:eastAsia="arial" w:hAnsi="arial" w:cs="arial"/>
          <w:b w:val="0"/>
          <w:i w:val="0"/>
          <w:strike w:val="0"/>
          <w:noProof w:val="0"/>
          <w:color w:val="000000"/>
          <w:position w:val="0"/>
          <w:sz w:val="20"/>
          <w:u w:val="none"/>
          <w:vertAlign w:val="baseline"/>
        </w:rPr>
        <w:t>OR</w:t>
      </w:r>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insert clauses 8.3–8.6 where the form of transfer is attached</w:t>
      </w:r>
      <w:r>
        <w:rPr>
          <w:rFonts w:ascii="arial" w:eastAsia="arial" w:hAnsi="arial" w:cs="arial"/>
          <w:b w:val="0"/>
          <w:i w:val="0"/>
          <w:strike w:val="0"/>
          <w:noProof w:val="0"/>
          <w:color w:val="000000"/>
          <w:position w:val="0"/>
          <w:sz w:val="20"/>
          <w:u w:val="none"/>
          <w:vertAlign w:val="baseline"/>
        </w:rPr>
        <w:t>]</w:t>
      </w:r>
      <w:r>
        <w:t>
</w:t>
      </w:r>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8.3</w:t>
      </w:r>
      <w:r>
        <w:rPr>
          <w:rFonts w:ascii="arial" w:eastAsia="arial" w:hAnsi="arial" w:cs="arial"/>
          <w:b w:val="0"/>
          <w:i w:val="0"/>
          <w:strike w:val="0"/>
          <w:noProof w:val="0"/>
          <w:color w:val="000000"/>
          <w:position w:val="0"/>
          <w:sz w:val="20"/>
          <w:u w:val="none"/>
          <w:vertAlign w:val="baseline"/>
        </w:rPr>
        <w:t xml:space="preserve"> The transfer to the Buyer shall be in the form of the attached draft transfer</w:t>
      </w:r>
      <w:bookmarkStart w:id="18" w:name="Backward_fnref_Clausex2014annexationOfTr"/>
      <w:hyperlink w:anchor="Forward_fnref_Clausex2014annexationOfTransferWhil-9B5156F3_REF" w:history="1">
        <w:r>
          <w:rPr>
            <w:rFonts w:ascii="arial" w:eastAsia="arial" w:hAnsi="arial" w:cs="arial"/>
            <w:b/>
            <w:i w:val="0"/>
            <w:strike w:val="0"/>
            <w:noProof w:val="0"/>
            <w:color w:val="BE161D"/>
            <w:position w:val="0"/>
            <w:sz w:val="20"/>
            <w:u w:val="none"/>
            <w:shd w:val="clear" w:color="auto" w:fill="FFFFFF"/>
            <w:vertAlign w:val="superscript"/>
          </w:rPr>
          <w:t>19</w:t>
        </w:r>
      </w:hyperlink>
      <w:bookmarkEnd w:id="18"/>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8.4</w:t>
      </w:r>
      <w:r>
        <w:rPr>
          <w:rFonts w:ascii="arial" w:eastAsia="arial" w:hAnsi="arial" w:cs="arial"/>
          <w:b w:val="0"/>
          <w:i w:val="0"/>
          <w:strike w:val="0"/>
          <w:noProof w:val="0"/>
          <w:color w:val="000000"/>
          <w:position w:val="0"/>
          <w:sz w:val="20"/>
          <w:u w:val="none"/>
          <w:vertAlign w:val="baseline"/>
        </w:rPr>
        <w:t xml:space="preserve"> The Property is sold subject to and (where appropriate) with the benefit of the rights, exceptions, reservations, covenants, restrictions and other matters (if any) referred to in the attached draft transfer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the matters contained or referred to in the property</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proprietorship</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and charges registers of title number [</w:t>
      </w:r>
      <w:r>
        <w:rPr>
          <w:rFonts w:ascii="arial" w:eastAsia="arial" w:hAnsi="arial" w:cs="arial"/>
          <w:b w:val="0"/>
          <w:i/>
          <w:strike w:val="0"/>
          <w:noProof w:val="0"/>
          <w:color w:val="000000"/>
          <w:position w:val="0"/>
          <w:sz w:val="20"/>
          <w:u w:val="none"/>
          <w:vertAlign w:val="baseline"/>
        </w:rPr>
        <w:t>number</w:t>
      </w:r>
      <w:r>
        <w:rPr>
          <w:rFonts w:ascii="arial" w:eastAsia="arial" w:hAnsi="arial" w:cs="arial"/>
          <w:b w:val="0"/>
          <w:i w:val="0"/>
          <w:strike w:val="0"/>
          <w:noProof w:val="0"/>
          <w:color w:val="000000"/>
          <w:position w:val="0"/>
          <w:sz w:val="20"/>
          <w:u w:val="none"/>
          <w:vertAlign w:val="baseline"/>
        </w:rPr>
        <w:t xml:space="preserve">] as at the date and time of the official copies of the land register supplied to the Buyer by the Seller in accordance with clause 7.1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except for the Seller’s subsisting mortgage</w:t>
      </w:r>
      <w:r>
        <w:rPr>
          <w:rFonts w:ascii="arial" w:eastAsia="arial" w:hAnsi="arial" w:cs="arial"/>
          <w:b/>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8.5</w:t>
      </w:r>
      <w:r>
        <w:rPr>
          <w:rFonts w:ascii="arial" w:eastAsia="arial" w:hAnsi="arial" w:cs="arial"/>
          <w:b w:val="0"/>
          <w:i w:val="0"/>
          <w:strike w:val="0"/>
          <w:noProof w:val="0"/>
          <w:color w:val="000000"/>
          <w:position w:val="0"/>
          <w:sz w:val="20"/>
          <w:u w:val="none"/>
          <w:vertAlign w:val="baseline"/>
        </w:rPr>
        <w:t xml:space="preserve"> The transfer shall be engrossed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in duplicate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in original and counterpart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by the Seller’s Solicitors and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the OR both</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engrossment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s</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shall be executed by the Buyer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the Seller</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before the Completion Date.</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8.6</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On completion the Buyer shall pay to the Seller’s Solicitors £[</w:t>
      </w:r>
      <w:r>
        <w:rPr>
          <w:rFonts w:ascii="arial" w:eastAsia="arial" w:hAnsi="arial" w:cs="arial"/>
          <w:b w:val="0"/>
          <w:i/>
          <w:strike w:val="0"/>
          <w:noProof w:val="0"/>
          <w:color w:val="000000"/>
          <w:position w:val="0"/>
          <w:sz w:val="20"/>
          <w:u w:val="none"/>
          <w:vertAlign w:val="baseline"/>
        </w:rPr>
        <w:t>amount</w:t>
      </w:r>
      <w:r>
        <w:rPr>
          <w:rFonts w:ascii="arial" w:eastAsia="arial" w:hAnsi="arial" w:cs="arial"/>
          <w:b w:val="0"/>
          <w:i w:val="0"/>
          <w:strike w:val="0"/>
          <w:noProof w:val="0"/>
          <w:color w:val="000000"/>
          <w:position w:val="0"/>
          <w:sz w:val="20"/>
          <w:u w:val="none"/>
          <w:vertAlign w:val="baseline"/>
        </w:rPr>
        <w:t>] and VAT for the Seller’s Solicitors’ costs of engrossment</w:t>
      </w:r>
      <w:bookmarkStart w:id="19" w:name="Backward_fnref_ukContentItem5f3dee68-b7d"/>
      <w:hyperlink w:anchor="Forward_fnref_ukContentItem5f3dee68-b7de-4218-aa6c-106baae0d5e5_REF" w:history="1">
        <w:r>
          <w:rPr>
            <w:rFonts w:ascii="arial" w:eastAsia="arial" w:hAnsi="arial" w:cs="arial"/>
            <w:b/>
            <w:i w:val="0"/>
            <w:strike w:val="0"/>
            <w:noProof w:val="0"/>
            <w:color w:val="BE161D"/>
            <w:position w:val="0"/>
            <w:sz w:val="20"/>
            <w:u w:val="none"/>
            <w:shd w:val="clear" w:color="auto" w:fill="FFFFFF"/>
            <w:vertAlign w:val="superscript"/>
          </w:rPr>
          <w:t>20</w:t>
        </w:r>
      </w:hyperlink>
      <w:bookmarkEnd w:id="19"/>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p>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9</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Matters affecting the Property</w:t>
      </w:r>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 xml:space="preserve">There will be added to Standard Condition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3.1.2 OR 4.1.2</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the following:</w:t>
      </w:r>
      <w:r>
        <w:t>
</w:t>
      </w:r>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9.1</w:t>
      </w:r>
      <w:r>
        <w:rPr>
          <w:rFonts w:ascii="arial" w:eastAsia="arial" w:hAnsi="arial" w:cs="arial"/>
          <w:b w:val="0"/>
          <w:i w:val="0"/>
          <w:strike w:val="0"/>
          <w:noProof w:val="0"/>
          <w:color w:val="000000"/>
          <w:position w:val="0"/>
          <w:sz w:val="20"/>
          <w:u w:val="none"/>
          <w:vertAlign w:val="baseline"/>
        </w:rPr>
        <w:t xml:space="preserve"> all local land charges, whether or not registered before the date of this Agreement, and all matters capable of registration as local land charges, whether or not actually so registered;</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9.2</w:t>
      </w:r>
      <w:r>
        <w:rPr>
          <w:rFonts w:ascii="arial" w:eastAsia="arial" w:hAnsi="arial" w:cs="arial"/>
          <w:b w:val="0"/>
          <w:i w:val="0"/>
          <w:strike w:val="0"/>
          <w:noProof w:val="0"/>
          <w:color w:val="000000"/>
          <w:position w:val="0"/>
          <w:sz w:val="20"/>
          <w:u w:val="none"/>
          <w:vertAlign w:val="baseline"/>
        </w:rPr>
        <w:t xml:space="preserve"> all notices served and orders, demands, proposals or requirements made by any local, public or other competent authority, whether before or after the date of this Agreement;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9.3</w:t>
      </w:r>
      <w:r>
        <w:rPr>
          <w:rFonts w:ascii="arial" w:eastAsia="arial" w:hAnsi="arial" w:cs="arial"/>
          <w:b w:val="0"/>
          <w:i w:val="0"/>
          <w:strike w:val="0"/>
          <w:noProof w:val="0"/>
          <w:color w:val="000000"/>
          <w:position w:val="0"/>
          <w:sz w:val="20"/>
          <w:u w:val="none"/>
          <w:vertAlign w:val="baseline"/>
        </w:rPr>
        <w:t xml:space="preserve"> all actual or proposed charges, notices, orders, restrictions, agreements, conditions, contraventions or other matters arising under any statute;</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9.4</w:t>
      </w:r>
      <w:r>
        <w:rPr>
          <w:rFonts w:ascii="arial" w:eastAsia="arial" w:hAnsi="arial" w:cs="arial"/>
          <w:b w:val="0"/>
          <w:i w:val="0"/>
          <w:strike w:val="0"/>
          <w:noProof w:val="0"/>
          <w:color w:val="000000"/>
          <w:position w:val="0"/>
          <w:sz w:val="20"/>
          <w:u w:val="none"/>
          <w:vertAlign w:val="baseline"/>
        </w:rPr>
        <w:t xml:space="preserve"> all easements, quasi-easements, rights, exceptions or other similar matters, whether or not apparent on inspection or disclosed in any of the documents referred to in this Agreement;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9.5</w:t>
      </w:r>
      <w:r>
        <w:rPr>
          <w:rFonts w:ascii="arial" w:eastAsia="arial" w:hAnsi="arial" w:cs="arial"/>
          <w:b w:val="0"/>
          <w:i w:val="0"/>
          <w:strike w:val="0"/>
          <w:noProof w:val="0"/>
          <w:color w:val="000000"/>
          <w:position w:val="0"/>
          <w:sz w:val="20"/>
          <w:u w:val="none"/>
          <w:vertAlign w:val="baseline"/>
        </w:rPr>
        <w:t xml:space="preserve"> all matters which are (or where the Property is not registered, would be) unregistered interests which override first registration of title under the Land Registration Act 2002 Schedule 1 and (where the Property is registered) unregistered interests which override registered dispositions under the Land Registration Act 2002 Schedule 3;</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9.6</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val="0"/>
          <w:i/>
          <w:strike w:val="0"/>
          <w:noProof w:val="0"/>
          <w:color w:val="000000"/>
          <w:position w:val="0"/>
          <w:sz w:val="20"/>
          <w:u w:val="none"/>
          <w:vertAlign w:val="baseline"/>
        </w:rPr>
        <w:t>insert details of any other incumbrances not mentioned elsewhere or in the standard conditions, for example rights not created by documents</w:t>
      </w:r>
      <w:r>
        <w:rPr>
          <w:rFonts w:ascii="arial" w:eastAsia="arial" w:hAnsi="arial" w:cs="arial"/>
          <w:b w:val="0"/>
          <w:i w:val="0"/>
          <w:strike w:val="0"/>
          <w:noProof w:val="0"/>
          <w:color w:val="000000"/>
          <w:position w:val="0"/>
          <w:sz w:val="20"/>
          <w:u w:val="none"/>
          <w:vertAlign w:val="baseline"/>
        </w:rPr>
        <w:t>]</w:t>
      </w:r>
      <w:bookmarkStart w:id="20" w:name="Backward_fnref_ukContentItemb007bd7b-527"/>
      <w:hyperlink w:anchor="Forward_fnref_ukContentItemb007bd7b-527f-4b99-95ce-66aea2d52cd9_REF" w:history="1">
        <w:r>
          <w:rPr>
            <w:rFonts w:ascii="arial" w:eastAsia="arial" w:hAnsi="arial" w:cs="arial"/>
            <w:b/>
            <w:i w:val="0"/>
            <w:strike w:val="0"/>
            <w:noProof w:val="0"/>
            <w:color w:val="BE161D"/>
            <w:position w:val="0"/>
            <w:sz w:val="20"/>
            <w:u w:val="none"/>
            <w:shd w:val="clear" w:color="auto" w:fill="FFFFFF"/>
            <w:vertAlign w:val="superscript"/>
          </w:rPr>
          <w:t>21</w:t>
        </w:r>
      </w:hyperlink>
      <w:bookmarkEnd w:id="20"/>
    </w:p>
    <w:p/>
    <w:p/>
    <w:p>
      <w:pPr>
        <w:keepNext w:val="0"/>
        <w:spacing w:before="0" w:after="0" w:line="260" w:lineRule="atLeast"/>
        <w:ind w:left="360" w:right="0"/>
        <w:jc w:val="right"/>
      </w:pPr>
      <w:r>
        <w:rPr>
          <w:rFonts w:ascii="arial" w:eastAsia="arial" w:hAnsi="arial" w:cs="arial"/>
          <w:b w:val="0"/>
          <w:i w:val="0"/>
          <w:strike w:val="0"/>
          <w:noProof w:val="0"/>
          <w:color w:val="000000"/>
          <w:position w:val="0"/>
          <w:sz w:val="20"/>
          <w:u w:val="none"/>
          <w:vertAlign w:val="baseline"/>
        </w:rPr>
        <w:t>[503]</w:t>
      </w:r>
      <w:r>
        <w:t>
</w:t>
      </w:r>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10</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Disclaimer</w:t>
      </w:r>
      <w:bookmarkStart w:id="21" w:name="Backward_fnref_ukContentItemdce482c6-fea"/>
      <w:hyperlink w:anchor="Forward_fnref_ukContentItemdce482c6-feae-44f8-a978-27eaa22ac2aa_REF" w:history="1">
        <w:r>
          <w:rPr>
            <w:rFonts w:ascii="arial" w:eastAsia="arial" w:hAnsi="arial" w:cs="arial"/>
            <w:b/>
            <w:i w:val="0"/>
            <w:strike w:val="0"/>
            <w:noProof w:val="0"/>
            <w:color w:val="BE161D"/>
            <w:position w:val="0"/>
            <w:sz w:val="20"/>
            <w:u w:val="none"/>
            <w:shd w:val="clear" w:color="auto" w:fill="FFFFFF"/>
            <w:vertAlign w:val="superscript"/>
          </w:rPr>
          <w:t>22</w:t>
        </w:r>
      </w:hyperlink>
      <w:bookmarkEnd w:id="21"/>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The Buyer admits that:</w:t>
      </w:r>
      <w:r>
        <w:t>
</w:t>
      </w:r>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10.1</w:t>
      </w:r>
      <w:r>
        <w:rPr>
          <w:rFonts w:ascii="arial" w:eastAsia="arial" w:hAnsi="arial" w:cs="arial"/>
          <w:b w:val="0"/>
          <w:i w:val="0"/>
          <w:strike w:val="0"/>
          <w:noProof w:val="0"/>
          <w:color w:val="000000"/>
          <w:position w:val="0"/>
          <w:sz w:val="20"/>
          <w:u w:val="none"/>
          <w:vertAlign w:val="baseline"/>
        </w:rPr>
        <w:t xml:space="preserve"> the Buyer has inspected the Property and purchases it with full knowledge of its actual state and condition and shall take the Property as it stands;</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10.2</w:t>
      </w:r>
      <w:r>
        <w:rPr>
          <w:rFonts w:ascii="arial" w:eastAsia="arial" w:hAnsi="arial" w:cs="arial"/>
          <w:b w:val="0"/>
          <w:i w:val="0"/>
          <w:strike w:val="0"/>
          <w:noProof w:val="0"/>
          <w:color w:val="000000"/>
          <w:position w:val="0"/>
          <w:sz w:val="20"/>
          <w:u w:val="none"/>
          <w:vertAlign w:val="baseline"/>
        </w:rPr>
        <w:t xml:space="preserve"> the Buyer enters into this Agreement solely as a result of the Buyer's own inspection and on the basis of the terms of this Agreement and not in reliance upon any representation or warranty, written or oral or implied, made by or on behalf of the Seller (except for any representation or warranty contained in written replies given by the Seller’s Solicitors to any written preliminary enquiries raised by the Buyer’s Solicitors);</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10.3</w:t>
      </w:r>
      <w:r>
        <w:rPr>
          <w:rFonts w:ascii="arial" w:eastAsia="arial" w:hAnsi="arial" w:cs="arial"/>
          <w:b w:val="0"/>
          <w:i w:val="0"/>
          <w:strike w:val="0"/>
          <w:noProof w:val="0"/>
          <w:color w:val="000000"/>
          <w:position w:val="0"/>
          <w:sz w:val="20"/>
          <w:u w:val="none"/>
          <w:vertAlign w:val="baseline"/>
        </w:rPr>
        <w:t xml:space="preserve"> the replies referred to in clause 10.2 do not constitute a representation that the Seller has made such investigation as could reasonably be expected to be made by or under the guidance of a prudent conveyancer</w:t>
      </w:r>
      <w:bookmarkStart w:id="22" w:name="Backward_fnref_ukContentItem6069881f-f38"/>
      <w:hyperlink w:anchor="Forward_fnref_ukContentItem6069881f-f389-4b4e-bfc7-18f1642d1910_REF" w:history="1">
        <w:r>
          <w:rPr>
            <w:rFonts w:ascii="arial" w:eastAsia="arial" w:hAnsi="arial" w:cs="arial"/>
            <w:b/>
            <w:i w:val="0"/>
            <w:strike w:val="0"/>
            <w:noProof w:val="0"/>
            <w:color w:val="BE161D"/>
            <w:position w:val="0"/>
            <w:sz w:val="20"/>
            <w:u w:val="none"/>
            <w:shd w:val="clear" w:color="auto" w:fill="FFFFFF"/>
            <w:vertAlign w:val="superscript"/>
          </w:rPr>
          <w:t>23</w:t>
        </w:r>
      </w:hyperlink>
      <w:bookmarkEnd w:id="22"/>
      <w:r>
        <w:rPr>
          <w:rFonts w:ascii="arial" w:eastAsia="arial" w:hAnsi="arial" w:cs="arial"/>
          <w:b w:val="0"/>
          <w:i w:val="0"/>
          <w:strike w:val="0"/>
          <w:noProof w:val="0"/>
          <w:color w:val="000000"/>
          <w:position w:val="0"/>
          <w:sz w:val="20"/>
          <w:u w:val="none"/>
          <w:vertAlign w:val="baseline"/>
        </w:rPr>
        <w:t>;</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10.4</w:t>
      </w:r>
      <w:r>
        <w:rPr>
          <w:rFonts w:ascii="arial" w:eastAsia="arial" w:hAnsi="arial" w:cs="arial"/>
          <w:b w:val="0"/>
          <w:i w:val="0"/>
          <w:strike w:val="0"/>
          <w:noProof w:val="0"/>
          <w:color w:val="000000"/>
          <w:position w:val="0"/>
          <w:sz w:val="20"/>
          <w:u w:val="none"/>
          <w:vertAlign w:val="baseline"/>
        </w:rPr>
        <w:t xml:space="preserve"> this Agreement contains the entire agreement between the parties.</w:t>
      </w:r>
    </w:p>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11</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Incorporation of conditions of sale</w:t>
      </w:r>
      <w:bookmarkStart w:id="23" w:name="Backward_fnref_ukContentIteme43adbf9-054"/>
      <w:hyperlink w:anchor="Forward_fnref_ukContentIteme43adbf9-054d-420b-98d1-32371423a8b3_REF" w:history="1">
        <w:r>
          <w:rPr>
            <w:rFonts w:ascii="arial" w:eastAsia="arial" w:hAnsi="arial" w:cs="arial"/>
            <w:b/>
            <w:i w:val="0"/>
            <w:strike w:val="0"/>
            <w:noProof w:val="0"/>
            <w:color w:val="BE161D"/>
            <w:position w:val="0"/>
            <w:sz w:val="20"/>
            <w:u w:val="none"/>
            <w:shd w:val="clear" w:color="auto" w:fill="FFFFFF"/>
            <w:vertAlign w:val="superscript"/>
          </w:rPr>
          <w:t>24</w:t>
        </w:r>
      </w:hyperlink>
      <w:bookmarkEnd w:id="23"/>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 xml:space="preserve">The Standard Conditions shall apply to this Agreement and are incorporated in it to the extent that they are applicable to a sale by private treaty and are not varied by or inconsistent with the terms of this Agreement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shall be amended as follows: [</w:t>
      </w:r>
      <w:r>
        <w:rPr>
          <w:rFonts w:ascii="arial" w:eastAsia="arial" w:hAnsi="arial" w:cs="arial"/>
          <w:b w:val="0"/>
          <w:i/>
          <w:strike w:val="0"/>
          <w:noProof w:val="0"/>
          <w:color w:val="000000"/>
          <w:position w:val="0"/>
          <w:sz w:val="20"/>
          <w:u w:val="none"/>
          <w:vertAlign w:val="baseline"/>
        </w:rPr>
        <w:t>insert details of amendments required</w:t>
      </w: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12</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Restriction on assignment</w:t>
      </w:r>
      <w:bookmarkStart w:id="24" w:name="Backward_fnref_ukContentItem176923c8-ff2"/>
      <w:hyperlink w:anchor="Forward_fnref_ukContentItem176923c8-ff26-494e-9b09-273803b68c29_REF" w:history="1">
        <w:r>
          <w:rPr>
            <w:rFonts w:ascii="arial" w:eastAsia="arial" w:hAnsi="arial" w:cs="arial"/>
            <w:b/>
            <w:i w:val="0"/>
            <w:strike w:val="0"/>
            <w:noProof w:val="0"/>
            <w:color w:val="BE161D"/>
            <w:position w:val="0"/>
            <w:sz w:val="20"/>
            <w:u w:val="none"/>
            <w:shd w:val="clear" w:color="auto" w:fill="FFFFFF"/>
            <w:vertAlign w:val="superscript"/>
          </w:rPr>
          <w:t>25</w:t>
        </w:r>
      </w:hyperlink>
      <w:bookmarkEnd w:id="24"/>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This Agreement is personal to the Buyer and is not capable of being assigned, charged or mortgaged</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except by way of floating charge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13</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Contents</w:t>
      </w:r>
      <w:bookmarkStart w:id="25" w:name="Backward_fnref_ukContentItem1c447508-209"/>
      <w:hyperlink w:anchor="Forward_fnref_ukContentItem1c447508-2091-4044-bb23-83d031e51dfd_REF" w:history="1">
        <w:r>
          <w:rPr>
            <w:rFonts w:ascii="arial" w:eastAsia="arial" w:hAnsi="arial" w:cs="arial"/>
            <w:b/>
            <w:i w:val="0"/>
            <w:strike w:val="0"/>
            <w:noProof w:val="0"/>
            <w:color w:val="BE161D"/>
            <w:position w:val="0"/>
            <w:sz w:val="20"/>
            <w:u w:val="none"/>
            <w:shd w:val="clear" w:color="auto" w:fill="FFFFFF"/>
            <w:vertAlign w:val="superscript"/>
          </w:rPr>
          <w:t>26</w:t>
        </w:r>
      </w:hyperlink>
      <w:bookmarkEnd w:id="25"/>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13.1</w:t>
      </w:r>
      <w:r>
        <w:rPr>
          <w:rFonts w:ascii="arial" w:eastAsia="arial" w:hAnsi="arial" w:cs="arial"/>
          <w:b w:val="0"/>
          <w:i w:val="0"/>
          <w:strike w:val="0"/>
          <w:noProof w:val="0"/>
          <w:color w:val="000000"/>
          <w:position w:val="0"/>
          <w:sz w:val="20"/>
          <w:u w:val="none"/>
          <w:vertAlign w:val="baseline"/>
        </w:rPr>
        <w:t xml:space="preserve"> The Seller shall sell and the Buyer shall purchase the Contents at the Contents Price.</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13.2</w:t>
      </w:r>
      <w:r>
        <w:rPr>
          <w:rFonts w:ascii="arial" w:eastAsia="arial" w:hAnsi="arial" w:cs="arial"/>
          <w:b w:val="0"/>
          <w:i w:val="0"/>
          <w:strike w:val="0"/>
          <w:noProof w:val="0"/>
          <w:color w:val="000000"/>
          <w:position w:val="0"/>
          <w:sz w:val="20"/>
          <w:u w:val="none"/>
          <w:vertAlign w:val="baseline"/>
        </w:rPr>
        <w:t xml:space="preserve"> The Seller warrants that the Seller is entitled to sell the Contents free from any charge, lien, burden or adverse claim.</w:t>
      </w:r>
      <w:r>
        <w:rPr>
          <w:rFonts w:ascii="arial" w:eastAsia="arial" w:hAnsi="arial" w:cs="arial"/>
          <w:b/>
          <w:i w:val="0"/>
          <w:strike w:val="0"/>
          <w:noProof w:val="0"/>
          <w:color w:val="000000"/>
          <w:position w:val="0"/>
          <w:sz w:val="20"/>
          <w:u w:val="none"/>
          <w:vertAlign w:val="baseline"/>
        </w:rPr>
        <w:t>]</w:t>
      </w:r>
    </w:p>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14</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VAT provisions</w:t>
      </w:r>
      <w:bookmarkStart w:id="26" w:name="Backward_fnref_ukContentItem13e44cf4-f8e"/>
      <w:hyperlink w:anchor="Forward_fnref_ukContentItem13e44cf4-f8ed-4425-95e6-8bb8b770d0a3_REF" w:history="1">
        <w:r>
          <w:rPr>
            <w:rFonts w:ascii="arial" w:eastAsia="arial" w:hAnsi="arial" w:cs="arial"/>
            <w:b/>
            <w:i w:val="0"/>
            <w:strike w:val="0"/>
            <w:noProof w:val="0"/>
            <w:color w:val="BE161D"/>
            <w:position w:val="0"/>
            <w:sz w:val="20"/>
            <w:u w:val="none"/>
            <w:shd w:val="clear" w:color="auto" w:fill="FFFFFF"/>
            <w:vertAlign w:val="superscript"/>
          </w:rPr>
          <w:t>27</w:t>
        </w:r>
      </w:hyperlink>
      <w:bookmarkEnd w:id="26"/>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14.1</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insert if the Standard Conditions of Sale (5th Edn—2018 Revision) are incorporated</w:t>
      </w:r>
      <w:r>
        <w:rPr>
          <w:rFonts w:ascii="arial" w:eastAsia="arial" w:hAnsi="arial" w:cs="arial"/>
          <w:b w:val="0"/>
          <w:i w:val="0"/>
          <w:strike w:val="0"/>
          <w:noProof w:val="0"/>
          <w:color w:val="000000"/>
          <w:position w:val="0"/>
          <w:sz w:val="20"/>
          <w:u w:val="none"/>
          <w:vertAlign w:val="baseline"/>
        </w:rPr>
        <w:t>]</w:t>
      </w:r>
    </w:p>
    <w:p>
      <w:pPr>
        <w:keepNext w:val="0"/>
        <w:spacing w:before="0" w:after="0" w:line="260" w:lineRule="atLeast"/>
        <w:ind w:left="1080" w:right="0"/>
        <w:jc w:val="both"/>
      </w:pPr>
      <w:r>
        <w:br/>
      </w:r>
      <w:r>
        <w:rPr>
          <w:rFonts w:ascii="arial" w:eastAsia="arial" w:hAnsi="arial" w:cs="arial"/>
          <w:b w:val="0"/>
          <w:i w:val="0"/>
          <w:strike w:val="0"/>
          <w:noProof w:val="0"/>
          <w:color w:val="000000"/>
          <w:position w:val="0"/>
          <w:sz w:val="20"/>
          <w:u w:val="none"/>
          <w:vertAlign w:val="baseline"/>
        </w:rPr>
        <w:t xml:space="preserve">The Purchase Price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and the Contents Price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is OR are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inclusive OR exclusive</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of VAT at the standard rate as at the date of actual completion.</w:t>
      </w:r>
    </w:p>
    <w:p>
      <w:pPr>
        <w:keepNext w:val="0"/>
        <w:spacing w:before="0" w:after="0" w:line="260" w:lineRule="atLeast"/>
        <w:ind w:left="1080" w:right="0"/>
        <w:jc w:val="both"/>
      </w:pPr>
      <w:r>
        <w:br/>
      </w:r>
      <w:r>
        <w:rPr>
          <w:rFonts w:ascii="arial" w:eastAsia="arial" w:hAnsi="arial" w:cs="arial"/>
          <w:b w:val="0"/>
          <w:i w:val="0"/>
          <w:strike w:val="0"/>
          <w:noProof w:val="0"/>
          <w:color w:val="000000"/>
          <w:position w:val="0"/>
          <w:sz w:val="20"/>
          <w:u w:val="none"/>
          <w:vertAlign w:val="baseline"/>
        </w:rPr>
        <w:t>OR</w:t>
      </w:r>
    </w:p>
    <w:p>
      <w:pPr>
        <w:keepNext w:val="0"/>
        <w:spacing w:before="0" w:after="0" w:line="260" w:lineRule="atLeast"/>
        <w:ind w:left="1080" w:right="0"/>
        <w:jc w:val="both"/>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insert if the Standard Commercial Property Conditions (3rd Edn—2018 Revision) are incorporated</w:t>
      </w:r>
      <w:r>
        <w:rPr>
          <w:rFonts w:ascii="arial" w:eastAsia="arial" w:hAnsi="arial" w:cs="arial"/>
          <w:b w:val="0"/>
          <w:i w:val="0"/>
          <w:strike w:val="0"/>
          <w:noProof w:val="0"/>
          <w:color w:val="000000"/>
          <w:position w:val="0"/>
          <w:sz w:val="20"/>
          <w:u w:val="none"/>
          <w:vertAlign w:val="baseline"/>
        </w:rPr>
        <w:t>]</w:t>
      </w:r>
    </w:p>
    <w:p>
      <w:pPr>
        <w:keepNext w:val="0"/>
        <w:spacing w:before="0" w:after="0" w:line="260" w:lineRule="atLeast"/>
        <w:ind w:left="1080" w:right="0"/>
        <w:jc w:val="left"/>
      </w:pPr>
      <w:r>
        <w:br/>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Standard Conditions Part 1, condition 2 (VAT standard rated supply) OR Standard Conditions Part 2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A1 (VAT not a taxable supply) OR A2 (Transfer of a going concern)</w:t>
      </w:r>
      <w:r>
        <w:rPr>
          <w:rFonts w:ascii="arial" w:eastAsia="arial" w:hAnsi="arial" w:cs="arial"/>
          <w:b/>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is included in this Agreement.</w:t>
      </w:r>
      <w:r>
        <w:rPr>
          <w:rFonts w:ascii="arial" w:eastAsia="arial" w:hAnsi="arial" w:cs="arial"/>
          <w:b/>
          <w:i w:val="0"/>
          <w:strike w:val="0"/>
          <w:noProof w:val="0"/>
          <w:color w:val="000000"/>
          <w:position w:val="0"/>
          <w:sz w:val="20"/>
          <w:u w:val="none"/>
          <w:vertAlign w:val="baseline"/>
        </w:rPr>
        <w:t>]</w:t>
      </w:r>
      <w:r>
        <w:t>
</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14.2</w:t>
      </w:r>
      <w:r>
        <w:rPr>
          <w:rFonts w:ascii="arial" w:eastAsia="arial" w:hAnsi="arial" w:cs="arial"/>
          <w:b w:val="0"/>
          <w:i w:val="0"/>
          <w:strike w:val="0"/>
          <w:noProof w:val="0"/>
          <w:color w:val="000000"/>
          <w:position w:val="0"/>
          <w:sz w:val="20"/>
          <w:u w:val="none"/>
          <w:vertAlign w:val="baseline"/>
        </w:rPr>
        <w:t xml:space="preserve"> All VAT payable by the Buyer shall be paid at the same time as the payment on which it is chargeable.</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14.3</w:t>
      </w:r>
      <w:r>
        <w:rPr>
          <w:rFonts w:ascii="arial" w:eastAsia="arial" w:hAnsi="arial" w:cs="arial"/>
          <w:b w:val="0"/>
          <w:i w:val="0"/>
          <w:strike w:val="0"/>
          <w:noProof w:val="0"/>
          <w:color w:val="000000"/>
          <w:position w:val="0"/>
          <w:sz w:val="20"/>
          <w:u w:val="none"/>
          <w:vertAlign w:val="baseline"/>
        </w:rPr>
        <w:t xml:space="preserve"> The Seller shall provide the Buyer with a receipted VAT invoice for any VAT paid by the Buyer under this Agreement.</w:t>
      </w:r>
      <w:r>
        <w:rPr>
          <w:rFonts w:ascii="arial" w:eastAsia="arial" w:hAnsi="arial" w:cs="arial"/>
          <w:b/>
          <w:i w:val="0"/>
          <w:strike w:val="0"/>
          <w:noProof w:val="0"/>
          <w:color w:val="000000"/>
          <w:position w:val="0"/>
          <w:sz w:val="20"/>
          <w:u w:val="none"/>
          <w:vertAlign w:val="baseline"/>
        </w:rPr>
        <w:t>]</w:t>
      </w:r>
    </w:p>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15</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Nature of this Agreement</w:t>
      </w:r>
      <w:bookmarkStart w:id="27" w:name="Backward_fnref_ukContentItem7536854c-da1"/>
      <w:hyperlink w:anchor="Forward_fnref_ukContentItem7536854c-da13-4ff0-a3b4-e655d6aaf836_REF" w:history="1">
        <w:r>
          <w:rPr>
            <w:rFonts w:ascii="arial" w:eastAsia="arial" w:hAnsi="arial" w:cs="arial"/>
            <w:b/>
            <w:i w:val="0"/>
            <w:strike w:val="0"/>
            <w:noProof w:val="0"/>
            <w:color w:val="BE161D"/>
            <w:position w:val="0"/>
            <w:sz w:val="20"/>
            <w:u w:val="none"/>
            <w:shd w:val="clear" w:color="auto" w:fill="FFFFFF"/>
            <w:vertAlign w:val="superscript"/>
          </w:rPr>
          <w:t>28</w:t>
        </w:r>
      </w:hyperlink>
      <w:bookmarkEnd w:id="27"/>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 xml:space="preserve">This Agreement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is OR is not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a deed and </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has OR has not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been executed by the parties to it as a deed.</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16</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Contractual rights of third parties</w:t>
      </w:r>
      <w:bookmarkStart w:id="28" w:name="Backward_fnref_ukContentItem413af041-28a"/>
      <w:hyperlink w:anchor="Forward_fnref_ukContentItem413af041-28ae-44cb-b1b3-ff393be3b304_REF" w:history="1">
        <w:r>
          <w:rPr>
            <w:rFonts w:ascii="arial" w:eastAsia="arial" w:hAnsi="arial" w:cs="arial"/>
            <w:b/>
            <w:i w:val="0"/>
            <w:strike w:val="0"/>
            <w:noProof w:val="0"/>
            <w:color w:val="BE161D"/>
            <w:position w:val="0"/>
            <w:sz w:val="20"/>
            <w:u w:val="none"/>
            <w:shd w:val="clear" w:color="auto" w:fill="FFFFFF"/>
            <w:vertAlign w:val="superscript"/>
          </w:rPr>
          <w:t>29</w:t>
        </w:r>
      </w:hyperlink>
      <w:bookmarkEnd w:id="28"/>
    </w:p>
    <w:p>
      <w:pPr>
        <w:keepNext w:val="0"/>
        <w:spacing w:before="0" w:after="0" w:line="260" w:lineRule="atLeast"/>
        <w:ind w:left="720" w:right="0"/>
        <w:jc w:val="both"/>
      </w:pPr>
      <w:r>
        <w:br/>
      </w:r>
      <w:r>
        <w:rPr>
          <w:rFonts w:ascii="arial" w:eastAsia="arial" w:hAnsi="arial" w:cs="arial"/>
          <w:b w:val="0"/>
          <w:i w:val="0"/>
          <w:strike w:val="0"/>
          <w:noProof w:val="0"/>
          <w:color w:val="000000"/>
          <w:position w:val="0"/>
          <w:sz w:val="20"/>
          <w:u w:val="none"/>
          <w:vertAlign w:val="baseline"/>
        </w:rPr>
        <w:t>For the purposes of the Contracts (Rights of Third Parties) Act 1999, it is agreed that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with the exception only of [</w:t>
      </w:r>
      <w:r>
        <w:rPr>
          <w:rFonts w:ascii="arial" w:eastAsia="arial" w:hAnsi="arial" w:cs="arial"/>
          <w:b w:val="0"/>
          <w:i/>
          <w:strike w:val="0"/>
          <w:noProof w:val="0"/>
          <w:color w:val="000000"/>
          <w:position w:val="0"/>
          <w:sz w:val="20"/>
          <w:u w:val="none"/>
          <w:vertAlign w:val="baseline"/>
        </w:rPr>
        <w:t>specify clauses</w:t>
      </w: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nothing in this Agreement shall confer on any third party any right to enforce or any benefit of any term of this Agreement.</w:t>
      </w:r>
      <w:r>
        <w:rPr>
          <w:rFonts w:ascii="arial" w:eastAsia="arial" w:hAnsi="arial" w:cs="arial"/>
          <w:b/>
          <w:i w:val="0"/>
          <w:strike w:val="0"/>
          <w:noProof w:val="0"/>
          <w:color w:val="000000"/>
          <w:position w:val="0"/>
          <w:sz w:val="20"/>
          <w:u w:val="none"/>
          <w:vertAlign w:val="baseline"/>
        </w:rPr>
        <w:t>]</w:t>
      </w:r>
      <w:r>
        <w:t>
</w:t>
      </w:r>
    </w:p>
    <w:p/>
    <w:p>
      <w:pPr>
        <w:keepNext w:val="0"/>
        <w:spacing w:before="0" w:after="0" w:line="260" w:lineRule="atLeast"/>
        <w:ind w:left="720" w:right="0"/>
        <w:jc w:val="left"/>
      </w:pPr>
      <w:r>
        <w:rPr>
          <w:rFonts w:ascii="arial" w:eastAsia="arial" w:hAnsi="arial" w:cs="arial"/>
          <w:b/>
          <w:i w:val="0"/>
          <w:strike w:val="0"/>
          <w:noProof w:val="0"/>
          <w:color w:val="000000"/>
          <w:position w:val="0"/>
          <w:sz w:val="20"/>
          <w:u w:val="none"/>
          <w:vertAlign w:val="baseline"/>
        </w:rPr>
        <w:t>17</w:t>
      </w:r>
      <w:r>
        <w:rPr>
          <w:rFonts w:ascii="arial" w:eastAsia="arial" w:hAnsi="arial" w:cs="arial"/>
          <w:b w:val="0"/>
          <w:i w:val="0"/>
          <w:strike w:val="0"/>
          <w:noProof w:val="0"/>
          <w:color w:val="000000"/>
          <w:position w:val="0"/>
          <w:sz w:val="20"/>
          <w:u w:val="none"/>
          <w:vertAlign w:val="baseline"/>
        </w:rPr>
        <w:t xml:space="preserve"> </w:t>
      </w:r>
      <w:r>
        <w:rPr>
          <w:rFonts w:ascii="arial" w:eastAsia="arial" w:hAnsi="arial" w:cs="arial"/>
          <w:b/>
          <w:i w:val="0"/>
          <w:strike w:val="0"/>
          <w:noProof w:val="0"/>
          <w:color w:val="000000"/>
          <w:position w:val="0"/>
          <w:sz w:val="20"/>
          <w:u w:val="none"/>
          <w:vertAlign w:val="baseline"/>
        </w:rPr>
        <w:t>Severance</w:t>
      </w:r>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17.1</w:t>
      </w:r>
      <w:r>
        <w:rPr>
          <w:rFonts w:ascii="arial" w:eastAsia="arial" w:hAnsi="arial" w:cs="arial"/>
          <w:b w:val="0"/>
          <w:i w:val="0"/>
          <w:strike w:val="0"/>
          <w:noProof w:val="0"/>
          <w:color w:val="000000"/>
          <w:position w:val="0"/>
          <w:sz w:val="20"/>
          <w:u w:val="none"/>
          <w:vertAlign w:val="baseline"/>
        </w:rPr>
        <w:t xml:space="preserve"> Whilst the terms and provisions of this Agreement are considered by the parties to be reasonable in all the circumstances, if any one or more should for any reason be held to extend beyond the limits permitted by the law governing this Agreement, then those terms or provisions are to be varied with the minimum modifications necessary so as to make them valid and effective.</w:t>
      </w:r>
    </w:p>
    <w:p/>
    <w:p>
      <w:pPr>
        <w:keepNext w:val="0"/>
        <w:spacing w:before="0" w:after="0" w:line="260" w:lineRule="atLeast"/>
        <w:ind w:left="1080" w:right="0"/>
        <w:jc w:val="left"/>
      </w:pPr>
      <w:r>
        <w:rPr>
          <w:rFonts w:ascii="arial" w:eastAsia="arial" w:hAnsi="arial" w:cs="arial"/>
          <w:b/>
          <w:i w:val="0"/>
          <w:strike w:val="0"/>
          <w:noProof w:val="0"/>
          <w:color w:val="000000"/>
          <w:position w:val="0"/>
          <w:sz w:val="20"/>
          <w:u w:val="none"/>
          <w:vertAlign w:val="baseline"/>
        </w:rPr>
        <w:t>17.2</w:t>
      </w:r>
      <w:r>
        <w:rPr>
          <w:rFonts w:ascii="arial" w:eastAsia="arial" w:hAnsi="arial" w:cs="arial"/>
          <w:b w:val="0"/>
          <w:i w:val="0"/>
          <w:strike w:val="0"/>
          <w:noProof w:val="0"/>
          <w:color w:val="000000"/>
          <w:position w:val="0"/>
          <w:sz w:val="20"/>
          <w:u w:val="none"/>
          <w:vertAlign w:val="baseline"/>
        </w:rPr>
        <w:t xml:space="preserve"> The invalidity, illegality or unenforceability of any term or provision of this Agreement shall not affect or impair the continuation in force of the remainder of this Agreement.</w:t>
      </w:r>
    </w:p>
    <w:p/>
    <w:p/>
    <w:p/>
    <w:p>
      <w:pPr>
        <w:keepNext w:val="0"/>
        <w:spacing w:after="0" w:line="260" w:lineRule="atLeast"/>
        <w:ind w:left="0" w:right="0" w:firstLine="0"/>
        <w:jc w:val="right"/>
      </w:pPr>
      <w:r>
        <w:rPr>
          <w:rFonts w:ascii="arial" w:eastAsia="arial" w:hAnsi="arial" w:cs="arial"/>
          <w:b w:val="0"/>
          <w:i w:val="0"/>
          <w:strike w:val="0"/>
          <w:noProof w:val="0"/>
          <w:color w:val="000000"/>
          <w:position w:val="0"/>
          <w:sz w:val="20"/>
          <w:u w:val="none"/>
          <w:vertAlign w:val="baseline"/>
        </w:rPr>
        <w:t>[504]</w:t>
      </w:r>
    </w:p>
    <w:p>
      <w:pPr>
        <w:keepNext w:val="0"/>
        <w:spacing w:before="0" w:after="0" w:line="260" w:lineRule="atLeast"/>
        <w:ind w:left="0" w:right="0" w:firstLine="0"/>
        <w:jc w:val="both"/>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Additional clauses which may be required by the buyer:</w:t>
      </w:r>
      <w:r>
        <w:rPr>
          <w:rFonts w:ascii="arial" w:eastAsia="arial" w:hAnsi="arial" w:cs="arial"/>
          <w:b w:val="0"/>
          <w:i w:val="0"/>
          <w:strike w:val="0"/>
          <w:noProof w:val="0"/>
          <w:color w:val="000000"/>
          <w:position w:val="0"/>
          <w:sz w:val="20"/>
          <w:u w:val="none"/>
          <w:vertAlign w:val="baseline"/>
        </w:rPr>
        <w:t>]</w:t>
      </w:r>
    </w:p>
    <w:p>
      <w:pPr>
        <w:keepNext w:val="0"/>
        <w:spacing w:before="0" w:after="0" w:line="260" w:lineRule="atLeast"/>
        <w:ind w:left="0" w:right="0" w:firstLine="0"/>
        <w:jc w:val="both"/>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if the Land Registry will require evidence of identity as to discharge of the seller’s registered charges, the buyer may insert Form 198 [2150] below as to the production of evidence required</w:t>
      </w:r>
      <w:r>
        <w:rPr>
          <w:rFonts w:ascii="arial" w:eastAsia="arial" w:hAnsi="arial" w:cs="arial"/>
          <w:b w:val="0"/>
          <w:i w:val="0"/>
          <w:strike w:val="0"/>
          <w:noProof w:val="0"/>
          <w:color w:val="000000"/>
          <w:position w:val="0"/>
          <w:sz w:val="20"/>
          <w:u w:val="none"/>
          <w:vertAlign w:val="baseline"/>
        </w:rPr>
        <w:t>]</w:t>
      </w:r>
    </w:p>
    <w:p>
      <w:pPr>
        <w:keepNext w:val="0"/>
        <w:spacing w:before="0" w:after="0" w:line="260" w:lineRule="atLeast"/>
        <w:ind w:left="0" w:right="0" w:firstLine="0"/>
        <w:jc w:val="both"/>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if the Land Registry will require evidence of identity of the donor of a power of attorney and the donor’s attorney, the buyer may insert Form 199 [215] below as to the production of evidence required</w:t>
      </w:r>
      <w:r>
        <w:rPr>
          <w:rFonts w:ascii="arial" w:eastAsia="arial" w:hAnsi="arial" w:cs="arial"/>
          <w:b w:val="0"/>
          <w:i w:val="0"/>
          <w:strike w:val="0"/>
          <w:noProof w:val="0"/>
          <w:color w:val="000000"/>
          <w:position w:val="0"/>
          <w:sz w:val="20"/>
          <w:u w:val="none"/>
          <w:vertAlign w:val="baseline"/>
        </w:rPr>
        <w:t>]</w:t>
      </w:r>
    </w:p>
    <w:p>
      <w:pPr>
        <w:keepNext w:val="0"/>
        <w:spacing w:before="0" w:after="0" w:line="260" w:lineRule="atLeast"/>
        <w:ind w:left="0" w:right="0" w:firstLine="0"/>
        <w:jc w:val="both"/>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for a clause dealing with obligations to ensure compliance with the Land Registry early completion procedures, the buyer may insert Form 154 [1870] below</w:t>
      </w:r>
      <w:r>
        <w:rPr>
          <w:rFonts w:ascii="arial" w:eastAsia="arial" w:hAnsi="arial" w:cs="arial"/>
          <w:b w:val="0"/>
          <w:i w:val="0"/>
          <w:strike w:val="0"/>
          <w:noProof w:val="0"/>
          <w:color w:val="000000"/>
          <w:position w:val="0"/>
          <w:sz w:val="20"/>
          <w:u w:val="none"/>
          <w:vertAlign w:val="baseline"/>
        </w:rPr>
        <w:t>]</w:t>
      </w:r>
    </w:p>
    <w:p>
      <w:pPr>
        <w:keepNext w:val="0"/>
        <w:spacing w:before="0" w:after="0" w:line="260" w:lineRule="atLeast"/>
        <w:ind w:left="0" w:right="0" w:firstLine="0"/>
        <w:jc w:val="left"/>
      </w:pPr>
      <w:r>
        <w:br/>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caps/>
          <w:strike w:val="0"/>
          <w:noProof w:val="0"/>
          <w:color w:val="000000"/>
          <w:position w:val="0"/>
          <w:sz w:val="20"/>
          <w:u w:val="none"/>
          <w:vertAlign w:val="baseline"/>
        </w:rPr>
        <w:t>Executed as a Deed</w:t>
      </w:r>
      <w:r>
        <w:rPr>
          <w:rFonts w:ascii="arial" w:eastAsia="arial" w:hAnsi="arial" w:cs="arial"/>
          <w:b w:val="0"/>
          <w:i w:val="0"/>
          <w:strike w:val="0"/>
          <w:noProof w:val="0"/>
          <w:color w:val="000000"/>
          <w:position w:val="0"/>
          <w:sz w:val="20"/>
          <w:u w:val="none"/>
          <w:vertAlign w:val="baseline"/>
        </w:rPr>
        <w:t xml:space="preserve"> OR </w:t>
      </w:r>
      <w:r>
        <w:rPr>
          <w:rFonts w:ascii="arial" w:eastAsia="arial" w:hAnsi="arial" w:cs="arial"/>
          <w:b w:val="0"/>
          <w:i w:val="0"/>
          <w:caps/>
          <w:strike w:val="0"/>
          <w:noProof w:val="0"/>
          <w:color w:val="000000"/>
          <w:position w:val="0"/>
          <w:sz w:val="20"/>
          <w:u w:val="none"/>
          <w:vertAlign w:val="baseline"/>
        </w:rPr>
        <w:t>Agreed</w:t>
      </w:r>
      <w:r>
        <w:rPr>
          <w:rFonts w:ascii="arial" w:eastAsia="arial" w:hAnsi="arial" w:cs="arial"/>
          <w:b/>
          <w:i w:val="0"/>
          <w:strike w:val="0"/>
          <w:noProof w:val="0"/>
          <w:color w:val="000000"/>
          <w:position w:val="0"/>
          <w:sz w:val="20"/>
          <w:u w:val="none"/>
          <w:vertAlign w:val="baseline"/>
        </w:rPr>
        <w:t>]</w:t>
      </w:r>
      <w:r>
        <w:rPr>
          <w:rFonts w:ascii="arial" w:eastAsia="arial" w:hAnsi="arial" w:cs="arial"/>
          <w:b w:val="0"/>
          <w:i w:val="0"/>
          <w:strike w:val="0"/>
          <w:noProof w:val="0"/>
          <w:color w:val="000000"/>
          <w:position w:val="0"/>
          <w:sz w:val="20"/>
          <w:u w:val="none"/>
          <w:vertAlign w:val="baseline"/>
        </w:rPr>
        <w:t xml:space="preserve"> by the parties etc</w:t>
      </w:r>
      <w:bookmarkStart w:id="29" w:name="Backward_fnref_ExecutionForExecutionClau"/>
      <w:hyperlink w:anchor="Forward_fnref_ExecutionForExecutionClausesAndSign-6E1A29A7_REF" w:history="1">
        <w:r>
          <w:rPr>
            <w:rFonts w:ascii="arial" w:eastAsia="arial" w:hAnsi="arial" w:cs="arial"/>
            <w:b/>
            <w:i w:val="0"/>
            <w:strike w:val="0"/>
            <w:noProof w:val="0"/>
            <w:color w:val="BE161D"/>
            <w:position w:val="0"/>
            <w:sz w:val="20"/>
            <w:u w:val="none"/>
            <w:shd w:val="clear" w:color="auto" w:fill="FFFFFF"/>
            <w:vertAlign w:val="superscript"/>
          </w:rPr>
          <w:t>30</w:t>
        </w:r>
      </w:hyperlink>
      <w:bookmarkEnd w:id="29"/>
      <w:r>
        <w:t>
</w:t>
      </w:r>
    </w:p>
    <w:p>
      <w:pPr>
        <w:keepNext w:val="0"/>
        <w:spacing w:after="60" w:line="300" w:lineRule="atLeast"/>
        <w:ind w:left="0" w:right="0" w:firstLine="0"/>
        <w:jc w:val="left"/>
      </w:pPr>
      <w:r>
        <w:rPr>
          <w:rFonts w:ascii="arial" w:eastAsia="arial" w:hAnsi="arial" w:cs="arial"/>
          <w:b/>
          <w:i w:val="0"/>
          <w:strike w:val="0"/>
          <w:noProof w:val="0"/>
          <w:color w:val="000000"/>
          <w:position w:val="0"/>
          <w:sz w:val="24"/>
          <w:u w:val="none"/>
          <w:vertAlign w:val="baseline"/>
        </w:rPr>
        <w:t>Schedule 1</w:t>
      </w:r>
    </w:p>
    <w:p>
      <w:pPr>
        <w:keepNext w:val="0"/>
        <w:spacing w:after="60" w:line="300" w:lineRule="atLeast"/>
        <w:ind w:left="0" w:right="0" w:firstLine="0"/>
        <w:jc w:val="left"/>
      </w:pPr>
      <w:r>
        <w:br/>
      </w:r>
      <w:r>
        <w:rPr>
          <w:rFonts w:ascii="arial" w:eastAsia="arial" w:hAnsi="arial" w:cs="arial"/>
          <w:b/>
          <w:i w:val="0"/>
          <w:strike w:val="0"/>
          <w:noProof w:val="0"/>
          <w:color w:val="000000"/>
          <w:position w:val="0"/>
          <w:sz w:val="24"/>
          <w:u w:val="none"/>
          <w:vertAlign w:val="baseline"/>
        </w:rPr>
        <w:t>The Property</w:t>
      </w:r>
    </w:p>
    <w:p>
      <w:pPr>
        <w:keepNext w:val="0"/>
        <w:spacing w:before="0" w:after="0" w:line="260" w:lineRule="atLeast"/>
        <w:ind w:left="0" w:right="0" w:firstLine="0"/>
        <w:jc w:val="center"/>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describe the property</w:t>
      </w:r>
      <w:r>
        <w:rPr>
          <w:rFonts w:ascii="arial" w:eastAsia="arial" w:hAnsi="arial" w:cs="arial"/>
          <w:b w:val="0"/>
          <w:i w:val="0"/>
          <w:strike w:val="0"/>
          <w:noProof w:val="0"/>
          <w:color w:val="000000"/>
          <w:position w:val="0"/>
          <w:sz w:val="20"/>
          <w:u w:val="none"/>
          <w:vertAlign w:val="baseline"/>
        </w:rPr>
        <w:t>]</w:t>
      </w:r>
      <w:r>
        <w:t>
</w:t>
      </w:r>
    </w:p>
    <w:p>
      <w:pPr>
        <w:keepNext w:val="0"/>
        <w:spacing w:after="60" w:line="300" w:lineRule="atLeast"/>
        <w:ind w:left="0" w:right="0" w:firstLine="0"/>
        <w:jc w:val="left"/>
      </w:pPr>
      <w:r>
        <w:rPr>
          <w:rFonts w:ascii="arial" w:eastAsia="arial" w:hAnsi="arial" w:cs="arial"/>
          <w:b/>
          <w:i w:val="0"/>
          <w:strike w:val="0"/>
          <w:noProof w:val="0"/>
          <w:color w:val="000000"/>
          <w:position w:val="0"/>
          <w:sz w:val="24"/>
          <w:u w:val="none"/>
          <w:vertAlign w:val="baseline"/>
        </w:rPr>
        <w:t>Schedule 2</w:t>
      </w:r>
    </w:p>
    <w:p>
      <w:pPr>
        <w:keepNext w:val="0"/>
        <w:spacing w:after="60" w:line="300" w:lineRule="atLeast"/>
        <w:ind w:left="0" w:right="0" w:firstLine="0"/>
        <w:jc w:val="left"/>
      </w:pPr>
      <w:r>
        <w:br/>
      </w:r>
      <w:r>
        <w:rPr>
          <w:rFonts w:ascii="arial" w:eastAsia="arial" w:hAnsi="arial" w:cs="arial"/>
          <w:b/>
          <w:i w:val="0"/>
          <w:strike w:val="0"/>
          <w:noProof w:val="0"/>
          <w:color w:val="000000"/>
          <w:position w:val="0"/>
          <w:sz w:val="24"/>
          <w:u w:val="none"/>
          <w:vertAlign w:val="baseline"/>
        </w:rPr>
        <w:t>[</w:t>
      </w:r>
      <w:r>
        <w:rPr>
          <w:rFonts w:ascii="arial" w:eastAsia="arial" w:hAnsi="arial" w:cs="arial"/>
          <w:b/>
          <w:i w:val="0"/>
          <w:strike w:val="0"/>
          <w:noProof w:val="0"/>
          <w:color w:val="000000"/>
          <w:position w:val="0"/>
          <w:sz w:val="24"/>
          <w:u w:val="none"/>
          <w:vertAlign w:val="baseline"/>
        </w:rPr>
        <w:t>The Documents</w:t>
      </w:r>
    </w:p>
    <w:p>
      <w:pPr>
        <w:keepNext w:val="0"/>
        <w:spacing w:before="0" w:after="0" w:line="260" w:lineRule="atLeast"/>
        <w:ind w:left="0" w:right="0" w:firstLine="0"/>
        <w:jc w:val="center"/>
      </w:pPr>
      <w:r>
        <w:br/>
      </w:r>
      <w:r>
        <w:rPr>
          <w:rFonts w:ascii="arial" w:eastAsia="arial" w:hAnsi="arial" w:cs="arial"/>
          <w:b w:val="0"/>
          <w:i w:val="0"/>
          <w:strike w:val="0"/>
          <w:noProof w:val="0"/>
          <w:color w:val="000000"/>
          <w:position w:val="0"/>
          <w:sz w:val="20"/>
          <w:u w:val="none"/>
          <w:vertAlign w:val="baseline"/>
        </w:rPr>
        <w:t>[</w:t>
      </w:r>
      <w:r>
        <w:rPr>
          <w:rFonts w:ascii="arial" w:eastAsia="arial" w:hAnsi="arial" w:cs="arial"/>
          <w:b w:val="0"/>
          <w:i/>
          <w:strike w:val="0"/>
          <w:noProof w:val="0"/>
          <w:color w:val="000000"/>
          <w:position w:val="0"/>
          <w:sz w:val="20"/>
          <w:u w:val="none"/>
          <w:vertAlign w:val="baseline"/>
        </w:rPr>
        <w:t>insert details</w:t>
      </w:r>
      <w:r>
        <w:rPr>
          <w:rFonts w:ascii="arial" w:eastAsia="arial" w:hAnsi="arial" w:cs="arial"/>
          <w:b w:val="0"/>
          <w:i w:val="0"/>
          <w:strike w:val="0"/>
          <w:noProof w:val="0"/>
          <w:color w:val="000000"/>
          <w:position w:val="0"/>
          <w:sz w:val="20"/>
          <w:u w:val="none"/>
          <w:vertAlign w:val="baseline"/>
        </w:rPr>
        <w:t>]</w:t>
      </w:r>
      <w:r>
        <w:rPr>
          <w:rFonts w:ascii="arial" w:eastAsia="arial" w:hAnsi="arial" w:cs="arial"/>
          <w:b/>
          <w:i w:val="0"/>
          <w:strike w:val="0"/>
          <w:noProof w:val="0"/>
          <w:color w:val="000000"/>
          <w:position w:val="0"/>
          <w:sz w:val="20"/>
          <w:u w:val="none"/>
          <w:vertAlign w:val="baseline"/>
        </w:rPr>
        <w:t>]</w:t>
      </w:r>
    </w:p>
    <w:p>
      <w:pPr>
        <w:keepNext w:val="0"/>
        <w:spacing w:before="0" w:after="0" w:line="260" w:lineRule="atLeast"/>
        <w:ind w:left="0" w:right="0" w:firstLine="0"/>
        <w:jc w:val="right"/>
      </w:pPr>
      <w:r>
        <w:br/>
      </w:r>
      <w:r>
        <w:rPr>
          <w:rFonts w:ascii="arial" w:eastAsia="arial" w:hAnsi="arial" w:cs="arial"/>
          <w:b w:val="0"/>
          <w:i w:val="0"/>
          <w:strike w:val="0"/>
          <w:noProof w:val="0"/>
          <w:color w:val="000000"/>
          <w:position w:val="0"/>
          <w:sz w:val="20"/>
          <w:u w:val="none"/>
          <w:vertAlign w:val="baseline"/>
        </w:rPr>
        <w:t>[505]</w:t>
      </w:r>
    </w:p>
    <w:p>
      <w:pPr>
        <w:spacing w:after="240"/>
      </w:pPr>
      <w:r>
        <w:pict>
          <v:line id="_x0000_s1025" style="position:absolute;z-index:251658240" from="0,15pt" to="180pt,15pt" strokecolor="#bcbeb0" strokeweight="0.5pt">
            <v:stroke linestyle="single"/>
          </v:line>
        </w:pict>
      </w:r>
    </w:p>
    <w:p/>
    <w:p>
      <w:pPr>
        <w:keepNext w:val="0"/>
        <w:spacing w:before="120" w:after="20" w:line="240" w:lineRule="atLeast"/>
        <w:ind w:left="720" w:right="0" w:hanging="360"/>
        <w:jc w:val="left"/>
      </w:pPr>
      <w:bookmarkStart w:id="30" w:name="Forward_fnref_ukContentItem6441c59d-5490"/>
      <w:hyperlink w:anchor="Backward_fnref_ukContentItem6441c59d-5490-4ad9-b741-1ea6c6d989b6_REF" w:history="1">
        <w:r>
          <w:rPr>
            <w:rFonts w:ascii="arial" w:eastAsia="arial" w:hAnsi="arial" w:cs="arial"/>
            <w:b/>
            <w:i w:val="0"/>
            <w:strike w:val="0"/>
            <w:color w:val="BE161D"/>
            <w:sz w:val="18"/>
            <w:u w:val="none"/>
            <w:shd w:val="clear" w:color="auto" w:fill="FFFFFF"/>
            <w:vertAlign w:val="baseline"/>
          </w:rPr>
          <w:t>1</w:t>
        </w:r>
      </w:hyperlink>
      <w:bookmarkEnd w:id="30"/>
      <w:r>
        <w:tab/>
      </w:r>
      <w:r>
        <w:rPr>
          <w:rFonts w:ascii="arial" w:eastAsia="arial" w:hAnsi="arial" w:cs="arial"/>
          <w:b/>
          <w:i w:val="0"/>
          <w:strike w:val="0"/>
          <w:noProof w:val="0"/>
          <w:color w:val="888888"/>
          <w:position w:val="0"/>
          <w:sz w:val="18"/>
          <w:u w:val="none"/>
          <w:vertAlign w:val="baseline"/>
        </w:rPr>
        <w:t>Overview</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This precedent is a form of agreement for sale of registered or unregistered freehold land incorporating the Standard Conditions of Sale (5th Edn—2018 Revision) or the Standard Commercial Property Conditions (3rd Edn—2018 Revision) with provision for payment of a deposit and with a variation for a draft transfer to be attached. For the Standard Conditions of Sale (5th Edn—2018 Revision) see Form 74 [460] above. For the Standard Commercial Property Conditions (3rd Edn—2018 Revision) see vol 38(1) (2018) SALE OF LAND Form 1 [2001]. The agreement is unconditional and creates a binding immediate contract for sale.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The process of execution and exchange of contracts must comply with the Law of Property (Miscellaneous Provisions) Act 1989 s 2 (as amended). It is not usually necessary to have the contract executed as a deed unless the contract contains recitals which are intended to be binding or there are other special considerations. Examples of the latter include a lack of valuable consideration moving from the buyer to a joined party or if it is desired to extend the period for bringing claims to that provided for by the Limitation Act 1980 s 8. As to execution of instruments under hand see further vol 12(3) (2022) DEEDS, AGREEMENTS AND DECLARATIONS Paragraphs 20 [1091]–25 [1100].</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Omissions</w:t>
      </w:r>
      <w:r>
        <w:rPr>
          <w:rFonts w:ascii="arial" w:eastAsia="arial" w:hAnsi="arial" w:cs="arial"/>
          <w:b w:val="0"/>
          <w:i w:val="0"/>
          <w:strike w:val="0"/>
          <w:noProof w:val="0"/>
          <w:color w:val="888888"/>
          <w:position w:val="0"/>
          <w:sz w:val="18"/>
          <w:u w:val="none"/>
          <w:vertAlign w:val="baseline"/>
        </w:rPr>
        <w:t>: Specific clauses concerning the interpretation of gender, singular and plural and persons including a corporate body have been omitted in reliance on the Law of Property Act 1925 s 61. Specific clauses concerning joint and several liability, non-merger on completion, and other minor provisions have also been omitted because provision is made for these matters in the Standard Conditions of Sale (5th Edn—2018 Revision) and the Standard Commercial Property Conditions (3rd Edn—2018 Revision).</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Stamp duty land tax</w:t>
      </w:r>
      <w:r>
        <w:rPr>
          <w:rFonts w:ascii="arial" w:eastAsia="arial" w:hAnsi="arial" w:cs="arial"/>
          <w:b w:val="0"/>
          <w:i w:val="0"/>
          <w:strike w:val="0"/>
          <w:noProof w:val="0"/>
          <w:color w:val="888888"/>
          <w:position w:val="0"/>
          <w:sz w:val="18"/>
          <w:u w:val="none"/>
          <w:vertAlign w:val="baseline"/>
        </w:rPr>
        <w:t>: As to stamp duty land tax see Information Binder: Stamp Duty Land Tax [1]. In Wales, land transaction tax replaced stamp duty land tax with effect from 1 April 2018: see Information Binder: Land Transaction Tax—Wales [1].</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For stamp duty land tax purposes, the price apportionment for the contents must be just and reasonable: see the Finance Act 2003 Sch 4 para 4. Accordingly, stamp duty land tax will not be charged on that part of the price properly apportioned to the contents.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Where a buying company is connected with the seller, stamp duty land tax will be calculated by reference to the deemed market value of the property: see the Finance Act 2003 s 53 (as amended by the Finance Act 2004 s 297(1), (4) and the Corporation Tax Act 2010 s 1177, Sch 1 paras 400, 404) subject to the exceptions in the Finance Act 2003 s 54 (as amended by the Corporation Tax Act 2010 s 1177, Sch 1 paras 400, 405). However, where the companies are within the same group, relief under the Finance Act 2003 s 62, Sch 7 Pt 1 (as amended) may be available.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Stamp duty land tax will be once the contract is ‘substantially performed’. This will be before the legal title is formally transferred where more than 90% of the chargeable consideration is paid or provided or where, in practice, the buyer takes possession of more than 90% of the property or receives or has the right to receive rents and profits prior to the execution of the transfer. The rules on substantial performance are set out in the Finance Act 2003 s 44 as amended.</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Registration</w:t>
      </w:r>
      <w:r>
        <w:rPr>
          <w:rFonts w:ascii="arial" w:eastAsia="arial" w:hAnsi="arial" w:cs="arial"/>
          <w:b w:val="0"/>
          <w:i w:val="0"/>
          <w:strike w:val="0"/>
          <w:noProof w:val="0"/>
          <w:color w:val="888888"/>
          <w:position w:val="0"/>
          <w:sz w:val="18"/>
          <w:u w:val="none"/>
          <w:vertAlign w:val="baseline"/>
        </w:rPr>
        <w:t>: In the case of unregistered land, the agreement is capable of being registered by the buyer against the seller’s name as an estate contract (see vol 25(2) (2019) LAND CHARGES Paragraph 50 [288]) and, additionally, may be protected by way of caution against first registration (see vol 25(1)A (2015) LAND REGISTRATION Paragraph 228 [1501]). Registration should be effected against the estate owner rather than the seller where the seller is a contracting buyer who has agreed to sub-sell or a mortgagee exercising its power of sale.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In the case of registered land, the agreement may be noted on the register as an estate contract by application for an agreed notice or, more commonly, a unilateral notice, which does not require the presentation of the agreement to the Land Registry, therefore maintaining confidentiality of its terms.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Strictly, all contracts for the sale of land should be protected by registration irrespective of whether the seller is in practice likely to resell, but the vast majority of such contracts are not so registered unless, for example, completion is likely to be delayed. A buyer is not under a duty to register a contract: see </w:t>
      </w:r>
      <w:r>
        <w:rPr>
          <w:rFonts w:ascii="arial" w:eastAsia="arial" w:hAnsi="arial" w:cs="arial"/>
          <w:b w:val="0"/>
          <w:i/>
          <w:strike w:val="0"/>
          <w:noProof w:val="0"/>
          <w:color w:val="888888"/>
          <w:position w:val="0"/>
          <w:sz w:val="18"/>
          <w:u w:val="none"/>
          <w:vertAlign w:val="baseline"/>
        </w:rPr>
        <w:t>Wright v Dean</w:t>
      </w:r>
      <w:r>
        <w:rPr>
          <w:rFonts w:ascii="arial" w:eastAsia="arial" w:hAnsi="arial" w:cs="arial"/>
          <w:b w:val="0"/>
          <w:i w:val="0"/>
          <w:strike w:val="0"/>
          <w:noProof w:val="0"/>
          <w:color w:val="888888"/>
          <w:position w:val="0"/>
          <w:sz w:val="18"/>
          <w:u w:val="none"/>
          <w:vertAlign w:val="baseline"/>
        </w:rPr>
        <w:t xml:space="preserve"> [1948] Ch 686, [1948] 2 All ER 415. However, it seems that in certain circumstances a solicitor acting for a buyer might be held to be negligent for failing to protect the buyer by registering the buyer’s interest as buyer under a contract: see, for example, </w:t>
      </w:r>
      <w:r>
        <w:rPr>
          <w:rFonts w:ascii="arial" w:eastAsia="arial" w:hAnsi="arial" w:cs="arial"/>
          <w:b w:val="0"/>
          <w:i/>
          <w:strike w:val="0"/>
          <w:noProof w:val="0"/>
          <w:color w:val="888888"/>
          <w:position w:val="0"/>
          <w:sz w:val="18"/>
          <w:u w:val="none"/>
          <w:vertAlign w:val="baseline"/>
        </w:rPr>
        <w:t>Midland Bank Trust Co Ltd v Hett, Stubbs &amp; Kemp</w:t>
      </w:r>
      <w:r>
        <w:rPr>
          <w:rFonts w:ascii="arial" w:eastAsia="arial" w:hAnsi="arial" w:cs="arial"/>
          <w:b w:val="0"/>
          <w:i w:val="0"/>
          <w:strike w:val="0"/>
          <w:noProof w:val="0"/>
          <w:color w:val="888888"/>
          <w:position w:val="0"/>
          <w:sz w:val="18"/>
          <w:u w:val="none"/>
          <w:vertAlign w:val="baseline"/>
        </w:rPr>
        <w:t xml:space="preserve"> [</w:t>
      </w:r>
      <w:r>
        <w:rPr>
          <w:rFonts w:ascii="arial" w:eastAsia="arial" w:hAnsi="arial" w:cs="arial"/>
          <w:b w:val="0"/>
          <w:i/>
          <w:strike w:val="0"/>
          <w:noProof w:val="0"/>
          <w:color w:val="888888"/>
          <w:position w:val="0"/>
          <w:sz w:val="18"/>
          <w:u w:val="none"/>
          <w:vertAlign w:val="baseline"/>
        </w:rPr>
        <w:t>a firm</w:t>
      </w:r>
      <w:r>
        <w:rPr>
          <w:rFonts w:ascii="arial" w:eastAsia="arial" w:hAnsi="arial" w:cs="arial"/>
          <w:b w:val="0"/>
          <w:i w:val="0"/>
          <w:strike w:val="0"/>
          <w:noProof w:val="0"/>
          <w:color w:val="888888"/>
          <w:position w:val="0"/>
          <w:sz w:val="18"/>
          <w:u w:val="none"/>
          <w:vertAlign w:val="baseline"/>
        </w:rPr>
        <w:t>] [1979] Ch 384, [1978] 3 All ER 571.</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Related precedents and commentary</w:t>
      </w:r>
      <w:r>
        <w:rPr>
          <w:rFonts w:ascii="arial" w:eastAsia="arial" w:hAnsi="arial" w:cs="arial"/>
          <w:b w:val="0"/>
          <w:i w:val="0"/>
          <w:strike w:val="0"/>
          <w:noProof w:val="0"/>
          <w:color w:val="888888"/>
          <w:position w:val="0"/>
          <w:sz w:val="18"/>
          <w:u w:val="none"/>
          <w:vertAlign w:val="baseline"/>
        </w:rPr>
        <w:t>: For:</w:t>
      </w:r>
    </w:p>
    <w:p>
      <w:pPr>
        <w:keepNext w:val="0"/>
        <w:numPr>
          <w:numId w:val="1"/>
        </w:numPr>
        <w:spacing w:before="120" w:after="20" w:line="240" w:lineRule="atLeast"/>
        <w:ind w:left="1080" w:right="0"/>
        <w:jc w:val="both"/>
      </w:pPr>
      <w:r>
        <w:rPr>
          <w:rFonts w:ascii="arial" w:eastAsia="arial" w:hAnsi="arial" w:cs="arial"/>
          <w:b w:val="0"/>
          <w:i w:val="0"/>
          <w:strike w:val="0"/>
          <w:noProof w:val="0"/>
          <w:color w:val="000000"/>
          <w:position w:val="0"/>
          <w:sz w:val="18"/>
          <w:u w:val="none"/>
          <w:vertAlign w:val="baseline"/>
        </w:rPr>
        <w:t>commentary and precedents on registered land see vol 25(1)(A) (2015) LAND REGISTRATION and vol 25(1)(B) (2015) LAND REGISTRATION and commentary on conveyancing law and procedures generally see vol 35 (2019) SALE OF LAND;</w:t>
      </w:r>
    </w:p>
    <w:p>
      <w:pPr>
        <w:keepNext w:val="0"/>
        <w:numPr>
          <w:numId w:val="1"/>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the Standard Conditions of Sale (5th Edn—2018 Revision) see Form 74 [460] above;</w:t>
      </w:r>
    </w:p>
    <w:p>
      <w:pPr>
        <w:keepNext w:val="0"/>
        <w:numPr>
          <w:numId w:val="1"/>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the Standard Commercial Property Conditions (3rd Edn—2018 Revision) see vol 38(1) (2018) SALE OF LAND Form 1 [2001];</w:t>
      </w:r>
    </w:p>
    <w:p>
      <w:pPr>
        <w:keepNext w:val="0"/>
        <w:numPr>
          <w:numId w:val="1"/>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a notice to complete under the Standard Conditions of Sale (5th Edn—2018 Revision) and the Standard Commercial Property Conditions (3rd Edn—2018 Revision) see Forms 72 [425] and 73 [427] above; and</w:t>
      </w:r>
    </w:p>
    <w:p>
      <w:pPr>
        <w:keepNext w:val="0"/>
        <w:numPr>
          <w:numId w:val="1"/>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the impact of the Competition Act 1998 Ch 1 see vol 13(1) (2018) COVENANTS RELATING TO LAND Paragraph 4 [4]—restrictive and positive covenants may infringe the legislation in agreements between businesses; it does not apply to individuals who are not acting as a business.</w:t>
      </w:r>
    </w:p>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Additional clauses</w:t>
      </w:r>
      <w:r>
        <w:rPr>
          <w:rFonts w:ascii="arial" w:eastAsia="arial" w:hAnsi="arial" w:cs="arial"/>
          <w:b w:val="0"/>
          <w:i w:val="0"/>
          <w:strike w:val="0"/>
          <w:noProof w:val="0"/>
          <w:color w:val="888888"/>
          <w:position w:val="0"/>
          <w:sz w:val="18"/>
          <w:u w:val="none"/>
          <w:vertAlign w:val="baseline"/>
        </w:rPr>
        <w:t>: For:</w:t>
      </w:r>
    </w:p>
    <w:p>
      <w:pPr>
        <w:keepNext w:val="0"/>
        <w:numPr>
          <w:numId w:val="2"/>
        </w:numPr>
        <w:spacing w:before="120" w:after="20" w:line="240" w:lineRule="atLeast"/>
        <w:ind w:left="1080" w:right="0"/>
        <w:jc w:val="both"/>
      </w:pPr>
      <w:r>
        <w:rPr>
          <w:rFonts w:ascii="arial" w:eastAsia="arial" w:hAnsi="arial" w:cs="arial"/>
          <w:b w:val="0"/>
          <w:i w:val="0"/>
          <w:strike w:val="0"/>
          <w:noProof w:val="0"/>
          <w:color w:val="000000"/>
          <w:position w:val="0"/>
          <w:sz w:val="18"/>
          <w:u w:val="none"/>
          <w:vertAlign w:val="baseline"/>
        </w:rPr>
        <w:t>clauses relating to guarantee of the agreement, insolvency of the buyer, jurisdiction and governing law see vol 38(2) (2018) SALE OF LAND Form 1 [1] clauses 18, 19, 22 and Schedule 6;</w:t>
      </w:r>
    </w:p>
    <w:p>
      <w:pPr>
        <w:keepNext w:val="0"/>
        <w:numPr>
          <w:numId w:val="2"/>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clauses relating to capital allowances see vol 38(2) (2018) SALE OF LAND Form 2 [50] clause 15 and Schedule 10;</w:t>
      </w:r>
    </w:p>
    <w:p>
      <w:pPr>
        <w:keepNext w:val="0"/>
        <w:numPr>
          <w:numId w:val="2"/>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clauses relating to occupiers’ consent to the contract see Forms 14 [150], 15 [152] above;</w:t>
      </w:r>
    </w:p>
    <w:p>
      <w:pPr>
        <w:keepNext w:val="0"/>
        <w:numPr>
          <w:numId w:val="2"/>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clauses providing limitations where trustees are the sellers (which can also be adopted for use for personal representatives) see Forms 310 [2818]–312 [2822] below; and</w:t>
      </w:r>
    </w:p>
    <w:p>
      <w:pPr>
        <w:keepNext w:val="0"/>
        <w:numPr>
          <w:numId w:val="2"/>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variations to implied covenants for title see Forms 173 [2000], 174 [2002] below.</w:t>
      </w:r>
    </w:p>
    <w:p/>
    <w:p>
      <w:pPr>
        <w:keepNext w:val="0"/>
        <w:spacing w:before="120" w:after="20" w:line="240" w:lineRule="atLeast"/>
        <w:ind w:left="360" w:right="0"/>
        <w:jc w:val="left"/>
      </w:pPr>
      <w:bookmarkStart w:id="31" w:name="Forward_fnref_TheStandardConditionsOfSal"/>
      <w:hyperlink w:anchor="Backward_fnref_TheStandardConditionsOfSale5thEdnx2-9B4D4789_REF" w:history="1">
        <w:r>
          <w:rPr>
            <w:rFonts w:ascii="arial" w:eastAsia="arial" w:hAnsi="arial" w:cs="arial"/>
            <w:b/>
            <w:i w:val="0"/>
            <w:strike w:val="0"/>
            <w:color w:val="BE161D"/>
            <w:sz w:val="18"/>
            <w:u w:val="none"/>
            <w:shd w:val="clear" w:color="auto" w:fill="FFFFFF"/>
            <w:vertAlign w:val="baseline"/>
          </w:rPr>
          <w:t>2</w:t>
        </w:r>
      </w:hyperlink>
      <w:bookmarkEnd w:id="31"/>
      <w:r>
        <w:tab/>
      </w:r>
      <w:r>
        <w:rPr>
          <w:rFonts w:ascii="arial" w:eastAsia="arial" w:hAnsi="arial" w:cs="arial"/>
          <w:b/>
          <w:i w:val="0"/>
          <w:strike w:val="0"/>
          <w:noProof w:val="0"/>
          <w:color w:val="888888"/>
          <w:position w:val="0"/>
          <w:sz w:val="18"/>
          <w:u w:val="none"/>
          <w:vertAlign w:val="baseline"/>
        </w:rPr>
        <w:t>Parties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The Standard Conditions of Sale (5th Edn—2018 Revision) and the Standard Commercial Property Conditions (3rd Edn—2018 Revision) use the terminology ‘seller’, ‘buyer’ and ‘conveyancer’ in place of the traditional ‘vendor’, ‘purchaser’ and ‘solicitor’.</w:t>
      </w:r>
    </w:p>
    <w:p>
      <w:pPr>
        <w:keepNext w:val="0"/>
        <w:spacing w:before="120" w:after="20" w:line="240" w:lineRule="atLeast"/>
        <w:ind w:left="360" w:right="0"/>
        <w:jc w:val="left"/>
      </w:pPr>
      <w:bookmarkStart w:id="32" w:name="Forward_fnref_ukContentItem2eca7875-28a6"/>
      <w:hyperlink w:anchor="Backward_fnref_ukContentItem2eca7875-28a6-4940-ab95-00dfc6474da8_REF" w:history="1">
        <w:r>
          <w:rPr>
            <w:rFonts w:ascii="arial" w:eastAsia="arial" w:hAnsi="arial" w:cs="arial"/>
            <w:b/>
            <w:i w:val="0"/>
            <w:strike w:val="0"/>
            <w:color w:val="BE161D"/>
            <w:sz w:val="18"/>
            <w:u w:val="none"/>
            <w:shd w:val="clear" w:color="auto" w:fill="FFFFFF"/>
            <w:vertAlign w:val="baseline"/>
          </w:rPr>
          <w:t>3</w:t>
        </w:r>
      </w:hyperlink>
      <w:bookmarkEnd w:id="32"/>
      <w:r>
        <w:tab/>
      </w:r>
      <w:r>
        <w:rPr>
          <w:rFonts w:ascii="arial" w:eastAsia="arial" w:hAnsi="arial" w:cs="arial"/>
          <w:b/>
          <w:i w:val="0"/>
          <w:strike w:val="0"/>
          <w:noProof w:val="0"/>
          <w:color w:val="888888"/>
          <w:position w:val="0"/>
          <w:sz w:val="18"/>
          <w:u w:val="none"/>
          <w:vertAlign w:val="baseline"/>
        </w:rPr>
        <w:t>Clause 1—definitions and interpretation</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For additional definitions and interpretation clauses see Forms 175 [2020]–180 [2030] below.</w:t>
      </w:r>
    </w:p>
    <w:p>
      <w:pPr>
        <w:keepNext w:val="0"/>
        <w:spacing w:before="120" w:after="20" w:line="240" w:lineRule="atLeast"/>
        <w:ind w:left="360" w:right="0"/>
        <w:jc w:val="left"/>
      </w:pPr>
      <w:bookmarkStart w:id="33" w:name="Forward_fnref_ukContentItem0ec16d76-30c5"/>
      <w:hyperlink w:anchor="Backward_fnref_ukContentItem0ec16d76-30c5-4eb3-a93f-e47e08b02385_REF" w:history="1">
        <w:r>
          <w:rPr>
            <w:rFonts w:ascii="arial" w:eastAsia="arial" w:hAnsi="arial" w:cs="arial"/>
            <w:b/>
            <w:i w:val="0"/>
            <w:strike w:val="0"/>
            <w:color w:val="BE161D"/>
            <w:sz w:val="18"/>
            <w:u w:val="none"/>
            <w:shd w:val="clear" w:color="auto" w:fill="FFFFFF"/>
            <w:vertAlign w:val="baseline"/>
          </w:rPr>
          <w:t>4</w:t>
        </w:r>
      </w:hyperlink>
      <w:bookmarkEnd w:id="33"/>
      <w:r>
        <w:tab/>
      </w:r>
      <w:r>
        <w:rPr>
          <w:rFonts w:ascii="arial" w:eastAsia="arial" w:hAnsi="arial" w:cs="arial"/>
          <w:b/>
          <w:i w:val="0"/>
          <w:strike w:val="0"/>
          <w:noProof w:val="0"/>
          <w:color w:val="888888"/>
          <w:position w:val="0"/>
          <w:sz w:val="18"/>
          <w:u w:val="none"/>
          <w:vertAlign w:val="baseline"/>
        </w:rPr>
        <w:t>Definition—completion date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If no date is specifically agreed for completion under a contract incorporating the Standard Conditions of Sale (5th Edn—2018 Revision) or the Standard Commercial Property Conditions (3rd Edn—2018 Revision), the fall-back provisions in condition 6.1 and condition 9.1 respectively will apply.</w:t>
      </w:r>
    </w:p>
    <w:p>
      <w:pPr>
        <w:keepNext w:val="0"/>
        <w:spacing w:before="120" w:after="20" w:line="240" w:lineRule="atLeast"/>
        <w:ind w:left="360" w:right="0"/>
        <w:jc w:val="left"/>
      </w:pPr>
      <w:bookmarkStart w:id="34" w:name="Forward_fnref_ukContentItem143b8988-efcd"/>
      <w:hyperlink w:anchor="Backward_fnref_ukContentItem143b8988-efcd-4a22-b4e1-fa364754ab72_REF" w:history="1">
        <w:r>
          <w:rPr>
            <w:rFonts w:ascii="arial" w:eastAsia="arial" w:hAnsi="arial" w:cs="arial"/>
            <w:b/>
            <w:i w:val="0"/>
            <w:strike w:val="0"/>
            <w:color w:val="BE161D"/>
            <w:sz w:val="18"/>
            <w:u w:val="none"/>
            <w:shd w:val="clear" w:color="auto" w:fill="FFFFFF"/>
            <w:vertAlign w:val="baseline"/>
          </w:rPr>
          <w:t>5</w:t>
        </w:r>
      </w:hyperlink>
      <w:bookmarkEnd w:id="34"/>
      <w:r>
        <w:tab/>
      </w:r>
      <w:r>
        <w:rPr>
          <w:rFonts w:ascii="arial" w:eastAsia="arial" w:hAnsi="arial" w:cs="arial"/>
          <w:b/>
          <w:i w:val="0"/>
          <w:strike w:val="0"/>
          <w:noProof w:val="0"/>
          <w:color w:val="888888"/>
          <w:position w:val="0"/>
          <w:sz w:val="18"/>
          <w:u w:val="none"/>
          <w:vertAlign w:val="baseline"/>
        </w:rPr>
        <w:t>Definition—plan</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the identity of the property to be sold see vol 35 (2019) SALE OF LAND Paragraphs 356 [787]–358 [790].</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The size and scale of the plan should be sufficiently large to enable all salient features to be readily identified: see </w:t>
      </w:r>
      <w:r>
        <w:rPr>
          <w:rFonts w:ascii="arial" w:eastAsia="arial" w:hAnsi="arial" w:cs="arial"/>
          <w:b w:val="0"/>
          <w:i/>
          <w:strike w:val="0"/>
          <w:noProof w:val="0"/>
          <w:color w:val="888888"/>
          <w:position w:val="0"/>
          <w:sz w:val="18"/>
          <w:u w:val="none"/>
          <w:vertAlign w:val="baseline"/>
        </w:rPr>
        <w:t>Scarfe v Adams</w:t>
      </w:r>
      <w:r>
        <w:rPr>
          <w:rFonts w:ascii="arial" w:eastAsia="arial" w:hAnsi="arial" w:cs="arial"/>
          <w:b w:val="0"/>
          <w:i w:val="0"/>
          <w:strike w:val="0"/>
          <w:noProof w:val="0"/>
          <w:color w:val="888888"/>
          <w:position w:val="0"/>
          <w:sz w:val="18"/>
          <w:u w:val="none"/>
          <w:vertAlign w:val="baseline"/>
        </w:rPr>
        <w:t xml:space="preserve"> [1981] 1 All ER 843, 125 Sol Jo 32, CA. If many plans are required, it may be convenient to bind them in a separate bundle, suitably referred to in the contract. Each plan should be individually numbered if there is more than one.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As to the use of plans in relation to unregistered land specifically see further vol 35 (2019) SALE OF LAND Paragraphs 700 [1562]–702 [1564].</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There is no bar to a plan referred to in a contract being specified as ‘for identification only’. However, it should be borne in mind that if a plan is required on completion to define the land to be comprised in a subsequent application for first registration (as to which see the Land Registration Rules 2003, SI 2003/1417 r 24(1)(a)) or to define a part of the land in a registered title that is to be included in the disposition that completes the contract (as to which see SI 2003/1417 r 213(1)), then the specification of such a plan as being for identification only is not acceptable for land registration purposes: see Land Registry Practice Guide 40s2 </w:t>
      </w:r>
      <w:r>
        <w:rPr>
          <w:rFonts w:ascii="arial" w:eastAsia="arial" w:hAnsi="arial" w:cs="arial"/>
          <w:b w:val="0"/>
          <w:i/>
          <w:strike w:val="0"/>
          <w:noProof w:val="0"/>
          <w:color w:val="888888"/>
          <w:position w:val="0"/>
          <w:sz w:val="18"/>
          <w:u w:val="none"/>
          <w:vertAlign w:val="baseline"/>
        </w:rPr>
        <w:t>Preparing plans for HM Land Registry applications</w:t>
      </w:r>
      <w:r>
        <w:rPr>
          <w:rFonts w:ascii="arial" w:eastAsia="arial" w:hAnsi="arial" w:cs="arial"/>
          <w:b w:val="0"/>
          <w:i w:val="0"/>
          <w:strike w:val="0"/>
          <w:noProof w:val="0"/>
          <w:color w:val="888888"/>
          <w:position w:val="0"/>
          <w:sz w:val="18"/>
          <w:u w:val="none"/>
          <w:vertAlign w:val="baseline"/>
        </w:rPr>
        <w:t xml:space="preserve"> (Jul 2019).</w:t>
      </w:r>
    </w:p>
    <w:p>
      <w:pPr>
        <w:keepNext w:val="0"/>
        <w:spacing w:before="120" w:after="20" w:line="240" w:lineRule="atLeast"/>
        <w:ind w:left="360" w:right="0"/>
        <w:jc w:val="left"/>
      </w:pPr>
      <w:bookmarkStart w:id="35" w:name="Forward_fnref_ukContentIteme425526b-9197"/>
      <w:hyperlink w:anchor="Backward_fnref_ukContentIteme425526b-9197-4007-ae7c-edb97172befa_REF" w:history="1">
        <w:r>
          <w:rPr>
            <w:rFonts w:ascii="arial" w:eastAsia="arial" w:hAnsi="arial" w:cs="arial"/>
            <w:b/>
            <w:i w:val="0"/>
            <w:strike w:val="0"/>
            <w:color w:val="BE161D"/>
            <w:sz w:val="18"/>
            <w:u w:val="none"/>
            <w:shd w:val="clear" w:color="auto" w:fill="FFFFFF"/>
            <w:vertAlign w:val="baseline"/>
          </w:rPr>
          <w:t>6</w:t>
        </w:r>
      </w:hyperlink>
      <w:bookmarkEnd w:id="35"/>
      <w:r>
        <w:tab/>
      </w:r>
      <w:r>
        <w:rPr>
          <w:rFonts w:ascii="arial" w:eastAsia="arial" w:hAnsi="arial" w:cs="arial"/>
          <w:b/>
          <w:i w:val="0"/>
          <w:strike w:val="0"/>
          <w:noProof w:val="0"/>
          <w:color w:val="888888"/>
          <w:position w:val="0"/>
          <w:sz w:val="18"/>
          <w:u w:val="none"/>
          <w:vertAlign w:val="baseline"/>
        </w:rPr>
        <w:t>Definition—purchase price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VAT on sales of residential property see vol 35 (2019) SALE OF LAND Paragraphs 171 [379]–178 [389]. As to VAT on sales of commercial property see vol 38(1) (2018) SALE OF LAND Paragraphs 31 [201]–76 [281]. See also Information Binder: Property [1] (VAT and Property). It should be noted that VAT forms part of the purchase price for the purposes of calculating stamp duty land tax and land registration fees. The Standard Conditions of Sale (5th Edn—2018 Revision) condition 1.4.1 provides that the purchase price and the contents price are inclusive of VAT. Under the Standard Commercial Property Conditions (3rd Edn—2018 Revision) condition 2, the sale is standard rated if the transaction is subject to compulsory standard rate of VAT or because the seller (or a relevant associate or relevant VAT group member) has exercised an option to tax in relation to the property. Where the sale is not a taxable supply, Condition A1 in Part 2 should be expressly incorporated. If the sale is a transfer of a going concern, Condition A2 in Part 2 should be expressly incorporated. As to the VAT effect of a transfer as a going concern see vol 38(1) (2018) SALE OF LAND Paragraphs 68 [263]–74 [279]. For an alternative condition for use when the sale of land may be deemed for VAT purposes to be a transfer of a going concern see vol 38(2) (2018) SALE OF LAND Form 2 Schedule 11 [47].</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If the Value Added Tax Act 1994 s 89 (as amended by SI 2008/1146) is excluded, or the purchase price is expressed to be inclusive of VAT, any changes in the rate or incidence of VAT between contract and completion cannot be added to the price.</w:t>
      </w:r>
    </w:p>
    <w:p>
      <w:pPr>
        <w:keepNext w:val="0"/>
        <w:spacing w:before="120" w:after="20" w:line="240" w:lineRule="atLeast"/>
        <w:ind w:left="360" w:right="0"/>
        <w:jc w:val="left"/>
      </w:pPr>
      <w:bookmarkStart w:id="36" w:name="Forward_fnref_ukContentItem1572235346-13"/>
      <w:hyperlink w:anchor="Backward_fnref_ukContentItem1572235346-138536169_REF" w:history="1">
        <w:r>
          <w:rPr>
            <w:rFonts w:ascii="arial" w:eastAsia="arial" w:hAnsi="arial" w:cs="arial"/>
            <w:b/>
            <w:i w:val="0"/>
            <w:strike w:val="0"/>
            <w:color w:val="BE161D"/>
            <w:sz w:val="18"/>
            <w:u w:val="none"/>
            <w:shd w:val="clear" w:color="auto" w:fill="FFFFFF"/>
            <w:vertAlign w:val="baseline"/>
          </w:rPr>
          <w:t>7</w:t>
        </w:r>
      </w:hyperlink>
      <w:bookmarkEnd w:id="36"/>
      <w:r>
        <w:tab/>
      </w:r>
      <w:r>
        <w:rPr>
          <w:rFonts w:ascii="arial" w:eastAsia="arial" w:hAnsi="arial" w:cs="arial"/>
          <w:b/>
          <w:i w:val="0"/>
          <w:strike w:val="0"/>
          <w:noProof w:val="0"/>
          <w:color w:val="888888"/>
          <w:position w:val="0"/>
          <w:sz w:val="18"/>
          <w:u w:val="none"/>
          <w:vertAlign w:val="baseline"/>
        </w:rPr>
        <w:t>Definition—standard conditions of sale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The Standard Conditions of Sale (5th Edn—2018 Revision) are intended primarily for residential sales and for sales of small commercial premises. The Standard Commercial Property Conditions (3rd Edn—2018 Revision) are specifically drafted for use in commercial property transactions.</w:t>
      </w:r>
    </w:p>
    <w:p>
      <w:pPr>
        <w:keepNext w:val="0"/>
        <w:spacing w:before="120" w:after="20" w:line="240" w:lineRule="atLeast"/>
        <w:ind w:left="360" w:right="0"/>
        <w:jc w:val="left"/>
      </w:pPr>
      <w:bookmarkStart w:id="37" w:name="Forward_fnref_ukContentItem0a77697b-12b9"/>
      <w:hyperlink w:anchor="Backward_fnref_ukContentItem0a77697b-12b9-4cb8-ab70-cc3461147cc5_REF" w:history="1">
        <w:r>
          <w:rPr>
            <w:rFonts w:ascii="arial" w:eastAsia="arial" w:hAnsi="arial" w:cs="arial"/>
            <w:b/>
            <w:i w:val="0"/>
            <w:strike w:val="0"/>
            <w:color w:val="BE161D"/>
            <w:sz w:val="18"/>
            <w:u w:val="none"/>
            <w:shd w:val="clear" w:color="auto" w:fill="FFFFFF"/>
            <w:vertAlign w:val="baseline"/>
          </w:rPr>
          <w:t>8</w:t>
        </w:r>
      </w:hyperlink>
      <w:bookmarkEnd w:id="37"/>
      <w:r>
        <w:tab/>
      </w:r>
      <w:r>
        <w:rPr>
          <w:rFonts w:ascii="arial" w:eastAsia="arial" w:hAnsi="arial" w:cs="arial"/>
          <w:b/>
          <w:i w:val="0"/>
          <w:strike w:val="0"/>
          <w:noProof w:val="0"/>
          <w:color w:val="888888"/>
          <w:position w:val="0"/>
          <w:sz w:val="18"/>
          <w:u w:val="none"/>
          <w:vertAlign w:val="baseline"/>
        </w:rPr>
        <w:t>Clause 1.2.1—assignment</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In the absence of any specific provision in the contract, both the seller and the buyer are free to assign the benefit of the whole contract or a part of it (for example a charge of the benefit of the contract or a sub-sale of the property), and the buyer is generally entitled to obtain a transfer personally or as directed. The Standard Conditions of Sale (5th Edn—2018 Revision) condition 1.5.1 and the Standard Commercial Property Conditions (3rd Edn—2018 Revision) condition 1.4.1 prohibit the buyer from transferring the benefit of the contract and conditions 1.5.2 and 1.4.2 respectively provide that the seller may not be required to transfer the property in parts or to any person other than the buyer. This latter condition prevents the seller from having to transfer the property to a sub-buyer, as would otherwise be the case, although it does not stop the buyer contracting to sell the property on provided that the buyer first obtains a transfer from the seller and then executes a second transfer to the sub-buyer.</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If assignment or sub-sales are to be permitted, the last phrase in square brackets in clause 1.2.1 of this precedent (as to ‘the Buyer’ including the buyer’s successors in title) should be inserted, but not otherwise. If sub-sales are to be permitted, and if the agreement incorporates the Standard Conditions of Sale (5th Edn—2018 Revision) or the Standard Commercial Property Conditions (3rd Edn—2018 Revision), then additionally condition 1.5.2 or 1.4.2 of those conditions should be excluded by amendment in clause 11 as required.</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The availability of what is commonly known as a ‘sub-sale relief’ is much more restricted under the stamp duty land tax regime than it was for stamp duty. If sub-sale relief is desired, care should be taken, in particular, to ensure that the timing of the relevant contracts and transactions reflects the timing and the conditions set out in the Finance Act 2003 s 45, Sch 2A (as substituted and inserted by the Finance Act 2013 s 195, Sch 39 paras 1–3 in relation to transfers of rights (including sub-sales) and pre-completion transactions entered into on or after 17 July 2003). Practitioners should note that sub-sales are transactions that can fall to be treated as steps in an avoidance scheme and therefore within the Finance Act 2003 s 75A (as inserted by the Finance Act 2007 s 71(1) and amended by the Corporation Tax Act 2010 s 1177, Sch 1 paras 400, 407). As such the practitioner should always consider whether they are obliged to make a disclosure to HM Revenue and Customs under the Finance Act 2004 Pt 7 (ss 306–319 as amended) and the Stamp Duty Land Tax Avoidance Schemes (Prescribed Descriptions of Arrangements) Regulations 2005, SI 2005/1868 as amended by SI 20102/2395.</w:t>
      </w:r>
    </w:p>
    <w:p>
      <w:pPr>
        <w:keepNext w:val="0"/>
        <w:spacing w:before="120" w:after="20" w:line="240" w:lineRule="atLeast"/>
        <w:ind w:left="360" w:right="0"/>
        <w:jc w:val="left"/>
      </w:pPr>
      <w:bookmarkStart w:id="38" w:name="Forward_fnref_ukContentItemc7d8b206-ee87"/>
      <w:hyperlink w:anchor="Backward_fnref_ukContentItemc7d8b206-ee87-4b74-b47e-98b0914f27f4_REF" w:history="1">
        <w:r>
          <w:rPr>
            <w:rFonts w:ascii="arial" w:eastAsia="arial" w:hAnsi="arial" w:cs="arial"/>
            <w:b/>
            <w:i w:val="0"/>
            <w:strike w:val="0"/>
            <w:color w:val="BE161D"/>
            <w:sz w:val="18"/>
            <w:u w:val="none"/>
            <w:shd w:val="clear" w:color="auto" w:fill="FFFFFF"/>
            <w:vertAlign w:val="baseline"/>
          </w:rPr>
          <w:t>9</w:t>
        </w:r>
      </w:hyperlink>
      <w:bookmarkEnd w:id="38"/>
      <w:r>
        <w:tab/>
      </w:r>
      <w:r>
        <w:rPr>
          <w:rFonts w:ascii="arial" w:eastAsia="arial" w:hAnsi="arial" w:cs="arial"/>
          <w:b/>
          <w:i w:val="0"/>
          <w:strike w:val="0"/>
          <w:noProof w:val="0"/>
          <w:color w:val="888888"/>
          <w:position w:val="0"/>
          <w:sz w:val="18"/>
          <w:u w:val="none"/>
          <w:vertAlign w:val="baseline"/>
        </w:rPr>
        <w:t>Clause 3—deposit</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deposits see further vol 35 (2019) SALE OF LAND Paragraphs 342 [747]–349 [762]. For alternative clauses relating to deposits see Forms 181 [2032]–186 [2041] below.</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As to the capacity in which the deposit is held see vol 35 (2019) SALE OF LAND Paragraph 343 [749]. As to the position when the deposit is held by an estate agent see vol 35 (2019) SALE OF LAND Paragraph 345 [753].</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The Standard Conditions of Sale (5th Edn—2018 Revision) condition 2.2.5 provides that if the seller is buying another property in England and Wales for a residence, the seller may use all or part of the deposit as a deposit in that transaction and the seller's seller in turn may do the same. Condition 2.2.6 provides that any deposit or part of a deposit not so used is to be held by the seller’s conveyancer as stakeholder to be paid to the seller on completion with accrued interest. If these provisions are unsuitable in the context of a particular transaction, they should be amended accordingly.</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Method by which the deposit is paid</w:t>
      </w:r>
      <w:r>
        <w:rPr>
          <w:rFonts w:ascii="arial" w:eastAsia="arial" w:hAnsi="arial" w:cs="arial"/>
          <w:b w:val="0"/>
          <w:i w:val="0"/>
          <w:strike w:val="0"/>
          <w:noProof w:val="0"/>
          <w:color w:val="888888"/>
          <w:position w:val="0"/>
          <w:sz w:val="18"/>
          <w:u w:val="none"/>
          <w:vertAlign w:val="baseline"/>
        </w:rPr>
        <w:t>: The Standard Conditions of Sale (5th Edn—2018 Revision) condition 2.2.4 only permits the deposit to be paid:</w:t>
      </w:r>
    </w:p>
    <w:p>
      <w:pPr>
        <w:keepNext w:val="0"/>
        <w:numPr>
          <w:numId w:val="3"/>
        </w:numPr>
        <w:spacing w:before="120" w:after="20" w:line="240" w:lineRule="atLeast"/>
        <w:ind w:left="1080" w:right="0"/>
        <w:jc w:val="both"/>
      </w:pPr>
      <w:r>
        <w:rPr>
          <w:rFonts w:ascii="arial" w:eastAsia="arial" w:hAnsi="arial" w:cs="arial"/>
          <w:b w:val="0"/>
          <w:i w:val="0"/>
          <w:strike w:val="0"/>
          <w:noProof w:val="0"/>
          <w:color w:val="000000"/>
          <w:position w:val="0"/>
          <w:sz w:val="18"/>
          <w:u w:val="none"/>
          <w:vertAlign w:val="baseline"/>
        </w:rPr>
        <w:t>by electronic means from an account held in the name of a conveyancer at a clearing bank to an account in the name of the seller’s conveyancer or (in a case where condition 2.2.5 applies) a conveyancer nominated by the seller's conveyancer and maintained at a clearing bank; or</w:t>
      </w:r>
    </w:p>
    <w:p>
      <w:pPr>
        <w:keepNext w:val="0"/>
        <w:numPr>
          <w:numId w:val="3"/>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to the seller’s conveyancer or (in a case where condition 2.2.5 applies) a conveyancer nominated by the seller's conveyancer by cheque drawn on a solicitor’s or licensed conveyancer’s client account.</w:t>
      </w:r>
    </w:p>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The Standard Commercial Property Conditions (3rd Edn—2018 Revision) condition 3.2.2 only permits the deposit to be paid by electronic means, except on a sale by auction.</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It should be noted that the Standard Conditions of Sale (5th Edn—2018 Revision) conditions 2.2.4 to 2.2.6 do not apply in the case of an auction: see condition 2.2.3.</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It should also be noted that, as a matter of general principle, if the deposit is paid to anyone as agent for the seller, and VAT is payable on the purchase price or the contents price, the seller must account to HM Revenue and Customs for VAT on the deposit and the buyer is entitled to a VAT invoice for the deposit as well as a separate one for the balance on completion.</w:t>
      </w:r>
    </w:p>
    <w:p>
      <w:pPr>
        <w:keepNext w:val="0"/>
        <w:spacing w:before="120" w:after="20" w:line="240" w:lineRule="atLeast"/>
        <w:ind w:left="360" w:right="0"/>
        <w:jc w:val="left"/>
      </w:pPr>
      <w:bookmarkStart w:id="39" w:name="Forward_fnref_ukContentItem3d60effb-f9f4"/>
      <w:hyperlink w:anchor="Backward_fnref_ukContentItem3d60effb-f9f4-470d-90a9-daa567cf19af_REF" w:history="1">
        <w:r>
          <w:rPr>
            <w:rFonts w:ascii="arial" w:eastAsia="arial" w:hAnsi="arial" w:cs="arial"/>
            <w:b/>
            <w:i w:val="0"/>
            <w:strike w:val="0"/>
            <w:color w:val="BE161D"/>
            <w:sz w:val="18"/>
            <w:u w:val="none"/>
            <w:shd w:val="clear" w:color="auto" w:fill="FFFFFF"/>
            <w:vertAlign w:val="baseline"/>
          </w:rPr>
          <w:t>10</w:t>
        </w:r>
      </w:hyperlink>
      <w:bookmarkEnd w:id="39"/>
      <w:r>
        <w:tab/>
      </w:r>
      <w:r>
        <w:rPr>
          <w:rFonts w:ascii="arial" w:eastAsia="arial" w:hAnsi="arial" w:cs="arial"/>
          <w:b/>
          <w:i w:val="0"/>
          <w:strike w:val="0"/>
          <w:noProof w:val="0"/>
          <w:color w:val="888888"/>
          <w:position w:val="0"/>
          <w:sz w:val="18"/>
          <w:u w:val="none"/>
          <w:vertAlign w:val="baseline"/>
        </w:rPr>
        <w:t>Clause 4—completion</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completion date, failure to complete and remedies for breach of contract see further vol 35 (2019) SALE OF LAND Paragraphs 740 [1630]–779 [1740]. For the provisions in the standard conditions relating to payment of compensation for late completion see the Standard Conditions of Sale (5th Edn—2018 Revision) condition 7.2 and the Standard Commercial Property Conditions (3rd Edn—2018 Revision) condition 10.3.</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Time for completion</w:t>
      </w:r>
      <w:r>
        <w:rPr>
          <w:rFonts w:ascii="arial" w:eastAsia="arial" w:hAnsi="arial" w:cs="arial"/>
          <w:b w:val="0"/>
          <w:i w:val="0"/>
          <w:strike w:val="0"/>
          <w:noProof w:val="0"/>
          <w:color w:val="888888"/>
          <w:position w:val="0"/>
          <w:sz w:val="18"/>
          <w:u w:val="none"/>
          <w:vertAlign w:val="baseline"/>
        </w:rPr>
        <w:t>: The Standard Conditions of Sale (5th Edn—2018 Revision) condition 6.1.2 and the Standard Commercial Property Conditions (3rd Edn—2018 Revision) condition 9.1.2 state that if the money due on completion is received after 2.00pm, completion is to be treated, for the purposes of apportionments and the provisions regarding late completion, as taking place on the next working day as a result of the buyer’s default. Any amendments to this condition should be included in clause 11.</w:t>
      </w:r>
    </w:p>
    <w:p>
      <w:pPr>
        <w:keepNext w:val="0"/>
        <w:spacing w:before="120" w:after="20" w:line="240" w:lineRule="atLeast"/>
        <w:ind w:left="360" w:right="0"/>
        <w:jc w:val="left"/>
      </w:pPr>
      <w:bookmarkStart w:id="40" w:name="Forward_fnref_ukContentItem19974dee-d58f"/>
      <w:hyperlink w:anchor="Backward_fnref_ukContentItem19974dee-d58f-4bb0-923c-3c79d8bbdd6b_REF" w:history="1">
        <w:r>
          <w:rPr>
            <w:rFonts w:ascii="arial" w:eastAsia="arial" w:hAnsi="arial" w:cs="arial"/>
            <w:b/>
            <w:i w:val="0"/>
            <w:strike w:val="0"/>
            <w:color w:val="BE161D"/>
            <w:sz w:val="18"/>
            <w:u w:val="none"/>
            <w:shd w:val="clear" w:color="auto" w:fill="FFFFFF"/>
            <w:vertAlign w:val="baseline"/>
          </w:rPr>
          <w:t>11</w:t>
        </w:r>
      </w:hyperlink>
      <w:bookmarkEnd w:id="40"/>
      <w:r>
        <w:tab/>
      </w:r>
      <w:r>
        <w:rPr>
          <w:rFonts w:ascii="arial" w:eastAsia="arial" w:hAnsi="arial" w:cs="arial"/>
          <w:b/>
          <w:i w:val="0"/>
          <w:strike w:val="0"/>
          <w:noProof w:val="0"/>
          <w:color w:val="888888"/>
          <w:position w:val="0"/>
          <w:sz w:val="18"/>
          <w:u w:val="none"/>
          <w:vertAlign w:val="baseline"/>
        </w:rPr>
        <w:t>Clause 5—title guarantee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implied covenants for title and the words importing them see further vol 35 (2019) SALE OF LAND Paragraphs 522 [1078]–537 [1118].</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Covenants for title are implied by the Law of Property (Miscellaneous Provisions) Act 1994 (and additionally, in the case of registered land, by SI 2003/1417 r 67 as amended by SI 2008/1919) provided that key words are included in the transfer. Although under the Law of Property (Miscellaneous Provisions) Act 1994and SI 2003/1417 no covenants are implied unless the key words are used, the Standard Conditions of Sale (5th Edn—2018 Revision) condition 4.6.2 and the Standard Commercial Property Conditions (3rd Edn—2018 Revision) condition 7.6.2 provide that subject to condition 4.6.3 or conditions 7.6.3 and 7.6.4 respectively, the seller is to transfer the property with full title guarantee. Accordingly, in cases where it is inappropriate for any covenants for title to be given, a clause must be inserted expressly stating that no covenants for title will be given. For clauses varying the implied covenants for title see Forms 173 [2000] and 174 [2002] below.</w:t>
      </w:r>
    </w:p>
    <w:p>
      <w:pPr>
        <w:keepNext w:val="0"/>
        <w:spacing w:before="120" w:after="20" w:line="240" w:lineRule="atLeast"/>
        <w:ind w:left="360" w:right="0"/>
        <w:jc w:val="left"/>
      </w:pPr>
      <w:bookmarkStart w:id="41" w:name="Forward_fnref_ukContentItem63fa8e8a-76bf"/>
      <w:hyperlink w:anchor="Backward_fnref_ukContentItem63fa8e8a-76bf-43c1-a011-84f0b63ec8f3_REF" w:history="1">
        <w:r>
          <w:rPr>
            <w:rFonts w:ascii="arial" w:eastAsia="arial" w:hAnsi="arial" w:cs="arial"/>
            <w:b/>
            <w:i w:val="0"/>
            <w:strike w:val="0"/>
            <w:color w:val="BE161D"/>
            <w:sz w:val="18"/>
            <w:u w:val="none"/>
            <w:shd w:val="clear" w:color="auto" w:fill="FFFFFF"/>
            <w:vertAlign w:val="baseline"/>
          </w:rPr>
          <w:t>12</w:t>
        </w:r>
      </w:hyperlink>
      <w:bookmarkEnd w:id="41"/>
      <w:r>
        <w:tab/>
      </w:r>
      <w:r>
        <w:rPr>
          <w:rFonts w:ascii="arial" w:eastAsia="arial" w:hAnsi="arial" w:cs="arial"/>
          <w:b/>
          <w:i w:val="0"/>
          <w:strike w:val="0"/>
          <w:noProof w:val="0"/>
          <w:color w:val="888888"/>
          <w:position w:val="0"/>
          <w:sz w:val="18"/>
          <w:u w:val="none"/>
          <w:vertAlign w:val="baseline"/>
        </w:rPr>
        <w:t>Clause 6—vacant possession</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Clause 6, although regularly included in contracts, is strictly unnecessary because, in the absence of any indication to the contrary, it is an implied term that vacant possession will be given: see vol 35 (2019) SALE OF LAND Paragraph 339 [743]. However, the printed forms of contract incorporating the Standard Conditions of Sale (5th Edn—2018 Revision) and the Standard Commercial Property Conditions (3rd Edn—2018 Revision) include a similar clause to this as a special condition, which is inserted here as a reminder to the parties.</w:t>
      </w:r>
    </w:p>
    <w:p>
      <w:pPr>
        <w:keepNext w:val="0"/>
        <w:spacing w:before="120" w:after="20" w:line="240" w:lineRule="atLeast"/>
        <w:ind w:left="360" w:right="0"/>
        <w:jc w:val="left"/>
      </w:pPr>
      <w:bookmarkStart w:id="42" w:name="Forward_fnref_ukContentItemf15891e0-c6d2"/>
      <w:hyperlink w:anchor="Backward_fnref_ukContentItemf15891e0-c6d2-4571-ba9b-60b910a02cb6_REF" w:history="1">
        <w:r>
          <w:rPr>
            <w:rFonts w:ascii="arial" w:eastAsia="arial" w:hAnsi="arial" w:cs="arial"/>
            <w:b/>
            <w:i w:val="0"/>
            <w:strike w:val="0"/>
            <w:color w:val="BE161D"/>
            <w:sz w:val="18"/>
            <w:u w:val="none"/>
            <w:shd w:val="clear" w:color="auto" w:fill="FFFFFF"/>
            <w:vertAlign w:val="baseline"/>
          </w:rPr>
          <w:t>13</w:t>
        </w:r>
      </w:hyperlink>
      <w:bookmarkEnd w:id="42"/>
      <w:r>
        <w:tab/>
      </w:r>
      <w:r>
        <w:rPr>
          <w:rFonts w:ascii="arial" w:eastAsia="arial" w:hAnsi="arial" w:cs="arial"/>
          <w:b/>
          <w:i w:val="0"/>
          <w:strike w:val="0"/>
          <w:noProof w:val="0"/>
          <w:color w:val="888888"/>
          <w:position w:val="0"/>
          <w:sz w:val="18"/>
          <w:u w:val="none"/>
          <w:vertAlign w:val="baseline"/>
        </w:rPr>
        <w:t>Clause 7—title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deduction of title to unregistered property see vol 35 (2019) SALE OF LAND Paragraphs 483 [980], 484 [988]. As to deduction of title to registered property see vol 35 (2019) SALE OF LAND Paragraph 482 [973].</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As to the seller’s duty to disclose defects in the title see vol 35 (2019) SALE OF LAND Paragraph 381 [799]–387 [811]. It is clearly in the interests of the seller to disclose any defects of which the seller is aware before exchange of contracts; therefore it is now common for title to be deduced in its entirety before exchange and for restrictions to be placed on the right to raise requisitions, and the Standard Conditions of Sale (5th Edn—2018 Revision) and the Standard Commercial Property Conditions (3rd Edn—2018 Revision) assume this will be done.</w:t>
      </w:r>
    </w:p>
    <w:p>
      <w:pPr>
        <w:keepNext w:val="0"/>
        <w:spacing w:before="120" w:after="20" w:line="240" w:lineRule="atLeast"/>
        <w:ind w:left="360" w:right="0"/>
        <w:jc w:val="left"/>
      </w:pPr>
      <w:bookmarkStart w:id="43" w:name="Forward_fnref_Clausex2014proofOfTitleAsT"/>
      <w:hyperlink w:anchor="Backward_fnref_Clausex2014proofOfTitleAsToInstrume-9B4F498C_REF" w:history="1">
        <w:r>
          <w:rPr>
            <w:rFonts w:ascii="arial" w:eastAsia="arial" w:hAnsi="arial" w:cs="arial"/>
            <w:b/>
            <w:i w:val="0"/>
            <w:strike w:val="0"/>
            <w:color w:val="BE161D"/>
            <w:sz w:val="18"/>
            <w:u w:val="none"/>
            <w:shd w:val="clear" w:color="auto" w:fill="FFFFFF"/>
            <w:vertAlign w:val="baseline"/>
          </w:rPr>
          <w:t>14</w:t>
        </w:r>
      </w:hyperlink>
      <w:bookmarkEnd w:id="43"/>
      <w:r>
        <w:tab/>
      </w:r>
      <w:r>
        <w:rPr>
          <w:rFonts w:ascii="arial" w:eastAsia="arial" w:hAnsi="arial" w:cs="arial"/>
          <w:b/>
          <w:i w:val="0"/>
          <w:strike w:val="0"/>
          <w:noProof w:val="0"/>
          <w:color w:val="888888"/>
          <w:position w:val="0"/>
          <w:sz w:val="18"/>
          <w:u w:val="none"/>
          <w:vertAlign w:val="baseline"/>
        </w:rPr>
        <w:t>Clause 7.1—proof of title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instruments which may form a good root of title in relation to unregistered property see vol 35 (2019) SALE OF LAND Paragraph 483.2 [982]. Under the standard conditions, proof of title to unregistered property is to include:</w:t>
      </w:r>
    </w:p>
    <w:p>
      <w:pPr>
        <w:keepNext w:val="0"/>
        <w:numPr>
          <w:numId w:val="4"/>
        </w:numPr>
        <w:spacing w:before="120" w:after="20" w:line="240" w:lineRule="atLeast"/>
        <w:ind w:left="1080" w:right="0"/>
        <w:jc w:val="both"/>
      </w:pPr>
      <w:r>
        <w:rPr>
          <w:rFonts w:ascii="arial" w:eastAsia="arial" w:hAnsi="arial" w:cs="arial"/>
          <w:b w:val="0"/>
          <w:i w:val="0"/>
          <w:strike w:val="0"/>
          <w:noProof w:val="0"/>
          <w:color w:val="000000"/>
          <w:position w:val="0"/>
          <w:sz w:val="18"/>
          <w:u w:val="none"/>
          <w:vertAlign w:val="baseline"/>
        </w:rPr>
        <w:t>an abstract of title or an epitome of title with photocopies of the documents, and</w:t>
      </w:r>
    </w:p>
    <w:p>
      <w:pPr>
        <w:keepNext w:val="0"/>
        <w:numPr>
          <w:numId w:val="4"/>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production of every document or an abstract, epitome or copy of it with an original marking by a conveyancer either against the original or an examined abstract or an examined copy.</w:t>
      </w:r>
    </w:p>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See the Standard Conditions of Sale (5th Edn—2018 Revision) condition 4.1.3 and the Standard Commercial Property Conditions (3rd Edn—2018 Revision) condition 7.1.3.</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The Land Registration Act 2002 does not prescribe how title is to be deduced, which is left for the parties to agree by contract. The Standard Conditions of Sale (5th Edn—2018 Revision) condition 4.1.2 and the Standard Commercial Property Conditions(3rd Edn—2018 Revision) condition 7.1.3 provide that the evidence of registered title is to include official copies of the items referred to in SI 2003/1417 rr 134(1)(a), (b) and 135(1)(a) (as substituted by SI 2008/1919) so far as they are not to be discharged or overridden at or before completion, namely:</w:t>
      </w:r>
    </w:p>
    <w:p>
      <w:pPr>
        <w:keepNext w:val="0"/>
        <w:numPr>
          <w:numId w:val="5"/>
        </w:numPr>
        <w:spacing w:before="120" w:after="20" w:line="240" w:lineRule="atLeast"/>
        <w:ind w:left="1080" w:right="0"/>
        <w:jc w:val="both"/>
      </w:pPr>
      <w:r>
        <w:rPr>
          <w:rFonts w:ascii="arial" w:eastAsia="arial" w:hAnsi="arial" w:cs="arial"/>
          <w:b w:val="0"/>
          <w:i w:val="0"/>
          <w:strike w:val="0"/>
          <w:noProof w:val="0"/>
          <w:color w:val="000000"/>
          <w:position w:val="0"/>
          <w:sz w:val="18"/>
          <w:u w:val="none"/>
          <w:vertAlign w:val="baseline"/>
        </w:rPr>
        <w:t>an official copy of an individual register;</w:t>
      </w:r>
    </w:p>
    <w:p>
      <w:pPr>
        <w:keepNext w:val="0"/>
        <w:numPr>
          <w:numId w:val="5"/>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an official copy of any title plan referred to in an individual register;</w:t>
      </w:r>
    </w:p>
    <w:p>
      <w:pPr>
        <w:keepNext w:val="0"/>
        <w:numPr>
          <w:numId w:val="5"/>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an official copy of any document referred to in the register of title and kept by the registrar (excluding excepted documents defined in r 133(5) (as substituted by SI 2008/1919) which includes exempt information documents and related documents, and documents in connection with court proceedings, insolvency and tax liabilities).</w:t>
      </w:r>
    </w:p>
    <w:p/>
    <w:p>
      <w:pPr>
        <w:keepNext w:val="0"/>
        <w:spacing w:before="120" w:after="20" w:line="240" w:lineRule="atLeast"/>
        <w:ind w:left="360" w:right="0"/>
        <w:jc w:val="left"/>
      </w:pPr>
      <w:bookmarkStart w:id="44" w:name="Forward_fnref_ukContentIteme65106f9-a367"/>
      <w:hyperlink w:anchor="Backward_fnref_ukContentIteme65106f9-a367-4da8-921b-0e1787aa5688_REF" w:history="1">
        <w:r>
          <w:rPr>
            <w:rFonts w:ascii="arial" w:eastAsia="arial" w:hAnsi="arial" w:cs="arial"/>
            <w:b/>
            <w:i w:val="0"/>
            <w:strike w:val="0"/>
            <w:color w:val="BE161D"/>
            <w:sz w:val="18"/>
            <w:u w:val="none"/>
            <w:shd w:val="clear" w:color="auto" w:fill="FFFFFF"/>
            <w:vertAlign w:val="baseline"/>
          </w:rPr>
          <w:t>15</w:t>
        </w:r>
      </w:hyperlink>
      <w:bookmarkEnd w:id="44"/>
      <w:r>
        <w:tab/>
      </w:r>
      <w:r>
        <w:rPr>
          <w:rFonts w:ascii="arial" w:eastAsia="arial" w:hAnsi="arial" w:cs="arial"/>
          <w:b/>
          <w:i w:val="0"/>
          <w:strike w:val="0"/>
          <w:noProof w:val="0"/>
          <w:color w:val="888888"/>
          <w:position w:val="0"/>
          <w:sz w:val="18"/>
          <w:u w:val="none"/>
          <w:vertAlign w:val="baseline"/>
        </w:rPr>
        <w:t>Clause 7.3—seller not registered by completion date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It is not uncommon for contracts for the sale of property to provide for a contractual completion date prior to the date upon which the registration of the title of the seller at the Land Registry as proprietor of the land to be sold is completed. In such cases, it is left for the parties to make such contractual arrangements as they wish.</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It should be remembered in any case that the rule in </w:t>
      </w:r>
      <w:r>
        <w:rPr>
          <w:rFonts w:ascii="arial" w:eastAsia="arial" w:hAnsi="arial" w:cs="arial"/>
          <w:b w:val="0"/>
          <w:i/>
          <w:strike w:val="0"/>
          <w:noProof w:val="0"/>
          <w:color w:val="888888"/>
          <w:position w:val="0"/>
          <w:sz w:val="18"/>
          <w:u w:val="none"/>
          <w:vertAlign w:val="baseline"/>
        </w:rPr>
        <w:t>Bain v Fothergill</w:t>
      </w:r>
      <w:r>
        <w:rPr>
          <w:rFonts w:ascii="arial" w:eastAsia="arial" w:hAnsi="arial" w:cs="arial"/>
          <w:b w:val="0"/>
          <w:i w:val="0"/>
          <w:strike w:val="0"/>
          <w:noProof w:val="0"/>
          <w:color w:val="888888"/>
          <w:position w:val="0"/>
          <w:sz w:val="18"/>
          <w:u w:val="none"/>
          <w:vertAlign w:val="baseline"/>
        </w:rPr>
        <w:t xml:space="preserve"> (1874) LR 7 HL 158, 39 JP 228, HL preventing a buyer from recovering damages for loss of bargain when a seller cannot make title in accordance with the terms of the contract has been abolished by the Law of Property (Miscellaneous Provisions) Act 1989 s 3. It is therefore preferable for the seller to ensure registration as proprietor before the completion date.</w:t>
      </w:r>
    </w:p>
    <w:p>
      <w:pPr>
        <w:keepNext w:val="0"/>
        <w:spacing w:before="120" w:after="20" w:line="240" w:lineRule="atLeast"/>
        <w:ind w:left="360" w:right="0"/>
        <w:jc w:val="left"/>
      </w:pPr>
      <w:bookmarkStart w:id="45" w:name="Forward_fnref_ukContentItemddf4ed91-9d1d"/>
      <w:hyperlink w:anchor="Backward_fnref_ukContentItemddf4ed91-9d1d-4576-af9e-0fc5d8e94a7d_REF" w:history="1">
        <w:r>
          <w:rPr>
            <w:rFonts w:ascii="arial" w:eastAsia="arial" w:hAnsi="arial" w:cs="arial"/>
            <w:b/>
            <w:i w:val="0"/>
            <w:strike w:val="0"/>
            <w:color w:val="BE161D"/>
            <w:sz w:val="18"/>
            <w:u w:val="none"/>
            <w:shd w:val="clear" w:color="auto" w:fill="FFFFFF"/>
            <w:vertAlign w:val="baseline"/>
          </w:rPr>
          <w:t>16</w:t>
        </w:r>
      </w:hyperlink>
      <w:bookmarkEnd w:id="45"/>
      <w:r>
        <w:tab/>
      </w:r>
      <w:r>
        <w:rPr>
          <w:rFonts w:ascii="arial" w:eastAsia="arial" w:hAnsi="arial" w:cs="arial"/>
          <w:b/>
          <w:i w:val="0"/>
          <w:strike w:val="0"/>
          <w:noProof w:val="0"/>
          <w:color w:val="888888"/>
          <w:position w:val="0"/>
          <w:sz w:val="18"/>
          <w:u w:val="none"/>
          <w:vertAlign w:val="baseline"/>
        </w:rPr>
        <w:t>Clause 8—incumbrances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the seller’s duty to disclose incumbrances see further vol 35 (2019) SALE OF LAND Paragraph 381 [799]. Where registered land is concerned, the rights of any person in actual occupation of the land will override the disposition of the land, which will be subject to those rights unless enquiry has been made of that person and the rights were not disclosed: see the Land Registration Act 2002 s 29, Sch 3 para 2. The same qualification does not apply in relation to other interests listed in the Land Registration Act 2002 Sch 3 as amended.</w:t>
      </w:r>
    </w:p>
    <w:p>
      <w:pPr>
        <w:keepNext w:val="0"/>
        <w:spacing w:before="120" w:after="20" w:line="240" w:lineRule="atLeast"/>
        <w:ind w:left="360" w:right="0"/>
        <w:jc w:val="left"/>
      </w:pPr>
      <w:bookmarkStart w:id="46" w:name="Forward_fnref_ukContentItem48e3f907-c8aa"/>
      <w:hyperlink w:anchor="Backward_fnref_ukContentItem48e3f907-c8aa-41e1-9085-a1df8ff51b03_REF" w:history="1">
        <w:r>
          <w:rPr>
            <w:rFonts w:ascii="arial" w:eastAsia="arial" w:hAnsi="arial" w:cs="arial"/>
            <w:b/>
            <w:i w:val="0"/>
            <w:strike w:val="0"/>
            <w:color w:val="BE161D"/>
            <w:sz w:val="18"/>
            <w:u w:val="none"/>
            <w:shd w:val="clear" w:color="auto" w:fill="FFFFFF"/>
            <w:vertAlign w:val="baseline"/>
          </w:rPr>
          <w:t>17</w:t>
        </w:r>
      </w:hyperlink>
      <w:bookmarkEnd w:id="46"/>
      <w:r>
        <w:tab/>
      </w:r>
      <w:r>
        <w:rPr>
          <w:rFonts w:ascii="arial" w:eastAsia="arial" w:hAnsi="arial" w:cs="arial"/>
          <w:b/>
          <w:i w:val="0"/>
          <w:strike w:val="0"/>
          <w:noProof w:val="0"/>
          <w:color w:val="888888"/>
          <w:position w:val="0"/>
          <w:sz w:val="18"/>
          <w:u w:val="none"/>
          <w:vertAlign w:val="baseline"/>
        </w:rPr>
        <w:t>Clause 8.1—proprietorship register entries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In the case of registered land, the proprietorship register may need to be included if, for example, there is a restriction controlling dispositions of land which will remain on the register following sale.</w:t>
      </w:r>
    </w:p>
    <w:p>
      <w:pPr>
        <w:keepNext w:val="0"/>
        <w:spacing w:before="120" w:after="20" w:line="240" w:lineRule="atLeast"/>
        <w:ind w:left="360" w:right="0"/>
        <w:jc w:val="left"/>
      </w:pPr>
      <w:bookmarkStart w:id="47" w:name="Forward_fnref_ukContentItem64b6391b-52e0"/>
      <w:hyperlink w:anchor="Backward_fnref_ukContentItem64b6391b-52e0-48eb-91d7-68b173276678_REF" w:history="1">
        <w:r>
          <w:rPr>
            <w:rFonts w:ascii="arial" w:eastAsia="arial" w:hAnsi="arial" w:cs="arial"/>
            <w:b/>
            <w:i w:val="0"/>
            <w:strike w:val="0"/>
            <w:color w:val="BE161D"/>
            <w:sz w:val="18"/>
            <w:u w:val="none"/>
            <w:shd w:val="clear" w:color="auto" w:fill="FFFFFF"/>
            <w:vertAlign w:val="baseline"/>
          </w:rPr>
          <w:t>18</w:t>
        </w:r>
      </w:hyperlink>
      <w:bookmarkEnd w:id="47"/>
      <w:r>
        <w:tab/>
      </w:r>
      <w:r>
        <w:rPr>
          <w:rFonts w:ascii="arial" w:eastAsia="arial" w:hAnsi="arial" w:cs="arial"/>
          <w:b/>
          <w:i w:val="0"/>
          <w:strike w:val="0"/>
          <w:noProof w:val="0"/>
          <w:color w:val="888888"/>
          <w:position w:val="0"/>
          <w:sz w:val="18"/>
          <w:u w:val="none"/>
          <w:vertAlign w:val="baseline"/>
        </w:rPr>
        <w:t>Clause 8.2—indemnity</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Clause 8.2 should be omitted if there are no matters affecting the property in respect of which the seller will remain liable following the completion of the transfer of the property to the buyer. It may also be omitted in reliance upon the Standard Conditions of Sale (5th Edn—2018 Revision) condition 4.6.4 or the Standard Commercial Property Conditions (3rd Edn—2018 Revision) condition 7.6.5 if incorporated. It should be omitted if the second alternative clauses 8.3–8.6 of this precedent are used because the indemnity covenant will be set out in full in the draft transfer.</w:t>
      </w:r>
    </w:p>
    <w:p>
      <w:pPr>
        <w:keepNext w:val="0"/>
        <w:spacing w:before="120" w:after="20" w:line="240" w:lineRule="atLeast"/>
        <w:ind w:left="360" w:right="0"/>
        <w:jc w:val="left"/>
      </w:pPr>
      <w:bookmarkStart w:id="48" w:name="Forward_fnref_Clausex2014annexationOfTra"/>
      <w:hyperlink w:anchor="Backward_fnref_Clausex2014annexationOfTransferWhil-9B5156F3_REF" w:history="1">
        <w:r>
          <w:rPr>
            <w:rFonts w:ascii="arial" w:eastAsia="arial" w:hAnsi="arial" w:cs="arial"/>
            <w:b/>
            <w:i w:val="0"/>
            <w:strike w:val="0"/>
            <w:color w:val="BE161D"/>
            <w:sz w:val="18"/>
            <w:u w:val="none"/>
            <w:shd w:val="clear" w:color="auto" w:fill="FFFFFF"/>
            <w:vertAlign w:val="baseline"/>
          </w:rPr>
          <w:t>19</w:t>
        </w:r>
      </w:hyperlink>
      <w:bookmarkEnd w:id="48"/>
      <w:r>
        <w:tab/>
      </w:r>
      <w:r>
        <w:rPr>
          <w:rFonts w:ascii="arial" w:eastAsia="arial" w:hAnsi="arial" w:cs="arial"/>
          <w:b/>
          <w:i w:val="0"/>
          <w:strike w:val="0"/>
          <w:noProof w:val="0"/>
          <w:color w:val="888888"/>
          <w:position w:val="0"/>
          <w:sz w:val="18"/>
          <w:u w:val="none"/>
          <w:vertAlign w:val="baseline"/>
        </w:rPr>
        <w:t>Clause 8.3—annexation of transfer</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Whilst the annexation of a draft transfer is more usual on a sale of part of the seller’s property, it may be appropriate also on a sale of the whole of a property where there are numerous or complex incumbrances to be referred to in the transfer or covenants to be imposed.</w:t>
      </w:r>
    </w:p>
    <w:p>
      <w:pPr>
        <w:keepNext w:val="0"/>
        <w:spacing w:before="120" w:after="20" w:line="240" w:lineRule="atLeast"/>
        <w:ind w:left="360" w:right="0"/>
        <w:jc w:val="left"/>
      </w:pPr>
      <w:bookmarkStart w:id="49" w:name="Forward_fnref_ukContentItem5f3dee68-b7de"/>
      <w:hyperlink w:anchor="Backward_fnref_ukContentItem5f3dee68-b7de-4218-aa6c-106baae0d5e5_REF" w:history="1">
        <w:r>
          <w:rPr>
            <w:rFonts w:ascii="arial" w:eastAsia="arial" w:hAnsi="arial" w:cs="arial"/>
            <w:b/>
            <w:i w:val="0"/>
            <w:strike w:val="0"/>
            <w:color w:val="BE161D"/>
            <w:sz w:val="18"/>
            <w:u w:val="none"/>
            <w:shd w:val="clear" w:color="auto" w:fill="FFFFFF"/>
            <w:vertAlign w:val="baseline"/>
          </w:rPr>
          <w:t>20</w:t>
        </w:r>
      </w:hyperlink>
      <w:bookmarkEnd w:id="49"/>
      <w:r>
        <w:tab/>
      </w:r>
      <w:r>
        <w:rPr>
          <w:rFonts w:ascii="arial" w:eastAsia="arial" w:hAnsi="arial" w:cs="arial"/>
          <w:b/>
          <w:i w:val="0"/>
          <w:strike w:val="0"/>
          <w:noProof w:val="0"/>
          <w:color w:val="888888"/>
          <w:position w:val="0"/>
          <w:sz w:val="18"/>
          <w:u w:val="none"/>
          <w:vertAlign w:val="baseline"/>
        </w:rPr>
        <w:t>Clause 8.3—costs of engrossment</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Any stipulation made on the sale of any interest in land to the effect that the conveyance to, or the registration of the title of, the buyer shall be prepared or carried out at the expense of the buyer by a solicitor appointed by or acting for the seller is void, but this does not affect any right reserved to the seller to furnish a form of conveyance to the buyer from which the draft can be prepared, or to charge a reasonable fee for it: see the Law of Property Act 1925 s 48(1). This section does not expressly prohibit a provision that the buyer will pay the seller’s solicitors’ costs and such provisions are often found on sales of reversions and in other cases where the purchase price is small or the form of transfer is complex.</w:t>
      </w:r>
    </w:p>
    <w:p>
      <w:pPr>
        <w:keepNext w:val="0"/>
        <w:spacing w:before="120" w:after="20" w:line="240" w:lineRule="atLeast"/>
        <w:ind w:left="360" w:right="0"/>
        <w:jc w:val="left"/>
      </w:pPr>
      <w:bookmarkStart w:id="50" w:name="Forward_fnref_ukContentItemb007bd7b-527f"/>
      <w:hyperlink w:anchor="Backward_fnref_ukContentItemb007bd7b-527f-4b99-95ce-66aea2d52cd9_REF" w:history="1">
        <w:r>
          <w:rPr>
            <w:rFonts w:ascii="arial" w:eastAsia="arial" w:hAnsi="arial" w:cs="arial"/>
            <w:b/>
            <w:i w:val="0"/>
            <w:strike w:val="0"/>
            <w:color w:val="BE161D"/>
            <w:sz w:val="18"/>
            <w:u w:val="none"/>
            <w:shd w:val="clear" w:color="auto" w:fill="FFFFFF"/>
            <w:vertAlign w:val="baseline"/>
          </w:rPr>
          <w:t>21</w:t>
        </w:r>
      </w:hyperlink>
      <w:bookmarkEnd w:id="50"/>
      <w:r>
        <w:tab/>
      </w:r>
      <w:r>
        <w:rPr>
          <w:rFonts w:ascii="arial" w:eastAsia="arial" w:hAnsi="arial" w:cs="arial"/>
          <w:b/>
          <w:i w:val="0"/>
          <w:strike w:val="0"/>
          <w:noProof w:val="0"/>
          <w:color w:val="888888"/>
          <w:position w:val="0"/>
          <w:sz w:val="18"/>
          <w:u w:val="none"/>
          <w:vertAlign w:val="baseline"/>
        </w:rPr>
        <w:t>Clause 9—subjections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So far as clause 9.1 is concerned, a buyer should bear in mind that certain financial charges in respect of costs incurred by a local authority are registrable as local land charges. If these relate to expenditure arising before the date of the contract, the buyer may wish to ensure that they are borne by the seller.</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Additionally, the property could be expressed to be sold subject to:</w:t>
      </w:r>
    </w:p>
    <w:p>
      <w:pPr>
        <w:keepNext w:val="0"/>
        <w:numPr>
          <w:numId w:val="6"/>
        </w:numPr>
        <w:spacing w:before="120" w:after="20" w:line="240" w:lineRule="atLeast"/>
        <w:ind w:left="1080" w:right="0"/>
        <w:jc w:val="both"/>
      </w:pPr>
      <w:r>
        <w:rPr>
          <w:rFonts w:ascii="arial" w:eastAsia="arial" w:hAnsi="arial" w:cs="arial"/>
          <w:b w:val="0"/>
          <w:i w:val="0"/>
          <w:strike w:val="0"/>
          <w:noProof w:val="0"/>
          <w:color w:val="000000"/>
          <w:position w:val="0"/>
          <w:sz w:val="18"/>
          <w:u w:val="none"/>
          <w:vertAlign w:val="baseline"/>
        </w:rPr>
        <w:t>matters discoverable by inspection of the property before the date of this agreement (although the Standard Conditions of Sale (5th Edn—2018 Revision) condition 3.1.2(b) and the Standard Commercial Property Conditions (3rd Edn—2018 Revision) condition 4.1.2(b) provide for this);</w:t>
      </w:r>
    </w:p>
    <w:p>
      <w:pPr>
        <w:keepNext w:val="0"/>
        <w:numPr>
          <w:numId w:val="6"/>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matters relating to the property about which the seller does not know (narrower than the Standard Conditions of Sale (5th Edn—2018 Revision) condition 3.1.2(c) and the Standard Commercial Property Conditions (3rd Edn—2018 Revision) condition 4.1.2(c));</w:t>
      </w:r>
    </w:p>
    <w:p>
      <w:pPr>
        <w:keepNext w:val="0"/>
        <w:numPr>
          <w:numId w:val="6"/>
        </w:numPr>
        <w:spacing w:before="120" w:after="20" w:line="240" w:lineRule="atLeast"/>
        <w:ind w:right="0"/>
        <w:jc w:val="both"/>
      </w:pPr>
      <w:r>
        <w:rPr>
          <w:rFonts w:ascii="arial" w:eastAsia="arial" w:hAnsi="arial" w:cs="arial"/>
          <w:b w:val="0"/>
          <w:i w:val="0"/>
          <w:strike w:val="0"/>
          <w:noProof w:val="0"/>
          <w:color w:val="000000"/>
          <w:position w:val="0"/>
          <w:sz w:val="18"/>
          <w:u w:val="none"/>
          <w:vertAlign w:val="baseline"/>
        </w:rPr>
        <w:t>matters disclosed or which would be disclosed by any searches or as a result of enquiries (formal or informal and made in person, in writing or orally) made by or for the buyer or which a prudent buyer ought to make (wider than the Standard Conditions of Sale (5th Edn) 3.1.2(d) and the Standard Commercial Property Conditions (3rd Edn—2018 Revision) condition 4.1.2(d)).</w:t>
      </w:r>
    </w:p>
    <w:p/>
    <w:p>
      <w:pPr>
        <w:keepNext w:val="0"/>
        <w:spacing w:before="120" w:after="20" w:line="240" w:lineRule="atLeast"/>
        <w:ind w:left="360" w:right="0"/>
        <w:jc w:val="left"/>
      </w:pPr>
      <w:bookmarkStart w:id="51" w:name="Forward_fnref_ukContentItemdce482c6-feae"/>
      <w:hyperlink w:anchor="Backward_fnref_ukContentItemdce482c6-feae-44f8-a978-27eaa22ac2aa_REF" w:history="1">
        <w:r>
          <w:rPr>
            <w:rFonts w:ascii="arial" w:eastAsia="arial" w:hAnsi="arial" w:cs="arial"/>
            <w:b/>
            <w:i w:val="0"/>
            <w:strike w:val="0"/>
            <w:color w:val="BE161D"/>
            <w:sz w:val="18"/>
            <w:u w:val="none"/>
            <w:shd w:val="clear" w:color="auto" w:fill="FFFFFF"/>
            <w:vertAlign w:val="baseline"/>
          </w:rPr>
          <w:t>22</w:t>
        </w:r>
      </w:hyperlink>
      <w:bookmarkEnd w:id="51"/>
      <w:r>
        <w:tab/>
      </w:r>
      <w:r>
        <w:rPr>
          <w:rFonts w:ascii="arial" w:eastAsia="arial" w:hAnsi="arial" w:cs="arial"/>
          <w:b/>
          <w:i w:val="0"/>
          <w:strike w:val="0"/>
          <w:noProof w:val="0"/>
          <w:color w:val="888888"/>
          <w:position w:val="0"/>
          <w:sz w:val="18"/>
          <w:u w:val="none"/>
          <w:vertAlign w:val="baseline"/>
        </w:rPr>
        <w:t>Clause 10—disclaimer</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     As an exclusion clause, this condition is subject to the test of reasonableness under the Unfair Contract Terms Act 1977 s 11: see </w:t>
      </w:r>
      <w:r>
        <w:rPr>
          <w:rFonts w:ascii="arial" w:eastAsia="arial" w:hAnsi="arial" w:cs="arial"/>
          <w:b w:val="0"/>
          <w:i/>
          <w:strike w:val="0"/>
          <w:noProof w:val="0"/>
          <w:color w:val="888888"/>
          <w:position w:val="0"/>
          <w:sz w:val="18"/>
          <w:u w:val="none"/>
          <w:vertAlign w:val="baseline"/>
        </w:rPr>
        <w:t>Smith v Eric S Bush, Harris v Wyre Forest District Council</w:t>
      </w:r>
      <w:r>
        <w:rPr>
          <w:rFonts w:ascii="arial" w:eastAsia="arial" w:hAnsi="arial" w:cs="arial"/>
          <w:b w:val="0"/>
          <w:i w:val="0"/>
          <w:strike w:val="0"/>
          <w:noProof w:val="0"/>
          <w:color w:val="888888"/>
          <w:position w:val="0"/>
          <w:sz w:val="18"/>
          <w:u w:val="none"/>
          <w:vertAlign w:val="baseline"/>
        </w:rPr>
        <w:t xml:space="preserve"> [1990] 1 AC 831, [1989] 2 All ER 514, HL. The seller cannot rely on a general disclaimer to avoid disclosing matters specifically known to the seller prior to sale: see </w:t>
      </w:r>
      <w:r>
        <w:rPr>
          <w:rFonts w:ascii="arial" w:eastAsia="arial" w:hAnsi="arial" w:cs="arial"/>
          <w:b w:val="0"/>
          <w:i/>
          <w:strike w:val="0"/>
          <w:noProof w:val="0"/>
          <w:color w:val="888888"/>
          <w:position w:val="0"/>
          <w:sz w:val="18"/>
          <w:u w:val="none"/>
          <w:vertAlign w:val="baseline"/>
        </w:rPr>
        <w:t>Rignall Developments Ltd v Halil</w:t>
      </w:r>
      <w:r>
        <w:rPr>
          <w:rFonts w:ascii="arial" w:eastAsia="arial" w:hAnsi="arial" w:cs="arial"/>
          <w:b w:val="0"/>
          <w:i w:val="0"/>
          <w:strike w:val="0"/>
          <w:noProof w:val="0"/>
          <w:color w:val="888888"/>
          <w:position w:val="0"/>
          <w:sz w:val="18"/>
          <w:u w:val="none"/>
          <w:vertAlign w:val="baseline"/>
        </w:rPr>
        <w:t xml:space="preserve"> [1988] Ch 190, [1987] 3 All ER 170 and </w:t>
      </w:r>
      <w:r>
        <w:rPr>
          <w:rFonts w:ascii="arial" w:eastAsia="arial" w:hAnsi="arial" w:cs="arial"/>
          <w:b w:val="0"/>
          <w:i/>
          <w:strike w:val="0"/>
          <w:noProof w:val="0"/>
          <w:color w:val="888888"/>
          <w:position w:val="0"/>
          <w:sz w:val="18"/>
          <w:u w:val="none"/>
          <w:vertAlign w:val="baseline"/>
        </w:rPr>
        <w:t>Thomas Witter Ltd v TBP Industries Ltd</w:t>
      </w:r>
      <w:r>
        <w:rPr>
          <w:rFonts w:ascii="arial" w:eastAsia="arial" w:hAnsi="arial" w:cs="arial"/>
          <w:b w:val="0"/>
          <w:i w:val="0"/>
          <w:strike w:val="0"/>
          <w:noProof w:val="0"/>
          <w:color w:val="888888"/>
          <w:position w:val="0"/>
          <w:sz w:val="18"/>
          <w:u w:val="none"/>
          <w:vertAlign w:val="baseline"/>
        </w:rPr>
        <w:t xml:space="preserve"> [1996] 2 All ER 573, 12 Tr LR 145. For an admission of no warranty as to the suitability of the property for use or development for any particular purpose see vol 38(2) (2018) SALE OF LAND Form 1 clause 10.1.3 [8].</w:t>
      </w:r>
    </w:p>
    <w:p>
      <w:pPr>
        <w:keepNext w:val="0"/>
        <w:spacing w:before="120" w:after="20" w:line="240" w:lineRule="atLeast"/>
        <w:ind w:left="360" w:right="0"/>
        <w:jc w:val="left"/>
      </w:pPr>
      <w:bookmarkStart w:id="52" w:name="Forward_fnref_ukContentItem6069881f-f389"/>
      <w:hyperlink w:anchor="Backward_fnref_ukContentItem6069881f-f389-4b4e-bfc7-18f1642d1910_REF" w:history="1">
        <w:r>
          <w:rPr>
            <w:rFonts w:ascii="arial" w:eastAsia="arial" w:hAnsi="arial" w:cs="arial"/>
            <w:b/>
            <w:i w:val="0"/>
            <w:strike w:val="0"/>
            <w:color w:val="BE161D"/>
            <w:sz w:val="18"/>
            <w:u w:val="none"/>
            <w:shd w:val="clear" w:color="auto" w:fill="FFFFFF"/>
            <w:vertAlign w:val="baseline"/>
          </w:rPr>
          <w:t>23</w:t>
        </w:r>
      </w:hyperlink>
      <w:bookmarkEnd w:id="52"/>
      <w:r>
        <w:tab/>
      </w:r>
      <w:r>
        <w:rPr>
          <w:rFonts w:ascii="arial" w:eastAsia="arial" w:hAnsi="arial" w:cs="arial"/>
          <w:b/>
          <w:i w:val="0"/>
          <w:strike w:val="0"/>
          <w:noProof w:val="0"/>
          <w:color w:val="888888"/>
          <w:position w:val="0"/>
          <w:sz w:val="18"/>
          <w:u w:val="none"/>
          <w:vertAlign w:val="baseline"/>
        </w:rPr>
        <w:t>Clause 10.3—extent of investigations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     Clause 10.3 is to address the concerns following the decision in </w:t>
      </w:r>
      <w:r>
        <w:rPr>
          <w:rFonts w:ascii="arial" w:eastAsia="arial" w:hAnsi="arial" w:cs="arial"/>
          <w:b w:val="0"/>
          <w:i/>
          <w:strike w:val="0"/>
          <w:noProof w:val="0"/>
          <w:color w:val="888888"/>
          <w:position w:val="0"/>
          <w:sz w:val="18"/>
          <w:u w:val="none"/>
          <w:vertAlign w:val="baseline"/>
        </w:rPr>
        <w:t>William Sindall plc v Cambridgeshire County Council</w:t>
      </w:r>
      <w:r>
        <w:rPr>
          <w:rFonts w:ascii="arial" w:eastAsia="arial" w:hAnsi="arial" w:cs="arial"/>
          <w:b w:val="0"/>
          <w:i w:val="0"/>
          <w:strike w:val="0"/>
          <w:noProof w:val="0"/>
          <w:color w:val="888888"/>
          <w:position w:val="0"/>
          <w:sz w:val="18"/>
          <w:u w:val="none"/>
          <w:vertAlign w:val="baseline"/>
        </w:rPr>
        <w:t xml:space="preserve"> [1994] 3 All ER 932, [1994] 1 WLR 1016, CA, that words such as ‘not so far as the seller is aware’ imply that the seller (and the seller's solicitor) have no actual knowledge and that they have made all the investigations that a prudent seller and solicitor would be expected to have made.</w:t>
      </w:r>
    </w:p>
    <w:p>
      <w:pPr>
        <w:keepNext w:val="0"/>
        <w:spacing w:before="120" w:after="20" w:line="240" w:lineRule="atLeast"/>
        <w:ind w:left="360" w:right="0"/>
        <w:jc w:val="left"/>
      </w:pPr>
      <w:bookmarkStart w:id="53" w:name="Forward_fnref_ukContentIteme43adbf9-054d"/>
      <w:hyperlink w:anchor="Backward_fnref_ukContentIteme43adbf9-054d-420b-98d1-32371423a8b3_REF" w:history="1">
        <w:r>
          <w:rPr>
            <w:rFonts w:ascii="arial" w:eastAsia="arial" w:hAnsi="arial" w:cs="arial"/>
            <w:b/>
            <w:i w:val="0"/>
            <w:strike w:val="0"/>
            <w:color w:val="BE161D"/>
            <w:sz w:val="18"/>
            <w:u w:val="none"/>
            <w:shd w:val="clear" w:color="auto" w:fill="FFFFFF"/>
            <w:vertAlign w:val="baseline"/>
          </w:rPr>
          <w:t>24</w:t>
        </w:r>
      </w:hyperlink>
      <w:bookmarkEnd w:id="53"/>
      <w:r>
        <w:tab/>
      </w:r>
      <w:r>
        <w:rPr>
          <w:rFonts w:ascii="arial" w:eastAsia="arial" w:hAnsi="arial" w:cs="arial"/>
          <w:b/>
          <w:i w:val="0"/>
          <w:strike w:val="0"/>
          <w:noProof w:val="0"/>
          <w:color w:val="888888"/>
          <w:position w:val="0"/>
          <w:sz w:val="18"/>
          <w:u w:val="none"/>
          <w:vertAlign w:val="baseline"/>
        </w:rPr>
        <w:t>Clause 11—amendments to the standard conditions of sale</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Consideration should be given to whether the conditions of sale incorporated require amendment in any way to suit the circumstances of the transaction or to ensure consistency with this agreement.</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Service of notices by email</w:t>
      </w:r>
      <w:r>
        <w:rPr>
          <w:rFonts w:ascii="arial" w:eastAsia="arial" w:hAnsi="arial" w:cs="arial"/>
          <w:b w:val="0"/>
          <w:i w:val="0"/>
          <w:strike w:val="0"/>
          <w:noProof w:val="0"/>
          <w:color w:val="888888"/>
          <w:position w:val="0"/>
          <w:sz w:val="18"/>
          <w:u w:val="none"/>
          <w:vertAlign w:val="baseline"/>
        </w:rPr>
        <w:t>: The Standard Conditions of Sale (5th Edn—2018 Revision) and the Standard Commercial Property Conditions (3rd Edn—2018 Revision) conditions 1.3.3 permit service of a notice or document by email where delivery of the original document is not essential if, but only if, an email address for the intended recipient is given in the contract. If the parties wish to permit service by email, the email address could be inserted in clause 11 of this precedent or after the address in the definitions of the seller’s and buyer’s solicitors in clause 1 of this precedent.</w:t>
      </w:r>
    </w:p>
    <w:p>
      <w:pPr>
        <w:keepNext w:val="0"/>
        <w:spacing w:before="120" w:after="20" w:line="240" w:lineRule="atLeast"/>
        <w:ind w:left="720" w:right="0"/>
        <w:jc w:val="left"/>
      </w:pPr>
      <w:r>
        <w:rPr>
          <w:rFonts w:ascii="arial" w:eastAsia="arial" w:hAnsi="arial" w:cs="arial"/>
          <w:b/>
          <w:i w:val="0"/>
          <w:strike w:val="0"/>
          <w:noProof w:val="0"/>
          <w:color w:val="888888"/>
          <w:position w:val="0"/>
          <w:sz w:val="18"/>
          <w:u w:val="none"/>
          <w:vertAlign w:val="baseline"/>
        </w:rPr>
        <w:t>Insurance</w:t>
      </w:r>
      <w:r>
        <w:rPr>
          <w:rFonts w:ascii="arial" w:eastAsia="arial" w:hAnsi="arial" w:cs="arial"/>
          <w:b w:val="0"/>
          <w:i w:val="0"/>
          <w:strike w:val="0"/>
          <w:noProof w:val="0"/>
          <w:color w:val="888888"/>
          <w:position w:val="0"/>
          <w:sz w:val="18"/>
          <w:u w:val="none"/>
          <w:vertAlign w:val="baseline"/>
        </w:rPr>
        <w:t>: The Standard Conditions of Sale (5th Edn—2018 Revision) condition 5.1.1 and the Standard Commercial Property Conditions (3rd Edn—2018 Revision) condition 8.1 provide that the property is at the risk of the buyer from the date of the contract, which means the buyer will have to complete the purchase even if the property has been damaged or destroyed. The buyer should, therefore, insure the property from exchange of contracts. The seller is under no obligation to insure unless the contract so provides, or it is let on a lease under which the seller (whether as landlord or tenant) is obliged to insure: see conditions 5.1.2 and 8.2.1 respectively. Conditions 5.1.5 and 8.2.4 make provision in the case of double insurance. For an express condition requiring the seller to insure see Form 203 [2220] below.</w:t>
      </w:r>
    </w:p>
    <w:p>
      <w:pPr>
        <w:keepNext w:val="0"/>
        <w:spacing w:before="120" w:after="20" w:line="240" w:lineRule="atLeast"/>
        <w:ind w:left="360" w:right="0"/>
        <w:jc w:val="left"/>
      </w:pPr>
      <w:bookmarkStart w:id="54" w:name="Forward_fnref_ukContentItem176923c8-ff26"/>
      <w:hyperlink w:anchor="Backward_fnref_ukContentItem176923c8-ff26-494e-9b09-273803b68c29_REF" w:history="1">
        <w:r>
          <w:rPr>
            <w:rFonts w:ascii="arial" w:eastAsia="arial" w:hAnsi="arial" w:cs="arial"/>
            <w:b/>
            <w:i w:val="0"/>
            <w:strike w:val="0"/>
            <w:color w:val="BE161D"/>
            <w:sz w:val="18"/>
            <w:u w:val="none"/>
            <w:shd w:val="clear" w:color="auto" w:fill="FFFFFF"/>
            <w:vertAlign w:val="baseline"/>
          </w:rPr>
          <w:t>25</w:t>
        </w:r>
      </w:hyperlink>
      <w:bookmarkEnd w:id="54"/>
      <w:r>
        <w:tab/>
      </w:r>
      <w:r>
        <w:rPr>
          <w:rFonts w:ascii="arial" w:eastAsia="arial" w:hAnsi="arial" w:cs="arial"/>
          <w:b/>
          <w:i w:val="0"/>
          <w:strike w:val="0"/>
          <w:noProof w:val="0"/>
          <w:color w:val="888888"/>
          <w:position w:val="0"/>
          <w:sz w:val="18"/>
          <w:u w:val="none"/>
          <w:vertAlign w:val="baseline"/>
        </w:rPr>
        <w:t>Clause 12—assignment of contract</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     See note </w:t>
      </w:r>
      <w:bookmarkStart w:id="55" w:name="Backward_fnref_XXXX_d1e2967"/>
      <w:hyperlink w:anchor="Forward_fnref_XXXX_d1e2967" w:history="1">
        <w:r>
          <w:rPr>
            <w:rFonts w:ascii="arial" w:eastAsia="arial" w:hAnsi="arial" w:cs="arial"/>
            <w:b/>
            <w:i w:val="0"/>
            <w:strike w:val="0"/>
            <w:noProof w:val="0"/>
            <w:color w:val="BE161D"/>
            <w:position w:val="0"/>
            <w:sz w:val="18"/>
            <w:u w:val="none"/>
            <w:shd w:val="clear" w:color="auto" w:fill="FFFFFF"/>
            <w:vertAlign w:val="superscript"/>
          </w:rPr>
          <w:t>8</w:t>
        </w:r>
      </w:hyperlink>
      <w:bookmarkEnd w:id="55"/>
      <w:r>
        <w:rPr>
          <w:rFonts w:ascii="arial" w:eastAsia="arial" w:hAnsi="arial" w:cs="arial"/>
          <w:b w:val="0"/>
          <w:i w:val="0"/>
          <w:strike w:val="0"/>
          <w:noProof w:val="0"/>
          <w:color w:val="888888"/>
          <w:position w:val="0"/>
          <w:sz w:val="18"/>
          <w:u w:val="none"/>
          <w:vertAlign w:val="baseline"/>
        </w:rPr>
        <w:t>.</w:t>
      </w:r>
    </w:p>
    <w:p>
      <w:pPr>
        <w:keepNext w:val="0"/>
        <w:spacing w:before="120" w:after="20" w:line="240" w:lineRule="atLeast"/>
        <w:ind w:left="360" w:right="0"/>
        <w:jc w:val="left"/>
      </w:pPr>
      <w:bookmarkStart w:id="56" w:name="Forward_fnref_ukContentItem1c447508-2091"/>
      <w:hyperlink w:anchor="Backward_fnref_ukContentItem1c447508-2091-4044-bb23-83d031e51dfd_REF" w:history="1">
        <w:r>
          <w:rPr>
            <w:rFonts w:ascii="arial" w:eastAsia="arial" w:hAnsi="arial" w:cs="arial"/>
            <w:b/>
            <w:i w:val="0"/>
            <w:strike w:val="0"/>
            <w:color w:val="BE161D"/>
            <w:sz w:val="18"/>
            <w:u w:val="none"/>
            <w:shd w:val="clear" w:color="auto" w:fill="FFFFFF"/>
            <w:vertAlign w:val="baseline"/>
          </w:rPr>
          <w:t>26</w:t>
        </w:r>
      </w:hyperlink>
      <w:bookmarkEnd w:id="56"/>
      <w:r>
        <w:tab/>
      </w:r>
      <w:r>
        <w:rPr>
          <w:rFonts w:ascii="arial" w:eastAsia="arial" w:hAnsi="arial" w:cs="arial"/>
          <w:b/>
          <w:i w:val="0"/>
          <w:strike w:val="0"/>
          <w:noProof w:val="0"/>
          <w:color w:val="888888"/>
          <w:position w:val="0"/>
          <w:sz w:val="18"/>
          <w:u w:val="none"/>
          <w:vertAlign w:val="baseline"/>
        </w:rPr>
        <w:t>Clause 13—contents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contents and as to fixtures and fittings see further vol 35 (2019) SALE OF LAND Paragraphs 350 [780]–355 [786].</w:t>
      </w:r>
    </w:p>
    <w:p>
      <w:pPr>
        <w:keepNext w:val="0"/>
        <w:spacing w:before="120" w:after="20" w:line="240" w:lineRule="atLeast"/>
        <w:ind w:left="360" w:right="0"/>
        <w:jc w:val="left"/>
      </w:pPr>
      <w:bookmarkStart w:id="57" w:name="Forward_fnref_ukContentItem13e44cf4-f8ed"/>
      <w:hyperlink w:anchor="Backward_fnref_ukContentItem13e44cf4-f8ed-4425-95e6-8bb8b770d0a3_REF" w:history="1">
        <w:r>
          <w:rPr>
            <w:rFonts w:ascii="arial" w:eastAsia="arial" w:hAnsi="arial" w:cs="arial"/>
            <w:b/>
            <w:i w:val="0"/>
            <w:strike w:val="0"/>
            <w:color w:val="BE161D"/>
            <w:sz w:val="18"/>
            <w:u w:val="none"/>
            <w:shd w:val="clear" w:color="auto" w:fill="FFFFFF"/>
            <w:vertAlign w:val="baseline"/>
          </w:rPr>
          <w:t>27</w:t>
        </w:r>
      </w:hyperlink>
      <w:bookmarkEnd w:id="57"/>
      <w:r>
        <w:tab/>
      </w:r>
      <w:r>
        <w:rPr>
          <w:rFonts w:ascii="arial" w:eastAsia="arial" w:hAnsi="arial" w:cs="arial"/>
          <w:b/>
          <w:i w:val="0"/>
          <w:strike w:val="0"/>
          <w:noProof w:val="0"/>
          <w:color w:val="888888"/>
          <w:position w:val="0"/>
          <w:sz w:val="18"/>
          <w:u w:val="none"/>
          <w:vertAlign w:val="baseline"/>
        </w:rPr>
        <w:t>Clause 14—VAT</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     See note </w:t>
      </w:r>
      <w:bookmarkStart w:id="58" w:name="Backward_fnref_XXXX_d1e2993"/>
      <w:hyperlink w:anchor="Forward_fnref_XXXX_d1e2993" w:history="1">
        <w:r>
          <w:rPr>
            <w:rFonts w:ascii="arial" w:eastAsia="arial" w:hAnsi="arial" w:cs="arial"/>
            <w:b/>
            <w:i w:val="0"/>
            <w:strike w:val="0"/>
            <w:noProof w:val="0"/>
            <w:color w:val="BE161D"/>
            <w:position w:val="0"/>
            <w:sz w:val="18"/>
            <w:u w:val="none"/>
            <w:shd w:val="clear" w:color="auto" w:fill="FFFFFF"/>
            <w:vertAlign w:val="superscript"/>
          </w:rPr>
          <w:t>6</w:t>
        </w:r>
      </w:hyperlink>
      <w:bookmarkEnd w:id="58"/>
      <w:r>
        <w:rPr>
          <w:rFonts w:ascii="arial" w:eastAsia="arial" w:hAnsi="arial" w:cs="arial"/>
          <w:b w:val="0"/>
          <w:i w:val="0"/>
          <w:strike w:val="0"/>
          <w:noProof w:val="0"/>
          <w:color w:val="888888"/>
          <w:position w:val="0"/>
          <w:sz w:val="18"/>
          <w:u w:val="none"/>
          <w:vertAlign w:val="baseline"/>
        </w:rPr>
        <w:t>. The Standard Conditions of Sale (5th Edn—2018 Revision) condition 1.4.1 provides that the purchase price and the contents price are inclusive of VAT. Clause 15.1 allows an option to make the purchase price and the contents price inclusive or exclusive of VAT.</w:t>
      </w:r>
    </w:p>
    <w:p>
      <w:pPr>
        <w:keepNext w:val="0"/>
        <w:spacing w:before="120" w:after="20" w:line="240" w:lineRule="atLeast"/>
        <w:ind w:left="360" w:right="0"/>
        <w:jc w:val="left"/>
      </w:pPr>
      <w:bookmarkStart w:id="59" w:name="Forward_fnref_ukContentItem7536854c-da13"/>
      <w:hyperlink w:anchor="Backward_fnref_ukContentItem7536854c-da13-4ff0-a3b4-e655d6aaf836_REF" w:history="1">
        <w:r>
          <w:rPr>
            <w:rFonts w:ascii="arial" w:eastAsia="arial" w:hAnsi="arial" w:cs="arial"/>
            <w:b/>
            <w:i w:val="0"/>
            <w:strike w:val="0"/>
            <w:color w:val="BE161D"/>
            <w:sz w:val="18"/>
            <w:u w:val="none"/>
            <w:shd w:val="clear" w:color="auto" w:fill="FFFFFF"/>
            <w:vertAlign w:val="baseline"/>
          </w:rPr>
          <w:t>28</w:t>
        </w:r>
      </w:hyperlink>
      <w:bookmarkEnd w:id="59"/>
      <w:r>
        <w:tab/>
      </w:r>
      <w:r>
        <w:rPr>
          <w:rFonts w:ascii="arial" w:eastAsia="arial" w:hAnsi="arial" w:cs="arial"/>
          <w:b/>
          <w:i w:val="0"/>
          <w:strike w:val="0"/>
          <w:noProof w:val="0"/>
          <w:color w:val="888888"/>
          <w:position w:val="0"/>
          <w:sz w:val="18"/>
          <w:u w:val="none"/>
          <w:vertAlign w:val="baseline"/>
        </w:rPr>
        <w:t>Clause 15—deed</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xml:space="preserve">     It is essential to state on the face of a document that it is a deed if it is to be one: see the Law of Property (Miscellaneous Provisions) Act 1989 s 1(2)(a). As to when it might be appropriate for the contract to be executed as a deed see note </w:t>
      </w:r>
      <w:bookmarkStart w:id="60" w:name="Backward_fnref_XXXX_d1e3014"/>
      <w:hyperlink w:anchor="Forward_fnref_XXXX_d1e3014" w:history="1">
        <w:r>
          <w:rPr>
            <w:rFonts w:ascii="arial" w:eastAsia="arial" w:hAnsi="arial" w:cs="arial"/>
            <w:b/>
            <w:i w:val="0"/>
            <w:strike w:val="0"/>
            <w:noProof w:val="0"/>
            <w:color w:val="BE161D"/>
            <w:position w:val="0"/>
            <w:sz w:val="18"/>
            <w:u w:val="none"/>
            <w:shd w:val="clear" w:color="auto" w:fill="FFFFFF"/>
            <w:vertAlign w:val="superscript"/>
          </w:rPr>
          <w:t>1</w:t>
        </w:r>
      </w:hyperlink>
      <w:bookmarkEnd w:id="60"/>
      <w:r>
        <w:rPr>
          <w:rFonts w:ascii="arial" w:eastAsia="arial" w:hAnsi="arial" w:cs="arial"/>
          <w:b w:val="0"/>
          <w:i w:val="0"/>
          <w:strike w:val="0"/>
          <w:noProof w:val="0"/>
          <w:color w:val="888888"/>
          <w:position w:val="0"/>
          <w:sz w:val="18"/>
          <w:u w:val="none"/>
          <w:vertAlign w:val="baseline"/>
        </w:rPr>
        <w:t>.</w:t>
      </w:r>
    </w:p>
    <w:p>
      <w:pPr>
        <w:keepNext w:val="0"/>
        <w:spacing w:before="120" w:after="20" w:line="240" w:lineRule="atLeast"/>
        <w:ind w:left="360" w:right="0"/>
        <w:jc w:val="left"/>
      </w:pPr>
      <w:bookmarkStart w:id="61" w:name="Forward_fnref_ukContentItem413af041-28ae"/>
      <w:hyperlink w:anchor="Backward_fnref_ukContentItem413af041-28ae-44cb-b1b3-ff393be3b304_REF" w:history="1">
        <w:r>
          <w:rPr>
            <w:rFonts w:ascii="arial" w:eastAsia="arial" w:hAnsi="arial" w:cs="arial"/>
            <w:b/>
            <w:i w:val="0"/>
            <w:strike w:val="0"/>
            <w:color w:val="BE161D"/>
            <w:sz w:val="18"/>
            <w:u w:val="none"/>
            <w:shd w:val="clear" w:color="auto" w:fill="FFFFFF"/>
            <w:vertAlign w:val="baseline"/>
          </w:rPr>
          <w:t>29</w:t>
        </w:r>
      </w:hyperlink>
      <w:bookmarkEnd w:id="61"/>
      <w:r>
        <w:tab/>
      </w:r>
      <w:r>
        <w:rPr>
          <w:rFonts w:ascii="arial" w:eastAsia="arial" w:hAnsi="arial" w:cs="arial"/>
          <w:b/>
          <w:i w:val="0"/>
          <w:strike w:val="0"/>
          <w:noProof w:val="0"/>
          <w:color w:val="888888"/>
          <w:position w:val="0"/>
          <w:sz w:val="18"/>
          <w:u w:val="none"/>
          <w:vertAlign w:val="baseline"/>
        </w:rPr>
        <w:t>Clause 16—contractual rights of third parties</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As to the Contracts (Rights of Third Parties) Act 1999 see vol 4(3) (2017) BOILERPLATE AND COMMERCIAL CLAUSES Paragraph 72.1 [501] onwards. For alternative clauses see vol 4(3) (2017) BOILERPLATE AND COMMERCIAL CLAUSES Forms 73.1 [2331]–73.3 [2341]. Where no rights are to be conferred and the Standard Conditions of Sale (5th Edn—2018 Revision) or the Standard Commercial Property Conditions (3rd Edn—2018 Revision) are being incorporated, clause 16 can be omitted, in reliance on conditions 1.6 and 1.5 respectively.</w:t>
      </w:r>
    </w:p>
    <w:p>
      <w:pPr>
        <w:keepNext w:val="0"/>
        <w:spacing w:before="120" w:after="20" w:line="240" w:lineRule="atLeast"/>
        <w:ind w:left="360" w:right="0"/>
        <w:jc w:val="left"/>
      </w:pPr>
      <w:bookmarkStart w:id="62" w:name="Forward_fnref_ExecutionForExecutionClaus"/>
      <w:hyperlink w:anchor="Backward_fnref_ExecutionForExecutionClausesAndSign-6E1A29A7_REF" w:history="1">
        <w:r>
          <w:rPr>
            <w:rFonts w:ascii="arial" w:eastAsia="arial" w:hAnsi="arial" w:cs="arial"/>
            <w:b/>
            <w:i w:val="0"/>
            <w:strike w:val="0"/>
            <w:color w:val="BE161D"/>
            <w:sz w:val="18"/>
            <w:u w:val="none"/>
            <w:shd w:val="clear" w:color="auto" w:fill="FFFFFF"/>
            <w:vertAlign w:val="baseline"/>
          </w:rPr>
          <w:t>30</w:t>
        </w:r>
      </w:hyperlink>
      <w:bookmarkEnd w:id="62"/>
      <w:r>
        <w:tab/>
      </w:r>
      <w:r>
        <w:rPr>
          <w:rFonts w:ascii="arial" w:eastAsia="arial" w:hAnsi="arial" w:cs="arial"/>
          <w:b/>
          <w:i w:val="0"/>
          <w:strike w:val="0"/>
          <w:noProof w:val="0"/>
          <w:color w:val="888888"/>
          <w:position w:val="0"/>
          <w:sz w:val="18"/>
          <w:u w:val="none"/>
          <w:vertAlign w:val="baseline"/>
        </w:rPr>
        <w:t>Execution</w:t>
      </w:r>
    </w:p>
    <w:p>
      <w:pPr>
        <w:keepNext w:val="0"/>
        <w:spacing w:before="120" w:after="20" w:line="240" w:lineRule="atLeast"/>
        <w:ind w:left="720" w:right="0"/>
        <w:jc w:val="left"/>
      </w:pPr>
      <w:r>
        <w:rPr>
          <w:rFonts w:ascii="arial" w:eastAsia="arial" w:hAnsi="arial" w:cs="arial"/>
          <w:b w:val="0"/>
          <w:i w:val="0"/>
          <w:strike w:val="0"/>
          <w:noProof w:val="0"/>
          <w:color w:val="888888"/>
          <w:position w:val="0"/>
          <w:sz w:val="18"/>
          <w:u w:val="none"/>
          <w:vertAlign w:val="baseline"/>
        </w:rPr>
        <w:t>     For execution clauses and signature blocks see vol 12(3) (2022) DEEDS, AGREEMENTS AND DECLARATIONS.</w:t>
      </w:r>
    </w:p>
    <w:p/>
    <w:p/>
    <w:p>
      <w:r>
        <w:br w:type="page"/>
      </w:r>
    </w:p>
    <w:p>
      <w:pPr>
        <w:keepNext w:val="0"/>
        <w:spacing w:before="0" w:after="60" w:line="360" w:lineRule="atLeast"/>
        <w:ind w:left="0" w:right="0" w:firstLine="0"/>
        <w:jc w:val="center"/>
      </w:pPr>
      <w:r>
        <w:br/>
      </w:r>
      <w:r>
        <w:rPr>
          <w:rFonts w:ascii="arial" w:eastAsia="arial" w:hAnsi="arial" w:cs="arial"/>
          <w:b/>
          <w:i w:val="0"/>
          <w:strike w:val="0"/>
          <w:noProof w:val="0"/>
          <w:color w:val="000000"/>
          <w:position w:val="0"/>
          <w:sz w:val="30"/>
          <w:u w:val="none"/>
          <w:vertAlign w:val="baseline"/>
        </w:rPr>
        <w:t>Drafting Notes</w:t>
      </w:r>
    </w:p>
    <w:p>
      <w:pPr>
        <w:keepNext w:val="0"/>
        <w:spacing w:after="0" w:line="260" w:lineRule="atLeast"/>
        <w:ind w:left="0" w:right="0" w:firstLine="0"/>
        <w:jc w:val="center"/>
      </w:pPr>
      <w:r>
        <w:rPr>
          <w:rFonts w:ascii="arial" w:eastAsia="arial" w:hAnsi="arial" w:cs="arial"/>
          <w:b w:val="0"/>
          <w:i w:val="0"/>
          <w:strike w:val="0"/>
          <w:noProof w:val="0"/>
          <w:color w:val="000000"/>
          <w:position w:val="0"/>
          <w:sz w:val="20"/>
          <w:u w:val="none"/>
          <w:vertAlign w:val="baseline"/>
        </w:rPr>
        <w:t>75    Agreement for sale—whole of registered or unregistered freehold property</w:t>
      </w:r>
      <w:hyperlink w:anchor="Forward_fnref_ukContentItem6441c59d-5490-4ad9-b741-1ea6c6d989b6_REF" w:history="1">
        <w:r>
          <w:rPr>
            <w:rFonts w:ascii="arial" w:eastAsia="arial" w:hAnsi="arial" w:cs="arial"/>
            <w:b/>
            <w:i w:val="0"/>
            <w:strike w:val="0"/>
            <w:noProof w:val="0"/>
            <w:color w:val="BE161D"/>
            <w:position w:val="0"/>
            <w:sz w:val="20"/>
            <w:u w:val="none"/>
            <w:shd w:val="clear" w:color="auto" w:fill="FFFFFF"/>
            <w:vertAlign w:val="superscript"/>
          </w:rPr>
          <w:t>1</w:t>
        </w:r>
      </w:hyperlink>
    </w:p>
    <w:p/>
    <w:p>
      <w:pPr>
        <w:keepNext w:val="0"/>
        <w:spacing w:before="240" w:after="0" w:line="260" w:lineRule="atLeast"/>
        <w:ind w:left="0" w:right="0" w:firstLine="0"/>
        <w:jc w:val="left"/>
      </w:pPr>
      <w:r>
        <w:rPr>
          <w:rFonts w:ascii="arial" w:eastAsia="arial" w:hAnsi="arial" w:cs="arial"/>
          <w:b/>
          <w:i w:val="0"/>
          <w:strike w:val="0"/>
          <w:noProof w:val="0"/>
          <w:color w:val="000000"/>
          <w:position w:val="0"/>
          <w:sz w:val="20"/>
          <w:u w:val="none"/>
          <w:vertAlign w:val="baseline"/>
        </w:rPr>
        <w:t>Drafting Notes</w:t>
      </w:r>
      <w:r>
        <w:br/>
      </w:r>
    </w:p>
    <w:p/>
    <w:p>
      <w:pPr>
        <w:ind w:left="200"/>
      </w:pPr>
      <w:r>
        <w:br/>
      </w:r>
      <w:r>
        <w:pict>
          <v:line id="_x0000_s1026" style="position:absolute;z-index:251659264" from="0,10pt" to="512pt,10pt" strokecolor="black" strokeweight="1pt">
            <v:stroke linestyle="single"/>
          </v:line>
        </w:pict>
      </w:r>
      <w:r>
        <w:rPr>
          <w:rFonts w:ascii="arial" w:eastAsia="arial" w:hAnsi="arial" w:cs="arial"/>
          <w:b/>
          <w:color w:val="767676"/>
          <w:sz w:val="16"/>
        </w:rPr>
        <w:t>End of Document</w:t>
      </w:r>
    </w:p>
    <w:sectPr>
      <w:type w:val="continuous"/>
      <w:pgMar w:top="840" w:right="1000" w:bottom="840" w:left="1000" w:header="400" w:footer="400"/>
      <w:pgNumType w:fmt="decimal"/>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20007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20007A87" w:usb1="80000000" w:usb2="00000008"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10080" w:type="dxa"/>
      <w:jc w:val="center"/>
      <w:tblBorders>
        <w:top w:val="nil"/>
        <w:left w:val="nil"/>
        <w:bottom w:val="nil"/>
        <w:right w:val="nil"/>
        <w:insideH w:val="nil"/>
        <w:insideV w:val="nil"/>
      </w:tblBorders>
      <w:tblLayout w:type="fixed"/>
      <w:tblCellMar>
        <w:left w:w="108" w:type="dxa"/>
        <w:right w:w="108" w:type="dxa"/>
      </w:tblCellMar>
    </w:tblPr>
    <w:tblGrid>
      <w:gridCol w:w="2600"/>
      <w:gridCol w:w="4880"/>
      <w:gridCol w:w="2600"/>
    </w:tblGrid>
    <w:tr>
      <w:tblPrEx>
        <w:tblW w:w="10080" w:type="dxa"/>
        <w:jc w:val="center"/>
        <w:tblBorders>
          <w:top w:val="nil"/>
          <w:left w:val="nil"/>
          <w:bottom w:val="nil"/>
          <w:right w:val="nil"/>
          <w:insideH w:val="nil"/>
          <w:insideV w:val="nil"/>
        </w:tblBorders>
        <w:tblLayout w:type="fixed"/>
        <w:tblCellMar>
          <w:left w:w="108" w:type="dxa"/>
          <w:right w:w="108" w:type="dxa"/>
        </w:tblCellMar>
      </w:tblPrEx>
      <w:trPr>
        <w:jc w:val="center"/>
      </w:trPr>
      <w:tc>
        <w:tcPr>
          <w:tcW w:w="2600" w:type="dxa"/>
          <w:tcMar>
            <w:top w:w="200" w:type="dxa"/>
          </w:tcMar>
          <w:vAlign w:val="center"/>
        </w:tcPr>
        <w:p/>
      </w:tc>
      <w:tc>
        <w:tcPr>
          <w:tcW w:w="4880" w:type="dxa"/>
          <w:tcMar>
            <w:top w:w="200" w:type="dxa"/>
          </w:tcMar>
          <w:vAlign w:val="center"/>
        </w:tcPr>
        <w:p>
          <w:pPr>
            <w:jc w:val="center"/>
          </w:pPr>
        </w:p>
      </w:tc>
      <w:tc>
        <w:tcPr>
          <w:tcW w:w="2600" w:type="dxa"/>
          <w:tcMar>
            <w:top w:w="200" w:type="dxa"/>
          </w:tcMar>
          <w:vAlign w:val="center"/>
        </w:tcPr>
        <w:p/>
      </w:tc>
    </w:tr>
  </w:tbl>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spacing w:before="200"/>
      <w:jc w:val="center"/>
    </w:pP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10080" w:type="dxa"/>
      <w:jc w:val="center"/>
      <w:tblBorders>
        <w:top w:val="nil"/>
        <w:left w:val="nil"/>
        <w:bottom w:val="nil"/>
        <w:right w:val="nil"/>
        <w:insideH w:val="nil"/>
        <w:insideV w:val="nil"/>
      </w:tblBorders>
      <w:tblLayout w:type="fixed"/>
      <w:tblCellMar>
        <w:left w:w="108" w:type="dxa"/>
        <w:right w:w="108" w:type="dxa"/>
      </w:tblCellMar>
    </w:tblPr>
    <w:tblGrid>
      <w:gridCol w:w="10080"/>
    </w:tblGrid>
    <w:tr>
      <w:tblPrEx>
        <w:tblW w:w="10080" w:type="dxa"/>
        <w:jc w:val="center"/>
        <w:tblBorders>
          <w:top w:val="nil"/>
          <w:left w:val="nil"/>
          <w:bottom w:val="nil"/>
          <w:right w:val="nil"/>
          <w:insideH w:val="nil"/>
          <w:insideV w:val="nil"/>
        </w:tblBorders>
        <w:tblLayout w:type="fixed"/>
        <w:tblCellMar>
          <w:left w:w="108" w:type="dxa"/>
          <w:right w:w="108" w:type="dxa"/>
        </w:tblCellMar>
      </w:tblPrEx>
      <w:trPr>
        <w:jc w:val="center"/>
      </w:trPr>
      <w:tc>
        <w:tcPr>
          <w:tcW w:w="10080" w:type="dxa"/>
          <w:vAlign w:val="center"/>
        </w:tcPr>
        <w:p/>
      </w:tc>
    </w:tr>
    <w:tr>
      <w:tblPrEx>
        <w:tblW w:w="10080" w:type="dxa"/>
        <w:jc w:val="center"/>
        <w:tblLayout w:type="fixed"/>
        <w:tblCellMar>
          <w:left w:w="108" w:type="dxa"/>
          <w:right w:w="108" w:type="dxa"/>
        </w:tblCellMar>
      </w:tblPrEx>
      <w:trPr>
        <w:jc w:val="center"/>
      </w:trPr>
      <w:tc>
        <w:tcPr>
          <w:tcW w:w="10080" w:type="dxa"/>
        </w:tcPr>
        <w:p>
          <w:pPr>
            <w:spacing w:before="60" w:after="200"/>
            <w:jc w:val="center"/>
          </w:pPr>
        </w:p>
      </w:tc>
    </w:tr>
  </w:tbl>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lowerLetter"/>
      <w:lvlText w:val="(%1)"/>
      <w:lvlJc w:val="left"/>
      <w:pPr>
        <w:tabs>
          <w:tab w:val="num" w:pos="1120"/>
        </w:tabs>
        <w:ind w:left="1120" w:hanging="400"/>
      </w:pPr>
      <w:rPr>
        <w:b w:val="0"/>
        <w:i w:val="0"/>
        <w:color w:val="000000"/>
        <w:sz w:val="18"/>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nsid w:val="00000002"/>
    <w:multiLevelType w:val="multilevel"/>
    <w:tmpl w:val="00000002"/>
    <w:lvl w:ilvl="0">
      <w:start w:val="1"/>
      <w:numFmt w:val="lowerLetter"/>
      <w:lvlText w:val="(%1)"/>
      <w:lvlJc w:val="left"/>
      <w:pPr>
        <w:tabs>
          <w:tab w:val="num" w:pos="1120"/>
        </w:tabs>
        <w:ind w:left="1120" w:hanging="400"/>
      </w:pPr>
      <w:rPr>
        <w:b w:val="0"/>
        <w:i w:val="0"/>
        <w:color w:val="000000"/>
        <w:sz w:val="18"/>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nsid w:val="00000003"/>
    <w:multiLevelType w:val="multilevel"/>
    <w:tmpl w:val="00000003"/>
    <w:lvl w:ilvl="0">
      <w:start w:val="1"/>
      <w:numFmt w:val="lowerLetter"/>
      <w:lvlText w:val="(%1)"/>
      <w:lvlJc w:val="left"/>
      <w:pPr>
        <w:tabs>
          <w:tab w:val="num" w:pos="1120"/>
        </w:tabs>
        <w:ind w:left="1120" w:hanging="400"/>
      </w:pPr>
      <w:rPr>
        <w:b w:val="0"/>
        <w:i w:val="0"/>
        <w:color w:val="000000"/>
        <w:sz w:val="18"/>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nsid w:val="00000004"/>
    <w:multiLevelType w:val="multilevel"/>
    <w:tmpl w:val="00000004"/>
    <w:lvl w:ilvl="0">
      <w:start w:val="1"/>
      <w:numFmt w:val="lowerLetter"/>
      <w:lvlText w:val="(%1)"/>
      <w:lvlJc w:val="left"/>
      <w:pPr>
        <w:tabs>
          <w:tab w:val="num" w:pos="1120"/>
        </w:tabs>
        <w:ind w:left="1120" w:hanging="400"/>
      </w:pPr>
      <w:rPr>
        <w:b w:val="0"/>
        <w:i w:val="0"/>
        <w:color w:val="000000"/>
        <w:sz w:val="18"/>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nsid w:val="00000005"/>
    <w:multiLevelType w:val="multilevel"/>
    <w:tmpl w:val="00000005"/>
    <w:lvl w:ilvl="0">
      <w:start w:val="1"/>
      <w:numFmt w:val="lowerLetter"/>
      <w:lvlText w:val="(%1)"/>
      <w:lvlJc w:val="left"/>
      <w:pPr>
        <w:tabs>
          <w:tab w:val="num" w:pos="1120"/>
        </w:tabs>
        <w:ind w:left="1120" w:hanging="400"/>
      </w:pPr>
      <w:rPr>
        <w:b w:val="0"/>
        <w:i w:val="0"/>
        <w:color w:val="000000"/>
        <w:sz w:val="18"/>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nsid w:val="00000006"/>
    <w:multiLevelType w:val="multilevel"/>
    <w:tmpl w:val="00000006"/>
    <w:lvl w:ilvl="0">
      <w:start w:val="1"/>
      <w:numFmt w:val="lowerLetter"/>
      <w:lvlText w:val="(%1)"/>
      <w:lvlJc w:val="left"/>
      <w:pPr>
        <w:tabs>
          <w:tab w:val="num" w:pos="1120"/>
        </w:tabs>
        <w:ind w:left="1120" w:hanging="400"/>
      </w:pPr>
      <w:rPr>
        <w:b w:val="0"/>
        <w:i w:val="0"/>
        <w:color w:val="000000"/>
        <w:sz w:val="18"/>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stylePaneFormatFilter w:val="3F01"/>
  <w:defaultTabStop w:val="720"/>
  <w:noPunctuationKerning/>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A77B3E"/>
    <w:rsid w:val="00A77B3E"/>
    <w:rsid w:val="00CA2A55"/>
  </w:rsids>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arial" w:eastAsia="arial" w:hAnsi="arial" w:cs="arial"/>
      <w:sz w:val="18"/>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eader" Target="header1.xml" /><Relationship Id="rId5" Type="http://schemas.openxmlformats.org/officeDocument/2006/relationships/footer" Target="footer1.xml" /><Relationship Id="rId6" Type="http://schemas.openxmlformats.org/officeDocument/2006/relationships/footer" Target="footer2.xml"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Template>
  <TotalTime>0</TotalTime>
  <Pages>1</Pages>
  <Words>0</Words>
  <Characters>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DeliveryID">
    <vt:lpwstr>182321283</vt:lpwstr>
  </property>
  <property fmtid="{D5CDD505-2E9C-101B-9397-08002B2CF9AE}" pid="3" name="LADocCount">
    <vt:lpwstr>1</vt:lpwstr>
  </property>
  <property fmtid="{D5CDD505-2E9C-101B-9397-08002B2CF9AE}" pid="4" name="LADocumentID:urn:contentItem:5PP9-7HT1-DYMH-7161-00000-00">
    <vt:lpwstr>Doc::/shared/document|contextualFeaturePermID::1001073</vt:lpwstr>
  </property>
  <property fmtid="{D5CDD505-2E9C-101B-9397-08002B2CF9AE}" pid="5" name="UserPermID">
    <vt:lpwstr>urn:user:PA192553396</vt:lpwstr>
  </property>
</Properties>
</file>