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auto"/>
          <w:sz w:val="2"/>
          <w:szCs w:val="22"/>
          <w:lang w:val="en-GB"/>
        </w:rPr>
        <w:id w:val="-185903745"/>
        <w:docPartObj>
          <w:docPartGallery w:val="Cover Pages"/>
          <w:docPartUnique/>
        </w:docPartObj>
      </w:sdtPr>
      <w:sdtEndPr>
        <w:rPr>
          <w:sz w:val="22"/>
        </w:rPr>
      </w:sdtEndPr>
      <w:sdtContent>
        <w:p w14:paraId="29DDD107" w14:textId="26EA02B3" w:rsidR="008339BB" w:rsidRDefault="008339BB">
          <w:pPr>
            <w:pStyle w:val="NoSpacing"/>
            <w:rPr>
              <w:sz w:val="2"/>
            </w:rPr>
          </w:pPr>
        </w:p>
        <w:p w14:paraId="3DA8BD6E" w14:textId="17D48EF1" w:rsidR="008339BB" w:rsidRDefault="008339BB">
          <w:r>
            <w:rPr>
              <w:noProof/>
            </w:rPr>
            <mc:AlternateContent>
              <mc:Choice Requires="wps">
                <w:drawing>
                  <wp:anchor distT="0" distB="0" distL="114300" distR="114300" simplePos="0" relativeHeight="251661312" behindDoc="0" locked="0" layoutInCell="1" allowOverlap="1" wp14:anchorId="0D77EE2B" wp14:editId="4CF8ACDB">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28DEB5" w14:textId="77777777" w:rsidR="00D661AB" w:rsidRDefault="00D661AB">
                                <w:pPr>
                                  <w:pStyle w:val="NoSpacing"/>
                                  <w:spacing w:before="120"/>
                                  <w:rPr>
                                    <w:rFonts w:ascii="Arial" w:eastAsiaTheme="majorEastAsia" w:hAnsi="Arial" w:cs="Arial"/>
                                    <w:caps/>
                                    <w:color w:val="2C7FCE" w:themeColor="text2" w:themeTint="99"/>
                                    <w:sz w:val="48"/>
                                    <w:szCs w:val="48"/>
                                  </w:rPr>
                                </w:pPr>
                                <w:r w:rsidRPr="00D661AB">
                                  <w:rPr>
                                    <w:rFonts w:ascii="Arial" w:eastAsiaTheme="majorEastAsia" w:hAnsi="Arial" w:cs="Arial"/>
                                    <w:caps/>
                                    <w:color w:val="2C7FCE" w:themeColor="text2" w:themeTint="99"/>
                                    <w:sz w:val="48"/>
                                    <w:szCs w:val="48"/>
                                  </w:rPr>
                                  <w:t>PESTLE Workforce Analysis Report – Sofidel UK</w:t>
                                </w:r>
                              </w:p>
                              <w:p w14:paraId="2CD09F6D" w14:textId="77777777" w:rsidR="008339BB" w:rsidRDefault="008339B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0D77EE2B"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4A28DEB5" w14:textId="77777777" w:rsidR="00D661AB" w:rsidRDefault="00D661AB">
                          <w:pPr>
                            <w:pStyle w:val="NoSpacing"/>
                            <w:spacing w:before="120"/>
                            <w:rPr>
                              <w:rFonts w:ascii="Arial" w:eastAsiaTheme="majorEastAsia" w:hAnsi="Arial" w:cs="Arial"/>
                              <w:caps/>
                              <w:color w:val="2C7FCE" w:themeColor="text2" w:themeTint="99"/>
                              <w:sz w:val="48"/>
                              <w:szCs w:val="48"/>
                            </w:rPr>
                          </w:pPr>
                          <w:r w:rsidRPr="00D661AB">
                            <w:rPr>
                              <w:rFonts w:ascii="Arial" w:eastAsiaTheme="majorEastAsia" w:hAnsi="Arial" w:cs="Arial"/>
                              <w:caps/>
                              <w:color w:val="2C7FCE" w:themeColor="text2" w:themeTint="99"/>
                              <w:sz w:val="48"/>
                              <w:szCs w:val="48"/>
                            </w:rPr>
                            <w:t>PESTLE Workforce Analysis Report – Sofidel UK</w:t>
                          </w:r>
                        </w:p>
                        <w:p w14:paraId="2CD09F6D" w14:textId="77777777" w:rsidR="008339BB" w:rsidRDefault="008339BB"/>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7B0C211A" wp14:editId="1B5ED098">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6A49BF0"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2DCAEF42" w14:textId="507C7DF4" w:rsidR="008339BB" w:rsidRDefault="00D661AB">
          <w:r>
            <w:rPr>
              <w:noProof/>
            </w:rPr>
            <mc:AlternateContent>
              <mc:Choice Requires="wps">
                <w:drawing>
                  <wp:anchor distT="0" distB="0" distL="114300" distR="114300" simplePos="0" relativeHeight="251659264" behindDoc="0" locked="0" layoutInCell="1" allowOverlap="1" wp14:anchorId="1F750B4C" wp14:editId="761D025B">
                    <wp:simplePos x="0" y="0"/>
                    <wp:positionH relativeFrom="margin">
                      <wp:align>right</wp:align>
                    </wp:positionH>
                    <wp:positionV relativeFrom="page">
                      <wp:posOffset>9391650</wp:posOffset>
                    </wp:positionV>
                    <wp:extent cx="5943600" cy="1035050"/>
                    <wp:effectExtent l="0" t="0" r="7620" b="12700"/>
                    <wp:wrapNone/>
                    <wp:docPr id="69" name="Text Box 73"/>
                    <wp:cNvGraphicFramePr/>
                    <a:graphic xmlns:a="http://schemas.openxmlformats.org/drawingml/2006/main">
                      <a:graphicData uri="http://schemas.microsoft.com/office/word/2010/wordprocessingShape">
                        <wps:wsp>
                          <wps:cNvSpPr txBox="1"/>
                          <wps:spPr>
                            <a:xfrm>
                              <a:off x="0" y="0"/>
                              <a:ext cx="5943600" cy="1035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6E3FB31" w14:textId="6C7DB83A" w:rsidR="00F7299A" w:rsidRPr="00F7299A" w:rsidRDefault="00F7299A" w:rsidP="00D661AB">
                                <w:pPr>
                                  <w:pStyle w:val="NoSpacing"/>
                                  <w:rPr>
                                    <w:rFonts w:ascii="Arial" w:hAnsi="Arial" w:cs="Arial"/>
                                    <w:b/>
                                    <w:bCs/>
                                    <w:color w:val="000000" w:themeColor="text1"/>
                                    <w:sz w:val="24"/>
                                    <w:szCs w:val="24"/>
                                    <w:u w:val="single"/>
                                  </w:rPr>
                                </w:pPr>
                              </w:p>
                              <w:p w14:paraId="78233E4C" w14:textId="77777777" w:rsidR="00F7299A" w:rsidRDefault="00F7299A" w:rsidP="00D661AB">
                                <w:pPr>
                                  <w:pStyle w:val="NoSpacing"/>
                                  <w:rPr>
                                    <w:rFonts w:ascii="Arial" w:hAnsi="Arial" w:cs="Arial"/>
                                    <w:b/>
                                    <w:bCs/>
                                    <w:color w:val="000000" w:themeColor="text1"/>
                                    <w:sz w:val="24"/>
                                    <w:szCs w:val="24"/>
                                  </w:rPr>
                                </w:pPr>
                              </w:p>
                              <w:p w14:paraId="5A80E8B2" w14:textId="63CE3063" w:rsidR="008339BB" w:rsidRPr="00D661AB" w:rsidRDefault="00D661AB" w:rsidP="00D661AB">
                                <w:pPr>
                                  <w:pStyle w:val="NoSpacing"/>
                                  <w:rPr>
                                    <w:rFonts w:ascii="Arial" w:hAnsi="Arial" w:cs="Arial"/>
                                    <w:color w:val="000000" w:themeColor="text1"/>
                                    <w:sz w:val="24"/>
                                    <w:szCs w:val="24"/>
                                  </w:rPr>
                                </w:pPr>
                                <w:r w:rsidRPr="00D661AB">
                                  <w:rPr>
                                    <w:rFonts w:ascii="Arial" w:hAnsi="Arial" w:cs="Arial"/>
                                    <w:b/>
                                    <w:bCs/>
                                    <w:color w:val="000000" w:themeColor="text1"/>
                                    <w:sz w:val="24"/>
                                    <w:szCs w:val="24"/>
                                  </w:rPr>
                                  <w:t>Name:</w:t>
                                </w:r>
                                <w:r w:rsidRPr="00D661AB">
                                  <w:rPr>
                                    <w:rFonts w:ascii="Arial" w:hAnsi="Arial" w:cs="Arial"/>
                                    <w:color w:val="000000" w:themeColor="text1"/>
                                    <w:sz w:val="24"/>
                                    <w:szCs w:val="24"/>
                                  </w:rPr>
                                  <w:t xml:space="preserve"> Olivia Jenkins</w:t>
                                </w:r>
                              </w:p>
                              <w:p w14:paraId="1CF7A614" w14:textId="758B08C3"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Student Number:</w:t>
                                </w:r>
                                <w:r w:rsidRPr="00D661AB">
                                  <w:rPr>
                                    <w:rFonts w:ascii="Arial" w:hAnsi="Arial" w:cs="Arial"/>
                                    <w:color w:val="000000" w:themeColor="text1"/>
                                    <w:sz w:val="24"/>
                                    <w:szCs w:val="24"/>
                                  </w:rPr>
                                  <w:t>2517763</w:t>
                                </w:r>
                              </w:p>
                              <w:p w14:paraId="55CFE0DA" w14:textId="1434E97E"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Word Count:</w:t>
                                </w:r>
                                <w:r w:rsidR="005D011D">
                                  <w:rPr>
                                    <w:rFonts w:ascii="Arial" w:hAnsi="Arial" w:cs="Arial"/>
                                    <w:b/>
                                    <w:bCs/>
                                    <w:color w:val="000000" w:themeColor="text1"/>
                                    <w:sz w:val="24"/>
                                    <w:szCs w:val="24"/>
                                  </w:rPr>
                                  <w:t xml:space="preserve"> </w:t>
                                </w:r>
                                <w:r w:rsidR="005D011D" w:rsidRPr="005D011D">
                                  <w:rPr>
                                    <w:rFonts w:ascii="Arial" w:hAnsi="Arial" w:cs="Arial"/>
                                    <w:color w:val="000000" w:themeColor="text1"/>
                                    <w:sz w:val="24"/>
                                    <w:szCs w:val="24"/>
                                  </w:rPr>
                                  <w:t>38</w:t>
                                </w:r>
                                <w:r w:rsidR="00F7667A">
                                  <w:rPr>
                                    <w:rFonts w:ascii="Arial" w:hAnsi="Arial" w:cs="Arial"/>
                                    <w:color w:val="000000" w:themeColor="text1"/>
                                    <w:sz w:val="24"/>
                                    <w:szCs w:val="24"/>
                                  </w:rPr>
                                  <w:t>50</w:t>
                                </w:r>
                              </w:p>
                              <w:p w14:paraId="76503491" w14:textId="77777777" w:rsidR="00D661AB" w:rsidRDefault="00D661AB">
                                <w:pPr>
                                  <w:pStyle w:val="NoSpacing"/>
                                  <w:jc w:val="right"/>
                                  <w:rPr>
                                    <w:color w:val="156082" w:themeColor="accent1"/>
                                    <w:sz w:val="36"/>
                                    <w:szCs w:val="36"/>
                                  </w:rPr>
                                </w:pPr>
                              </w:p>
                              <w:p w14:paraId="1E6BD52D" w14:textId="491594C8" w:rsidR="008339BB" w:rsidRDefault="008339BB">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 w14:anchorId="1F750B4C" id="Text Box 73" o:spid="_x0000_s1027" type="#_x0000_t202" style="position:absolute;margin-left:416.8pt;margin-top:739.5pt;width:468pt;height:81.5pt;z-index:251659264;visibility:visible;mso-wrap-style:square;mso-width-percent:765;mso-height-percent:0;mso-wrap-distance-left:9pt;mso-wrap-distance-top:0;mso-wrap-distance-right:9pt;mso-wrap-distance-bottom:0;mso-position-horizontal:right;mso-position-horizontal-relative:margin;mso-position-vertical:absolute;mso-position-vertical-relative:page;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" filled="f" stroked="f" strokeweight=".5pt">
                    <v:textbox inset="0,0,0,0">
                      <w:txbxContent>
                        <w:p w14:paraId="26E3FB31" w14:textId="6C7DB83A" w:rsidR="00F7299A" w:rsidRPr="00F7299A" w:rsidRDefault="00F7299A" w:rsidP="00D661AB">
                          <w:pPr>
                            <w:pStyle w:val="NoSpacing"/>
                            <w:rPr>
                              <w:rFonts w:ascii="Arial" w:hAnsi="Arial" w:cs="Arial"/>
                              <w:b/>
                              <w:bCs/>
                              <w:color w:val="000000" w:themeColor="text1"/>
                              <w:sz w:val="24"/>
                              <w:szCs w:val="24"/>
                              <w:u w:val="single"/>
                            </w:rPr>
                          </w:pPr>
                        </w:p>
                        <w:p w14:paraId="78233E4C" w14:textId="77777777" w:rsidR="00F7299A" w:rsidRDefault="00F7299A" w:rsidP="00D661AB">
                          <w:pPr>
                            <w:pStyle w:val="NoSpacing"/>
                            <w:rPr>
                              <w:rFonts w:ascii="Arial" w:hAnsi="Arial" w:cs="Arial"/>
                              <w:b/>
                              <w:bCs/>
                              <w:color w:val="000000" w:themeColor="text1"/>
                              <w:sz w:val="24"/>
                              <w:szCs w:val="24"/>
                            </w:rPr>
                          </w:pPr>
                        </w:p>
                        <w:p w14:paraId="5A80E8B2" w14:textId="63CE3063" w:rsidR="008339BB" w:rsidRPr="00D661AB" w:rsidRDefault="00D661AB" w:rsidP="00D661AB">
                          <w:pPr>
                            <w:pStyle w:val="NoSpacing"/>
                            <w:rPr>
                              <w:rFonts w:ascii="Arial" w:hAnsi="Arial" w:cs="Arial"/>
                              <w:color w:val="000000" w:themeColor="text1"/>
                              <w:sz w:val="24"/>
                              <w:szCs w:val="24"/>
                            </w:rPr>
                          </w:pPr>
                          <w:r w:rsidRPr="00D661AB">
                            <w:rPr>
                              <w:rFonts w:ascii="Arial" w:hAnsi="Arial" w:cs="Arial"/>
                              <w:b/>
                              <w:bCs/>
                              <w:color w:val="000000" w:themeColor="text1"/>
                              <w:sz w:val="24"/>
                              <w:szCs w:val="24"/>
                            </w:rPr>
                            <w:t>Name:</w:t>
                          </w:r>
                          <w:r w:rsidRPr="00D661AB">
                            <w:rPr>
                              <w:rFonts w:ascii="Arial" w:hAnsi="Arial" w:cs="Arial"/>
                              <w:color w:val="000000" w:themeColor="text1"/>
                              <w:sz w:val="24"/>
                              <w:szCs w:val="24"/>
                            </w:rPr>
                            <w:t xml:space="preserve"> Olivia Jenkins</w:t>
                          </w:r>
                        </w:p>
                        <w:p w14:paraId="1CF7A614" w14:textId="758B08C3"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Student Number:</w:t>
                          </w:r>
                          <w:r w:rsidRPr="00D661AB">
                            <w:rPr>
                              <w:rFonts w:ascii="Arial" w:hAnsi="Arial" w:cs="Arial"/>
                              <w:color w:val="000000" w:themeColor="text1"/>
                              <w:sz w:val="24"/>
                              <w:szCs w:val="24"/>
                            </w:rPr>
                            <w:t>2517763</w:t>
                          </w:r>
                        </w:p>
                        <w:p w14:paraId="55CFE0DA" w14:textId="1434E97E" w:rsidR="00D661AB" w:rsidRPr="00D661AB" w:rsidRDefault="00D661AB" w:rsidP="00D661AB">
                          <w:pPr>
                            <w:pStyle w:val="NoSpacing"/>
                            <w:rPr>
                              <w:rFonts w:ascii="Arial" w:hAnsi="Arial" w:cs="Arial"/>
                              <w:b/>
                              <w:bCs/>
                              <w:color w:val="000000" w:themeColor="text1"/>
                              <w:sz w:val="24"/>
                              <w:szCs w:val="24"/>
                            </w:rPr>
                          </w:pPr>
                          <w:r w:rsidRPr="00D661AB">
                            <w:rPr>
                              <w:rFonts w:ascii="Arial" w:hAnsi="Arial" w:cs="Arial"/>
                              <w:b/>
                              <w:bCs/>
                              <w:color w:val="000000" w:themeColor="text1"/>
                              <w:sz w:val="24"/>
                              <w:szCs w:val="24"/>
                            </w:rPr>
                            <w:t>Word Count:</w:t>
                          </w:r>
                          <w:r w:rsidR="005D011D">
                            <w:rPr>
                              <w:rFonts w:ascii="Arial" w:hAnsi="Arial" w:cs="Arial"/>
                              <w:b/>
                              <w:bCs/>
                              <w:color w:val="000000" w:themeColor="text1"/>
                              <w:sz w:val="24"/>
                              <w:szCs w:val="24"/>
                            </w:rPr>
                            <w:t xml:space="preserve"> </w:t>
                          </w:r>
                          <w:r w:rsidR="005D011D" w:rsidRPr="005D011D">
                            <w:rPr>
                              <w:rFonts w:ascii="Arial" w:hAnsi="Arial" w:cs="Arial"/>
                              <w:color w:val="000000" w:themeColor="text1"/>
                              <w:sz w:val="24"/>
                              <w:szCs w:val="24"/>
                            </w:rPr>
                            <w:t>38</w:t>
                          </w:r>
                          <w:r w:rsidR="00F7667A">
                            <w:rPr>
                              <w:rFonts w:ascii="Arial" w:hAnsi="Arial" w:cs="Arial"/>
                              <w:color w:val="000000" w:themeColor="text1"/>
                              <w:sz w:val="24"/>
                              <w:szCs w:val="24"/>
                            </w:rPr>
                            <w:t>50</w:t>
                          </w:r>
                        </w:p>
                        <w:p w14:paraId="76503491" w14:textId="77777777" w:rsidR="00D661AB" w:rsidRDefault="00D661AB">
                          <w:pPr>
                            <w:pStyle w:val="NoSpacing"/>
                            <w:jc w:val="right"/>
                            <w:rPr>
                              <w:color w:val="156082" w:themeColor="accent1"/>
                              <w:sz w:val="36"/>
                              <w:szCs w:val="36"/>
                            </w:rPr>
                          </w:pPr>
                        </w:p>
                        <w:p w14:paraId="1E6BD52D" w14:textId="491594C8" w:rsidR="008339BB" w:rsidRDefault="008339BB">
                          <w:pPr>
                            <w:pStyle w:val="NoSpacing"/>
                            <w:jc w:val="right"/>
                            <w:rPr>
                              <w:color w:val="156082" w:themeColor="accent1"/>
                              <w:sz w:val="36"/>
                              <w:szCs w:val="36"/>
                            </w:rPr>
                          </w:pPr>
                        </w:p>
                      </w:txbxContent>
                    </v:textbox>
                    <w10:wrap anchorx="margin" anchory="page"/>
                  </v:shape>
                </w:pict>
              </mc:Fallback>
            </mc:AlternateContent>
          </w:r>
          <w:r w:rsidR="008339BB">
            <w:br w:type="page"/>
          </w:r>
        </w:p>
      </w:sdtContent>
    </w:sdt>
    <w:p w14:paraId="6F7185A9" w14:textId="352028D3" w:rsidR="008339BB" w:rsidRPr="00616FE3" w:rsidRDefault="008339BB" w:rsidP="00F7299A">
      <w:pPr>
        <w:pStyle w:val="Heading1"/>
        <w:rPr>
          <w:rFonts w:ascii="Arial" w:hAnsi="Arial" w:cs="Arial"/>
          <w:b/>
          <w:bCs/>
          <w:color w:val="000000" w:themeColor="text1"/>
          <w:sz w:val="24"/>
          <w:szCs w:val="24"/>
        </w:rPr>
      </w:pPr>
      <w:bookmarkStart w:id="0" w:name="_Toc215477925"/>
      <w:r w:rsidRPr="00616FE3">
        <w:rPr>
          <w:rFonts w:ascii="Arial" w:hAnsi="Arial" w:cs="Arial"/>
          <w:b/>
          <w:bCs/>
          <w:color w:val="000000" w:themeColor="text1"/>
          <w:sz w:val="24"/>
          <w:szCs w:val="24"/>
        </w:rPr>
        <w:lastRenderedPageBreak/>
        <w:t>Executive Summary</w:t>
      </w:r>
      <w:bookmarkEnd w:id="0"/>
    </w:p>
    <w:p w14:paraId="1D2A9CD9" w14:textId="4CA84BD2" w:rsidR="008339BB" w:rsidRPr="00616FE3" w:rsidRDefault="008339BB" w:rsidP="00F7299A">
      <w:pPr>
        <w:jc w:val="both"/>
        <w:rPr>
          <w:rFonts w:ascii="Arial" w:hAnsi="Arial" w:cs="Arial"/>
          <w:sz w:val="24"/>
          <w:szCs w:val="24"/>
        </w:rPr>
      </w:pPr>
      <w:r w:rsidRPr="00616FE3">
        <w:rPr>
          <w:rFonts w:ascii="Arial" w:hAnsi="Arial" w:cs="Arial"/>
          <w:sz w:val="24"/>
          <w:szCs w:val="24"/>
        </w:rPr>
        <w:t xml:space="preserve">This report has been developed for a people-management audience to drive strategic workforce planning in Sofidel UK, applying the PESTLE framework. This is a familiar tool for analysing Political, Economic, Social, Technological, Legal and Environmental influences to provide a structured examination of the external environment in which workforce decisions are made. While it is a useful means by which organisations can understand the external pressures placed on them, the PESTLE framework has been found to be most useful where it is combined with good, strong internal insight into how external risks may be impacting internal strengths, weaknesses and workforce capabilities. This combined internal-external insight is crucial for Sofidel UK, where growing political, legal and economic pressures demand a more strategic approach to people management. </w:t>
      </w:r>
    </w:p>
    <w:p w14:paraId="74E3096A" w14:textId="060D205B" w:rsidR="008339BB" w:rsidRPr="00616FE3" w:rsidRDefault="008339BB" w:rsidP="00F7299A">
      <w:pPr>
        <w:jc w:val="both"/>
        <w:rPr>
          <w:rFonts w:ascii="Arial" w:hAnsi="Arial" w:cs="Arial"/>
          <w:sz w:val="24"/>
          <w:szCs w:val="24"/>
        </w:rPr>
      </w:pPr>
      <w:r w:rsidRPr="00616FE3">
        <w:rPr>
          <w:rFonts w:ascii="Arial" w:hAnsi="Arial" w:cs="Arial"/>
          <w:sz w:val="24"/>
          <w:szCs w:val="24"/>
        </w:rPr>
        <w:t xml:space="preserve">This report has therefore examined the three most impactful external factors legal, political and economic and assessed the extent to which these pressures are impacting Sofidel's workforce strategy, risks and long-term sustainability. </w:t>
      </w:r>
    </w:p>
    <w:p w14:paraId="572AD91B" w14:textId="7B8DE297" w:rsidR="008339BB" w:rsidRPr="00616FE3" w:rsidRDefault="008339BB" w:rsidP="00F7299A">
      <w:pPr>
        <w:jc w:val="both"/>
        <w:rPr>
          <w:rFonts w:ascii="Arial" w:hAnsi="Arial" w:cs="Arial"/>
          <w:sz w:val="24"/>
          <w:szCs w:val="24"/>
        </w:rPr>
      </w:pPr>
      <w:r w:rsidRPr="00616FE3">
        <w:rPr>
          <w:rFonts w:ascii="Arial" w:hAnsi="Arial" w:cs="Arial"/>
          <w:sz w:val="24"/>
          <w:szCs w:val="24"/>
        </w:rPr>
        <w:t xml:space="preserve">In summary, this analysis demonstrates that Sofidel UK is operating in a tightening legal environment, particularly given the proposed introduction of day-one unfair dismissal rights, which presents increased legal and reputational risks in the early stages of employment. Politically, the Government's Make Work Pay agenda and developing industrial strategy are creating rising expectations of employers to invest in skills and quality </w:t>
      </w:r>
      <w:r w:rsidR="00F7299A" w:rsidRPr="00616FE3">
        <w:rPr>
          <w:rFonts w:ascii="Arial" w:hAnsi="Arial" w:cs="Arial"/>
          <w:sz w:val="24"/>
          <w:szCs w:val="24"/>
        </w:rPr>
        <w:t>jobs,</w:t>
      </w:r>
      <w:r w:rsidRPr="00616FE3">
        <w:rPr>
          <w:rFonts w:ascii="Arial" w:hAnsi="Arial" w:cs="Arial"/>
          <w:sz w:val="24"/>
          <w:szCs w:val="24"/>
        </w:rPr>
        <w:t xml:space="preserve"> but political instability and limited national training capacity are constraining Sofidel's ability to leverage these opportunities. Economically, high inflation, volatile energy markets and rising labour costs are reducing Sofidel's financial headroom to invest in workforce pay, development and retention to the level which it aspires.</w:t>
      </w:r>
    </w:p>
    <w:p w14:paraId="21D7D373" w14:textId="77777777" w:rsidR="008339BB" w:rsidRPr="00616FE3" w:rsidRDefault="008339BB" w:rsidP="00F7299A">
      <w:pPr>
        <w:jc w:val="both"/>
        <w:rPr>
          <w:rFonts w:ascii="Arial" w:hAnsi="Arial" w:cs="Arial"/>
          <w:sz w:val="24"/>
          <w:szCs w:val="24"/>
        </w:rPr>
      </w:pPr>
      <w:r w:rsidRPr="00616FE3">
        <w:rPr>
          <w:rFonts w:ascii="Arial" w:hAnsi="Arial" w:cs="Arial"/>
          <w:sz w:val="24"/>
          <w:szCs w:val="24"/>
        </w:rPr>
        <w:t xml:space="preserve">Together, these are presenting a complex set of pressures that require targeted and proactive people-management interventions. With this context in mind, the report recommends: </w:t>
      </w:r>
    </w:p>
    <w:p w14:paraId="7C843B00" w14:textId="77D869E1" w:rsidR="00D661AB" w:rsidRPr="00616FE3" w:rsidRDefault="00D661AB" w:rsidP="00F7299A">
      <w:pPr>
        <w:pStyle w:val="ListParagraph"/>
        <w:numPr>
          <w:ilvl w:val="0"/>
          <w:numId w:val="2"/>
        </w:numPr>
        <w:jc w:val="both"/>
        <w:rPr>
          <w:rFonts w:ascii="Arial" w:hAnsi="Arial" w:cs="Arial"/>
          <w:sz w:val="24"/>
          <w:szCs w:val="24"/>
        </w:rPr>
      </w:pPr>
      <w:r w:rsidRPr="00616FE3">
        <w:rPr>
          <w:rFonts w:ascii="Arial" w:hAnsi="Arial" w:cs="Arial"/>
          <w:sz w:val="24"/>
          <w:szCs w:val="24"/>
        </w:rPr>
        <w:t xml:space="preserve">Manager Training </w:t>
      </w:r>
    </w:p>
    <w:p w14:paraId="65914EAC" w14:textId="77777777" w:rsidR="00D661AB" w:rsidRPr="00616FE3" w:rsidRDefault="00D661AB" w:rsidP="00F7299A">
      <w:pPr>
        <w:pStyle w:val="ListParagraph"/>
        <w:numPr>
          <w:ilvl w:val="0"/>
          <w:numId w:val="2"/>
        </w:numPr>
        <w:jc w:val="both"/>
        <w:rPr>
          <w:rFonts w:ascii="Arial" w:hAnsi="Arial" w:cs="Arial"/>
          <w:sz w:val="24"/>
          <w:szCs w:val="24"/>
        </w:rPr>
      </w:pPr>
      <w:r w:rsidRPr="00616FE3">
        <w:rPr>
          <w:rFonts w:ascii="Arial" w:hAnsi="Arial" w:cs="Arial"/>
          <w:sz w:val="24"/>
          <w:szCs w:val="24"/>
        </w:rPr>
        <w:t>Internal Apprenticeship Pathway</w:t>
      </w:r>
    </w:p>
    <w:p w14:paraId="5742F15C" w14:textId="6D56AB5E" w:rsidR="008339BB" w:rsidRPr="00616FE3" w:rsidRDefault="00D661AB" w:rsidP="00F7299A">
      <w:pPr>
        <w:pStyle w:val="ListParagraph"/>
        <w:numPr>
          <w:ilvl w:val="0"/>
          <w:numId w:val="2"/>
        </w:numPr>
        <w:jc w:val="both"/>
        <w:rPr>
          <w:rFonts w:ascii="Arial" w:hAnsi="Arial" w:cs="Arial"/>
          <w:sz w:val="24"/>
          <w:szCs w:val="24"/>
        </w:rPr>
      </w:pPr>
      <w:r w:rsidRPr="00616FE3">
        <w:rPr>
          <w:rFonts w:ascii="Arial" w:hAnsi="Arial" w:cs="Arial"/>
          <w:sz w:val="24"/>
          <w:szCs w:val="24"/>
        </w:rPr>
        <w:t xml:space="preserve">Monitoring Energy Consumption </w:t>
      </w:r>
    </w:p>
    <w:p w14:paraId="7A248FBB" w14:textId="3E322ADE" w:rsidR="009D5872" w:rsidRPr="00616FE3" w:rsidRDefault="008339BB" w:rsidP="00F7299A">
      <w:pPr>
        <w:jc w:val="both"/>
        <w:rPr>
          <w:rFonts w:ascii="Arial" w:hAnsi="Arial" w:cs="Arial"/>
          <w:sz w:val="24"/>
          <w:szCs w:val="24"/>
        </w:rPr>
      </w:pPr>
      <w:r w:rsidRPr="00616FE3">
        <w:rPr>
          <w:rFonts w:ascii="Arial" w:hAnsi="Arial" w:cs="Arial"/>
          <w:sz w:val="24"/>
          <w:szCs w:val="24"/>
        </w:rPr>
        <w:t>These interventions, taken together, aim to support Sofidel's ongoing resilience, competitiveness and alignment with the Make Work Pay ambition to deliver a more skilled, secure and quality employment environment.</w:t>
      </w:r>
    </w:p>
    <w:p w14:paraId="3B5DCE8C" w14:textId="77777777" w:rsidR="00F7299A" w:rsidRPr="00616FE3" w:rsidRDefault="00F7299A" w:rsidP="008339BB">
      <w:pPr>
        <w:rPr>
          <w:rFonts w:ascii="Arial" w:hAnsi="Arial" w:cs="Arial"/>
          <w:sz w:val="24"/>
          <w:szCs w:val="24"/>
        </w:rPr>
      </w:pPr>
    </w:p>
    <w:p w14:paraId="0989FF04" w14:textId="77777777" w:rsidR="00F7299A" w:rsidRPr="00616FE3" w:rsidRDefault="00F7299A" w:rsidP="008339BB">
      <w:pPr>
        <w:rPr>
          <w:rFonts w:ascii="Arial" w:hAnsi="Arial" w:cs="Arial"/>
          <w:sz w:val="24"/>
          <w:szCs w:val="24"/>
        </w:rPr>
      </w:pPr>
    </w:p>
    <w:p w14:paraId="08F782FB" w14:textId="77777777" w:rsidR="00F7299A" w:rsidRPr="00616FE3" w:rsidRDefault="00F7299A" w:rsidP="008339BB">
      <w:pPr>
        <w:rPr>
          <w:rFonts w:ascii="Arial" w:hAnsi="Arial" w:cs="Arial"/>
          <w:sz w:val="24"/>
          <w:szCs w:val="24"/>
        </w:rPr>
      </w:pPr>
    </w:p>
    <w:p w14:paraId="36FB4E4F" w14:textId="77777777" w:rsidR="00F7299A" w:rsidRPr="00616FE3" w:rsidRDefault="00F7299A" w:rsidP="008339BB">
      <w:pPr>
        <w:rPr>
          <w:rFonts w:ascii="Arial" w:hAnsi="Arial" w:cs="Arial"/>
          <w:sz w:val="24"/>
          <w:szCs w:val="24"/>
        </w:rPr>
      </w:pPr>
    </w:p>
    <w:p w14:paraId="5F89D69A" w14:textId="77777777" w:rsidR="00742835" w:rsidRPr="00616FE3" w:rsidRDefault="00742835" w:rsidP="008339BB">
      <w:pPr>
        <w:rPr>
          <w:rFonts w:ascii="Arial" w:hAnsi="Arial" w:cs="Arial"/>
          <w:sz w:val="24"/>
          <w:szCs w:val="24"/>
        </w:rPr>
      </w:pPr>
    </w:p>
    <w:p w14:paraId="4182574E" w14:textId="77777777" w:rsidR="00742835" w:rsidRPr="00616FE3" w:rsidRDefault="00742835" w:rsidP="008339BB">
      <w:pPr>
        <w:rPr>
          <w:rFonts w:ascii="Arial" w:hAnsi="Arial" w:cs="Arial"/>
          <w:sz w:val="24"/>
          <w:szCs w:val="24"/>
        </w:rPr>
      </w:pPr>
    </w:p>
    <w:sdt>
      <w:sdtPr>
        <w:rPr>
          <w:rFonts w:ascii="Arial" w:eastAsiaTheme="minorHAnsi" w:hAnsi="Arial" w:cs="Arial"/>
          <w:color w:val="auto"/>
          <w:sz w:val="24"/>
          <w:szCs w:val="24"/>
          <w:lang w:eastAsia="en-US"/>
        </w:rPr>
        <w:id w:val="-2139013243"/>
        <w:docPartObj>
          <w:docPartGallery w:val="Table of Contents"/>
          <w:docPartUnique/>
        </w:docPartObj>
      </w:sdtPr>
      <w:sdtEndPr>
        <w:rPr>
          <w:b/>
          <w:bCs/>
        </w:rPr>
      </w:sdtEndPr>
      <w:sdtContent>
        <w:p w14:paraId="192E8F54" w14:textId="30A18A3E" w:rsidR="00742835" w:rsidRPr="00616FE3" w:rsidRDefault="00742835">
          <w:pPr>
            <w:pStyle w:val="TOCHeading"/>
            <w:rPr>
              <w:rFonts w:ascii="Arial" w:hAnsi="Arial" w:cs="Arial"/>
              <w:b/>
              <w:bCs/>
              <w:color w:val="auto"/>
              <w:sz w:val="24"/>
              <w:szCs w:val="24"/>
            </w:rPr>
          </w:pPr>
          <w:r w:rsidRPr="00616FE3">
            <w:rPr>
              <w:rFonts w:ascii="Arial" w:hAnsi="Arial" w:cs="Arial"/>
              <w:b/>
              <w:bCs/>
              <w:color w:val="auto"/>
              <w:sz w:val="24"/>
              <w:szCs w:val="24"/>
            </w:rPr>
            <w:t>Contents</w:t>
          </w:r>
        </w:p>
        <w:p w14:paraId="4E76837B" w14:textId="6D302F49"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r w:rsidRPr="00616FE3">
            <w:rPr>
              <w:rFonts w:ascii="Arial" w:hAnsi="Arial" w:cs="Arial"/>
              <w:sz w:val="24"/>
              <w:szCs w:val="24"/>
            </w:rPr>
            <w:fldChar w:fldCharType="begin"/>
          </w:r>
          <w:r w:rsidRPr="00616FE3">
            <w:rPr>
              <w:rFonts w:ascii="Arial" w:hAnsi="Arial" w:cs="Arial"/>
              <w:sz w:val="24"/>
              <w:szCs w:val="24"/>
            </w:rPr>
            <w:instrText xml:space="preserve"> TOC \o "1-3" \h \z \u </w:instrText>
          </w:r>
          <w:r w:rsidRPr="00616FE3">
            <w:rPr>
              <w:rFonts w:ascii="Arial" w:hAnsi="Arial" w:cs="Arial"/>
              <w:sz w:val="24"/>
              <w:szCs w:val="24"/>
            </w:rPr>
            <w:fldChar w:fldCharType="separate"/>
          </w:r>
          <w:hyperlink w:anchor="_Toc215477925" w:history="1">
            <w:r w:rsidRPr="00616FE3">
              <w:rPr>
                <w:rStyle w:val="Hyperlink"/>
                <w:rFonts w:ascii="Arial" w:hAnsi="Arial" w:cs="Arial"/>
                <w:b/>
                <w:bCs/>
                <w:noProof/>
                <w:sz w:val="24"/>
                <w:szCs w:val="24"/>
              </w:rPr>
              <w:t>Executive Summary</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_Toc215477925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1</w:t>
            </w:r>
            <w:r w:rsidRPr="00616FE3">
              <w:rPr>
                <w:rFonts w:ascii="Arial" w:hAnsi="Arial" w:cs="Arial"/>
                <w:noProof/>
                <w:webHidden/>
                <w:sz w:val="24"/>
                <w:szCs w:val="24"/>
              </w:rPr>
              <w:fldChar w:fldCharType="end"/>
            </w:r>
          </w:hyperlink>
        </w:p>
        <w:p w14:paraId="339EF601" w14:textId="3C9E9799"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26" w:history="1">
            <w:r w:rsidRPr="00616FE3">
              <w:rPr>
                <w:rStyle w:val="Hyperlink"/>
                <w:rFonts w:ascii="Arial" w:hAnsi="Arial" w:cs="Arial"/>
                <w:b/>
                <w:bCs/>
                <w:noProof/>
                <w:sz w:val="24"/>
                <w:szCs w:val="24"/>
              </w:rPr>
              <w:t>Introduction</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_Toc215477926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3</w:t>
            </w:r>
            <w:r w:rsidRPr="00616FE3">
              <w:rPr>
                <w:rFonts w:ascii="Arial" w:hAnsi="Arial" w:cs="Arial"/>
                <w:noProof/>
                <w:webHidden/>
                <w:sz w:val="24"/>
                <w:szCs w:val="24"/>
              </w:rPr>
              <w:fldChar w:fldCharType="end"/>
            </w:r>
          </w:hyperlink>
        </w:p>
        <w:p w14:paraId="7450428D" w14:textId="4EDC2DCB"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27" w:history="1">
            <w:r w:rsidRPr="00616FE3">
              <w:rPr>
                <w:rStyle w:val="Hyperlink"/>
                <w:rFonts w:ascii="Arial" w:hAnsi="Arial" w:cs="Arial"/>
                <w:b/>
                <w:bCs/>
                <w:noProof/>
                <w:sz w:val="24"/>
                <w:szCs w:val="24"/>
              </w:rPr>
              <w:t>Legal</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_Toc215477927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3</w:t>
            </w:r>
            <w:r w:rsidRPr="00616FE3">
              <w:rPr>
                <w:rFonts w:ascii="Arial" w:hAnsi="Arial" w:cs="Arial"/>
                <w:noProof/>
                <w:webHidden/>
                <w:sz w:val="24"/>
                <w:szCs w:val="24"/>
              </w:rPr>
              <w:fldChar w:fldCharType="end"/>
            </w:r>
          </w:hyperlink>
        </w:p>
        <w:p w14:paraId="46161249" w14:textId="6103782E"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28" w:history="1">
            <w:r w:rsidRPr="00616FE3">
              <w:rPr>
                <w:rStyle w:val="Hyperlink"/>
                <w:rFonts w:ascii="Arial" w:hAnsi="Arial" w:cs="Arial"/>
                <w:b/>
                <w:bCs/>
                <w:noProof/>
                <w:sz w:val="24"/>
                <w:szCs w:val="24"/>
              </w:rPr>
              <w:t>Political</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_Toc215477928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5</w:t>
            </w:r>
            <w:r w:rsidRPr="00616FE3">
              <w:rPr>
                <w:rFonts w:ascii="Arial" w:hAnsi="Arial" w:cs="Arial"/>
                <w:noProof/>
                <w:webHidden/>
                <w:sz w:val="24"/>
                <w:szCs w:val="24"/>
              </w:rPr>
              <w:fldChar w:fldCharType="end"/>
            </w:r>
          </w:hyperlink>
        </w:p>
        <w:p w14:paraId="57C8461F" w14:textId="43274F82"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29" w:history="1">
            <w:r w:rsidRPr="00616FE3">
              <w:rPr>
                <w:rStyle w:val="Hyperlink"/>
                <w:rFonts w:ascii="Arial" w:hAnsi="Arial" w:cs="Arial"/>
                <w:b/>
                <w:bCs/>
                <w:noProof/>
                <w:sz w:val="24"/>
                <w:szCs w:val="24"/>
              </w:rPr>
              <w:t>Economical</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_Toc215477929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6</w:t>
            </w:r>
            <w:r w:rsidRPr="00616FE3">
              <w:rPr>
                <w:rFonts w:ascii="Arial" w:hAnsi="Arial" w:cs="Arial"/>
                <w:noProof/>
                <w:webHidden/>
                <w:sz w:val="24"/>
                <w:szCs w:val="24"/>
              </w:rPr>
              <w:fldChar w:fldCharType="end"/>
            </w:r>
          </w:hyperlink>
        </w:p>
        <w:p w14:paraId="3936F7AB" w14:textId="4EA8F0BE"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30" w:history="1">
            <w:r w:rsidRPr="00616FE3">
              <w:rPr>
                <w:rStyle w:val="Hyperlink"/>
                <w:rFonts w:ascii="Arial" w:hAnsi="Arial" w:cs="Arial"/>
                <w:b/>
                <w:bCs/>
                <w:noProof/>
                <w:sz w:val="24"/>
                <w:szCs w:val="24"/>
              </w:rPr>
              <w:t>Conclusion</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_Toc215477930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8</w:t>
            </w:r>
            <w:r w:rsidRPr="00616FE3">
              <w:rPr>
                <w:rFonts w:ascii="Arial" w:hAnsi="Arial" w:cs="Arial"/>
                <w:noProof/>
                <w:webHidden/>
                <w:sz w:val="24"/>
                <w:szCs w:val="24"/>
              </w:rPr>
              <w:fldChar w:fldCharType="end"/>
            </w:r>
          </w:hyperlink>
        </w:p>
        <w:p w14:paraId="0CC81DE3" w14:textId="38AD352E"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31" w:history="1">
            <w:r w:rsidRPr="00616FE3">
              <w:rPr>
                <w:rStyle w:val="Hyperlink"/>
                <w:rFonts w:ascii="Arial" w:hAnsi="Arial" w:cs="Arial"/>
                <w:b/>
                <w:bCs/>
                <w:noProof/>
                <w:sz w:val="24"/>
                <w:szCs w:val="24"/>
              </w:rPr>
              <w:t>Recommendations</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_Toc215477931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8</w:t>
            </w:r>
            <w:r w:rsidRPr="00616FE3">
              <w:rPr>
                <w:rFonts w:ascii="Arial" w:hAnsi="Arial" w:cs="Arial"/>
                <w:noProof/>
                <w:webHidden/>
                <w:sz w:val="24"/>
                <w:szCs w:val="24"/>
              </w:rPr>
              <w:fldChar w:fldCharType="end"/>
            </w:r>
          </w:hyperlink>
        </w:p>
        <w:p w14:paraId="742F3ADE" w14:textId="75F6483A" w:rsidR="00742835" w:rsidRPr="00616FE3" w:rsidRDefault="00742835">
          <w:pPr>
            <w:pStyle w:val="TOC1"/>
            <w:tabs>
              <w:tab w:val="right" w:leader="dot" w:pos="9016"/>
            </w:tabs>
            <w:rPr>
              <w:rFonts w:ascii="Arial" w:eastAsiaTheme="minorEastAsia" w:hAnsi="Arial" w:cs="Arial"/>
              <w:noProof/>
              <w:kern w:val="2"/>
              <w:sz w:val="24"/>
              <w:szCs w:val="24"/>
              <w:lang w:eastAsia="en-GB"/>
              <w14:ligatures w14:val="standardContextual"/>
            </w:rPr>
          </w:pPr>
          <w:hyperlink w:anchor="_Toc215477932" w:history="1">
            <w:r w:rsidRPr="00616FE3">
              <w:rPr>
                <w:rStyle w:val="Hyperlink"/>
                <w:rFonts w:ascii="Arial" w:hAnsi="Arial" w:cs="Arial"/>
                <w:b/>
                <w:bCs/>
                <w:noProof/>
                <w:sz w:val="24"/>
                <w:szCs w:val="24"/>
              </w:rPr>
              <w:t>References</w:t>
            </w:r>
            <w:r w:rsidRPr="00616FE3">
              <w:rPr>
                <w:rFonts w:ascii="Arial" w:hAnsi="Arial" w:cs="Arial"/>
                <w:noProof/>
                <w:webHidden/>
                <w:sz w:val="24"/>
                <w:szCs w:val="24"/>
              </w:rPr>
              <w:tab/>
            </w:r>
            <w:r w:rsidRPr="00616FE3">
              <w:rPr>
                <w:rFonts w:ascii="Arial" w:hAnsi="Arial" w:cs="Arial"/>
                <w:noProof/>
                <w:webHidden/>
                <w:sz w:val="24"/>
                <w:szCs w:val="24"/>
              </w:rPr>
              <w:fldChar w:fldCharType="begin"/>
            </w:r>
            <w:r w:rsidRPr="00616FE3">
              <w:rPr>
                <w:rFonts w:ascii="Arial" w:hAnsi="Arial" w:cs="Arial"/>
                <w:noProof/>
                <w:webHidden/>
                <w:sz w:val="24"/>
                <w:szCs w:val="24"/>
              </w:rPr>
              <w:instrText xml:space="preserve"> PAGEREF _Toc215477932 \h </w:instrText>
            </w:r>
            <w:r w:rsidRPr="00616FE3">
              <w:rPr>
                <w:rFonts w:ascii="Arial" w:hAnsi="Arial" w:cs="Arial"/>
                <w:noProof/>
                <w:webHidden/>
                <w:sz w:val="24"/>
                <w:szCs w:val="24"/>
              </w:rPr>
            </w:r>
            <w:r w:rsidRPr="00616FE3">
              <w:rPr>
                <w:rFonts w:ascii="Arial" w:hAnsi="Arial" w:cs="Arial"/>
                <w:noProof/>
                <w:webHidden/>
                <w:sz w:val="24"/>
                <w:szCs w:val="24"/>
              </w:rPr>
              <w:fldChar w:fldCharType="separate"/>
            </w:r>
            <w:r w:rsidR="00D362C0">
              <w:rPr>
                <w:rFonts w:ascii="Arial" w:hAnsi="Arial" w:cs="Arial"/>
                <w:noProof/>
                <w:webHidden/>
                <w:sz w:val="24"/>
                <w:szCs w:val="24"/>
              </w:rPr>
              <w:t>12</w:t>
            </w:r>
            <w:r w:rsidRPr="00616FE3">
              <w:rPr>
                <w:rFonts w:ascii="Arial" w:hAnsi="Arial" w:cs="Arial"/>
                <w:noProof/>
                <w:webHidden/>
                <w:sz w:val="24"/>
                <w:szCs w:val="24"/>
              </w:rPr>
              <w:fldChar w:fldCharType="end"/>
            </w:r>
          </w:hyperlink>
        </w:p>
        <w:p w14:paraId="2A3D4396" w14:textId="40AC64BD" w:rsidR="00742835" w:rsidRPr="00616FE3" w:rsidRDefault="00742835">
          <w:pPr>
            <w:rPr>
              <w:rFonts w:ascii="Arial" w:hAnsi="Arial" w:cs="Arial"/>
              <w:sz w:val="24"/>
              <w:szCs w:val="24"/>
            </w:rPr>
          </w:pPr>
          <w:r w:rsidRPr="00616FE3">
            <w:rPr>
              <w:rFonts w:ascii="Arial" w:hAnsi="Arial" w:cs="Arial"/>
              <w:b/>
              <w:bCs/>
              <w:sz w:val="24"/>
              <w:szCs w:val="24"/>
            </w:rPr>
            <w:fldChar w:fldCharType="end"/>
          </w:r>
        </w:p>
      </w:sdtContent>
    </w:sdt>
    <w:p w14:paraId="2AEB36EF" w14:textId="77777777" w:rsidR="00742835" w:rsidRPr="00616FE3" w:rsidRDefault="00742835" w:rsidP="008339BB">
      <w:pPr>
        <w:rPr>
          <w:rFonts w:ascii="Arial" w:hAnsi="Arial" w:cs="Arial"/>
          <w:sz w:val="24"/>
          <w:szCs w:val="24"/>
        </w:rPr>
      </w:pPr>
    </w:p>
    <w:p w14:paraId="7C8F152A" w14:textId="77777777" w:rsidR="00742835" w:rsidRPr="00616FE3" w:rsidRDefault="00742835" w:rsidP="008339BB">
      <w:pPr>
        <w:rPr>
          <w:rFonts w:ascii="Arial" w:hAnsi="Arial" w:cs="Arial"/>
          <w:sz w:val="24"/>
          <w:szCs w:val="24"/>
        </w:rPr>
      </w:pPr>
    </w:p>
    <w:p w14:paraId="670A28D3" w14:textId="77777777" w:rsidR="00742835" w:rsidRPr="00616FE3" w:rsidRDefault="00742835" w:rsidP="008339BB">
      <w:pPr>
        <w:rPr>
          <w:rFonts w:ascii="Arial" w:hAnsi="Arial" w:cs="Arial"/>
          <w:sz w:val="24"/>
          <w:szCs w:val="24"/>
        </w:rPr>
      </w:pPr>
    </w:p>
    <w:p w14:paraId="53B546A4" w14:textId="77777777" w:rsidR="00742835" w:rsidRPr="00616FE3" w:rsidRDefault="00742835" w:rsidP="008339BB">
      <w:pPr>
        <w:rPr>
          <w:rFonts w:ascii="Arial" w:hAnsi="Arial" w:cs="Arial"/>
          <w:sz w:val="24"/>
          <w:szCs w:val="24"/>
        </w:rPr>
      </w:pPr>
    </w:p>
    <w:p w14:paraId="4FEDB222" w14:textId="77777777" w:rsidR="00742835" w:rsidRPr="00616FE3" w:rsidRDefault="00742835" w:rsidP="008339BB">
      <w:pPr>
        <w:rPr>
          <w:rFonts w:ascii="Arial" w:hAnsi="Arial" w:cs="Arial"/>
          <w:sz w:val="24"/>
          <w:szCs w:val="24"/>
        </w:rPr>
      </w:pPr>
    </w:p>
    <w:p w14:paraId="29B4B143" w14:textId="77777777" w:rsidR="00742835" w:rsidRPr="00616FE3" w:rsidRDefault="00742835" w:rsidP="008339BB">
      <w:pPr>
        <w:rPr>
          <w:rFonts w:ascii="Arial" w:hAnsi="Arial" w:cs="Arial"/>
          <w:sz w:val="24"/>
          <w:szCs w:val="24"/>
        </w:rPr>
      </w:pPr>
    </w:p>
    <w:p w14:paraId="0C4A0914" w14:textId="77777777" w:rsidR="00742835" w:rsidRPr="00616FE3" w:rsidRDefault="00742835" w:rsidP="008339BB">
      <w:pPr>
        <w:rPr>
          <w:rFonts w:ascii="Arial" w:hAnsi="Arial" w:cs="Arial"/>
          <w:sz w:val="24"/>
          <w:szCs w:val="24"/>
        </w:rPr>
      </w:pPr>
    </w:p>
    <w:p w14:paraId="486B5894" w14:textId="77777777" w:rsidR="00742835" w:rsidRPr="00616FE3" w:rsidRDefault="00742835" w:rsidP="008339BB">
      <w:pPr>
        <w:rPr>
          <w:rFonts w:ascii="Arial" w:hAnsi="Arial" w:cs="Arial"/>
          <w:sz w:val="24"/>
          <w:szCs w:val="24"/>
        </w:rPr>
      </w:pPr>
    </w:p>
    <w:p w14:paraId="6C44C4B4" w14:textId="77777777" w:rsidR="00742835" w:rsidRPr="00616FE3" w:rsidRDefault="00742835" w:rsidP="008339BB">
      <w:pPr>
        <w:rPr>
          <w:rFonts w:ascii="Arial" w:hAnsi="Arial" w:cs="Arial"/>
          <w:sz w:val="24"/>
          <w:szCs w:val="24"/>
        </w:rPr>
      </w:pPr>
    </w:p>
    <w:p w14:paraId="6A84AFA3" w14:textId="77777777" w:rsidR="00742835" w:rsidRPr="00616FE3" w:rsidRDefault="00742835" w:rsidP="008339BB">
      <w:pPr>
        <w:rPr>
          <w:rFonts w:ascii="Arial" w:hAnsi="Arial" w:cs="Arial"/>
          <w:sz w:val="24"/>
          <w:szCs w:val="24"/>
        </w:rPr>
      </w:pPr>
    </w:p>
    <w:p w14:paraId="29DFED1C" w14:textId="77777777" w:rsidR="00742835" w:rsidRPr="00616FE3" w:rsidRDefault="00742835" w:rsidP="008339BB">
      <w:pPr>
        <w:rPr>
          <w:rFonts w:ascii="Arial" w:hAnsi="Arial" w:cs="Arial"/>
          <w:sz w:val="24"/>
          <w:szCs w:val="24"/>
        </w:rPr>
      </w:pPr>
    </w:p>
    <w:p w14:paraId="7DC53647" w14:textId="77777777" w:rsidR="00742835" w:rsidRPr="00616FE3" w:rsidRDefault="00742835" w:rsidP="008339BB">
      <w:pPr>
        <w:rPr>
          <w:rFonts w:ascii="Arial" w:hAnsi="Arial" w:cs="Arial"/>
          <w:sz w:val="24"/>
          <w:szCs w:val="24"/>
        </w:rPr>
      </w:pPr>
    </w:p>
    <w:p w14:paraId="14580BED" w14:textId="77777777" w:rsidR="00742835" w:rsidRPr="00616FE3" w:rsidRDefault="00742835" w:rsidP="008339BB">
      <w:pPr>
        <w:rPr>
          <w:rFonts w:ascii="Arial" w:hAnsi="Arial" w:cs="Arial"/>
          <w:sz w:val="24"/>
          <w:szCs w:val="24"/>
        </w:rPr>
      </w:pPr>
    </w:p>
    <w:p w14:paraId="531BCB0C" w14:textId="77777777" w:rsidR="00742835" w:rsidRPr="00616FE3" w:rsidRDefault="00742835" w:rsidP="008339BB">
      <w:pPr>
        <w:rPr>
          <w:rFonts w:ascii="Arial" w:hAnsi="Arial" w:cs="Arial"/>
          <w:sz w:val="24"/>
          <w:szCs w:val="24"/>
        </w:rPr>
      </w:pPr>
    </w:p>
    <w:p w14:paraId="56B94754" w14:textId="77777777" w:rsidR="00742835" w:rsidRPr="00616FE3" w:rsidRDefault="00742835" w:rsidP="008339BB">
      <w:pPr>
        <w:rPr>
          <w:rFonts w:ascii="Arial" w:hAnsi="Arial" w:cs="Arial"/>
          <w:sz w:val="24"/>
          <w:szCs w:val="24"/>
        </w:rPr>
      </w:pPr>
    </w:p>
    <w:p w14:paraId="146B9D44" w14:textId="77777777" w:rsidR="00742835" w:rsidRPr="00616FE3" w:rsidRDefault="00742835" w:rsidP="008339BB">
      <w:pPr>
        <w:rPr>
          <w:rFonts w:ascii="Arial" w:hAnsi="Arial" w:cs="Arial"/>
          <w:sz w:val="24"/>
          <w:szCs w:val="24"/>
        </w:rPr>
      </w:pPr>
    </w:p>
    <w:p w14:paraId="7A302683" w14:textId="77777777" w:rsidR="00742835" w:rsidRPr="00616FE3" w:rsidRDefault="00742835" w:rsidP="008339BB">
      <w:pPr>
        <w:rPr>
          <w:rFonts w:ascii="Arial" w:hAnsi="Arial" w:cs="Arial"/>
          <w:sz w:val="24"/>
          <w:szCs w:val="24"/>
        </w:rPr>
      </w:pPr>
    </w:p>
    <w:p w14:paraId="240C8D64" w14:textId="77777777" w:rsidR="00742835" w:rsidRPr="00616FE3" w:rsidRDefault="00742835" w:rsidP="008339BB">
      <w:pPr>
        <w:rPr>
          <w:rFonts w:ascii="Arial" w:hAnsi="Arial" w:cs="Arial"/>
          <w:sz w:val="24"/>
          <w:szCs w:val="24"/>
        </w:rPr>
      </w:pPr>
    </w:p>
    <w:p w14:paraId="588EF152" w14:textId="77777777" w:rsidR="00742835" w:rsidRPr="00616FE3" w:rsidRDefault="00742835" w:rsidP="008339BB">
      <w:pPr>
        <w:rPr>
          <w:rFonts w:ascii="Arial" w:hAnsi="Arial" w:cs="Arial"/>
          <w:sz w:val="24"/>
          <w:szCs w:val="24"/>
        </w:rPr>
      </w:pPr>
    </w:p>
    <w:p w14:paraId="03256D8D" w14:textId="77777777" w:rsidR="00F7299A" w:rsidRPr="00616FE3" w:rsidRDefault="00F7299A" w:rsidP="008339BB">
      <w:pPr>
        <w:rPr>
          <w:rFonts w:ascii="Arial" w:hAnsi="Arial" w:cs="Arial"/>
          <w:sz w:val="24"/>
          <w:szCs w:val="24"/>
        </w:rPr>
      </w:pPr>
    </w:p>
    <w:p w14:paraId="6777CCB4" w14:textId="77777777" w:rsidR="00F7299A" w:rsidRPr="00616FE3" w:rsidRDefault="00F7299A" w:rsidP="008339BB">
      <w:pPr>
        <w:rPr>
          <w:rFonts w:ascii="Arial" w:hAnsi="Arial" w:cs="Arial"/>
          <w:sz w:val="24"/>
          <w:szCs w:val="24"/>
        </w:rPr>
      </w:pPr>
    </w:p>
    <w:p w14:paraId="5E67CCFB" w14:textId="77777777" w:rsidR="00F7299A" w:rsidRPr="00616FE3" w:rsidRDefault="00F7299A" w:rsidP="00F7299A">
      <w:pPr>
        <w:pStyle w:val="Heading1"/>
        <w:rPr>
          <w:rFonts w:ascii="Arial" w:hAnsi="Arial" w:cs="Arial"/>
          <w:b/>
          <w:bCs/>
          <w:color w:val="000000" w:themeColor="text1"/>
          <w:sz w:val="24"/>
          <w:szCs w:val="24"/>
        </w:rPr>
      </w:pPr>
      <w:bookmarkStart w:id="1" w:name="_Toc215477926"/>
      <w:r w:rsidRPr="00616FE3">
        <w:rPr>
          <w:rFonts w:ascii="Arial" w:hAnsi="Arial" w:cs="Arial"/>
          <w:b/>
          <w:bCs/>
          <w:color w:val="000000" w:themeColor="text1"/>
          <w:sz w:val="24"/>
          <w:szCs w:val="24"/>
        </w:rPr>
        <w:lastRenderedPageBreak/>
        <w:t>Introduction</w:t>
      </w:r>
      <w:bookmarkEnd w:id="1"/>
    </w:p>
    <w:p w14:paraId="67FAF1DC" w14:textId="5D263003" w:rsidR="00742835" w:rsidRPr="00616FE3" w:rsidRDefault="00742835" w:rsidP="00742835">
      <w:pPr>
        <w:jc w:val="both"/>
        <w:rPr>
          <w:rFonts w:ascii="Arial" w:hAnsi="Arial" w:cs="Arial"/>
          <w:sz w:val="24"/>
          <w:szCs w:val="24"/>
        </w:rPr>
      </w:pPr>
      <w:r w:rsidRPr="00616FE3">
        <w:rPr>
          <w:rFonts w:ascii="Arial" w:hAnsi="Arial" w:cs="Arial"/>
          <w:sz w:val="24"/>
          <w:szCs w:val="24"/>
        </w:rPr>
        <w:t>Comprehending the external environment is central to strategic planning, and one of the most widely used tools for this purpose is the PESTLE framework. Originally developed as PEST in the 1960s and 1970s, it focused on political, economic, social and technological forces, with legal and environmental factors added in the 1990s to reflect growing regulation and sustainability priorities (Taylor and Perkins, 2021, pp. 9–10). This shows the adaptability of the tool but highlights that it is only as effective as an organisation’s ability to interpret complex and fluctuating conditions.</w:t>
      </w:r>
    </w:p>
    <w:p w14:paraId="01B48EE4" w14:textId="4F358DBE" w:rsidR="00742835" w:rsidRPr="00616FE3" w:rsidRDefault="00742835" w:rsidP="00742835">
      <w:pPr>
        <w:jc w:val="both"/>
        <w:rPr>
          <w:rFonts w:ascii="Arial" w:hAnsi="Arial" w:cs="Arial"/>
          <w:sz w:val="24"/>
          <w:szCs w:val="24"/>
        </w:rPr>
      </w:pPr>
      <w:r w:rsidRPr="00616FE3">
        <w:rPr>
          <w:rFonts w:ascii="Arial" w:hAnsi="Arial" w:cs="Arial"/>
          <w:sz w:val="24"/>
          <w:szCs w:val="24"/>
        </w:rPr>
        <w:t>The PESTLE framework encourages organisations to scan broadly across external trends</w:t>
      </w:r>
      <w:r w:rsidR="00FD2684" w:rsidRPr="00616FE3">
        <w:rPr>
          <w:rFonts w:ascii="Arial" w:hAnsi="Arial" w:cs="Arial"/>
          <w:sz w:val="24"/>
          <w:szCs w:val="24"/>
        </w:rPr>
        <w:t>.</w:t>
      </w:r>
      <w:r w:rsidRPr="00616FE3">
        <w:rPr>
          <w:rFonts w:ascii="Arial" w:hAnsi="Arial" w:cs="Arial"/>
          <w:sz w:val="24"/>
          <w:szCs w:val="24"/>
        </w:rPr>
        <w:t xml:space="preserve"> </w:t>
      </w:r>
      <w:r w:rsidR="00FD2684" w:rsidRPr="00616FE3">
        <w:rPr>
          <w:rFonts w:ascii="Arial" w:hAnsi="Arial" w:cs="Arial"/>
          <w:sz w:val="24"/>
          <w:szCs w:val="24"/>
        </w:rPr>
        <w:t>H</w:t>
      </w:r>
      <w:r w:rsidRPr="00616FE3">
        <w:rPr>
          <w:rFonts w:ascii="Arial" w:hAnsi="Arial" w:cs="Arial"/>
          <w:sz w:val="24"/>
          <w:szCs w:val="24"/>
        </w:rPr>
        <w:t>owever, it has limits. It can oversimplify interconnected issues and, without strong internal insight, organisations may misjudge which factors genuinely matter (CIPD, 2025e). Environmental scanning is most valuable when PESTLE is combined with tools such as SWOT, which enables comparison of external opportunities and threats with internal strengths and weaknesses (Armstrong, 2020, p. 28). Used alone, PESTLE may identify risks but cannot assess an organisation’s capacity to respond.</w:t>
      </w:r>
    </w:p>
    <w:p w14:paraId="0602E222" w14:textId="662005E3" w:rsidR="00742835" w:rsidRPr="00616FE3" w:rsidRDefault="00742835" w:rsidP="00742835">
      <w:pPr>
        <w:jc w:val="both"/>
        <w:rPr>
          <w:rFonts w:ascii="Arial" w:hAnsi="Arial" w:cs="Arial"/>
          <w:sz w:val="24"/>
          <w:szCs w:val="24"/>
        </w:rPr>
      </w:pPr>
      <w:r w:rsidRPr="00616FE3">
        <w:rPr>
          <w:rFonts w:ascii="Arial" w:hAnsi="Arial" w:cs="Arial"/>
          <w:sz w:val="24"/>
          <w:szCs w:val="24"/>
        </w:rPr>
        <w:t>For Sofidel UK, the PESTLE framework remains relevant for understanding increasing pressures on the manufacturing and people-management environment, but its value relies on pairing external analysis with sound internal data, reflection and practical strategic planning.</w:t>
      </w:r>
    </w:p>
    <w:p w14:paraId="2DCD4769" w14:textId="37A9F3D5" w:rsidR="00742835" w:rsidRPr="00616FE3" w:rsidRDefault="00742835" w:rsidP="00742835">
      <w:pPr>
        <w:jc w:val="both"/>
        <w:rPr>
          <w:rFonts w:ascii="Arial" w:hAnsi="Arial" w:cs="Arial"/>
          <w:sz w:val="24"/>
          <w:szCs w:val="24"/>
        </w:rPr>
      </w:pPr>
      <w:r w:rsidRPr="00616FE3">
        <w:rPr>
          <w:rFonts w:ascii="Arial" w:hAnsi="Arial" w:cs="Arial"/>
          <w:sz w:val="24"/>
          <w:szCs w:val="24"/>
        </w:rPr>
        <w:t>This report critically analyses the legal, political and economic factors most affecting Sofidel’s UK workforce strategy and their implications for decision-making, competitiveness and long-term sustainability.</w:t>
      </w:r>
    </w:p>
    <w:p w14:paraId="4B179109" w14:textId="68F4E94A" w:rsidR="00F7299A" w:rsidRPr="00616FE3" w:rsidRDefault="00F7299A" w:rsidP="00F7299A">
      <w:pPr>
        <w:pStyle w:val="Heading1"/>
        <w:rPr>
          <w:rFonts w:ascii="Arial" w:hAnsi="Arial" w:cs="Arial"/>
          <w:b/>
          <w:bCs/>
          <w:color w:val="000000" w:themeColor="text1"/>
          <w:sz w:val="24"/>
          <w:szCs w:val="24"/>
        </w:rPr>
      </w:pPr>
      <w:bookmarkStart w:id="2" w:name="_Toc215477927"/>
      <w:r w:rsidRPr="00616FE3">
        <w:rPr>
          <w:rFonts w:ascii="Arial" w:hAnsi="Arial" w:cs="Arial"/>
          <w:b/>
          <w:bCs/>
          <w:color w:val="000000" w:themeColor="text1"/>
          <w:sz w:val="24"/>
          <w:szCs w:val="24"/>
        </w:rPr>
        <w:t>Legal</w:t>
      </w:r>
      <w:bookmarkEnd w:id="2"/>
    </w:p>
    <w:p w14:paraId="6223D5EB"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According to the Department for Business and Trade (DBT, 2024a), there have been significant changes to employment protections following the government’s update of the Employment Rights Bill. Currently, employees need to have been continuously employed for two years to bring an unfair dismissal claim, with an exception for situations where dismissal falls under automatically unfair reasons, such as discrimination, whistleblowing or the use of statutory rights (ACAS, 2024). Employees also have the right to request the reasons for dismissal after they have two years of continuous employment (Employment Rights Act 1996, ss. 92-93).</w:t>
      </w:r>
    </w:p>
    <w:p w14:paraId="13D2756F" w14:textId="6DA37D86" w:rsidR="00F7299A" w:rsidRPr="00616FE3" w:rsidRDefault="00F7299A" w:rsidP="00F7299A">
      <w:pPr>
        <w:jc w:val="both"/>
        <w:rPr>
          <w:rFonts w:ascii="Arial" w:hAnsi="Arial" w:cs="Arial"/>
          <w:sz w:val="24"/>
          <w:szCs w:val="24"/>
        </w:rPr>
      </w:pPr>
      <w:r w:rsidRPr="00616FE3">
        <w:rPr>
          <w:rFonts w:ascii="Arial" w:hAnsi="Arial" w:cs="Arial"/>
          <w:sz w:val="24"/>
          <w:szCs w:val="24"/>
        </w:rPr>
        <w:t>The reform is set to come into force from 2027 (CIPD, 2025a) and as part of its Make Work Pay programme (DBT, 2024a), it would protect employees from unfair dismissal from the first day of employment. While it is intended to offer basic protections for employees, it is designed to make sure that the job is a good fit for both employee and employer. The reform would also introduce a statutory probationary period, which is expected to last nine months</w:t>
      </w:r>
      <w:r w:rsidR="00EF3DCE" w:rsidRPr="00616FE3">
        <w:rPr>
          <w:rFonts w:ascii="Arial" w:hAnsi="Arial" w:cs="Arial"/>
          <w:sz w:val="24"/>
          <w:szCs w:val="24"/>
        </w:rPr>
        <w:t xml:space="preserve"> (</w:t>
      </w:r>
      <w:r w:rsidR="00FB5975" w:rsidRPr="00616FE3">
        <w:rPr>
          <w:rFonts w:ascii="Arial" w:hAnsi="Arial" w:cs="Arial"/>
          <w:sz w:val="24"/>
          <w:szCs w:val="24"/>
        </w:rPr>
        <w:t>DBT, 2025b)</w:t>
      </w:r>
      <w:r w:rsidRPr="00616FE3">
        <w:rPr>
          <w:rFonts w:ascii="Arial" w:hAnsi="Arial" w:cs="Arial"/>
          <w:sz w:val="24"/>
          <w:szCs w:val="24"/>
        </w:rPr>
        <w:t>.</w:t>
      </w:r>
      <w:r w:rsidR="00AC778B" w:rsidRPr="00616FE3">
        <w:rPr>
          <w:rFonts w:ascii="Arial" w:hAnsi="Arial" w:cs="Arial"/>
          <w:sz w:val="24"/>
          <w:szCs w:val="24"/>
        </w:rPr>
        <w:t xml:space="preserve"> Although the </w:t>
      </w:r>
      <w:r w:rsidR="00D66C34" w:rsidRPr="00616FE3">
        <w:rPr>
          <w:rFonts w:ascii="Arial" w:hAnsi="Arial" w:cs="Arial"/>
          <w:sz w:val="24"/>
          <w:szCs w:val="24"/>
        </w:rPr>
        <w:t xml:space="preserve">government </w:t>
      </w:r>
      <w:r w:rsidR="003827F2" w:rsidRPr="00616FE3">
        <w:rPr>
          <w:rFonts w:ascii="Arial" w:hAnsi="Arial" w:cs="Arial"/>
          <w:sz w:val="24"/>
          <w:szCs w:val="24"/>
        </w:rPr>
        <w:t xml:space="preserve">update </w:t>
      </w:r>
      <w:r w:rsidR="00D66C34" w:rsidRPr="00616FE3">
        <w:rPr>
          <w:rFonts w:ascii="Arial" w:hAnsi="Arial" w:cs="Arial"/>
          <w:sz w:val="24"/>
          <w:szCs w:val="24"/>
        </w:rPr>
        <w:t>from 27</w:t>
      </w:r>
      <w:r w:rsidR="00D66C34" w:rsidRPr="00616FE3">
        <w:rPr>
          <w:rFonts w:ascii="Arial" w:hAnsi="Arial" w:cs="Arial"/>
          <w:sz w:val="24"/>
          <w:szCs w:val="24"/>
          <w:vertAlign w:val="superscript"/>
        </w:rPr>
        <w:t>th</w:t>
      </w:r>
      <w:r w:rsidR="00D66C34" w:rsidRPr="00616FE3">
        <w:rPr>
          <w:rFonts w:ascii="Arial" w:hAnsi="Arial" w:cs="Arial"/>
          <w:sz w:val="24"/>
          <w:szCs w:val="24"/>
        </w:rPr>
        <w:t xml:space="preserve"> November</w:t>
      </w:r>
      <w:r w:rsidR="003827F2" w:rsidRPr="00616FE3">
        <w:rPr>
          <w:rFonts w:ascii="Arial" w:hAnsi="Arial" w:cs="Arial"/>
          <w:sz w:val="24"/>
          <w:szCs w:val="24"/>
        </w:rPr>
        <w:t xml:space="preserve"> confirms six months </w:t>
      </w:r>
      <w:r w:rsidR="000C0DA8" w:rsidRPr="00616FE3">
        <w:rPr>
          <w:rFonts w:ascii="Arial" w:hAnsi="Arial" w:cs="Arial"/>
          <w:sz w:val="24"/>
          <w:szCs w:val="24"/>
        </w:rPr>
        <w:t>(HR Magazine, 2025).</w:t>
      </w:r>
      <w:r w:rsidR="00D66C34" w:rsidRPr="00616FE3">
        <w:rPr>
          <w:rFonts w:ascii="Arial" w:hAnsi="Arial" w:cs="Arial"/>
          <w:sz w:val="24"/>
          <w:szCs w:val="24"/>
        </w:rPr>
        <w:t xml:space="preserve"> </w:t>
      </w:r>
      <w:r w:rsidRPr="00616FE3">
        <w:rPr>
          <w:rFonts w:ascii="Arial" w:hAnsi="Arial" w:cs="Arial"/>
          <w:sz w:val="24"/>
          <w:szCs w:val="24"/>
        </w:rPr>
        <w:t xml:space="preserve"> Throughout this period, dismissal standards are expected to have a lighter touch and will allow employers to continue to dismiss employees if they do not meet the requirements of the role (DBT, 2024a). </w:t>
      </w:r>
    </w:p>
    <w:p w14:paraId="693BCB28" w14:textId="77777777" w:rsidR="00587AE6" w:rsidRPr="00616FE3" w:rsidRDefault="00F7299A" w:rsidP="00F7299A">
      <w:pPr>
        <w:jc w:val="both"/>
        <w:rPr>
          <w:rFonts w:ascii="Arial" w:hAnsi="Arial" w:cs="Arial"/>
          <w:sz w:val="24"/>
          <w:szCs w:val="24"/>
        </w:rPr>
      </w:pPr>
      <w:r w:rsidRPr="00616FE3">
        <w:rPr>
          <w:rFonts w:ascii="Arial" w:hAnsi="Arial" w:cs="Arial"/>
          <w:sz w:val="24"/>
          <w:szCs w:val="24"/>
        </w:rPr>
        <w:lastRenderedPageBreak/>
        <w:t>Employees will still have the right to request the reasons for dismissal, but this will be on completion of the statutory probation period not two years of continuous employment. The Government will consult on the length of the statutory probation period and how the lighter-touch dismissal process will work (DBT, 2024a). While this change can ensure good practice as an employer, it will add to our procedural risk as organisations (CIPD, 2025a</w:t>
      </w:r>
      <w:r w:rsidR="00FB5975" w:rsidRPr="00616FE3">
        <w:rPr>
          <w:rFonts w:ascii="Arial" w:hAnsi="Arial" w:cs="Arial"/>
          <w:sz w:val="24"/>
          <w:szCs w:val="24"/>
        </w:rPr>
        <w:t>; DBT</w:t>
      </w:r>
      <w:r w:rsidR="00045103" w:rsidRPr="00616FE3">
        <w:rPr>
          <w:rFonts w:ascii="Arial" w:hAnsi="Arial" w:cs="Arial"/>
          <w:sz w:val="24"/>
          <w:szCs w:val="24"/>
        </w:rPr>
        <w:t>, 2024b</w:t>
      </w:r>
      <w:r w:rsidRPr="00616FE3">
        <w:rPr>
          <w:rFonts w:ascii="Arial" w:hAnsi="Arial" w:cs="Arial"/>
          <w:sz w:val="24"/>
          <w:szCs w:val="24"/>
        </w:rPr>
        <w:t xml:space="preserve">). The intention is to ensure both early-stage job security and to ensure that the legal protection reflects the position already held by some of the best employers (DBT, 2025a). </w:t>
      </w:r>
    </w:p>
    <w:p w14:paraId="0BEFEDBB" w14:textId="34137351" w:rsidR="00F7299A" w:rsidRPr="00616FE3" w:rsidRDefault="00F7299A" w:rsidP="00F7299A">
      <w:pPr>
        <w:jc w:val="both"/>
        <w:rPr>
          <w:rFonts w:ascii="Arial" w:hAnsi="Arial" w:cs="Arial"/>
          <w:sz w:val="24"/>
          <w:szCs w:val="24"/>
        </w:rPr>
      </w:pPr>
      <w:r w:rsidRPr="00616FE3">
        <w:rPr>
          <w:rFonts w:ascii="Arial" w:hAnsi="Arial" w:cs="Arial"/>
          <w:sz w:val="24"/>
          <w:szCs w:val="24"/>
        </w:rPr>
        <w:t xml:space="preserve">Additionally, it may lead to the increased fairness and transparency across organisations in terms of the probation and performance management process on a more individual and corporate basis (Jenkin, 2025). In practice, after day one protection is in place, any termination could be subject to greater scrutiny (DBT, 2024a). The introduction of day-one unfair dismissal rights is expected to increase legal and reputational risk as early employment remains the time at which dismissals are most common (Sofidel, 2024a). </w:t>
      </w:r>
    </w:p>
    <w:p w14:paraId="0E7FE093" w14:textId="26A775D7" w:rsidR="00F7299A" w:rsidRPr="00616FE3" w:rsidRDefault="00F7299A" w:rsidP="00F7299A">
      <w:pPr>
        <w:jc w:val="both"/>
        <w:rPr>
          <w:rFonts w:ascii="Arial" w:hAnsi="Arial" w:cs="Arial"/>
          <w:sz w:val="24"/>
          <w:szCs w:val="24"/>
        </w:rPr>
      </w:pPr>
      <w:r w:rsidRPr="00616FE3">
        <w:rPr>
          <w:rFonts w:ascii="Arial" w:hAnsi="Arial" w:cs="Arial"/>
          <w:sz w:val="24"/>
          <w:szCs w:val="24"/>
        </w:rPr>
        <w:t xml:space="preserve">This further supports the need to invest in strengthening recruitment, retention and engagement to ensure fair practice and protect against the risk of Tribunal claims occurring from individuals (HM Government, 2024). During the period of January to December 2024, Sofidel UK recorded 12 employer-led terminations within the first year of employment for hourly paid employees, down from 19 in 2023. When analysing the reasons for dismissal, 42% were due to capability and 33% were on the grounds of the employees not passing probation suggesting that nearly </w:t>
      </w:r>
      <w:r w:rsidR="00B07B2F" w:rsidRPr="00616FE3">
        <w:rPr>
          <w:rFonts w:ascii="Arial" w:hAnsi="Arial" w:cs="Arial"/>
          <w:sz w:val="24"/>
          <w:szCs w:val="24"/>
        </w:rPr>
        <w:t>75%</w:t>
      </w:r>
      <w:r w:rsidRPr="00616FE3">
        <w:rPr>
          <w:rFonts w:ascii="Arial" w:hAnsi="Arial" w:cs="Arial"/>
          <w:sz w:val="24"/>
          <w:szCs w:val="24"/>
        </w:rPr>
        <w:t xml:space="preserve"> of dismissals were likely to be deemed early stage of employment. This could mean that after the introduction of day-one unfair dismissal protections the cases could now form the basis of a tribunal claim, presenting a possible legal risk for Sofidel. While the numbers have reduced overall, 21% of all Sofidel terminations in 2024 could now be challenged at a tribunal if not fairly and consistently managed (Sofidel, 2024a).</w:t>
      </w:r>
    </w:p>
    <w:p w14:paraId="5AD71F5F" w14:textId="189360E2" w:rsidR="00F7299A" w:rsidRPr="00616FE3" w:rsidRDefault="00F7299A" w:rsidP="00F7299A">
      <w:pPr>
        <w:jc w:val="both"/>
        <w:rPr>
          <w:rFonts w:ascii="Arial" w:hAnsi="Arial" w:cs="Arial"/>
          <w:sz w:val="24"/>
          <w:szCs w:val="24"/>
        </w:rPr>
      </w:pPr>
      <w:r w:rsidRPr="00616FE3">
        <w:rPr>
          <w:rFonts w:ascii="Arial" w:hAnsi="Arial" w:cs="Arial"/>
          <w:sz w:val="24"/>
          <w:szCs w:val="24"/>
        </w:rPr>
        <w:t>From a resource-based perspective (Barney, 1991), early-stage high frequency dismissals is not a good trend as the human capital advantage of the organi</w:t>
      </w:r>
      <w:r w:rsidR="00B07B2F" w:rsidRPr="00616FE3">
        <w:rPr>
          <w:rFonts w:ascii="Arial" w:hAnsi="Arial" w:cs="Arial"/>
          <w:sz w:val="24"/>
          <w:szCs w:val="24"/>
        </w:rPr>
        <w:t>s</w:t>
      </w:r>
      <w:r w:rsidRPr="00616FE3">
        <w:rPr>
          <w:rFonts w:ascii="Arial" w:hAnsi="Arial" w:cs="Arial"/>
          <w:sz w:val="24"/>
          <w:szCs w:val="24"/>
        </w:rPr>
        <w:t>ation is weakened while losing out on an opportunity to retain those prospective talents, if nurtured, can become a valuable source of sustained competitive advantage.</w:t>
      </w:r>
    </w:p>
    <w:p w14:paraId="09DB73A7"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According to Harper James Solicitors (2024), employment tribunal claims can be costly, with average claims costing approximately £10,000 to defend. In some cases, total costs can rise to £25,000 when considering other factors such as legal fees, expert witness costs and settlements. There are also hidden costs which include time, disruption to the company, stress and emotional toll on employee and management. The average award paid for unfair dismissal in 2023/24 was £14,000, with the largest being £179,000 (Ministry of Justice, 2024). For example, Sofidel UK had 12 dismissals within the first year of employment in 2024 and if one or two of these claims were successful at tribunal, it could damage Sofidel UK's brand and cause significant financial losses, despite the new Employment Rights Bill that will allow a consultation on a statutory probationary period where any awards may be capped, reducing direct exposure to financial risks (DBT, 2025a).</w:t>
      </w:r>
    </w:p>
    <w:p w14:paraId="42F095F9" w14:textId="77777777" w:rsidR="00F7299A" w:rsidRPr="00616FE3" w:rsidRDefault="00F7299A" w:rsidP="00F7299A">
      <w:pPr>
        <w:jc w:val="both"/>
        <w:rPr>
          <w:rFonts w:ascii="Arial" w:hAnsi="Arial" w:cs="Arial"/>
          <w:color w:val="EE0000"/>
          <w:sz w:val="24"/>
          <w:szCs w:val="24"/>
        </w:rPr>
      </w:pPr>
      <w:r w:rsidRPr="00616FE3">
        <w:rPr>
          <w:rFonts w:ascii="Arial" w:hAnsi="Arial" w:cs="Arial"/>
          <w:sz w:val="24"/>
          <w:szCs w:val="24"/>
        </w:rPr>
        <w:lastRenderedPageBreak/>
        <w:t>Although this new reform does create additional legal and procedural responsibilities for the employer, Buckley (2024) argues that it also presents an opportunity to improve culture, as the introduction of this reform can positively impact morale, trust and retention. This works best when combined with a well</w:t>
      </w:r>
      <w:r w:rsidRPr="00616FE3">
        <w:rPr>
          <w:rFonts w:ascii="Cambria Math" w:hAnsi="Cambria Math" w:cs="Cambria Math"/>
          <w:sz w:val="24"/>
          <w:szCs w:val="24"/>
        </w:rPr>
        <w:t>‑</w:t>
      </w:r>
      <w:r w:rsidRPr="00616FE3">
        <w:rPr>
          <w:rFonts w:ascii="Arial" w:hAnsi="Arial" w:cs="Arial"/>
          <w:sz w:val="24"/>
          <w:szCs w:val="24"/>
        </w:rPr>
        <w:t xml:space="preserve">structured onboarding process, as highlighted in CIPD's report, which emphasises how induction decreases turnover and enhances integration. Taken together, these perspectives imply that while onboarding can mitigate the risks associated with new legal obligations, how well organisations navigate the new legal obligations, while balancing their culture, wellbeing and performance management considerations, will determine whether onboarding is successful or not (CIPD, 2024a). For Sofidel, this movement provides a chance to reaffirm a values-based approach and align probation practices with a commitment to a transparent and supportive employment experience. </w:t>
      </w:r>
    </w:p>
    <w:p w14:paraId="22B6562A" w14:textId="6A7850C6" w:rsidR="00F7299A" w:rsidRPr="00616FE3" w:rsidRDefault="00F7299A" w:rsidP="00F7299A">
      <w:pPr>
        <w:pStyle w:val="Heading1"/>
        <w:rPr>
          <w:rFonts w:ascii="Arial" w:hAnsi="Arial" w:cs="Arial"/>
          <w:b/>
          <w:bCs/>
          <w:color w:val="000000" w:themeColor="text1"/>
          <w:sz w:val="24"/>
          <w:szCs w:val="24"/>
        </w:rPr>
      </w:pPr>
      <w:bookmarkStart w:id="3" w:name="_Toc215477928"/>
      <w:r w:rsidRPr="00616FE3">
        <w:rPr>
          <w:rFonts w:ascii="Arial" w:hAnsi="Arial" w:cs="Arial"/>
          <w:b/>
          <w:bCs/>
          <w:color w:val="000000" w:themeColor="text1"/>
          <w:sz w:val="24"/>
          <w:szCs w:val="24"/>
        </w:rPr>
        <w:t>Political</w:t>
      </w:r>
      <w:bookmarkEnd w:id="3"/>
    </w:p>
    <w:p w14:paraId="48144187"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The Modern Industrial Strategy provides a clear roadmap for longer term economic development, aiming to move the UK towards a high-skill, high-wage economy. A large part of the plan is dedicated to addressing skills shortage and low productivity that continues to restrict UK sectors. These tensions have led to increasing the demand on the government to play an important role in upskilling the workforce (DBT, 2025c).</w:t>
      </w:r>
    </w:p>
    <w:p w14:paraId="4C22C1B1" w14:textId="349F6F6A" w:rsidR="00F7299A" w:rsidRPr="00616FE3" w:rsidRDefault="00F7299A" w:rsidP="00F7299A">
      <w:pPr>
        <w:jc w:val="both"/>
        <w:rPr>
          <w:rFonts w:ascii="Arial" w:hAnsi="Arial" w:cs="Arial"/>
          <w:sz w:val="24"/>
          <w:szCs w:val="24"/>
        </w:rPr>
      </w:pPr>
      <w:r w:rsidRPr="00616FE3">
        <w:rPr>
          <w:rFonts w:ascii="Arial" w:hAnsi="Arial" w:cs="Arial"/>
          <w:sz w:val="24"/>
          <w:szCs w:val="24"/>
        </w:rPr>
        <w:t>As a result, training programmes, upskilling and provision of local skills have become more emphasised. Led by the Department for Business and Trade</w:t>
      </w:r>
      <w:r w:rsidR="00E7000D" w:rsidRPr="00616FE3">
        <w:rPr>
          <w:rFonts w:ascii="Arial" w:hAnsi="Arial" w:cs="Arial"/>
          <w:sz w:val="24"/>
          <w:szCs w:val="24"/>
        </w:rPr>
        <w:t xml:space="preserve"> (DBT)</w:t>
      </w:r>
      <w:r w:rsidRPr="00616FE3">
        <w:rPr>
          <w:rFonts w:ascii="Arial" w:hAnsi="Arial" w:cs="Arial"/>
          <w:sz w:val="24"/>
          <w:szCs w:val="24"/>
        </w:rPr>
        <w:t xml:space="preserve"> and by incorporating skills reform, the strategy goes hand in hand with the Make Work Pay agenda, to be a more skilled and better paid workforce (DBT, 2025a; DBT, 2025c).</w:t>
      </w:r>
    </w:p>
    <w:p w14:paraId="6C6D817C"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This focus is reiterated by the Department for Education’s (DfE) Assessment of Priority Skills to 2030, which highlights the need to boost productivity and expand the pool of skilled workers as part of building a stronger, higher-skilled labour market (Skills England, 2025).</w:t>
      </w:r>
    </w:p>
    <w:p w14:paraId="400D5840" w14:textId="6C1F84C4" w:rsidR="00F7299A" w:rsidRPr="00616FE3" w:rsidRDefault="00F7299A" w:rsidP="00F7299A">
      <w:pPr>
        <w:jc w:val="both"/>
        <w:rPr>
          <w:rFonts w:ascii="Arial" w:hAnsi="Arial" w:cs="Arial"/>
          <w:sz w:val="24"/>
          <w:szCs w:val="24"/>
        </w:rPr>
      </w:pPr>
      <w:r w:rsidRPr="00616FE3">
        <w:rPr>
          <w:rFonts w:ascii="Arial" w:hAnsi="Arial" w:cs="Arial"/>
          <w:sz w:val="24"/>
          <w:szCs w:val="24"/>
        </w:rPr>
        <w:t>Before the financial crisis of 2007-8, productivity was rising at around 2% a year but that growth has slowed significantly, according to the Office for National Statistics (ONS</w:t>
      </w:r>
      <w:r w:rsidR="00416AAF" w:rsidRPr="00616FE3">
        <w:rPr>
          <w:rFonts w:ascii="Arial" w:hAnsi="Arial" w:cs="Arial"/>
          <w:sz w:val="24"/>
          <w:szCs w:val="24"/>
        </w:rPr>
        <w:t>, 2025a</w:t>
      </w:r>
      <w:r w:rsidRPr="00616FE3">
        <w:rPr>
          <w:rFonts w:ascii="Arial" w:hAnsi="Arial" w:cs="Arial"/>
          <w:sz w:val="24"/>
          <w:szCs w:val="24"/>
        </w:rPr>
        <w:t>), with output per hour worked down 0.39% in 2023. Had that trend continued, productivity would have been about 26 per cent higher by 2022 (House of Lords Library, 2024). The continuing decline justifies the government's emphasis on the skills of the workforce as a political priority and its make work pay agenda, to lift workers' pay through upskilling the workforce. In response to these challenges, the government has placed skills policy at the centre of both long-term industrial strategy and broader labour market reforms (DfE, 2025; DBT, 2024a). In England, there is a development of Local Skills Improvement Plans (LSIPs) to tackle skills shortages and boost productivity, established through the Skills and Post</w:t>
      </w:r>
      <w:r w:rsidRPr="00616FE3">
        <w:rPr>
          <w:rFonts w:ascii="Cambria Math" w:hAnsi="Cambria Math" w:cs="Cambria Math"/>
          <w:sz w:val="24"/>
          <w:szCs w:val="24"/>
        </w:rPr>
        <w:t>‑</w:t>
      </w:r>
      <w:r w:rsidRPr="00616FE3">
        <w:rPr>
          <w:rFonts w:ascii="Arial" w:hAnsi="Arial" w:cs="Arial"/>
          <w:sz w:val="24"/>
          <w:szCs w:val="24"/>
        </w:rPr>
        <w:t>16 Education Act 2022 (UK Government, 2022).</w:t>
      </w:r>
    </w:p>
    <w:p w14:paraId="5AFF5FCC"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 xml:space="preserve">According to the Department for Education (2022), LSIPs' aim is to ensure that post-16 technical education and training meet the skills needs of local employers and align with economic priorities. LSIPs are led by Employer Representative Bodies as directed by the Department for Education. The aim is to put employers at the centre of the skills </w:t>
      </w:r>
      <w:r w:rsidRPr="00616FE3">
        <w:rPr>
          <w:rFonts w:ascii="Arial" w:hAnsi="Arial" w:cs="Arial"/>
          <w:sz w:val="24"/>
          <w:szCs w:val="24"/>
        </w:rPr>
        <w:lastRenderedPageBreak/>
        <w:t>conversation, feeding into the provision being made to ensure it meets the needs of the local labour market.</w:t>
      </w:r>
    </w:p>
    <w:p w14:paraId="120AF911"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In practice, this can mean a manufacturing organisation may identify a shortage in welding or maintenance engineering and work with a college to adapt its courses. Funded by the Local Skills Improvement Fund, LSIPs help employers not only to ensure new entrants have the skills they need but can also upskill or reskill their existing workforce (DfE, 2024) in the face of automation, digitalisation and green transition. For Sofidel UK this means that even when LSIPs identify priority skills, the local colleges are unable to react quickly enough, particularly in more technical areas such as maintenance engineering and automation. This limits apprenticeship provision and leaves employers such as Sofidel to pick up the cost of training staff from scratch or recruiting from overseas.</w:t>
      </w:r>
    </w:p>
    <w:p w14:paraId="4A01C07D" w14:textId="77777777" w:rsidR="00F7299A" w:rsidRPr="00616FE3" w:rsidRDefault="00F7299A" w:rsidP="00F7299A">
      <w:pPr>
        <w:jc w:val="both"/>
        <w:rPr>
          <w:rFonts w:ascii="Arial" w:hAnsi="Arial" w:cs="Arial"/>
          <w:sz w:val="24"/>
          <w:szCs w:val="24"/>
        </w:rPr>
      </w:pPr>
      <w:r w:rsidRPr="00616FE3">
        <w:rPr>
          <w:rFonts w:ascii="Arial" w:hAnsi="Arial" w:cs="Arial"/>
          <w:sz w:val="24"/>
          <w:szCs w:val="24"/>
        </w:rPr>
        <w:t>The government also shows intent to develop the skills of the workforce (DBT, 2025c). However, there is little evidence of policy continuity as there have been several changes in strategy e.g. Industrial Strategy (2017), Plan for Growth (2021) and Modern Industrial Strategy (2025) (House of Commons Library, 2025). This is not reassuring for employers because there is little incentive to invest in long term training as the policy framework is not stable. Intent is not enough, as without policy implementation, this has little value. For Sofidel UK, this can potentially create issues in terms of workforce planning due to unlikely investment in long-term skills development schemes if this is implemented in an environment of uncertainty.</w:t>
      </w:r>
    </w:p>
    <w:p w14:paraId="404267E8" w14:textId="7B6D3F36" w:rsidR="00F7299A" w:rsidRPr="00616FE3" w:rsidRDefault="00F7299A" w:rsidP="00F7299A">
      <w:pPr>
        <w:jc w:val="both"/>
        <w:rPr>
          <w:rFonts w:ascii="Arial" w:hAnsi="Arial" w:cs="Arial"/>
          <w:sz w:val="24"/>
          <w:szCs w:val="24"/>
        </w:rPr>
      </w:pPr>
      <w:r w:rsidRPr="00616FE3">
        <w:rPr>
          <w:rFonts w:ascii="Arial" w:hAnsi="Arial" w:cs="Arial"/>
          <w:sz w:val="24"/>
          <w:szCs w:val="24"/>
        </w:rPr>
        <w:t xml:space="preserve">Furthermore, it becomes more complicated because different parts of the UK run the policy in their own way. LSIPs run only in England, Wales and Scotland operate different systems (Growing Mid Wales, 2024; Skills Development Scotland, 2022), meaning Sofidel must adjust its workforce planning for regional differences. These complications add to the administrative burden of Sofidel, limiting the availability of training solutions to multiple sites. Although policies are in place, colleges do not have enough money or staff to run the courses that employers need (Association of Colleges, 2024). Even with the help of apprenticeships, the number of apprentices being trained is still less than the actual number of apprenticeships available as there </w:t>
      </w:r>
      <w:r w:rsidR="008305F1" w:rsidRPr="00616FE3">
        <w:rPr>
          <w:rFonts w:ascii="Arial" w:hAnsi="Arial" w:cs="Arial"/>
          <w:sz w:val="24"/>
          <w:szCs w:val="24"/>
        </w:rPr>
        <w:t>is not</w:t>
      </w:r>
      <w:r w:rsidRPr="00616FE3">
        <w:rPr>
          <w:rFonts w:ascii="Arial" w:hAnsi="Arial" w:cs="Arial"/>
          <w:sz w:val="24"/>
          <w:szCs w:val="24"/>
        </w:rPr>
        <w:t xml:space="preserve"> enough training capacity to cater for the increasing demand. For example, at the beginning of 2025, there were five apprenticeship vacancies in the budget but only one position has been filled (Sofidel, 2025a). This further proves the point that Sofidel needs to improve its workforce planning process.</w:t>
      </w:r>
    </w:p>
    <w:p w14:paraId="4E9909B8" w14:textId="7C77FB15" w:rsidR="00F7299A" w:rsidRPr="00616FE3" w:rsidRDefault="00F7299A" w:rsidP="00F7299A">
      <w:pPr>
        <w:pStyle w:val="Heading1"/>
        <w:rPr>
          <w:rFonts w:ascii="Arial" w:hAnsi="Arial" w:cs="Arial"/>
          <w:b/>
          <w:bCs/>
          <w:color w:val="000000" w:themeColor="text1"/>
          <w:sz w:val="24"/>
          <w:szCs w:val="24"/>
        </w:rPr>
      </w:pPr>
      <w:bookmarkStart w:id="4" w:name="_Toc215477929"/>
      <w:r w:rsidRPr="00616FE3">
        <w:rPr>
          <w:rFonts w:ascii="Arial" w:hAnsi="Arial" w:cs="Arial"/>
          <w:b/>
          <w:bCs/>
          <w:color w:val="000000" w:themeColor="text1"/>
          <w:sz w:val="24"/>
          <w:szCs w:val="24"/>
        </w:rPr>
        <w:t>Economical</w:t>
      </w:r>
      <w:bookmarkEnd w:id="4"/>
    </w:p>
    <w:p w14:paraId="6016BAE6"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The UK continues to experience a high period of inflation with ongoing hikes in consumer prices, energy costs remaining at significantly higher levels than normal and ongoing volatility in global supply chains. Data from (ONS, 2025b) confirm that inflation remains higher than pre</w:t>
      </w:r>
      <w:r w:rsidRPr="00616FE3">
        <w:rPr>
          <w:rFonts w:ascii="Cambria Math" w:hAnsi="Cambria Math" w:cs="Cambria Math"/>
          <w:color w:val="000000" w:themeColor="text1"/>
          <w:sz w:val="24"/>
          <w:szCs w:val="24"/>
        </w:rPr>
        <w:t>‑</w:t>
      </w:r>
      <w:r w:rsidRPr="00616FE3">
        <w:rPr>
          <w:rFonts w:ascii="Arial" w:hAnsi="Arial" w:cs="Arial"/>
          <w:color w:val="000000" w:themeColor="text1"/>
          <w:sz w:val="24"/>
          <w:szCs w:val="24"/>
        </w:rPr>
        <w:t xml:space="preserve">pandemic levels, pushing up living costs and wage demands. The Bank of England notes ongoing volatility in energy markets, creating sudden changes in costs for energy intensive sectors (Bank of England, 2025). Together, these have made for a tough trading environment for UK manufacturers, meaning that </w:t>
      </w:r>
      <w:r w:rsidRPr="00616FE3">
        <w:rPr>
          <w:rFonts w:ascii="Arial" w:hAnsi="Arial" w:cs="Arial"/>
          <w:color w:val="000000" w:themeColor="text1"/>
          <w:sz w:val="24"/>
          <w:szCs w:val="24"/>
        </w:rPr>
        <w:lastRenderedPageBreak/>
        <w:t>they now face higher costs, stronger expectations of pay rises and less ability to invest in the workforce (ONS, 2025c; Make UK, 2025).</w:t>
      </w:r>
    </w:p>
    <w:p w14:paraId="630CE856" w14:textId="39E349A6"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As a large manufacturer of tissue paper, Sofidel UK is especially affected by rising costs of gas and electricity, causing its operational costs to go up significantly</w:t>
      </w:r>
      <w:r w:rsidR="00A20039" w:rsidRPr="00616FE3">
        <w:rPr>
          <w:rFonts w:ascii="Arial" w:hAnsi="Arial" w:cs="Arial"/>
          <w:color w:val="000000" w:themeColor="text1"/>
          <w:sz w:val="24"/>
          <w:szCs w:val="24"/>
        </w:rPr>
        <w:t xml:space="preserve"> (Sofidel</w:t>
      </w:r>
      <w:r w:rsidR="002076AA" w:rsidRPr="00616FE3">
        <w:rPr>
          <w:rFonts w:ascii="Arial" w:hAnsi="Arial" w:cs="Arial"/>
          <w:color w:val="000000" w:themeColor="text1"/>
          <w:sz w:val="24"/>
          <w:szCs w:val="24"/>
        </w:rPr>
        <w:t>, 2024b)</w:t>
      </w:r>
      <w:r w:rsidRPr="00616FE3">
        <w:rPr>
          <w:rFonts w:ascii="Arial" w:hAnsi="Arial" w:cs="Arial"/>
          <w:color w:val="000000" w:themeColor="text1"/>
          <w:sz w:val="24"/>
          <w:szCs w:val="24"/>
        </w:rPr>
        <w:t xml:space="preserve">. The Bank of England explained that there is still instability in the energy markets, leading to a sharp fluctuation in the costs for industries that depend on energy (Bank of England, 2025). In 2024, the integrated report from Sofidel explained that one of the main challenges that the company faces is the continuous volatility of the energy markets and commodity prices, as well as the investments in hydrogen projects in the UK in Baglan and Leicester to prevent future risks (Sofidel, 2024b). </w:t>
      </w:r>
    </w:p>
    <w:p w14:paraId="4C306654" w14:textId="77777777" w:rsidR="000424C4"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The fluctuating prices of global pulp and the increased logistics costs also add to the squeeze in Sofidel's margins, which reduces its capability to spend more on workforce investments, with its EBITDA falling from 21.11% in 2023 to 17.85% in 2024, because of the increasing input costs impacting its profitability (Sofidel, 2024b). The high costs of inflation also make it expensive to recruit workers, as the shortage of manufacturing workers drives up wages in manufacturing (ONS, 2025a; Cockett, 2025). </w:t>
      </w:r>
    </w:p>
    <w:p w14:paraId="013A22D5" w14:textId="1D39C46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Similarly, Make UK sectoral analysis shows that manufacturers have squeezed margins and increased labour costs, impacting their ability to invest in workforce improvement (ONS, 2025b; ONS, 2025c; Make UK, 2025). </w:t>
      </w:r>
      <w:proofErr w:type="gramStart"/>
      <w:r w:rsidRPr="00616FE3">
        <w:rPr>
          <w:rFonts w:ascii="Arial" w:hAnsi="Arial" w:cs="Arial"/>
          <w:color w:val="000000" w:themeColor="text1"/>
          <w:sz w:val="24"/>
          <w:szCs w:val="24"/>
        </w:rPr>
        <w:t>All of</w:t>
      </w:r>
      <w:proofErr w:type="gramEnd"/>
      <w:r w:rsidRPr="00616FE3">
        <w:rPr>
          <w:rFonts w:ascii="Arial" w:hAnsi="Arial" w:cs="Arial"/>
          <w:color w:val="000000" w:themeColor="text1"/>
          <w:sz w:val="24"/>
          <w:szCs w:val="24"/>
        </w:rPr>
        <w:t xml:space="preserve"> these conditions show that the economic challenges make it harder for Sofidel UK to balance the high prices of inputs and sustaining initiatives for the workers.</w:t>
      </w:r>
    </w:p>
    <w:p w14:paraId="2E56F4F6" w14:textId="3CF7C776"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The Make Work Pay agenda supports the growing expectation among the workforce for fairer pay and stable work, particularly for sectors dealing with inflation (DBT, 2024a). The hike in cost of living increases the likelihood of employees demanding wage hikes that match inflation, in turn increasing the financial burden on the employer (ONS, 2025b). The latest ONS average weekly earnings data showcases that annual regular pay rose by 4.6% in July-September 2025, thereby enforcing a growing expectation among workers that their pay should further increase alongside inflation</w:t>
      </w:r>
      <w:r w:rsidR="005334F7" w:rsidRPr="00616FE3">
        <w:rPr>
          <w:rFonts w:ascii="Arial" w:hAnsi="Arial" w:cs="Arial"/>
          <w:color w:val="000000" w:themeColor="text1"/>
          <w:sz w:val="24"/>
          <w:szCs w:val="24"/>
        </w:rPr>
        <w:t xml:space="preserve"> (ONS, 2025d)</w:t>
      </w:r>
      <w:r w:rsidRPr="00616FE3">
        <w:rPr>
          <w:rFonts w:ascii="Arial" w:hAnsi="Arial" w:cs="Arial"/>
          <w:color w:val="000000" w:themeColor="text1"/>
          <w:sz w:val="24"/>
          <w:szCs w:val="24"/>
        </w:rPr>
        <w:t>. Meeting these expectations is a challenge for Sofidel as the operating costs such as energy and materials are also on the rise simultaneously (Sofidel, 2024</w:t>
      </w:r>
      <w:r w:rsidR="007B1D0E" w:rsidRPr="00616FE3">
        <w:rPr>
          <w:rFonts w:ascii="Arial" w:hAnsi="Arial" w:cs="Arial"/>
          <w:color w:val="000000" w:themeColor="text1"/>
          <w:sz w:val="24"/>
          <w:szCs w:val="24"/>
        </w:rPr>
        <w:t>d</w:t>
      </w:r>
      <w:r w:rsidRPr="00616FE3">
        <w:rPr>
          <w:rFonts w:ascii="Arial" w:hAnsi="Arial" w:cs="Arial"/>
          <w:color w:val="000000" w:themeColor="text1"/>
          <w:sz w:val="24"/>
          <w:szCs w:val="24"/>
        </w:rPr>
        <w:t>). This implies that inflation not only affects the operational decisions but also makes it challenging for Sofidel to make its Make Work Pay agenda more realistic as rising energy and raw material costs continue to drive pressure on the margins (ONS, 2025b; Sofidel, 2024b) while the government policy supports the perception of fairer pay and stable work (DBT, 2024a).</w:t>
      </w:r>
    </w:p>
    <w:p w14:paraId="36F41F57" w14:textId="77777777" w:rsidR="000358AC"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These economic restrictions also affect how much the company can afford to further develop its workforce, as operational costs continue to rise it means that investment needs to be carefully managed and initiatives, such as pay progression, internal training, apprenticeships and employee benefits need to be balanced against the financial reality of reduced margins (Sofidel, 2024b; CIPD, 2025c). It is important to note that while Sofidel strives to be a competitive employer, inflation could limit its ability to match wage growth in the broader labour market, particularly for jobs in technical and engineering where the demand for staff is already high (ONS, 2025c; IET, 2025). Although the organisation would prefer to continue to pay competitively, </w:t>
      </w:r>
      <w:r w:rsidRPr="00616FE3">
        <w:rPr>
          <w:rFonts w:ascii="Arial" w:hAnsi="Arial" w:cs="Arial"/>
          <w:color w:val="000000" w:themeColor="text1"/>
          <w:sz w:val="24"/>
          <w:szCs w:val="24"/>
        </w:rPr>
        <w:lastRenderedPageBreak/>
        <w:t xml:space="preserve">with energy and raw material prices often volatile, it risks losing talent to other organisations that may face fewer cost pressures or have sites in other regions with lower energy prices (Sofidel, 2024b). </w:t>
      </w:r>
    </w:p>
    <w:p w14:paraId="590041F5" w14:textId="089AD543"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Further into the future, continued inflation may progressively limit how much the organisation can afford to invest in its people, so improvements in efficiency such as conserving energy and selective automation will be essential to protecting future capability and helping to achieve the Make Work Pay aim of delivering employment which is not only of good quality but also financially secure (Sofidel, 2024b; DBT, 2024a).</w:t>
      </w:r>
    </w:p>
    <w:p w14:paraId="79EF2902" w14:textId="77777777" w:rsidR="00F7299A" w:rsidRPr="00616FE3" w:rsidRDefault="00F7299A" w:rsidP="00F7299A">
      <w:pPr>
        <w:pStyle w:val="Heading1"/>
        <w:rPr>
          <w:rFonts w:ascii="Arial" w:hAnsi="Arial" w:cs="Arial"/>
          <w:b/>
          <w:bCs/>
          <w:color w:val="000000" w:themeColor="text1"/>
          <w:sz w:val="24"/>
          <w:szCs w:val="24"/>
        </w:rPr>
      </w:pPr>
      <w:bookmarkStart w:id="5" w:name="_Toc215477930"/>
      <w:r w:rsidRPr="00616FE3">
        <w:rPr>
          <w:rFonts w:ascii="Arial" w:hAnsi="Arial" w:cs="Arial"/>
          <w:b/>
          <w:bCs/>
          <w:color w:val="000000" w:themeColor="text1"/>
          <w:sz w:val="24"/>
          <w:szCs w:val="24"/>
        </w:rPr>
        <w:t>Conclusion</w:t>
      </w:r>
      <w:bookmarkEnd w:id="5"/>
    </w:p>
    <w:p w14:paraId="4D1CF135" w14:textId="77777777" w:rsidR="000358AC"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Overall, the analysis shows that Sofidel UK is subject to a progressively more difficult external environment, in terms of political, legal and economic pressures. </w:t>
      </w:r>
    </w:p>
    <w:p w14:paraId="67052184" w14:textId="4E6328B1"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Firstly, changes on the political landscape around the Industrial Strategy and Make Work Pay agenda, place a greater emphasis on the need for employers to invest in skills, job quality and longer-term workforce developments</w:t>
      </w:r>
      <w:r w:rsidRPr="00616FE3">
        <w:rPr>
          <w:rFonts w:ascii="Arial" w:hAnsi="Arial" w:cs="Arial"/>
          <w:sz w:val="24"/>
          <w:szCs w:val="24"/>
        </w:rPr>
        <w:t xml:space="preserve"> (DBT, 2025c;</w:t>
      </w:r>
      <w:r w:rsidRPr="00616FE3">
        <w:rPr>
          <w:rFonts w:ascii="Arial" w:hAnsi="Arial" w:cs="Arial"/>
          <w:color w:val="000000" w:themeColor="text1"/>
          <w:sz w:val="24"/>
          <w:szCs w:val="24"/>
        </w:rPr>
        <w:t xml:space="preserve"> DBT, 2024a). However, policy instability and a lack of sufficient national training capacity, undermines their effectiveness, placing more responsibility on businesses to meet ongoing skills shortages. </w:t>
      </w:r>
    </w:p>
    <w:p w14:paraId="4AE3C574"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Similarly, the introduction of day-one rights to unfair dismissal increases expectations on fair treatment and job security, impacting Sofidel's imperative to build management capacity, documentation and approaches to performance management (DBT, 2024a). </w:t>
      </w:r>
    </w:p>
    <w:p w14:paraId="3F0D71E9" w14:textId="77777777" w:rsidR="000358AC"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Simultaneously, ongoing inflationary pressures and increasing operational costs continue to limit the organisation's ability to invest in pay, training and development to the extent it would like (Sofidel, 2024b). The combination of these pressures indicates that Sofidel needs to be far more proactive in its approach to workforce strategies if it is to remain competitive, resilient and aligned with the principles of Make Work Pay. </w:t>
      </w:r>
    </w:p>
    <w:p w14:paraId="1F1AE0B0" w14:textId="6A5E4F19"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The subsequent recommendations therefore highlight key priorities for supporting organisational sustainability and improved employment outcomes over the longer term.</w:t>
      </w:r>
    </w:p>
    <w:p w14:paraId="652A88D7" w14:textId="77777777" w:rsidR="00F7299A" w:rsidRPr="00616FE3" w:rsidRDefault="00F7299A" w:rsidP="00F7299A">
      <w:pPr>
        <w:pStyle w:val="Heading1"/>
        <w:rPr>
          <w:rFonts w:ascii="Arial" w:hAnsi="Arial" w:cs="Arial"/>
          <w:b/>
          <w:bCs/>
          <w:color w:val="000000" w:themeColor="text1"/>
          <w:sz w:val="24"/>
          <w:szCs w:val="24"/>
        </w:rPr>
      </w:pPr>
      <w:bookmarkStart w:id="6" w:name="_Toc215477931"/>
      <w:r w:rsidRPr="00616FE3">
        <w:rPr>
          <w:rFonts w:ascii="Arial" w:hAnsi="Arial" w:cs="Arial"/>
          <w:b/>
          <w:bCs/>
          <w:color w:val="000000" w:themeColor="text1"/>
          <w:sz w:val="24"/>
          <w:szCs w:val="24"/>
        </w:rPr>
        <w:t>Recommendations</w:t>
      </w:r>
      <w:bookmarkEnd w:id="6"/>
    </w:p>
    <w:p w14:paraId="2BD09632"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To support Sofidel UK's ability to attract, retain and develop its workforce in the interests of the Make Work Pay agenda, this section will outline three recommendations for consideration, informed by the Political, Legal and Economic analysis (DBT, 2024a). These recommendations reflect some of the immediate priorities but also look ahead to the longer term. Indicative costings are provided, where possible, for planning purposes.</w:t>
      </w:r>
    </w:p>
    <w:p w14:paraId="7C1EB9D4" w14:textId="77777777" w:rsidR="00F7299A" w:rsidRPr="00616FE3" w:rsidRDefault="00F7299A" w:rsidP="00F7299A">
      <w:pPr>
        <w:pStyle w:val="ListParagraph"/>
        <w:numPr>
          <w:ilvl w:val="0"/>
          <w:numId w:val="1"/>
        </w:numPr>
        <w:rPr>
          <w:rFonts w:ascii="Arial" w:hAnsi="Arial" w:cs="Arial"/>
          <w:b/>
          <w:bCs/>
          <w:sz w:val="24"/>
          <w:szCs w:val="24"/>
        </w:rPr>
      </w:pPr>
      <w:r w:rsidRPr="00616FE3">
        <w:rPr>
          <w:rFonts w:ascii="Arial" w:hAnsi="Arial" w:cs="Arial"/>
          <w:b/>
          <w:bCs/>
          <w:sz w:val="24"/>
          <w:szCs w:val="24"/>
        </w:rPr>
        <w:t xml:space="preserve">Manager Training </w:t>
      </w:r>
    </w:p>
    <w:p w14:paraId="41CBE6A9" w14:textId="77777777" w:rsidR="00F7299A" w:rsidRPr="00616FE3" w:rsidRDefault="00F7299A" w:rsidP="00F7299A">
      <w:pPr>
        <w:rPr>
          <w:rFonts w:ascii="Arial" w:hAnsi="Arial" w:cs="Arial"/>
          <w:sz w:val="24"/>
          <w:szCs w:val="24"/>
        </w:rPr>
      </w:pPr>
      <w:r w:rsidRPr="00616FE3">
        <w:rPr>
          <w:rFonts w:ascii="Arial" w:hAnsi="Arial" w:cs="Arial"/>
          <w:b/>
          <w:bCs/>
          <w:sz w:val="24"/>
          <w:szCs w:val="24"/>
        </w:rPr>
        <w:t>Priority:</w:t>
      </w:r>
      <w:r w:rsidRPr="00616FE3">
        <w:rPr>
          <w:rFonts w:ascii="Arial" w:hAnsi="Arial" w:cs="Arial"/>
          <w:sz w:val="24"/>
          <w:szCs w:val="24"/>
        </w:rPr>
        <w:t xml:space="preserve"> Immediate (0-6 months)</w:t>
      </w:r>
    </w:p>
    <w:p w14:paraId="465CC9EB"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lastRenderedPageBreak/>
        <w:t xml:space="preserve">The introduction of a day one unfair dismissal right will mean that the earliest part of the employment journey is the highest area of legal and financial risk for Sofidel (DBT, 2024a; CIPD, 2024b). Internal data shows that 75% of dismissals occur within the first 12 months (Sofidel, 2024a). Many of these will happen during the period most likely to attract a tribunal claim once the reform takes effect, so improving probation and onboarding is crucial to making sure Sofidel's decisions are fair, consistent and defensible. </w:t>
      </w:r>
    </w:p>
    <w:p w14:paraId="70BB251E"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Sofidel needs to develop and embed a consistent probation framework that sets out expectations, has regular checkpoints and requires documentation. All managers must receive mandatory training to make sure they understand the new legal obligations, can manage capability concerns fairly and can conduct robust probation reviews. This training would reinforce good practice principles and support the Make Work Pay ambition of transparent and high-quality employment from day one (DBT,2024a). </w:t>
      </w:r>
    </w:p>
    <w:p w14:paraId="568BED8D"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 xml:space="preserve">Moreover, every dismissal decision in the early stages should be subjected to a compulsory HR oversight to ensure legal compliance and equal treatment of the staff members (CIPD, 2025b). Reinforcing these processes will decrease the risk of tribunal claims, increase retention rates of new employees and enhance Sofidel's reputation as a fair and responsible employer in a highly competitive labour market (Pinsent Masons, 2025). </w:t>
      </w:r>
    </w:p>
    <w:p w14:paraId="51252B97" w14:textId="77777777" w:rsidR="00F7299A" w:rsidRPr="00616FE3" w:rsidRDefault="00F7299A" w:rsidP="00F7299A">
      <w:pPr>
        <w:rPr>
          <w:rFonts w:ascii="Arial" w:hAnsi="Arial" w:cs="Arial"/>
          <w:b/>
          <w:bCs/>
          <w:color w:val="000000" w:themeColor="text1"/>
          <w:sz w:val="24"/>
          <w:szCs w:val="24"/>
        </w:rPr>
      </w:pPr>
      <w:r w:rsidRPr="00616FE3">
        <w:rPr>
          <w:rFonts w:ascii="Arial" w:hAnsi="Arial" w:cs="Arial"/>
          <w:b/>
          <w:bCs/>
          <w:color w:val="000000" w:themeColor="text1"/>
          <w:sz w:val="24"/>
          <w:szCs w:val="24"/>
        </w:rPr>
        <w:t>Costs:</w:t>
      </w:r>
    </w:p>
    <w:p w14:paraId="1A0612E1" w14:textId="77777777" w:rsidR="00F7299A" w:rsidRPr="00616FE3" w:rsidRDefault="00F7299A" w:rsidP="00F7299A">
      <w:pPr>
        <w:pStyle w:val="ListParagraph"/>
        <w:numPr>
          <w:ilvl w:val="0"/>
          <w:numId w:val="3"/>
        </w:numPr>
        <w:rPr>
          <w:rFonts w:ascii="Arial" w:hAnsi="Arial" w:cs="Arial"/>
          <w:sz w:val="24"/>
          <w:szCs w:val="24"/>
        </w:rPr>
      </w:pPr>
      <w:r w:rsidRPr="00616FE3">
        <w:rPr>
          <w:rFonts w:ascii="Arial" w:hAnsi="Arial" w:cs="Arial"/>
          <w:sz w:val="24"/>
          <w:szCs w:val="24"/>
        </w:rPr>
        <w:t>Manager training sessions: £2,000 (CIPD, 2025d)</w:t>
      </w:r>
    </w:p>
    <w:p w14:paraId="760EFF1A" w14:textId="77777777" w:rsidR="00F7299A" w:rsidRPr="00616FE3" w:rsidRDefault="00F7299A" w:rsidP="00F7299A">
      <w:pPr>
        <w:pStyle w:val="ListParagraph"/>
        <w:numPr>
          <w:ilvl w:val="0"/>
          <w:numId w:val="3"/>
        </w:numPr>
        <w:rPr>
          <w:rFonts w:ascii="Arial" w:hAnsi="Arial" w:cs="Arial"/>
          <w:sz w:val="24"/>
          <w:szCs w:val="24"/>
        </w:rPr>
      </w:pPr>
      <w:r w:rsidRPr="00616FE3">
        <w:rPr>
          <w:rFonts w:ascii="Arial" w:hAnsi="Arial" w:cs="Arial"/>
          <w:sz w:val="24"/>
          <w:szCs w:val="24"/>
        </w:rPr>
        <w:t>Manager time to attend training: £2,000 (Sofidel, 2025b)</w:t>
      </w:r>
    </w:p>
    <w:p w14:paraId="385D7F95" w14:textId="77777777" w:rsidR="00F7299A" w:rsidRPr="00616FE3" w:rsidRDefault="00F7299A" w:rsidP="00F7299A">
      <w:pPr>
        <w:pStyle w:val="ListParagraph"/>
        <w:numPr>
          <w:ilvl w:val="0"/>
          <w:numId w:val="3"/>
        </w:numPr>
        <w:rPr>
          <w:rFonts w:ascii="Arial" w:hAnsi="Arial" w:cs="Arial"/>
          <w:sz w:val="24"/>
          <w:szCs w:val="24"/>
        </w:rPr>
      </w:pPr>
      <w:r w:rsidRPr="00616FE3">
        <w:rPr>
          <w:rFonts w:ascii="Arial" w:hAnsi="Arial" w:cs="Arial"/>
          <w:sz w:val="24"/>
          <w:szCs w:val="24"/>
        </w:rPr>
        <w:t>Materials/admin: £300 (Sofidel, 2025c)</w:t>
      </w:r>
    </w:p>
    <w:p w14:paraId="75F449C6" w14:textId="5B03FAA1" w:rsidR="00F7299A" w:rsidRPr="00616FE3" w:rsidRDefault="00F7299A" w:rsidP="00F7299A">
      <w:pPr>
        <w:ind w:left="360"/>
        <w:rPr>
          <w:rFonts w:ascii="Arial" w:hAnsi="Arial" w:cs="Arial"/>
          <w:color w:val="000000" w:themeColor="text1"/>
          <w:sz w:val="24"/>
          <w:szCs w:val="24"/>
        </w:rPr>
      </w:pPr>
      <w:r w:rsidRPr="00616FE3">
        <w:rPr>
          <w:rFonts w:ascii="Arial" w:hAnsi="Arial" w:cs="Arial"/>
          <w:color w:val="000000" w:themeColor="text1"/>
          <w:sz w:val="24"/>
          <w:szCs w:val="24"/>
        </w:rPr>
        <w:t>Total (Year 1): £</w:t>
      </w:r>
      <w:r w:rsidR="00D22407">
        <w:rPr>
          <w:rFonts w:ascii="Arial" w:hAnsi="Arial" w:cs="Arial"/>
          <w:color w:val="000000" w:themeColor="text1"/>
          <w:sz w:val="24"/>
          <w:szCs w:val="24"/>
        </w:rPr>
        <w:t>4</w:t>
      </w:r>
      <w:r w:rsidRPr="00616FE3">
        <w:rPr>
          <w:rFonts w:ascii="Arial" w:hAnsi="Arial" w:cs="Arial"/>
          <w:color w:val="000000" w:themeColor="text1"/>
          <w:sz w:val="24"/>
          <w:szCs w:val="24"/>
        </w:rPr>
        <w:t>,300</w:t>
      </w:r>
    </w:p>
    <w:p w14:paraId="37BF182F" w14:textId="77777777" w:rsidR="00F7299A" w:rsidRPr="00616FE3" w:rsidRDefault="00F7299A" w:rsidP="00F7299A">
      <w:pPr>
        <w:pStyle w:val="ListParagraph"/>
        <w:numPr>
          <w:ilvl w:val="0"/>
          <w:numId w:val="1"/>
        </w:numPr>
        <w:rPr>
          <w:rFonts w:ascii="Arial" w:hAnsi="Arial" w:cs="Arial"/>
          <w:b/>
          <w:bCs/>
          <w:sz w:val="24"/>
          <w:szCs w:val="24"/>
        </w:rPr>
      </w:pPr>
      <w:r w:rsidRPr="00616FE3">
        <w:rPr>
          <w:rFonts w:ascii="Arial" w:hAnsi="Arial" w:cs="Arial"/>
          <w:b/>
          <w:bCs/>
          <w:sz w:val="24"/>
          <w:szCs w:val="24"/>
        </w:rPr>
        <w:t>Internal Apprenticeship Pathway</w:t>
      </w:r>
    </w:p>
    <w:p w14:paraId="390F823D" w14:textId="77777777" w:rsidR="00F7299A" w:rsidRPr="00616FE3" w:rsidRDefault="00F7299A" w:rsidP="00F7299A">
      <w:pPr>
        <w:rPr>
          <w:rFonts w:ascii="Arial" w:hAnsi="Arial" w:cs="Arial"/>
          <w:sz w:val="24"/>
          <w:szCs w:val="24"/>
        </w:rPr>
      </w:pPr>
      <w:r w:rsidRPr="00616FE3">
        <w:rPr>
          <w:rFonts w:ascii="Arial" w:hAnsi="Arial" w:cs="Arial"/>
          <w:b/>
          <w:bCs/>
          <w:sz w:val="24"/>
          <w:szCs w:val="24"/>
        </w:rPr>
        <w:t>Priority:</w:t>
      </w:r>
      <w:r w:rsidRPr="00616FE3">
        <w:rPr>
          <w:rFonts w:ascii="Arial" w:hAnsi="Arial" w:cs="Arial"/>
          <w:sz w:val="24"/>
          <w:szCs w:val="24"/>
        </w:rPr>
        <w:t xml:space="preserve"> Medim-term (6-12 months)</w:t>
      </w:r>
    </w:p>
    <w:p w14:paraId="23043CB9"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color w:val="000000" w:themeColor="text1"/>
          <w:sz w:val="24"/>
          <w:szCs w:val="24"/>
        </w:rPr>
        <w:t>One factor contributing to this lack of scale is under-funded colleges and slow response times, which have hindered the ability to create a local talent pipeline (Association of Colleges, 2024). The LSIPs do not have the scale to create the technical skills that employers need and this has proved difficult. One area of concern is whether Sofidel can fill all five apprenticeship places they have budgeted to fill in 2025 (Sofidel, 2025a). To overcome this weakness, it is recommended that Sofidel explore options to scale the apprenticeship offer by collaborating with high-performing regional providers and create an internal pathway.</w:t>
      </w:r>
    </w:p>
    <w:p w14:paraId="749A4185" w14:textId="77777777" w:rsidR="00F7299A" w:rsidRPr="00616FE3" w:rsidRDefault="00F7299A" w:rsidP="00F7299A">
      <w:pPr>
        <w:jc w:val="both"/>
        <w:rPr>
          <w:rFonts w:ascii="Arial" w:hAnsi="Arial" w:cs="Arial"/>
          <w:sz w:val="24"/>
          <w:szCs w:val="24"/>
        </w:rPr>
      </w:pPr>
      <w:r w:rsidRPr="00616FE3">
        <w:rPr>
          <w:rFonts w:ascii="Arial" w:hAnsi="Arial" w:cs="Arial"/>
          <w:color w:val="000000" w:themeColor="text1"/>
          <w:sz w:val="24"/>
          <w:szCs w:val="24"/>
        </w:rPr>
        <w:t xml:space="preserve">Siemens UK has used an internal pathway for its automation and process engineering graduate and apprenticeship programs. These programmes </w:t>
      </w:r>
      <w:r w:rsidRPr="00616FE3">
        <w:rPr>
          <w:rFonts w:ascii="Arial" w:hAnsi="Arial" w:cs="Arial"/>
          <w:sz w:val="24"/>
          <w:szCs w:val="24"/>
        </w:rPr>
        <w:t xml:space="preserve">have allowed Siemens to build a strong pipeline of talented employees and enhanced its reputation as a great manufacturing employer (Siemens, 2025). The success of Siemens demonstrates the logic of Human Capital Theory in which skills and knowledge are viewed as a form of </w:t>
      </w:r>
      <w:r w:rsidRPr="00616FE3">
        <w:rPr>
          <w:rFonts w:ascii="Arial" w:hAnsi="Arial" w:cs="Arial"/>
          <w:sz w:val="24"/>
          <w:szCs w:val="24"/>
        </w:rPr>
        <w:lastRenderedPageBreak/>
        <w:t xml:space="preserve">capital, created through deliberate investment (Schultz, 1961). Critiques of this theory, however, are that investment alone does not necessarily resolve skills shortages. </w:t>
      </w:r>
    </w:p>
    <w:p w14:paraId="5CD093FC" w14:textId="77777777" w:rsidR="00F7299A" w:rsidRPr="00616FE3" w:rsidRDefault="00F7299A" w:rsidP="00F7299A">
      <w:pPr>
        <w:jc w:val="both"/>
        <w:rPr>
          <w:rFonts w:ascii="Arial" w:hAnsi="Arial" w:cs="Arial"/>
          <w:color w:val="000000" w:themeColor="text1"/>
          <w:sz w:val="24"/>
          <w:szCs w:val="24"/>
        </w:rPr>
      </w:pPr>
      <w:r w:rsidRPr="00616FE3">
        <w:rPr>
          <w:rFonts w:ascii="Arial" w:hAnsi="Arial" w:cs="Arial"/>
          <w:sz w:val="24"/>
          <w:szCs w:val="24"/>
        </w:rPr>
        <w:t xml:space="preserve">For Sofidel, its internal pathway will depend on whether apprenticeships are scaled and aligned to technical needs in maintenance, automation and process control. This approach would directly support the Industrial Strategy and the Make Work Pay mission, by investing in long-term skills and raising the capability of employees, in support of a higher-skilled, better-paid workforce. It will also boost workforce resilience, reduce the dependency on external markets and reduce the recruitment costs associated with leaving technical vacancies unfulfilled for many months. </w:t>
      </w:r>
      <w:r w:rsidRPr="00616FE3">
        <w:rPr>
          <w:rFonts w:ascii="Arial" w:hAnsi="Arial" w:cs="Arial"/>
          <w:color w:val="000000" w:themeColor="text1"/>
          <w:sz w:val="24"/>
          <w:szCs w:val="24"/>
        </w:rPr>
        <w:t>Lastly, recent studies have shown increased retention and productivity among employers who have focused on funding for apprenticeships in a downturn, particularly in manufacturing businesses with an engineering focus (Make UK, 2025; Hogarth and McCartney, 2024).</w:t>
      </w:r>
    </w:p>
    <w:p w14:paraId="48CA1060" w14:textId="77777777" w:rsidR="00F7299A" w:rsidRPr="00616FE3" w:rsidRDefault="00F7299A" w:rsidP="00F7299A">
      <w:pPr>
        <w:jc w:val="both"/>
        <w:rPr>
          <w:rFonts w:ascii="Arial" w:hAnsi="Arial" w:cs="Arial"/>
          <w:b/>
          <w:bCs/>
          <w:color w:val="000000" w:themeColor="text1"/>
          <w:sz w:val="24"/>
          <w:szCs w:val="24"/>
        </w:rPr>
      </w:pPr>
      <w:r w:rsidRPr="00616FE3">
        <w:rPr>
          <w:rFonts w:ascii="Arial" w:hAnsi="Arial" w:cs="Arial"/>
          <w:color w:val="000000" w:themeColor="text1"/>
          <w:sz w:val="24"/>
          <w:szCs w:val="24"/>
        </w:rPr>
        <w:t>The costs of training an apprentice are covered by the levy and only the cost of salary and support is covered by Sofidel (UK Government, 2025).</w:t>
      </w:r>
    </w:p>
    <w:p w14:paraId="0AE306F3" w14:textId="77777777" w:rsidR="00F7299A" w:rsidRPr="00616FE3" w:rsidRDefault="00F7299A" w:rsidP="00F7299A">
      <w:pPr>
        <w:rPr>
          <w:rFonts w:ascii="Arial" w:hAnsi="Arial" w:cs="Arial"/>
          <w:b/>
          <w:bCs/>
          <w:sz w:val="24"/>
          <w:szCs w:val="24"/>
        </w:rPr>
      </w:pPr>
      <w:r w:rsidRPr="00616FE3">
        <w:rPr>
          <w:rFonts w:ascii="Arial" w:hAnsi="Arial" w:cs="Arial"/>
          <w:b/>
          <w:bCs/>
          <w:sz w:val="24"/>
          <w:szCs w:val="24"/>
        </w:rPr>
        <w:t>Costs</w:t>
      </w:r>
    </w:p>
    <w:p w14:paraId="428E441C" w14:textId="77777777" w:rsidR="00F7299A" w:rsidRPr="00616FE3" w:rsidRDefault="00F7299A" w:rsidP="00F7299A">
      <w:pPr>
        <w:pStyle w:val="ListParagraph"/>
        <w:numPr>
          <w:ilvl w:val="0"/>
          <w:numId w:val="4"/>
        </w:numPr>
        <w:rPr>
          <w:rFonts w:ascii="Arial" w:hAnsi="Arial" w:cs="Arial"/>
          <w:sz w:val="24"/>
          <w:szCs w:val="24"/>
        </w:rPr>
      </w:pPr>
      <w:r w:rsidRPr="00616FE3">
        <w:rPr>
          <w:rFonts w:ascii="Arial" w:hAnsi="Arial" w:cs="Arial"/>
          <w:sz w:val="24"/>
          <w:szCs w:val="24"/>
        </w:rPr>
        <w:t>Manager and mentor training: £5,000 (CIPD, 2025d)</w:t>
      </w:r>
    </w:p>
    <w:p w14:paraId="66D7C9F9" w14:textId="77777777" w:rsidR="00F7299A" w:rsidRPr="00616FE3" w:rsidRDefault="00F7299A" w:rsidP="00F7299A">
      <w:pPr>
        <w:pStyle w:val="ListParagraph"/>
        <w:numPr>
          <w:ilvl w:val="0"/>
          <w:numId w:val="4"/>
        </w:numPr>
        <w:rPr>
          <w:rFonts w:ascii="Arial" w:hAnsi="Arial" w:cs="Arial"/>
          <w:sz w:val="24"/>
          <w:szCs w:val="24"/>
        </w:rPr>
      </w:pPr>
      <w:r w:rsidRPr="00616FE3">
        <w:rPr>
          <w:rFonts w:ascii="Arial" w:hAnsi="Arial" w:cs="Arial"/>
          <w:sz w:val="24"/>
          <w:szCs w:val="24"/>
        </w:rPr>
        <w:t>Onboarding and internal pathway materials: £1,200 (Sofidel, 2025d)</w:t>
      </w:r>
    </w:p>
    <w:p w14:paraId="7F6C538F" w14:textId="77777777" w:rsidR="00F7299A" w:rsidRPr="00616FE3" w:rsidRDefault="00F7299A" w:rsidP="00F7299A">
      <w:pPr>
        <w:pStyle w:val="ListParagraph"/>
        <w:numPr>
          <w:ilvl w:val="0"/>
          <w:numId w:val="4"/>
        </w:numPr>
        <w:rPr>
          <w:rFonts w:ascii="Arial" w:hAnsi="Arial" w:cs="Arial"/>
          <w:sz w:val="24"/>
          <w:szCs w:val="24"/>
        </w:rPr>
      </w:pPr>
      <w:r w:rsidRPr="00616FE3">
        <w:rPr>
          <w:rFonts w:ascii="Arial" w:hAnsi="Arial" w:cs="Arial"/>
          <w:sz w:val="24"/>
          <w:szCs w:val="24"/>
        </w:rPr>
        <w:t>HR oversight and administration: £1,200 (Sofidel, 2025e)</w:t>
      </w:r>
    </w:p>
    <w:p w14:paraId="79CE89AF" w14:textId="77777777" w:rsidR="00F7299A" w:rsidRPr="00616FE3" w:rsidRDefault="00F7299A" w:rsidP="00F7299A">
      <w:pPr>
        <w:pStyle w:val="ListParagraph"/>
        <w:numPr>
          <w:ilvl w:val="0"/>
          <w:numId w:val="4"/>
        </w:numPr>
        <w:rPr>
          <w:rFonts w:ascii="Arial" w:hAnsi="Arial" w:cs="Arial"/>
          <w:sz w:val="24"/>
          <w:szCs w:val="24"/>
        </w:rPr>
      </w:pPr>
      <w:r w:rsidRPr="00616FE3">
        <w:rPr>
          <w:rFonts w:ascii="Arial" w:hAnsi="Arial" w:cs="Arial"/>
          <w:sz w:val="24"/>
          <w:szCs w:val="24"/>
        </w:rPr>
        <w:t>Apprentice salary: £22,000 (Sofidel, 2025f)</w:t>
      </w:r>
    </w:p>
    <w:p w14:paraId="0384FEC8" w14:textId="77777777" w:rsidR="00F7299A" w:rsidRPr="00616FE3" w:rsidRDefault="00F7299A" w:rsidP="00F7299A">
      <w:pPr>
        <w:ind w:left="360"/>
        <w:rPr>
          <w:rFonts w:ascii="Arial" w:hAnsi="Arial" w:cs="Arial"/>
          <w:color w:val="000000" w:themeColor="text1"/>
          <w:sz w:val="24"/>
          <w:szCs w:val="24"/>
        </w:rPr>
      </w:pPr>
      <w:r w:rsidRPr="00616FE3">
        <w:rPr>
          <w:rFonts w:ascii="Arial" w:hAnsi="Arial" w:cs="Arial"/>
          <w:color w:val="000000" w:themeColor="text1"/>
          <w:sz w:val="24"/>
          <w:szCs w:val="24"/>
        </w:rPr>
        <w:t>Total (Year 1): £29,400</w:t>
      </w:r>
    </w:p>
    <w:p w14:paraId="202EEA0B" w14:textId="77777777" w:rsidR="00F7299A" w:rsidRPr="00616FE3" w:rsidRDefault="00F7299A" w:rsidP="00F7299A">
      <w:pPr>
        <w:pStyle w:val="ListParagraph"/>
        <w:numPr>
          <w:ilvl w:val="0"/>
          <w:numId w:val="1"/>
        </w:numPr>
        <w:rPr>
          <w:rFonts w:ascii="Arial" w:hAnsi="Arial" w:cs="Arial"/>
          <w:b/>
          <w:bCs/>
          <w:sz w:val="24"/>
          <w:szCs w:val="24"/>
        </w:rPr>
      </w:pPr>
      <w:r w:rsidRPr="00616FE3">
        <w:rPr>
          <w:rFonts w:ascii="Arial" w:hAnsi="Arial" w:cs="Arial"/>
          <w:b/>
          <w:bCs/>
          <w:sz w:val="24"/>
          <w:szCs w:val="24"/>
        </w:rPr>
        <w:t xml:space="preserve">Monitoring Energy Consumption </w:t>
      </w:r>
    </w:p>
    <w:p w14:paraId="42D561FE" w14:textId="77777777" w:rsidR="00F7299A" w:rsidRPr="00616FE3" w:rsidRDefault="00F7299A" w:rsidP="00F7299A">
      <w:pPr>
        <w:rPr>
          <w:rFonts w:ascii="Arial" w:hAnsi="Arial" w:cs="Arial"/>
          <w:sz w:val="24"/>
          <w:szCs w:val="24"/>
        </w:rPr>
      </w:pPr>
      <w:r w:rsidRPr="00616FE3">
        <w:rPr>
          <w:rFonts w:ascii="Arial" w:hAnsi="Arial" w:cs="Arial"/>
          <w:b/>
          <w:bCs/>
          <w:sz w:val="24"/>
          <w:szCs w:val="24"/>
        </w:rPr>
        <w:t>Priority:</w:t>
      </w:r>
      <w:r w:rsidRPr="00616FE3">
        <w:rPr>
          <w:rFonts w:ascii="Arial" w:hAnsi="Arial" w:cs="Arial"/>
          <w:sz w:val="24"/>
          <w:szCs w:val="24"/>
        </w:rPr>
        <w:t xml:space="preserve"> Medim-term (6-12 months)</w:t>
      </w:r>
    </w:p>
    <w:p w14:paraId="5B85F2A5" w14:textId="77777777" w:rsidR="009D01E1" w:rsidRPr="00616FE3" w:rsidRDefault="00F7299A" w:rsidP="00F7299A">
      <w:pPr>
        <w:jc w:val="both"/>
        <w:rPr>
          <w:rFonts w:ascii="Arial" w:hAnsi="Arial" w:cs="Arial"/>
          <w:sz w:val="24"/>
          <w:szCs w:val="24"/>
        </w:rPr>
      </w:pPr>
      <w:r w:rsidRPr="00616FE3">
        <w:rPr>
          <w:rFonts w:ascii="Arial" w:hAnsi="Arial" w:cs="Arial"/>
          <w:sz w:val="24"/>
          <w:szCs w:val="24"/>
        </w:rPr>
        <w:t xml:space="preserve">To maintain investments in the workforce during periods of economic volatility, Sofidel should implement a targeted energy-efficiency programme focused on monitoring of energy consumption in high-usage areas. This is already implemented through energy monitoring systems for all Sofidel's plants, as stated in its Integrated Report, so this recommendation just aims at further increasing the granularity of monitoring through additional sub-metering in high-usage zones such as production plants, to integrate existing monitoring with an introductory analytics dashboard and to assign a limited staff time to bring the output of this monitoring into Sofidel's existing sustainability reporting (Sofidel, 2024b). </w:t>
      </w:r>
    </w:p>
    <w:p w14:paraId="0F1D1761" w14:textId="4687BC72" w:rsidR="00F7299A" w:rsidRPr="00616FE3" w:rsidRDefault="00F7299A" w:rsidP="00F7299A">
      <w:pPr>
        <w:jc w:val="both"/>
        <w:rPr>
          <w:rFonts w:ascii="Arial" w:hAnsi="Arial" w:cs="Arial"/>
          <w:sz w:val="24"/>
          <w:szCs w:val="24"/>
        </w:rPr>
      </w:pPr>
      <w:r w:rsidRPr="00616FE3">
        <w:rPr>
          <w:rFonts w:ascii="Arial" w:hAnsi="Arial" w:cs="Arial"/>
          <w:sz w:val="24"/>
          <w:szCs w:val="24"/>
        </w:rPr>
        <w:t>Through systematic monitoring, the company will have visibility into areas of energy inefficiency and consumption trends and can compare site performance. This provides an opportunity to save energy costs without large capital-intensive projects</w:t>
      </w:r>
      <w:r w:rsidR="002D14CA" w:rsidRPr="00616FE3">
        <w:rPr>
          <w:rFonts w:ascii="Arial" w:hAnsi="Arial" w:cs="Arial"/>
          <w:sz w:val="24"/>
          <w:szCs w:val="24"/>
        </w:rPr>
        <w:t xml:space="preserve"> (Carbon Trust</w:t>
      </w:r>
      <w:r w:rsidR="0074715A" w:rsidRPr="00616FE3">
        <w:rPr>
          <w:rFonts w:ascii="Arial" w:hAnsi="Arial" w:cs="Arial"/>
          <w:sz w:val="24"/>
          <w:szCs w:val="24"/>
        </w:rPr>
        <w:t>, 2024)</w:t>
      </w:r>
      <w:r w:rsidRPr="00616FE3">
        <w:rPr>
          <w:rFonts w:ascii="Arial" w:hAnsi="Arial" w:cs="Arial"/>
          <w:sz w:val="24"/>
          <w:szCs w:val="24"/>
        </w:rPr>
        <w:t xml:space="preserve">. Lean operations principles support this as it focuses on limiting waste and improving process stability as a long-term cost resilience (Womack, Jones and </w:t>
      </w:r>
      <w:proofErr w:type="spellStart"/>
      <w:r w:rsidRPr="00616FE3">
        <w:rPr>
          <w:rFonts w:ascii="Arial" w:hAnsi="Arial" w:cs="Arial"/>
          <w:sz w:val="24"/>
          <w:szCs w:val="24"/>
        </w:rPr>
        <w:t>Roos</w:t>
      </w:r>
      <w:proofErr w:type="spellEnd"/>
      <w:r w:rsidRPr="00616FE3">
        <w:rPr>
          <w:rFonts w:ascii="Arial" w:hAnsi="Arial" w:cs="Arial"/>
          <w:sz w:val="24"/>
          <w:szCs w:val="24"/>
        </w:rPr>
        <w:t>, 1997). Comparable energy-intensive manufacturers, Alcoa for example, have found significant reductions in energy waste through programs that focus on metering and optimi</w:t>
      </w:r>
      <w:r w:rsidR="008B7418" w:rsidRPr="00616FE3">
        <w:rPr>
          <w:rFonts w:ascii="Arial" w:hAnsi="Arial" w:cs="Arial"/>
          <w:sz w:val="24"/>
          <w:szCs w:val="24"/>
        </w:rPr>
        <w:t>s</w:t>
      </w:r>
      <w:r w:rsidRPr="00616FE3">
        <w:rPr>
          <w:rFonts w:ascii="Arial" w:hAnsi="Arial" w:cs="Arial"/>
          <w:sz w:val="24"/>
          <w:szCs w:val="24"/>
        </w:rPr>
        <w:t xml:space="preserve">ing energy (Alcoa, 2023). Through a structured approach, Sofidel can similarly reduce operating costs and reinvest in its workforce. </w:t>
      </w:r>
    </w:p>
    <w:p w14:paraId="6A16B05D" w14:textId="605535C8" w:rsidR="00F7299A" w:rsidRPr="00616FE3" w:rsidRDefault="00F7299A" w:rsidP="00F7299A">
      <w:pPr>
        <w:jc w:val="both"/>
        <w:rPr>
          <w:rFonts w:ascii="Arial" w:hAnsi="Arial" w:cs="Arial"/>
          <w:sz w:val="24"/>
          <w:szCs w:val="24"/>
        </w:rPr>
      </w:pPr>
      <w:r w:rsidRPr="00616FE3">
        <w:rPr>
          <w:rFonts w:ascii="Arial" w:hAnsi="Arial" w:cs="Arial"/>
          <w:sz w:val="24"/>
          <w:szCs w:val="24"/>
        </w:rPr>
        <w:lastRenderedPageBreak/>
        <w:t>As Sofidel reduces exposure to energy-price swings, the company will have more internal resources to invest in workforce priorities, such as apprenticeships, internal upskilling and progressive pay, which is also a goal of the Make Work Pay agenda in the improvement of job quality and constant earnings (Sofidel, 2024b; DBT</w:t>
      </w:r>
      <w:r w:rsidR="00F315B5" w:rsidRPr="00616FE3">
        <w:rPr>
          <w:rFonts w:ascii="Arial" w:hAnsi="Arial" w:cs="Arial"/>
          <w:sz w:val="24"/>
          <w:szCs w:val="24"/>
        </w:rPr>
        <w:t>, 202</w:t>
      </w:r>
      <w:r w:rsidR="00FF0DCA" w:rsidRPr="00616FE3">
        <w:rPr>
          <w:rFonts w:ascii="Arial" w:hAnsi="Arial" w:cs="Arial"/>
          <w:sz w:val="24"/>
          <w:szCs w:val="24"/>
        </w:rPr>
        <w:t>4</w:t>
      </w:r>
      <w:r w:rsidRPr="00616FE3">
        <w:rPr>
          <w:rFonts w:ascii="Arial" w:hAnsi="Arial" w:cs="Arial"/>
          <w:sz w:val="24"/>
          <w:szCs w:val="24"/>
        </w:rPr>
        <w:t xml:space="preserve">a). </w:t>
      </w:r>
    </w:p>
    <w:p w14:paraId="363B3861" w14:textId="64894CD3" w:rsidR="00F7299A" w:rsidRPr="00616FE3" w:rsidRDefault="00F7299A" w:rsidP="00F7299A">
      <w:pPr>
        <w:jc w:val="both"/>
        <w:rPr>
          <w:rFonts w:ascii="Arial" w:hAnsi="Arial" w:cs="Arial"/>
          <w:sz w:val="24"/>
          <w:szCs w:val="24"/>
        </w:rPr>
      </w:pPr>
      <w:r w:rsidRPr="00616FE3">
        <w:rPr>
          <w:rFonts w:ascii="Arial" w:hAnsi="Arial" w:cs="Arial"/>
          <w:sz w:val="24"/>
          <w:szCs w:val="24"/>
        </w:rPr>
        <w:t xml:space="preserve">This monitoring program should be part of the current continuous improvement framework, so that they can measure the progress and reinvest into strategic targets to sustain long-term workforce planning and organisational sustainability. </w:t>
      </w:r>
    </w:p>
    <w:p w14:paraId="4C9ADC96" w14:textId="77777777" w:rsidR="00F7299A" w:rsidRPr="00616FE3" w:rsidRDefault="00F7299A" w:rsidP="00F7299A">
      <w:pPr>
        <w:rPr>
          <w:rFonts w:ascii="Arial" w:hAnsi="Arial" w:cs="Arial"/>
          <w:b/>
          <w:bCs/>
          <w:sz w:val="24"/>
          <w:szCs w:val="24"/>
        </w:rPr>
      </w:pPr>
      <w:r w:rsidRPr="00616FE3">
        <w:rPr>
          <w:rFonts w:ascii="Arial" w:hAnsi="Arial" w:cs="Arial"/>
          <w:b/>
          <w:bCs/>
          <w:sz w:val="24"/>
          <w:szCs w:val="24"/>
        </w:rPr>
        <w:t xml:space="preserve">Costs </w:t>
      </w:r>
    </w:p>
    <w:p w14:paraId="6C0D3CE2" w14:textId="553583EF" w:rsidR="00F7299A" w:rsidRPr="00616FE3" w:rsidRDefault="00F7299A" w:rsidP="00F7299A">
      <w:pPr>
        <w:pStyle w:val="ListParagraph"/>
        <w:numPr>
          <w:ilvl w:val="0"/>
          <w:numId w:val="5"/>
        </w:numPr>
        <w:rPr>
          <w:rFonts w:ascii="Arial" w:hAnsi="Arial" w:cs="Arial"/>
          <w:sz w:val="24"/>
          <w:szCs w:val="24"/>
        </w:rPr>
      </w:pPr>
      <w:r w:rsidRPr="00616FE3">
        <w:rPr>
          <w:rFonts w:ascii="Arial" w:hAnsi="Arial" w:cs="Arial"/>
          <w:sz w:val="24"/>
          <w:szCs w:val="24"/>
        </w:rPr>
        <w:t>Additional sub-meter installation: £4,000 (</w:t>
      </w:r>
      <w:r w:rsidR="002A1E0E" w:rsidRPr="00616FE3">
        <w:rPr>
          <w:rFonts w:ascii="Arial" w:hAnsi="Arial" w:cs="Arial"/>
          <w:sz w:val="24"/>
          <w:szCs w:val="24"/>
        </w:rPr>
        <w:t>HM Government, 2021</w:t>
      </w:r>
      <w:r w:rsidRPr="00616FE3">
        <w:rPr>
          <w:rFonts w:ascii="Arial" w:hAnsi="Arial" w:cs="Arial"/>
          <w:sz w:val="24"/>
          <w:szCs w:val="24"/>
        </w:rPr>
        <w:t>)</w:t>
      </w:r>
    </w:p>
    <w:p w14:paraId="52E59480" w14:textId="77777777" w:rsidR="00F7299A" w:rsidRPr="00616FE3" w:rsidRDefault="00F7299A" w:rsidP="00F7299A">
      <w:pPr>
        <w:pStyle w:val="ListParagraph"/>
        <w:numPr>
          <w:ilvl w:val="0"/>
          <w:numId w:val="5"/>
        </w:numPr>
        <w:rPr>
          <w:rFonts w:ascii="Arial" w:hAnsi="Arial" w:cs="Arial"/>
          <w:sz w:val="24"/>
          <w:szCs w:val="24"/>
        </w:rPr>
      </w:pPr>
      <w:r w:rsidRPr="00616FE3">
        <w:rPr>
          <w:rFonts w:ascii="Arial" w:hAnsi="Arial" w:cs="Arial"/>
          <w:sz w:val="24"/>
          <w:szCs w:val="24"/>
        </w:rPr>
        <w:t>Improvements to energy monitoring software: £1,500 (Energy Elephant, 2025)</w:t>
      </w:r>
    </w:p>
    <w:p w14:paraId="4C7EC9A4" w14:textId="77777777" w:rsidR="00F7299A" w:rsidRPr="00616FE3" w:rsidRDefault="00F7299A" w:rsidP="00F7299A">
      <w:pPr>
        <w:pStyle w:val="ListParagraph"/>
        <w:numPr>
          <w:ilvl w:val="0"/>
          <w:numId w:val="5"/>
        </w:numPr>
        <w:rPr>
          <w:rFonts w:ascii="Arial" w:hAnsi="Arial" w:cs="Arial"/>
          <w:sz w:val="24"/>
          <w:szCs w:val="24"/>
        </w:rPr>
      </w:pPr>
      <w:r w:rsidRPr="00616FE3">
        <w:rPr>
          <w:rFonts w:ascii="Arial" w:hAnsi="Arial" w:cs="Arial"/>
          <w:sz w:val="24"/>
          <w:szCs w:val="24"/>
        </w:rPr>
        <w:t>Staff time for setup/reporting: £500 (Sofidel, 2025g)</w:t>
      </w:r>
    </w:p>
    <w:p w14:paraId="370A7BEF" w14:textId="77777777" w:rsidR="00F7299A" w:rsidRPr="00616FE3" w:rsidRDefault="00F7299A" w:rsidP="00F7299A">
      <w:pPr>
        <w:ind w:left="360"/>
        <w:rPr>
          <w:rFonts w:ascii="Arial" w:hAnsi="Arial" w:cs="Arial"/>
          <w:color w:val="000000" w:themeColor="text1"/>
          <w:sz w:val="24"/>
          <w:szCs w:val="24"/>
        </w:rPr>
      </w:pPr>
      <w:r w:rsidRPr="00616FE3">
        <w:rPr>
          <w:rFonts w:ascii="Arial" w:hAnsi="Arial" w:cs="Arial"/>
          <w:color w:val="000000" w:themeColor="text1"/>
          <w:sz w:val="24"/>
          <w:szCs w:val="24"/>
        </w:rPr>
        <w:t>Total (Year 1): £6,000</w:t>
      </w:r>
    </w:p>
    <w:p w14:paraId="2841541F" w14:textId="77777777" w:rsidR="00F7299A" w:rsidRPr="00616FE3" w:rsidRDefault="00F7299A" w:rsidP="00F7299A">
      <w:pPr>
        <w:pStyle w:val="ListParagraph"/>
        <w:rPr>
          <w:rFonts w:ascii="Arial" w:hAnsi="Arial" w:cs="Arial"/>
          <w:sz w:val="24"/>
          <w:szCs w:val="24"/>
        </w:rPr>
      </w:pPr>
    </w:p>
    <w:p w14:paraId="56F3B4B1" w14:textId="77777777" w:rsidR="00F7299A" w:rsidRPr="00616FE3" w:rsidRDefault="00F7299A" w:rsidP="008339BB">
      <w:pPr>
        <w:rPr>
          <w:rFonts w:ascii="Arial" w:hAnsi="Arial" w:cs="Arial"/>
          <w:sz w:val="24"/>
          <w:szCs w:val="24"/>
        </w:rPr>
      </w:pPr>
    </w:p>
    <w:p w14:paraId="0651CC8D" w14:textId="77777777" w:rsidR="00D27016" w:rsidRPr="00616FE3" w:rsidRDefault="00D27016" w:rsidP="008339BB">
      <w:pPr>
        <w:rPr>
          <w:rFonts w:ascii="Arial" w:hAnsi="Arial" w:cs="Arial"/>
          <w:sz w:val="24"/>
          <w:szCs w:val="24"/>
        </w:rPr>
      </w:pPr>
    </w:p>
    <w:p w14:paraId="07B68C1C" w14:textId="77777777" w:rsidR="00D27016" w:rsidRPr="00616FE3" w:rsidRDefault="00D27016" w:rsidP="008339BB">
      <w:pPr>
        <w:rPr>
          <w:rFonts w:ascii="Arial" w:hAnsi="Arial" w:cs="Arial"/>
          <w:sz w:val="24"/>
          <w:szCs w:val="24"/>
        </w:rPr>
      </w:pPr>
    </w:p>
    <w:p w14:paraId="3C721265" w14:textId="77777777" w:rsidR="00D27016" w:rsidRPr="00616FE3" w:rsidRDefault="00D27016" w:rsidP="008339BB">
      <w:pPr>
        <w:rPr>
          <w:rFonts w:ascii="Arial" w:hAnsi="Arial" w:cs="Arial"/>
          <w:sz w:val="24"/>
          <w:szCs w:val="24"/>
        </w:rPr>
      </w:pPr>
    </w:p>
    <w:p w14:paraId="37FAFC1E" w14:textId="77777777" w:rsidR="00D27016" w:rsidRPr="00616FE3" w:rsidRDefault="00D27016" w:rsidP="008339BB">
      <w:pPr>
        <w:rPr>
          <w:rFonts w:ascii="Arial" w:hAnsi="Arial" w:cs="Arial"/>
          <w:sz w:val="24"/>
          <w:szCs w:val="24"/>
        </w:rPr>
      </w:pPr>
    </w:p>
    <w:p w14:paraId="4870EF05" w14:textId="77777777" w:rsidR="00D27016" w:rsidRPr="00616FE3" w:rsidRDefault="00D27016" w:rsidP="008339BB">
      <w:pPr>
        <w:rPr>
          <w:rFonts w:ascii="Arial" w:hAnsi="Arial" w:cs="Arial"/>
          <w:sz w:val="24"/>
          <w:szCs w:val="24"/>
        </w:rPr>
      </w:pPr>
    </w:p>
    <w:p w14:paraId="0760E9E5" w14:textId="77777777" w:rsidR="00D27016" w:rsidRPr="00616FE3" w:rsidRDefault="00D27016" w:rsidP="008339BB">
      <w:pPr>
        <w:rPr>
          <w:rFonts w:ascii="Arial" w:hAnsi="Arial" w:cs="Arial"/>
          <w:sz w:val="24"/>
          <w:szCs w:val="24"/>
        </w:rPr>
      </w:pPr>
    </w:p>
    <w:p w14:paraId="2411553E" w14:textId="77777777" w:rsidR="00D27016" w:rsidRPr="00616FE3" w:rsidRDefault="00D27016" w:rsidP="008339BB">
      <w:pPr>
        <w:rPr>
          <w:rFonts w:ascii="Arial" w:hAnsi="Arial" w:cs="Arial"/>
          <w:sz w:val="24"/>
          <w:szCs w:val="24"/>
        </w:rPr>
      </w:pPr>
    </w:p>
    <w:p w14:paraId="421FE660" w14:textId="77777777" w:rsidR="00D27016" w:rsidRPr="00616FE3" w:rsidRDefault="00D27016" w:rsidP="008339BB">
      <w:pPr>
        <w:rPr>
          <w:rFonts w:ascii="Arial" w:hAnsi="Arial" w:cs="Arial"/>
          <w:sz w:val="24"/>
          <w:szCs w:val="24"/>
        </w:rPr>
      </w:pPr>
    </w:p>
    <w:p w14:paraId="0E1CBF32" w14:textId="77777777" w:rsidR="00D27016" w:rsidRPr="00616FE3" w:rsidRDefault="00D27016" w:rsidP="008339BB">
      <w:pPr>
        <w:rPr>
          <w:rFonts w:ascii="Arial" w:hAnsi="Arial" w:cs="Arial"/>
          <w:sz w:val="24"/>
          <w:szCs w:val="24"/>
        </w:rPr>
      </w:pPr>
    </w:p>
    <w:p w14:paraId="3E02F883" w14:textId="77777777" w:rsidR="00D27016" w:rsidRPr="00616FE3" w:rsidRDefault="00D27016" w:rsidP="008339BB">
      <w:pPr>
        <w:rPr>
          <w:rFonts w:ascii="Arial" w:hAnsi="Arial" w:cs="Arial"/>
          <w:sz w:val="24"/>
          <w:szCs w:val="24"/>
        </w:rPr>
      </w:pPr>
    </w:p>
    <w:p w14:paraId="2FAA4AE1" w14:textId="77777777" w:rsidR="00D27016" w:rsidRPr="00616FE3" w:rsidRDefault="00D27016" w:rsidP="008339BB">
      <w:pPr>
        <w:rPr>
          <w:rFonts w:ascii="Arial" w:hAnsi="Arial" w:cs="Arial"/>
          <w:sz w:val="24"/>
          <w:szCs w:val="24"/>
        </w:rPr>
      </w:pPr>
    </w:p>
    <w:p w14:paraId="3CD629E0" w14:textId="77777777" w:rsidR="00D27016" w:rsidRPr="00616FE3" w:rsidRDefault="00D27016" w:rsidP="008339BB">
      <w:pPr>
        <w:rPr>
          <w:rFonts w:ascii="Arial" w:hAnsi="Arial" w:cs="Arial"/>
          <w:sz w:val="24"/>
          <w:szCs w:val="24"/>
        </w:rPr>
      </w:pPr>
    </w:p>
    <w:p w14:paraId="52EC45EF" w14:textId="77777777" w:rsidR="00D27016" w:rsidRPr="00616FE3" w:rsidRDefault="00D27016" w:rsidP="008339BB">
      <w:pPr>
        <w:rPr>
          <w:rFonts w:ascii="Arial" w:hAnsi="Arial" w:cs="Arial"/>
          <w:sz w:val="24"/>
          <w:szCs w:val="24"/>
        </w:rPr>
      </w:pPr>
    </w:p>
    <w:p w14:paraId="394CC866" w14:textId="77777777" w:rsidR="00D27016" w:rsidRPr="00616FE3" w:rsidRDefault="00D27016" w:rsidP="008339BB">
      <w:pPr>
        <w:rPr>
          <w:rFonts w:ascii="Arial" w:hAnsi="Arial" w:cs="Arial"/>
          <w:sz w:val="24"/>
          <w:szCs w:val="24"/>
        </w:rPr>
      </w:pPr>
    </w:p>
    <w:p w14:paraId="0408E007" w14:textId="77777777" w:rsidR="00D27016" w:rsidRPr="00616FE3" w:rsidRDefault="00D27016" w:rsidP="008339BB">
      <w:pPr>
        <w:rPr>
          <w:rFonts w:ascii="Arial" w:hAnsi="Arial" w:cs="Arial"/>
          <w:sz w:val="24"/>
          <w:szCs w:val="24"/>
        </w:rPr>
      </w:pPr>
    </w:p>
    <w:p w14:paraId="4F494F7E" w14:textId="77777777" w:rsidR="00D27016" w:rsidRPr="00616FE3" w:rsidRDefault="00D27016" w:rsidP="008339BB">
      <w:pPr>
        <w:rPr>
          <w:rFonts w:ascii="Arial" w:hAnsi="Arial" w:cs="Arial"/>
          <w:sz w:val="24"/>
          <w:szCs w:val="24"/>
        </w:rPr>
      </w:pPr>
    </w:p>
    <w:p w14:paraId="7BCB14A7" w14:textId="77777777" w:rsidR="00D27016" w:rsidRPr="00616FE3" w:rsidRDefault="00D27016" w:rsidP="008339BB">
      <w:pPr>
        <w:rPr>
          <w:rFonts w:ascii="Arial" w:hAnsi="Arial" w:cs="Arial"/>
          <w:sz w:val="24"/>
          <w:szCs w:val="24"/>
        </w:rPr>
      </w:pPr>
    </w:p>
    <w:p w14:paraId="66732C2A" w14:textId="77777777" w:rsidR="00D27016" w:rsidRPr="00616FE3" w:rsidRDefault="00D27016" w:rsidP="008339BB">
      <w:pPr>
        <w:rPr>
          <w:rFonts w:ascii="Arial" w:hAnsi="Arial" w:cs="Arial"/>
          <w:sz w:val="24"/>
          <w:szCs w:val="24"/>
        </w:rPr>
      </w:pPr>
    </w:p>
    <w:p w14:paraId="6D3CC064" w14:textId="77777777" w:rsidR="00D27016" w:rsidRPr="00616FE3" w:rsidRDefault="00D27016" w:rsidP="00D27016">
      <w:pPr>
        <w:pStyle w:val="Heading1"/>
        <w:rPr>
          <w:rFonts w:ascii="Arial" w:hAnsi="Arial" w:cs="Arial"/>
          <w:b/>
          <w:bCs/>
          <w:color w:val="000000" w:themeColor="text1"/>
          <w:sz w:val="24"/>
          <w:szCs w:val="24"/>
        </w:rPr>
      </w:pPr>
      <w:bookmarkStart w:id="7" w:name="_Toc215477932"/>
      <w:r w:rsidRPr="00616FE3">
        <w:rPr>
          <w:rFonts w:ascii="Arial" w:hAnsi="Arial" w:cs="Arial"/>
          <w:b/>
          <w:bCs/>
          <w:color w:val="000000" w:themeColor="text1"/>
          <w:sz w:val="24"/>
          <w:szCs w:val="24"/>
        </w:rPr>
        <w:lastRenderedPageBreak/>
        <w:t>References</w:t>
      </w:r>
      <w:bookmarkEnd w:id="7"/>
    </w:p>
    <w:p w14:paraId="6642CF5B" w14:textId="77777777" w:rsidR="00D27016" w:rsidRPr="00616FE3" w:rsidRDefault="00D27016" w:rsidP="008339BB">
      <w:pPr>
        <w:rPr>
          <w:rFonts w:ascii="Arial" w:hAnsi="Arial" w:cs="Arial"/>
          <w:sz w:val="24"/>
          <w:szCs w:val="24"/>
        </w:rPr>
      </w:pPr>
    </w:p>
    <w:p w14:paraId="3BD2EA1C"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ACAS (2024) </w:t>
      </w:r>
      <w:r w:rsidRPr="00616FE3">
        <w:rPr>
          <w:rFonts w:ascii="Arial" w:hAnsi="Arial" w:cs="Arial"/>
          <w:i/>
          <w:iCs/>
          <w:sz w:val="24"/>
          <w:szCs w:val="24"/>
        </w:rPr>
        <w:t xml:space="preserve">Unfair dismissal. </w:t>
      </w:r>
      <w:r w:rsidRPr="00616FE3">
        <w:rPr>
          <w:rFonts w:ascii="Arial" w:hAnsi="Arial" w:cs="Arial"/>
          <w:sz w:val="24"/>
          <w:szCs w:val="24"/>
        </w:rPr>
        <w:t xml:space="preserve">Available at: </w:t>
      </w:r>
      <w:hyperlink r:id="rId8" w:history="1">
        <w:r w:rsidRPr="00616FE3">
          <w:rPr>
            <w:rStyle w:val="Hyperlink"/>
            <w:rFonts w:ascii="Arial" w:hAnsi="Arial" w:cs="Arial"/>
            <w:sz w:val="24"/>
            <w:szCs w:val="24"/>
          </w:rPr>
          <w:t>https://www.acas.org.uk/dismissals/unfair-dismissal</w:t>
        </w:r>
      </w:hyperlink>
      <w:r w:rsidRPr="00616FE3">
        <w:rPr>
          <w:rFonts w:ascii="Arial" w:hAnsi="Arial" w:cs="Arial"/>
          <w:sz w:val="24"/>
          <w:szCs w:val="24"/>
        </w:rPr>
        <w:t xml:space="preserve"> (Accessed: 19.10.2025).</w:t>
      </w:r>
    </w:p>
    <w:p w14:paraId="256C0851"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Alcoa (2023) </w:t>
      </w:r>
      <w:r w:rsidRPr="008045D3">
        <w:rPr>
          <w:rFonts w:ascii="Arial" w:hAnsi="Arial" w:cs="Arial"/>
          <w:i/>
          <w:iCs/>
          <w:sz w:val="24"/>
          <w:szCs w:val="24"/>
        </w:rPr>
        <w:t xml:space="preserve">Alcoa transforms its approach to maintenance: Predictive maintenance case study. </w:t>
      </w:r>
      <w:r w:rsidRPr="004A5714">
        <w:rPr>
          <w:rFonts w:ascii="Arial" w:hAnsi="Arial" w:cs="Arial"/>
          <w:sz w:val="24"/>
          <w:szCs w:val="24"/>
        </w:rPr>
        <w:t>AVEVA Group plc</w:t>
      </w:r>
      <w:r w:rsidRPr="008045D3">
        <w:rPr>
          <w:rFonts w:ascii="Arial" w:hAnsi="Arial" w:cs="Arial"/>
          <w:i/>
          <w:iCs/>
          <w:sz w:val="24"/>
          <w:szCs w:val="24"/>
        </w:rPr>
        <w:t>.</w:t>
      </w:r>
      <w:r w:rsidRPr="00616FE3">
        <w:rPr>
          <w:rFonts w:ascii="Arial" w:hAnsi="Arial" w:cs="Arial"/>
          <w:sz w:val="24"/>
          <w:szCs w:val="24"/>
        </w:rPr>
        <w:t xml:space="preserve"> Available at: </w:t>
      </w:r>
      <w:hyperlink r:id="rId9" w:history="1">
        <w:r w:rsidRPr="00616FE3">
          <w:rPr>
            <w:rStyle w:val="Hyperlink"/>
            <w:rFonts w:ascii="Arial" w:hAnsi="Arial" w:cs="Arial"/>
            <w:sz w:val="24"/>
            <w:szCs w:val="24"/>
          </w:rPr>
          <w:t>https://www.aveva.com/content/dam/aveva/documents/perspectives/success-stories/SuccessStory_Alcoa.pdf.coredownload.inline.pdf</w:t>
        </w:r>
      </w:hyperlink>
      <w:r w:rsidRPr="00616FE3">
        <w:rPr>
          <w:rFonts w:ascii="Arial" w:hAnsi="Arial" w:cs="Arial"/>
          <w:sz w:val="24"/>
          <w:szCs w:val="24"/>
        </w:rPr>
        <w:t xml:space="preserve"> (Accessed: 29.11.2025)</w:t>
      </w:r>
    </w:p>
    <w:p w14:paraId="3C87E497"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Armstrong, M. (2020) Armstrong’s handbook of strategic human resource management. 7th </w:t>
      </w:r>
      <w:proofErr w:type="spellStart"/>
      <w:r w:rsidRPr="00616FE3">
        <w:rPr>
          <w:rFonts w:ascii="Arial" w:hAnsi="Arial" w:cs="Arial"/>
          <w:sz w:val="24"/>
          <w:szCs w:val="24"/>
        </w:rPr>
        <w:t>edn</w:t>
      </w:r>
      <w:proofErr w:type="spellEnd"/>
      <w:r w:rsidRPr="00616FE3">
        <w:rPr>
          <w:rFonts w:ascii="Arial" w:hAnsi="Arial" w:cs="Arial"/>
          <w:sz w:val="24"/>
          <w:szCs w:val="24"/>
        </w:rPr>
        <w:t>. London: Kogan Page.</w:t>
      </w:r>
    </w:p>
    <w:p w14:paraId="4459548A"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Association of Colleges (2024) </w:t>
      </w:r>
      <w:r w:rsidRPr="00616FE3">
        <w:rPr>
          <w:rFonts w:ascii="Arial" w:hAnsi="Arial" w:cs="Arial"/>
          <w:i/>
          <w:iCs/>
          <w:sz w:val="24"/>
          <w:szCs w:val="24"/>
        </w:rPr>
        <w:t>Written evidence to the House of Commons Education Committee: Skills and Post</w:t>
      </w:r>
      <w:r w:rsidRPr="00616FE3">
        <w:rPr>
          <w:rFonts w:ascii="Arial" w:hAnsi="Arial" w:cs="Arial"/>
          <w:i/>
          <w:iCs/>
          <w:sz w:val="24"/>
          <w:szCs w:val="24"/>
        </w:rPr>
        <w:noBreakHyphen/>
        <w:t>16 Education</w:t>
      </w:r>
      <w:r w:rsidRPr="00616FE3">
        <w:rPr>
          <w:rFonts w:ascii="Arial" w:hAnsi="Arial" w:cs="Arial"/>
          <w:sz w:val="24"/>
          <w:szCs w:val="24"/>
        </w:rPr>
        <w:t xml:space="preserve">. London: </w:t>
      </w:r>
      <w:proofErr w:type="spellStart"/>
      <w:r w:rsidRPr="00616FE3">
        <w:rPr>
          <w:rFonts w:ascii="Arial" w:hAnsi="Arial" w:cs="Arial"/>
          <w:sz w:val="24"/>
          <w:szCs w:val="24"/>
        </w:rPr>
        <w:t>AoC</w:t>
      </w:r>
      <w:proofErr w:type="spellEnd"/>
      <w:r w:rsidRPr="00616FE3">
        <w:rPr>
          <w:rFonts w:ascii="Arial" w:hAnsi="Arial" w:cs="Arial"/>
          <w:sz w:val="24"/>
          <w:szCs w:val="24"/>
        </w:rPr>
        <w:t xml:space="preserve">. Available at: </w:t>
      </w:r>
      <w:hyperlink r:id="rId10" w:history="1">
        <w:r w:rsidRPr="00616FE3">
          <w:rPr>
            <w:rStyle w:val="Hyperlink"/>
            <w:rFonts w:ascii="Arial" w:hAnsi="Arial" w:cs="Arial"/>
            <w:sz w:val="24"/>
            <w:szCs w:val="24"/>
          </w:rPr>
          <w:t>https://committees.parliament.uk/writtenevidence/130768/pdf/</w:t>
        </w:r>
      </w:hyperlink>
      <w:r w:rsidRPr="00616FE3">
        <w:rPr>
          <w:rFonts w:ascii="Arial" w:hAnsi="Arial" w:cs="Arial"/>
          <w:sz w:val="24"/>
          <w:szCs w:val="24"/>
        </w:rPr>
        <w:t xml:space="preserve"> (Accessed: 16.11.2025).</w:t>
      </w:r>
    </w:p>
    <w:p w14:paraId="320D0A40"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Bank of England (2025) </w:t>
      </w:r>
      <w:r w:rsidRPr="00616FE3">
        <w:rPr>
          <w:rFonts w:ascii="Arial" w:hAnsi="Arial" w:cs="Arial"/>
          <w:i/>
          <w:iCs/>
          <w:sz w:val="24"/>
          <w:szCs w:val="24"/>
        </w:rPr>
        <w:t>Monetary Policy Report: November 2025</w:t>
      </w:r>
      <w:r w:rsidRPr="00616FE3">
        <w:rPr>
          <w:rFonts w:ascii="Arial" w:hAnsi="Arial" w:cs="Arial"/>
          <w:sz w:val="24"/>
          <w:szCs w:val="24"/>
        </w:rPr>
        <w:t xml:space="preserve">. Available at: </w:t>
      </w:r>
      <w:hyperlink r:id="rId11" w:history="1">
        <w:r w:rsidRPr="00616FE3">
          <w:rPr>
            <w:rStyle w:val="Hyperlink"/>
            <w:rFonts w:ascii="Arial" w:hAnsi="Arial" w:cs="Arial"/>
            <w:sz w:val="24"/>
            <w:szCs w:val="24"/>
          </w:rPr>
          <w:t>https://www.bankofengland.co.uk/monetary-policy-report/2025/november-2025</w:t>
        </w:r>
      </w:hyperlink>
      <w:r w:rsidRPr="00616FE3">
        <w:rPr>
          <w:rFonts w:ascii="Arial" w:hAnsi="Arial" w:cs="Arial"/>
          <w:sz w:val="24"/>
          <w:szCs w:val="24"/>
        </w:rPr>
        <w:t xml:space="preserve"> (Accessed: 19.11.2025). </w:t>
      </w:r>
    </w:p>
    <w:p w14:paraId="394F041B"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BARNEY, J., 1991. Firm Resources and Sustained Competitive Advantage. </w:t>
      </w:r>
      <w:r w:rsidRPr="00616FE3">
        <w:rPr>
          <w:rFonts w:ascii="Arial" w:hAnsi="Arial" w:cs="Arial"/>
          <w:i/>
          <w:iCs/>
          <w:sz w:val="24"/>
          <w:szCs w:val="24"/>
        </w:rPr>
        <w:t>Journal of Management</w:t>
      </w:r>
      <w:r w:rsidRPr="00616FE3">
        <w:rPr>
          <w:rFonts w:ascii="Arial" w:hAnsi="Arial" w:cs="Arial"/>
          <w:sz w:val="24"/>
          <w:szCs w:val="24"/>
        </w:rPr>
        <w:t>, 17(1), pp. 99.</w:t>
      </w:r>
    </w:p>
    <w:p w14:paraId="275D44E5"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Buckley, D. (2024) </w:t>
      </w:r>
      <w:r w:rsidRPr="00616FE3">
        <w:rPr>
          <w:rFonts w:ascii="Arial" w:hAnsi="Arial" w:cs="Arial"/>
          <w:i/>
          <w:iCs/>
          <w:sz w:val="24"/>
          <w:szCs w:val="24"/>
        </w:rPr>
        <w:t>How HR can navigate the challenges of new day-one rights</w:t>
      </w:r>
      <w:r w:rsidRPr="00616FE3">
        <w:rPr>
          <w:rFonts w:ascii="Arial" w:hAnsi="Arial" w:cs="Arial"/>
          <w:sz w:val="24"/>
          <w:szCs w:val="24"/>
        </w:rPr>
        <w:t xml:space="preserve">. People Management. Available at: </w:t>
      </w:r>
      <w:hyperlink r:id="rId12" w:history="1">
        <w:r w:rsidRPr="00616FE3">
          <w:rPr>
            <w:rStyle w:val="Hyperlink"/>
            <w:rFonts w:ascii="Arial" w:hAnsi="Arial" w:cs="Arial"/>
            <w:sz w:val="24"/>
            <w:szCs w:val="24"/>
          </w:rPr>
          <w:t>https://www.peoplemanagement.co.uk/article/1894985/hr-navigate-challenges-new-day-one-rights</w:t>
        </w:r>
      </w:hyperlink>
      <w:r w:rsidRPr="00616FE3">
        <w:rPr>
          <w:rFonts w:ascii="Arial" w:hAnsi="Arial" w:cs="Arial"/>
          <w:sz w:val="24"/>
          <w:szCs w:val="24"/>
        </w:rPr>
        <w:t xml:space="preserve"> (Accessed: 09.11.2025).</w:t>
      </w:r>
    </w:p>
    <w:p w14:paraId="4028CACD"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Carbon Trust (2024) </w:t>
      </w:r>
      <w:r w:rsidRPr="00616FE3">
        <w:rPr>
          <w:rFonts w:ascii="Arial" w:hAnsi="Arial" w:cs="Arial"/>
          <w:i/>
          <w:iCs/>
          <w:sz w:val="24"/>
          <w:szCs w:val="24"/>
        </w:rPr>
        <w:t xml:space="preserve">Energy Efficiency in manufacturing. </w:t>
      </w:r>
      <w:r w:rsidRPr="00616FE3">
        <w:rPr>
          <w:rFonts w:ascii="Arial" w:hAnsi="Arial" w:cs="Arial"/>
          <w:sz w:val="24"/>
          <w:szCs w:val="24"/>
        </w:rPr>
        <w:t xml:space="preserve">Available at: </w:t>
      </w:r>
      <w:hyperlink r:id="rId13" w:history="1">
        <w:r w:rsidRPr="00616FE3">
          <w:rPr>
            <w:rStyle w:val="Hyperlink"/>
            <w:rFonts w:ascii="Arial" w:hAnsi="Arial" w:cs="Arial"/>
            <w:sz w:val="24"/>
            <w:szCs w:val="24"/>
          </w:rPr>
          <w:t>https://www.carbontrust.com/sites/default/files/documents/resource/public/Manufacturing-guide.pdf</w:t>
        </w:r>
      </w:hyperlink>
      <w:r w:rsidRPr="00616FE3">
        <w:rPr>
          <w:rFonts w:ascii="Arial" w:hAnsi="Arial" w:cs="Arial"/>
          <w:sz w:val="24"/>
          <w:szCs w:val="24"/>
        </w:rPr>
        <w:t xml:space="preserve"> (Accessed: 29.11.2025)</w:t>
      </w:r>
    </w:p>
    <w:p w14:paraId="77F8EA7E"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(2024a) </w:t>
      </w:r>
      <w:r w:rsidRPr="00616FE3">
        <w:rPr>
          <w:rFonts w:ascii="Arial" w:hAnsi="Arial" w:cs="Arial"/>
          <w:i/>
          <w:iCs/>
          <w:sz w:val="24"/>
          <w:szCs w:val="24"/>
        </w:rPr>
        <w:t>Induction: Factsheet</w:t>
      </w:r>
      <w:r w:rsidRPr="00616FE3">
        <w:rPr>
          <w:rFonts w:ascii="Arial" w:hAnsi="Arial" w:cs="Arial"/>
          <w:sz w:val="24"/>
          <w:szCs w:val="24"/>
        </w:rPr>
        <w:t xml:space="preserve">. London: CIPD. Available at: </w:t>
      </w:r>
      <w:hyperlink r:id="rId14" w:history="1">
        <w:r w:rsidRPr="00616FE3">
          <w:rPr>
            <w:rStyle w:val="Hyperlink"/>
            <w:rFonts w:ascii="Arial" w:hAnsi="Arial" w:cs="Arial"/>
            <w:sz w:val="24"/>
            <w:szCs w:val="24"/>
          </w:rPr>
          <w:t>https://www.cipd.org/en/knowledge/factsheets/induction-factsheet/</w:t>
        </w:r>
      </w:hyperlink>
      <w:r w:rsidRPr="00616FE3">
        <w:rPr>
          <w:rFonts w:ascii="Arial" w:hAnsi="Arial" w:cs="Arial"/>
          <w:sz w:val="24"/>
          <w:szCs w:val="24"/>
        </w:rPr>
        <w:t xml:space="preserve"> (Accessed:13.11.2025).</w:t>
      </w:r>
    </w:p>
    <w:p w14:paraId="2348E3AE"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(2024b) </w:t>
      </w:r>
      <w:r w:rsidRPr="00170A44">
        <w:rPr>
          <w:rFonts w:ascii="Arial" w:hAnsi="Arial" w:cs="Arial"/>
          <w:i/>
          <w:iCs/>
          <w:sz w:val="24"/>
          <w:szCs w:val="24"/>
        </w:rPr>
        <w:t>Employment Rights Bill: call for evidence. Submission to the Business and Trade Committee</w:t>
      </w:r>
      <w:r w:rsidRPr="00616FE3">
        <w:rPr>
          <w:rFonts w:ascii="Arial" w:hAnsi="Arial" w:cs="Arial"/>
          <w:sz w:val="24"/>
          <w:szCs w:val="24"/>
        </w:rPr>
        <w:t xml:space="preserve">. London: Chartered Institute of Personnel and Development. Available at: </w:t>
      </w:r>
      <w:hyperlink r:id="rId15" w:history="1">
        <w:r w:rsidRPr="00616FE3">
          <w:rPr>
            <w:rStyle w:val="Hyperlink"/>
            <w:rFonts w:ascii="Arial" w:hAnsi="Arial" w:cs="Arial"/>
            <w:sz w:val="24"/>
            <w:szCs w:val="24"/>
          </w:rPr>
          <w:t>111224-employment-rights-bill_bt-committee-evidence_cipd.pdf</w:t>
        </w:r>
      </w:hyperlink>
      <w:r w:rsidRPr="00616FE3">
        <w:rPr>
          <w:rFonts w:ascii="Arial" w:hAnsi="Arial" w:cs="Arial"/>
          <w:sz w:val="24"/>
          <w:szCs w:val="24"/>
        </w:rPr>
        <w:t xml:space="preserve"> (Accessed: 24.11.2025) </w:t>
      </w:r>
    </w:p>
    <w:p w14:paraId="3E534016"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(2025a) </w:t>
      </w:r>
      <w:r w:rsidRPr="00616FE3">
        <w:rPr>
          <w:rFonts w:ascii="Arial" w:hAnsi="Arial" w:cs="Arial"/>
          <w:i/>
          <w:iCs/>
          <w:sz w:val="24"/>
          <w:szCs w:val="24"/>
        </w:rPr>
        <w:t xml:space="preserve">Tracking law changes: Employment Rights Bill and Make Work Pay plan. </w:t>
      </w:r>
      <w:r w:rsidRPr="00616FE3">
        <w:rPr>
          <w:rFonts w:ascii="Arial" w:hAnsi="Arial" w:cs="Arial"/>
          <w:sz w:val="24"/>
          <w:szCs w:val="24"/>
        </w:rPr>
        <w:t xml:space="preserve">Available at: </w:t>
      </w:r>
      <w:hyperlink r:id="rId16" w:anchor="employment-rights-bill-timeline" w:history="1">
        <w:r w:rsidRPr="00616FE3">
          <w:rPr>
            <w:rStyle w:val="Hyperlink"/>
            <w:rFonts w:ascii="Arial" w:hAnsi="Arial" w:cs="Arial"/>
            <w:sz w:val="24"/>
            <w:szCs w:val="24"/>
          </w:rPr>
          <w:t>https://www.cipd.org/uk/knowledge/employment-law/proposed-changes-under-labour-government/#employment-rights-bill-timeline</w:t>
        </w:r>
      </w:hyperlink>
      <w:r w:rsidRPr="00616FE3">
        <w:rPr>
          <w:rFonts w:ascii="Arial" w:hAnsi="Arial" w:cs="Arial"/>
          <w:sz w:val="24"/>
          <w:szCs w:val="24"/>
        </w:rPr>
        <w:t xml:space="preserve"> (Accessed: 19.10.2025).</w:t>
      </w:r>
    </w:p>
    <w:p w14:paraId="1ACE5679"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(2025b) </w:t>
      </w:r>
      <w:r w:rsidRPr="00616FE3">
        <w:rPr>
          <w:rFonts w:ascii="Arial" w:hAnsi="Arial" w:cs="Arial"/>
          <w:i/>
          <w:iCs/>
          <w:sz w:val="24"/>
          <w:szCs w:val="24"/>
        </w:rPr>
        <w:t>Dismissal: guidance for managers</w:t>
      </w:r>
      <w:r w:rsidRPr="00616FE3">
        <w:rPr>
          <w:rFonts w:ascii="Arial" w:hAnsi="Arial" w:cs="Arial"/>
          <w:sz w:val="24"/>
          <w:szCs w:val="24"/>
        </w:rPr>
        <w:t xml:space="preserve">. Available at: </w:t>
      </w:r>
      <w:hyperlink r:id="rId17" w:history="1">
        <w:r w:rsidRPr="00616FE3">
          <w:rPr>
            <w:rStyle w:val="Hyperlink"/>
            <w:rFonts w:ascii="Arial" w:hAnsi="Arial" w:cs="Arial"/>
            <w:sz w:val="24"/>
            <w:szCs w:val="24"/>
          </w:rPr>
          <w:t>https://www.cipd.org/uk/knowledge/guides/dismissal-guidance-for-managers/</w:t>
        </w:r>
      </w:hyperlink>
      <w:r w:rsidRPr="00616FE3">
        <w:rPr>
          <w:rFonts w:ascii="Arial" w:hAnsi="Arial" w:cs="Arial"/>
          <w:sz w:val="24"/>
          <w:szCs w:val="24"/>
        </w:rPr>
        <w:t xml:space="preserve"> (Accessed: 26.10.2025).</w:t>
      </w:r>
    </w:p>
    <w:p w14:paraId="78D8288F"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lastRenderedPageBreak/>
        <w:t xml:space="preserve">CIPD (2025c) </w:t>
      </w:r>
      <w:r w:rsidRPr="00616FE3">
        <w:rPr>
          <w:rFonts w:ascii="Arial" w:hAnsi="Arial" w:cs="Arial"/>
          <w:i/>
          <w:iCs/>
          <w:sz w:val="24"/>
          <w:szCs w:val="24"/>
        </w:rPr>
        <w:t>CIPD-IRN Private sector pay and employment survey 2025</w:t>
      </w:r>
      <w:r w:rsidRPr="00616FE3">
        <w:rPr>
          <w:rFonts w:ascii="Arial" w:hAnsi="Arial" w:cs="Arial"/>
          <w:sz w:val="24"/>
          <w:szCs w:val="24"/>
        </w:rPr>
        <w:t xml:space="preserve">. London: Chartered Institute of Personnel and Development. Available at: </w:t>
      </w:r>
      <w:hyperlink r:id="rId18" w:history="1">
        <w:r w:rsidRPr="00616FE3">
          <w:rPr>
            <w:rStyle w:val="Hyperlink"/>
            <w:rFonts w:ascii="Arial" w:hAnsi="Arial" w:cs="Arial"/>
            <w:sz w:val="24"/>
            <w:szCs w:val="24"/>
          </w:rPr>
          <w:t>https://www.cipd.org/ie/knowledge/reports/private-sector-pay-survey/</w:t>
        </w:r>
      </w:hyperlink>
      <w:r w:rsidRPr="00616FE3">
        <w:rPr>
          <w:rFonts w:ascii="Arial" w:hAnsi="Arial" w:cs="Arial"/>
          <w:sz w:val="24"/>
          <w:szCs w:val="24"/>
        </w:rPr>
        <w:t xml:space="preserve"> (Accessed: 20.11.2025).</w:t>
      </w:r>
    </w:p>
    <w:p w14:paraId="1798F687"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(2025d) </w:t>
      </w:r>
      <w:r w:rsidRPr="00616FE3">
        <w:rPr>
          <w:rFonts w:ascii="Arial" w:hAnsi="Arial" w:cs="Arial"/>
          <w:i/>
          <w:iCs/>
          <w:sz w:val="24"/>
          <w:szCs w:val="24"/>
        </w:rPr>
        <w:t>Essential People Skills for Line Managers – Course Fees</w:t>
      </w:r>
      <w:r w:rsidRPr="00616FE3">
        <w:rPr>
          <w:rFonts w:ascii="Arial" w:hAnsi="Arial" w:cs="Arial"/>
          <w:sz w:val="24"/>
          <w:szCs w:val="24"/>
        </w:rPr>
        <w:t xml:space="preserve">. Chartered Institute of Personnel and Development. Available at: </w:t>
      </w:r>
      <w:hyperlink r:id="rId19" w:history="1">
        <w:r w:rsidRPr="00616FE3">
          <w:rPr>
            <w:rStyle w:val="Hyperlink"/>
            <w:rFonts w:ascii="Arial" w:hAnsi="Arial" w:cs="Arial"/>
            <w:sz w:val="24"/>
            <w:szCs w:val="24"/>
          </w:rPr>
          <w:t>https://shop.cipd.org/product?catalog=Essential-People-Skills-for-Line-Managers-F2F</w:t>
        </w:r>
      </w:hyperlink>
      <w:r w:rsidRPr="00616FE3">
        <w:rPr>
          <w:rFonts w:ascii="Arial" w:hAnsi="Arial" w:cs="Arial"/>
          <w:sz w:val="24"/>
          <w:szCs w:val="24"/>
        </w:rPr>
        <w:t xml:space="preserve"> (Accessed: 29.11.2025).</w:t>
      </w:r>
    </w:p>
    <w:p w14:paraId="62366731"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CIPD (2025e) </w:t>
      </w:r>
      <w:r w:rsidRPr="001C3324">
        <w:rPr>
          <w:rFonts w:ascii="Arial" w:hAnsi="Arial" w:cs="Arial"/>
          <w:i/>
          <w:iCs/>
          <w:sz w:val="24"/>
          <w:szCs w:val="24"/>
        </w:rPr>
        <w:t>PESTLE analysis</w:t>
      </w:r>
      <w:r w:rsidRPr="00616FE3">
        <w:rPr>
          <w:rFonts w:ascii="Arial" w:hAnsi="Arial" w:cs="Arial"/>
          <w:sz w:val="24"/>
          <w:szCs w:val="24"/>
        </w:rPr>
        <w:t xml:space="preserve">. </w:t>
      </w:r>
      <w:hyperlink r:id="rId20" w:anchor="what-is-a-pestle-analysis" w:history="1">
        <w:r w:rsidRPr="00616FE3">
          <w:rPr>
            <w:rStyle w:val="Hyperlink"/>
            <w:rFonts w:ascii="Arial" w:hAnsi="Arial" w:cs="Arial"/>
            <w:sz w:val="24"/>
            <w:szCs w:val="24"/>
          </w:rPr>
          <w:t>https://www.cipd.org/uk/knowledge/factsheets/pestle-analysis-factsheet/#what-is-a-pestle-analysis</w:t>
        </w:r>
      </w:hyperlink>
      <w:r w:rsidRPr="00616FE3">
        <w:rPr>
          <w:rFonts w:ascii="Arial" w:hAnsi="Arial" w:cs="Arial"/>
          <w:sz w:val="24"/>
          <w:szCs w:val="24"/>
        </w:rPr>
        <w:t xml:space="preserve">  Available at: (Accessed: 29.11.2025).</w:t>
      </w:r>
    </w:p>
    <w:p w14:paraId="5C21ADF2"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Cockett, J. (2025) </w:t>
      </w:r>
      <w:r w:rsidRPr="00616FE3">
        <w:rPr>
          <w:rFonts w:ascii="Arial" w:hAnsi="Arial" w:cs="Arial"/>
          <w:i/>
          <w:iCs/>
          <w:sz w:val="24"/>
          <w:szCs w:val="24"/>
        </w:rPr>
        <w:t>Labour Market Outlook – autumn 2025</w:t>
      </w:r>
      <w:r w:rsidRPr="00616FE3">
        <w:rPr>
          <w:rFonts w:ascii="Arial" w:hAnsi="Arial" w:cs="Arial"/>
          <w:sz w:val="24"/>
          <w:szCs w:val="24"/>
        </w:rPr>
        <w:t xml:space="preserve">. London: Chartered Institute of Personnel and Development. Available at: </w:t>
      </w:r>
      <w:hyperlink r:id="rId21" w:history="1">
        <w:r w:rsidRPr="00616FE3">
          <w:rPr>
            <w:rStyle w:val="Hyperlink"/>
            <w:rFonts w:ascii="Arial" w:hAnsi="Arial" w:cs="Arial"/>
            <w:sz w:val="24"/>
            <w:szCs w:val="24"/>
          </w:rPr>
          <w:t>https://www.cipd.org/globalassets/media/knowledge/knowledge-hub/reports/2025-pdfs/9024-lmo-autumn-2025-report-web.pdf</w:t>
        </w:r>
      </w:hyperlink>
      <w:r w:rsidRPr="00616FE3">
        <w:rPr>
          <w:rFonts w:ascii="Arial" w:hAnsi="Arial" w:cs="Arial"/>
          <w:sz w:val="24"/>
          <w:szCs w:val="24"/>
        </w:rPr>
        <w:t xml:space="preserve"> (Accessed: 19.11.2025)</w:t>
      </w:r>
    </w:p>
    <w:p w14:paraId="131B1361"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Business &amp; Trade (2024a) </w:t>
      </w:r>
      <w:r w:rsidRPr="00616FE3">
        <w:rPr>
          <w:rFonts w:ascii="Arial" w:hAnsi="Arial" w:cs="Arial"/>
          <w:i/>
          <w:iCs/>
          <w:sz w:val="24"/>
          <w:szCs w:val="24"/>
        </w:rPr>
        <w:t>Next Steps to Make Work Pay (web accessible version)</w:t>
      </w:r>
      <w:r w:rsidRPr="00616FE3">
        <w:rPr>
          <w:rFonts w:ascii="Arial" w:hAnsi="Arial" w:cs="Arial"/>
          <w:sz w:val="24"/>
          <w:szCs w:val="24"/>
        </w:rPr>
        <w:t xml:space="preserve">. Available at: </w:t>
      </w:r>
      <w:hyperlink r:id="rId22" w:history="1">
        <w:r w:rsidRPr="00616FE3">
          <w:rPr>
            <w:rStyle w:val="Hyperlink"/>
            <w:rFonts w:ascii="Arial" w:hAnsi="Arial" w:cs="Arial"/>
            <w:sz w:val="24"/>
            <w:szCs w:val="24"/>
          </w:rPr>
          <w:t>https://www.gov.uk/government/publications/next-steps-to-make-work-pay/next-steps-to-make-work-pay-web-accessible-version</w:t>
        </w:r>
      </w:hyperlink>
      <w:r w:rsidRPr="00616FE3">
        <w:rPr>
          <w:rFonts w:ascii="Arial" w:hAnsi="Arial" w:cs="Arial"/>
          <w:sz w:val="24"/>
          <w:szCs w:val="24"/>
        </w:rPr>
        <w:t xml:space="preserve"> (Accessed: 19.10.2025).</w:t>
      </w:r>
    </w:p>
    <w:p w14:paraId="10C32A63"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Business &amp; Trade (2025a) </w:t>
      </w:r>
      <w:r w:rsidRPr="00616FE3">
        <w:rPr>
          <w:rFonts w:ascii="Arial" w:hAnsi="Arial" w:cs="Arial"/>
          <w:i/>
          <w:iCs/>
          <w:sz w:val="24"/>
          <w:szCs w:val="24"/>
        </w:rPr>
        <w:t>Biggest upgrade to workers’ rights in a generation comes one step closer</w:t>
      </w:r>
      <w:r w:rsidRPr="00616FE3">
        <w:rPr>
          <w:rFonts w:ascii="Arial" w:hAnsi="Arial" w:cs="Arial"/>
          <w:sz w:val="24"/>
          <w:szCs w:val="24"/>
        </w:rPr>
        <w:t xml:space="preserve">. Press release. Available at: </w:t>
      </w:r>
      <w:hyperlink r:id="rId23" w:history="1">
        <w:r w:rsidRPr="00616FE3">
          <w:rPr>
            <w:rStyle w:val="Hyperlink"/>
            <w:rFonts w:ascii="Arial" w:hAnsi="Arial" w:cs="Arial"/>
            <w:sz w:val="24"/>
            <w:szCs w:val="24"/>
          </w:rPr>
          <w:t>https://www.gov.uk/government/news/biggest-upgrade-to-workers-rights-in-a-generation-comes-one-step-closer</w:t>
        </w:r>
      </w:hyperlink>
      <w:r w:rsidRPr="00616FE3">
        <w:rPr>
          <w:rFonts w:ascii="Arial" w:hAnsi="Arial" w:cs="Arial"/>
          <w:sz w:val="24"/>
          <w:szCs w:val="24"/>
        </w:rPr>
        <w:t xml:space="preserve"> (Accessed: 19.10.2025).</w:t>
      </w:r>
    </w:p>
    <w:p w14:paraId="2A3DC9A5"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Business and Trade (2024b) </w:t>
      </w:r>
      <w:r w:rsidRPr="00616FE3">
        <w:rPr>
          <w:rFonts w:ascii="Arial" w:hAnsi="Arial" w:cs="Arial"/>
          <w:i/>
          <w:iCs/>
          <w:sz w:val="24"/>
          <w:szCs w:val="24"/>
        </w:rPr>
        <w:t>Impact assessment: Day 1 unfair dismissal rights</w:t>
      </w:r>
      <w:r w:rsidRPr="00616FE3">
        <w:rPr>
          <w:rFonts w:ascii="Arial" w:hAnsi="Arial" w:cs="Arial"/>
          <w:sz w:val="24"/>
          <w:szCs w:val="24"/>
        </w:rPr>
        <w:t xml:space="preserve">. Available at: </w:t>
      </w:r>
      <w:hyperlink r:id="rId24" w:history="1">
        <w:r w:rsidRPr="00616FE3">
          <w:rPr>
            <w:rStyle w:val="Hyperlink"/>
            <w:rFonts w:ascii="Arial" w:hAnsi="Arial" w:cs="Arial"/>
            <w:sz w:val="24"/>
            <w:szCs w:val="24"/>
          </w:rPr>
          <w:t>https://assets.publishing.service.gov.uk/media/67125947b40d67191077b37f/impact-assessment-day-1-unfair-dismissal-rights.pdf</w:t>
        </w:r>
      </w:hyperlink>
      <w:r w:rsidRPr="00616FE3">
        <w:rPr>
          <w:rFonts w:ascii="Arial" w:hAnsi="Arial" w:cs="Arial"/>
          <w:sz w:val="24"/>
          <w:szCs w:val="24"/>
        </w:rPr>
        <w:t xml:space="preserve"> (Accessed: 26.10.2025).</w:t>
      </w:r>
    </w:p>
    <w:p w14:paraId="1F6D82D4"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Business and Trade (2025b) </w:t>
      </w:r>
      <w:r w:rsidRPr="00616FE3">
        <w:rPr>
          <w:rFonts w:ascii="Arial" w:hAnsi="Arial" w:cs="Arial"/>
          <w:i/>
          <w:iCs/>
          <w:sz w:val="24"/>
          <w:szCs w:val="24"/>
        </w:rPr>
        <w:t>Unfair dismissal: factsheet</w:t>
      </w:r>
      <w:r w:rsidRPr="00616FE3">
        <w:rPr>
          <w:rFonts w:ascii="Arial" w:hAnsi="Arial" w:cs="Arial"/>
          <w:sz w:val="24"/>
          <w:szCs w:val="24"/>
        </w:rPr>
        <w:t xml:space="preserve">. Available at: </w:t>
      </w:r>
      <w:hyperlink r:id="rId25" w:history="1">
        <w:r w:rsidRPr="00616FE3">
          <w:rPr>
            <w:rStyle w:val="Hyperlink"/>
            <w:rFonts w:ascii="Arial" w:hAnsi="Arial" w:cs="Arial"/>
            <w:sz w:val="24"/>
            <w:szCs w:val="24"/>
          </w:rPr>
          <w:t>https://assets.publishing.service.gov.uk/media/67e429c3d052ace7e89776c0/unfair-dismissal.pdf</w:t>
        </w:r>
      </w:hyperlink>
      <w:r w:rsidRPr="00616FE3">
        <w:rPr>
          <w:rFonts w:ascii="Arial" w:hAnsi="Arial" w:cs="Arial"/>
          <w:sz w:val="24"/>
          <w:szCs w:val="24"/>
        </w:rPr>
        <w:t xml:space="preserve"> (Accessed: 01.11.2025).</w:t>
      </w:r>
    </w:p>
    <w:p w14:paraId="4740C838"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Business and Trade (2025c) </w:t>
      </w:r>
      <w:r w:rsidRPr="00616FE3">
        <w:rPr>
          <w:rFonts w:ascii="Arial" w:hAnsi="Arial" w:cs="Arial"/>
          <w:i/>
          <w:iCs/>
          <w:sz w:val="24"/>
          <w:szCs w:val="24"/>
        </w:rPr>
        <w:t>The UK’s Modern Industrial Strategy</w:t>
      </w:r>
      <w:r w:rsidRPr="00616FE3">
        <w:rPr>
          <w:rFonts w:ascii="Arial" w:hAnsi="Arial" w:cs="Arial"/>
          <w:sz w:val="24"/>
          <w:szCs w:val="24"/>
        </w:rPr>
        <w:t xml:space="preserve">. CP 1337. London: His Majesty’s Stationery Office. Available at: </w:t>
      </w:r>
      <w:hyperlink r:id="rId26" w:history="1">
        <w:r w:rsidRPr="00616FE3">
          <w:rPr>
            <w:rStyle w:val="Hyperlink"/>
            <w:rFonts w:ascii="Arial" w:hAnsi="Arial" w:cs="Arial"/>
            <w:sz w:val="24"/>
            <w:szCs w:val="24"/>
          </w:rPr>
          <w:t>https://assets.publishing.service.gov.uk/media/68595e56db8e139f95652dc6/industrial_strategy_policy_paper.pdf</w:t>
        </w:r>
      </w:hyperlink>
      <w:r w:rsidRPr="00616FE3">
        <w:rPr>
          <w:rFonts w:ascii="Arial" w:hAnsi="Arial" w:cs="Arial"/>
          <w:sz w:val="24"/>
          <w:szCs w:val="24"/>
        </w:rPr>
        <w:t xml:space="preserve"> (Accessed: 13.11.2025).</w:t>
      </w:r>
    </w:p>
    <w:p w14:paraId="1B4DF7F1"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Education (2022) </w:t>
      </w:r>
      <w:r w:rsidRPr="00616FE3">
        <w:rPr>
          <w:rFonts w:ascii="Arial" w:hAnsi="Arial" w:cs="Arial"/>
          <w:i/>
          <w:iCs/>
          <w:sz w:val="24"/>
          <w:szCs w:val="24"/>
        </w:rPr>
        <w:t>Local skills improvement plans: statutory guidance</w:t>
      </w:r>
      <w:r w:rsidRPr="00616FE3">
        <w:rPr>
          <w:rFonts w:ascii="Arial" w:hAnsi="Arial" w:cs="Arial"/>
          <w:sz w:val="24"/>
          <w:szCs w:val="24"/>
        </w:rPr>
        <w:t xml:space="preserve">. October. Available at: </w:t>
      </w:r>
      <w:hyperlink r:id="rId27" w:history="1">
        <w:r w:rsidRPr="00616FE3">
          <w:rPr>
            <w:rStyle w:val="Hyperlink"/>
            <w:rFonts w:ascii="Arial" w:hAnsi="Arial" w:cs="Arial"/>
            <w:sz w:val="24"/>
            <w:szCs w:val="24"/>
          </w:rPr>
          <w:t>https://assets.publishing.service.gov.uk/media/634d3446d3bf7f61827af967/Local_skills_improvement_plans_-_statutory_guidance_Oct_2022.pdf</w:t>
        </w:r>
      </w:hyperlink>
      <w:r w:rsidRPr="00616FE3">
        <w:rPr>
          <w:rFonts w:ascii="Arial" w:hAnsi="Arial" w:cs="Arial"/>
          <w:sz w:val="24"/>
          <w:szCs w:val="24"/>
        </w:rPr>
        <w:t xml:space="preserve"> (Accessed: 14.11.2025).</w:t>
      </w:r>
    </w:p>
    <w:p w14:paraId="192DAC19"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lastRenderedPageBreak/>
        <w:t xml:space="preserve">Department for Education (2024) </w:t>
      </w:r>
      <w:r w:rsidRPr="00616FE3">
        <w:rPr>
          <w:rFonts w:ascii="Arial" w:hAnsi="Arial" w:cs="Arial"/>
          <w:i/>
          <w:iCs/>
          <w:sz w:val="24"/>
          <w:szCs w:val="24"/>
        </w:rPr>
        <w:t>Local skills improvement plans (LSIPs) and local skills improvement fund (LSIF)</w:t>
      </w:r>
      <w:r w:rsidRPr="00616FE3">
        <w:rPr>
          <w:rFonts w:ascii="Arial" w:hAnsi="Arial" w:cs="Arial"/>
          <w:sz w:val="24"/>
          <w:szCs w:val="24"/>
        </w:rPr>
        <w:t xml:space="preserve">. London: DfE. Available at: </w:t>
      </w:r>
      <w:hyperlink r:id="rId28" w:history="1">
        <w:r w:rsidRPr="00616FE3">
          <w:rPr>
            <w:rStyle w:val="Hyperlink"/>
            <w:rFonts w:ascii="Arial" w:hAnsi="Arial" w:cs="Arial"/>
            <w:sz w:val="24"/>
            <w:szCs w:val="24"/>
          </w:rPr>
          <w:t>Local skills improvement plans (LSIPs) and local skills improvement fund (LSIF) - GOV.UK</w:t>
        </w:r>
      </w:hyperlink>
      <w:r w:rsidRPr="00616FE3">
        <w:rPr>
          <w:rFonts w:ascii="Arial" w:hAnsi="Arial" w:cs="Arial"/>
          <w:sz w:val="24"/>
          <w:szCs w:val="24"/>
        </w:rPr>
        <w:t xml:space="preserve"> (Accessed: 14.11.2025).</w:t>
      </w:r>
    </w:p>
    <w:p w14:paraId="083002DE"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Education (2025) </w:t>
      </w:r>
      <w:r w:rsidRPr="00616FE3">
        <w:rPr>
          <w:rFonts w:ascii="Arial" w:hAnsi="Arial" w:cs="Arial"/>
          <w:i/>
          <w:iCs/>
          <w:sz w:val="24"/>
          <w:szCs w:val="24"/>
        </w:rPr>
        <w:t>Assessment of Priority Skills to 2030</w:t>
      </w:r>
      <w:r w:rsidRPr="00616FE3">
        <w:rPr>
          <w:rFonts w:ascii="Arial" w:hAnsi="Arial" w:cs="Arial"/>
          <w:sz w:val="24"/>
          <w:szCs w:val="24"/>
        </w:rPr>
        <w:t xml:space="preserve">. Available at: </w:t>
      </w:r>
      <w:hyperlink r:id="rId29" w:history="1">
        <w:r w:rsidRPr="00616FE3">
          <w:rPr>
            <w:rStyle w:val="Hyperlink"/>
            <w:rFonts w:ascii="Arial" w:hAnsi="Arial" w:cs="Arial"/>
            <w:sz w:val="24"/>
            <w:szCs w:val="24"/>
          </w:rPr>
          <w:t>https://www.gov.uk/government/publications/assessment-of-priority-skills-to-2030</w:t>
        </w:r>
      </w:hyperlink>
      <w:r w:rsidRPr="00616FE3">
        <w:rPr>
          <w:rFonts w:ascii="Arial" w:hAnsi="Arial" w:cs="Arial"/>
          <w:sz w:val="24"/>
          <w:szCs w:val="24"/>
        </w:rPr>
        <w:t xml:space="preserve">  (Accessed: 14.11.2025).</w:t>
      </w:r>
    </w:p>
    <w:p w14:paraId="34EAB293"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Department for Education (2025d) </w:t>
      </w:r>
      <w:r w:rsidRPr="00616FE3">
        <w:rPr>
          <w:rFonts w:ascii="Arial" w:hAnsi="Arial" w:cs="Arial"/>
          <w:i/>
          <w:iCs/>
          <w:sz w:val="24"/>
          <w:szCs w:val="24"/>
        </w:rPr>
        <w:t>Apprenticeship reforms set to turbocharge economic growth</w:t>
      </w:r>
      <w:r w:rsidRPr="00616FE3">
        <w:rPr>
          <w:rFonts w:ascii="Arial" w:hAnsi="Arial" w:cs="Arial"/>
          <w:sz w:val="24"/>
          <w:szCs w:val="24"/>
        </w:rPr>
        <w:t xml:space="preserve">. Available at: </w:t>
      </w:r>
      <w:hyperlink r:id="rId30" w:history="1">
        <w:r w:rsidRPr="00616FE3">
          <w:rPr>
            <w:rStyle w:val="Hyperlink"/>
            <w:rFonts w:ascii="Arial" w:hAnsi="Arial" w:cs="Arial"/>
            <w:sz w:val="24"/>
            <w:szCs w:val="24"/>
          </w:rPr>
          <w:t>https://www.gov.uk/government/news/apprenticeship-reforms-set-to-turbocharge-economic-growth</w:t>
        </w:r>
      </w:hyperlink>
      <w:r w:rsidRPr="00616FE3">
        <w:rPr>
          <w:rFonts w:ascii="Arial" w:hAnsi="Arial" w:cs="Arial"/>
          <w:sz w:val="24"/>
          <w:szCs w:val="24"/>
        </w:rPr>
        <w:t xml:space="preserve"> (Accessed: 16.11.2025).</w:t>
      </w:r>
    </w:p>
    <w:p w14:paraId="2AD18686" w14:textId="78AC7ABC"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Employment Rights Act </w:t>
      </w:r>
      <w:r w:rsidR="00174AAB">
        <w:rPr>
          <w:rFonts w:ascii="Arial" w:hAnsi="Arial" w:cs="Arial"/>
          <w:sz w:val="24"/>
          <w:szCs w:val="24"/>
        </w:rPr>
        <w:t>(</w:t>
      </w:r>
      <w:r w:rsidRPr="00616FE3">
        <w:rPr>
          <w:rFonts w:ascii="Arial" w:hAnsi="Arial" w:cs="Arial"/>
          <w:sz w:val="24"/>
          <w:szCs w:val="24"/>
        </w:rPr>
        <w:t>1996</w:t>
      </w:r>
      <w:r w:rsidR="00174AAB">
        <w:rPr>
          <w:rFonts w:ascii="Arial" w:hAnsi="Arial" w:cs="Arial"/>
          <w:sz w:val="24"/>
          <w:szCs w:val="24"/>
        </w:rPr>
        <w:t>)</w:t>
      </w:r>
      <w:r w:rsidRPr="00616FE3">
        <w:rPr>
          <w:rFonts w:ascii="Arial" w:hAnsi="Arial" w:cs="Arial"/>
          <w:sz w:val="24"/>
          <w:szCs w:val="24"/>
        </w:rPr>
        <w:t xml:space="preserve">, c. 18, Part IX, ss. 92–93 </w:t>
      </w:r>
      <w:r w:rsidRPr="00616FE3">
        <w:rPr>
          <w:rFonts w:ascii="Arial" w:hAnsi="Arial" w:cs="Arial"/>
          <w:i/>
          <w:iCs/>
          <w:sz w:val="24"/>
          <w:szCs w:val="24"/>
        </w:rPr>
        <w:t>Written statement of reasons for dismissal</w:t>
      </w:r>
      <w:r w:rsidRPr="00616FE3">
        <w:rPr>
          <w:rFonts w:ascii="Arial" w:hAnsi="Arial" w:cs="Arial"/>
          <w:sz w:val="24"/>
          <w:szCs w:val="24"/>
        </w:rPr>
        <w:t xml:space="preserve">. Available at: </w:t>
      </w:r>
      <w:hyperlink r:id="rId31" w:history="1">
        <w:r w:rsidRPr="00616FE3">
          <w:rPr>
            <w:rStyle w:val="Hyperlink"/>
            <w:rFonts w:ascii="Arial" w:hAnsi="Arial" w:cs="Arial"/>
            <w:sz w:val="24"/>
            <w:szCs w:val="24"/>
          </w:rPr>
          <w:t>https://www.legislation.gov.uk/ukpga/1996/18/part/IX/crossheading/written-statement-of-reasons-for-dismissal</w:t>
        </w:r>
      </w:hyperlink>
      <w:r w:rsidRPr="00616FE3">
        <w:rPr>
          <w:rFonts w:ascii="Arial" w:hAnsi="Arial" w:cs="Arial"/>
          <w:sz w:val="24"/>
          <w:szCs w:val="24"/>
        </w:rPr>
        <w:t xml:space="preserve"> (Accessed: 01.11.2025).</w:t>
      </w:r>
    </w:p>
    <w:p w14:paraId="43228358" w14:textId="77777777" w:rsidR="00795A99" w:rsidRPr="00616FE3" w:rsidRDefault="00795A99" w:rsidP="00C06500">
      <w:pPr>
        <w:ind w:left="360"/>
        <w:rPr>
          <w:rFonts w:ascii="Arial" w:hAnsi="Arial" w:cs="Arial"/>
          <w:sz w:val="24"/>
          <w:szCs w:val="24"/>
        </w:rPr>
      </w:pPr>
      <w:proofErr w:type="spellStart"/>
      <w:r w:rsidRPr="00616FE3">
        <w:rPr>
          <w:rFonts w:ascii="Arial" w:hAnsi="Arial" w:cs="Arial"/>
          <w:sz w:val="24"/>
          <w:szCs w:val="24"/>
        </w:rPr>
        <w:t>EnergyElephant</w:t>
      </w:r>
      <w:proofErr w:type="spellEnd"/>
      <w:r w:rsidRPr="00616FE3">
        <w:rPr>
          <w:rFonts w:ascii="Arial" w:hAnsi="Arial" w:cs="Arial"/>
          <w:sz w:val="24"/>
          <w:szCs w:val="24"/>
        </w:rPr>
        <w:t xml:space="preserve"> (2025</w:t>
      </w:r>
      <w:r w:rsidRPr="009F3310">
        <w:rPr>
          <w:rFonts w:ascii="Arial" w:hAnsi="Arial" w:cs="Arial"/>
          <w:sz w:val="24"/>
          <w:szCs w:val="24"/>
        </w:rPr>
        <w:t>)</w:t>
      </w:r>
      <w:r w:rsidRPr="009F3310">
        <w:rPr>
          <w:rFonts w:ascii="Arial" w:hAnsi="Arial" w:cs="Arial"/>
          <w:i/>
          <w:iCs/>
          <w:sz w:val="24"/>
          <w:szCs w:val="24"/>
        </w:rPr>
        <w:t xml:space="preserve"> Pricing for sustainability management software plans.</w:t>
      </w:r>
      <w:r w:rsidRPr="00616FE3">
        <w:rPr>
          <w:rFonts w:ascii="Arial" w:hAnsi="Arial" w:cs="Arial"/>
          <w:sz w:val="24"/>
          <w:szCs w:val="24"/>
        </w:rPr>
        <w:t xml:space="preserve"> Available at: </w:t>
      </w:r>
      <w:hyperlink r:id="rId32" w:history="1">
        <w:r w:rsidRPr="00616FE3">
          <w:rPr>
            <w:rStyle w:val="Hyperlink"/>
            <w:rFonts w:ascii="Arial" w:hAnsi="Arial" w:cs="Arial"/>
            <w:sz w:val="24"/>
            <w:szCs w:val="24"/>
          </w:rPr>
          <w:t>https://energyelephant.com/pricing</w:t>
        </w:r>
      </w:hyperlink>
      <w:r w:rsidRPr="00616FE3">
        <w:rPr>
          <w:rFonts w:ascii="Arial" w:hAnsi="Arial" w:cs="Arial"/>
          <w:sz w:val="24"/>
          <w:szCs w:val="24"/>
        </w:rPr>
        <w:t xml:space="preserve"> (Accessed: 29.11.2025)</w:t>
      </w:r>
    </w:p>
    <w:p w14:paraId="1E159772"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Growing Mid Wales (2024) </w:t>
      </w:r>
      <w:r w:rsidRPr="00616FE3">
        <w:rPr>
          <w:rFonts w:ascii="Arial" w:hAnsi="Arial" w:cs="Arial"/>
          <w:i/>
          <w:iCs/>
          <w:sz w:val="24"/>
          <w:szCs w:val="24"/>
        </w:rPr>
        <w:t>Investing in a brighter future for Mid Wales</w:t>
      </w:r>
      <w:r w:rsidRPr="00616FE3">
        <w:rPr>
          <w:rFonts w:ascii="Arial" w:hAnsi="Arial" w:cs="Arial"/>
          <w:sz w:val="24"/>
          <w:szCs w:val="24"/>
        </w:rPr>
        <w:t xml:space="preserve">. Mid Wales Regional Skills Partnership. Available at: </w:t>
      </w:r>
      <w:hyperlink r:id="rId33" w:history="1">
        <w:r w:rsidRPr="00616FE3">
          <w:rPr>
            <w:rStyle w:val="Hyperlink"/>
            <w:rFonts w:ascii="Arial" w:hAnsi="Arial" w:cs="Arial"/>
            <w:sz w:val="24"/>
            <w:szCs w:val="24"/>
          </w:rPr>
          <w:t>https://growingmidwales.co.uk/documents</w:t>
        </w:r>
      </w:hyperlink>
      <w:r w:rsidRPr="00616FE3">
        <w:rPr>
          <w:rFonts w:ascii="Arial" w:hAnsi="Arial" w:cs="Arial"/>
          <w:sz w:val="24"/>
          <w:szCs w:val="24"/>
        </w:rPr>
        <w:t xml:space="preserve"> (Accessed: 16.11.2025).</w:t>
      </w:r>
    </w:p>
    <w:p w14:paraId="3D5FA70A"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Harper James Solicitors (2024) </w:t>
      </w:r>
      <w:r w:rsidRPr="00616FE3">
        <w:rPr>
          <w:rFonts w:ascii="Arial" w:hAnsi="Arial" w:cs="Arial"/>
          <w:i/>
          <w:iCs/>
          <w:sz w:val="24"/>
          <w:szCs w:val="24"/>
        </w:rPr>
        <w:t>Understanding employment tribunal costs</w:t>
      </w:r>
      <w:r w:rsidRPr="00616FE3">
        <w:rPr>
          <w:rFonts w:ascii="Arial" w:hAnsi="Arial" w:cs="Arial"/>
          <w:sz w:val="24"/>
          <w:szCs w:val="24"/>
        </w:rPr>
        <w:t xml:space="preserve">. Available at: </w:t>
      </w:r>
      <w:hyperlink r:id="rId34" w:history="1">
        <w:r w:rsidRPr="00616FE3">
          <w:rPr>
            <w:rStyle w:val="Hyperlink"/>
            <w:rFonts w:ascii="Arial" w:hAnsi="Arial" w:cs="Arial"/>
            <w:sz w:val="24"/>
            <w:szCs w:val="24"/>
          </w:rPr>
          <w:t>https://harperjames.co.uk/article/cost-of-employment-tribunals-for-employers/</w:t>
        </w:r>
      </w:hyperlink>
      <w:r w:rsidRPr="00616FE3">
        <w:rPr>
          <w:rFonts w:ascii="Arial" w:hAnsi="Arial" w:cs="Arial"/>
          <w:sz w:val="24"/>
          <w:szCs w:val="24"/>
        </w:rPr>
        <w:t xml:space="preserve"> (Accessed: 06.11.2025).</w:t>
      </w:r>
    </w:p>
    <w:p w14:paraId="1997EE12" w14:textId="77777777" w:rsidR="00795A99" w:rsidRPr="00616FE3" w:rsidRDefault="00795A99" w:rsidP="00C06500">
      <w:pPr>
        <w:ind w:left="360"/>
        <w:rPr>
          <w:rFonts w:ascii="Arial" w:hAnsi="Arial" w:cs="Arial"/>
          <w:sz w:val="24"/>
          <w:szCs w:val="24"/>
        </w:rPr>
      </w:pPr>
      <w:r w:rsidRPr="00616FE3">
        <w:rPr>
          <w:rFonts w:ascii="Arial" w:hAnsi="Arial" w:cs="Arial"/>
          <w:color w:val="000000" w:themeColor="text1"/>
          <w:sz w:val="24"/>
          <w:szCs w:val="24"/>
        </w:rPr>
        <w:t xml:space="preserve">HM Government (2021) </w:t>
      </w:r>
      <w:r w:rsidRPr="00616FE3">
        <w:rPr>
          <w:rFonts w:ascii="Arial" w:hAnsi="Arial" w:cs="Arial"/>
          <w:i/>
          <w:iCs/>
          <w:color w:val="000000" w:themeColor="text1"/>
          <w:sz w:val="24"/>
          <w:szCs w:val="24"/>
        </w:rPr>
        <w:t>Net Zero Strategy: Build Back Greener. London</w:t>
      </w:r>
      <w:r w:rsidRPr="00616FE3">
        <w:rPr>
          <w:rFonts w:ascii="Arial" w:hAnsi="Arial" w:cs="Arial"/>
          <w:color w:val="000000" w:themeColor="text1"/>
          <w:sz w:val="24"/>
          <w:szCs w:val="24"/>
        </w:rPr>
        <w:t>. Available at:</w:t>
      </w:r>
      <w:r w:rsidRPr="00616FE3">
        <w:rPr>
          <w:rFonts w:ascii="Arial" w:hAnsi="Arial" w:cs="Arial"/>
          <w:sz w:val="24"/>
          <w:szCs w:val="24"/>
        </w:rPr>
        <w:t xml:space="preserve"> </w:t>
      </w:r>
      <w:hyperlink r:id="rId35" w:history="1">
        <w:r w:rsidRPr="00616FE3">
          <w:rPr>
            <w:rStyle w:val="Hyperlink"/>
            <w:rFonts w:ascii="Arial" w:hAnsi="Arial" w:cs="Arial"/>
            <w:sz w:val="24"/>
            <w:szCs w:val="24"/>
          </w:rPr>
          <w:t>https://assets.publishing.service.gov.uk/media/6194dfa4d3bf7f0555071b1b/net-zero-strategy-beis.pdf</w:t>
        </w:r>
      </w:hyperlink>
      <w:r w:rsidRPr="00616FE3">
        <w:rPr>
          <w:rFonts w:ascii="Arial" w:hAnsi="Arial" w:cs="Arial"/>
          <w:color w:val="000000" w:themeColor="text1"/>
          <w:sz w:val="24"/>
          <w:szCs w:val="24"/>
        </w:rPr>
        <w:t xml:space="preserve"> </w:t>
      </w:r>
      <w:r w:rsidRPr="00616FE3">
        <w:rPr>
          <w:rFonts w:ascii="Arial" w:hAnsi="Arial" w:cs="Arial"/>
          <w:sz w:val="24"/>
          <w:szCs w:val="24"/>
        </w:rPr>
        <w:t>(Accessed: 29.11.2025)</w:t>
      </w:r>
    </w:p>
    <w:p w14:paraId="7494EE4B"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HM Government (2024) </w:t>
      </w:r>
      <w:r w:rsidRPr="00616FE3">
        <w:rPr>
          <w:rFonts w:ascii="Arial" w:hAnsi="Arial" w:cs="Arial"/>
          <w:i/>
          <w:iCs/>
          <w:sz w:val="24"/>
          <w:szCs w:val="24"/>
        </w:rPr>
        <w:t>Employment Rights Bill analysis</w:t>
      </w:r>
      <w:r w:rsidRPr="00616FE3">
        <w:rPr>
          <w:rFonts w:ascii="Arial" w:hAnsi="Arial" w:cs="Arial"/>
          <w:sz w:val="24"/>
          <w:szCs w:val="24"/>
        </w:rPr>
        <w:t xml:space="preserve">. Available at: </w:t>
      </w:r>
      <w:hyperlink r:id="rId36" w:history="1">
        <w:r w:rsidRPr="00616FE3">
          <w:rPr>
            <w:rStyle w:val="Hyperlink"/>
            <w:rFonts w:ascii="Arial" w:hAnsi="Arial" w:cs="Arial"/>
            <w:sz w:val="24"/>
            <w:szCs w:val="24"/>
          </w:rPr>
          <w:t>https://assets.publishing.service.gov.uk/media/67f67154b7e44efc70acc404/employment-rights-bill-analysis.pdf</w:t>
        </w:r>
      </w:hyperlink>
      <w:r w:rsidRPr="00616FE3">
        <w:rPr>
          <w:rFonts w:ascii="Arial" w:hAnsi="Arial" w:cs="Arial"/>
          <w:sz w:val="24"/>
          <w:szCs w:val="24"/>
        </w:rPr>
        <w:t xml:space="preserve">  (Accessed: 26.10.2025).</w:t>
      </w:r>
    </w:p>
    <w:p w14:paraId="1086B793"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Hogarth, A. and McCartney, C. (2024) </w:t>
      </w:r>
      <w:r w:rsidRPr="00B513D3">
        <w:rPr>
          <w:rFonts w:ascii="Arial" w:hAnsi="Arial" w:cs="Arial"/>
          <w:i/>
          <w:iCs/>
          <w:sz w:val="24"/>
          <w:szCs w:val="24"/>
        </w:rPr>
        <w:t>Resourcing and talent planning report 2024</w:t>
      </w:r>
      <w:r w:rsidRPr="00174AAB">
        <w:rPr>
          <w:rFonts w:ascii="Arial" w:hAnsi="Arial" w:cs="Arial"/>
          <w:sz w:val="24"/>
          <w:szCs w:val="24"/>
        </w:rPr>
        <w:t xml:space="preserve">. London: Chartered Institute of Personnel and Development. </w:t>
      </w:r>
      <w:r w:rsidRPr="00616FE3">
        <w:rPr>
          <w:rFonts w:ascii="Arial" w:hAnsi="Arial" w:cs="Arial"/>
          <w:sz w:val="24"/>
          <w:szCs w:val="24"/>
        </w:rPr>
        <w:t xml:space="preserve">Available at: </w:t>
      </w:r>
      <w:hyperlink r:id="rId37" w:history="1">
        <w:r w:rsidRPr="00616FE3">
          <w:rPr>
            <w:rStyle w:val="Hyperlink"/>
            <w:rFonts w:ascii="Arial" w:hAnsi="Arial" w:cs="Arial"/>
            <w:sz w:val="24"/>
            <w:szCs w:val="24"/>
          </w:rPr>
          <w:t>https://www.cipd.org/globalassets/media/knowledge/knowledge-hub/reports/2024-pdfs/8662-resource-and-talent-planning-2024-report-web.pdf</w:t>
        </w:r>
      </w:hyperlink>
      <w:r w:rsidRPr="00616FE3">
        <w:rPr>
          <w:rFonts w:ascii="Arial" w:hAnsi="Arial" w:cs="Arial"/>
          <w:sz w:val="24"/>
          <w:szCs w:val="24"/>
        </w:rPr>
        <w:t xml:space="preserve"> (Accessed: 24.11.2025)</w:t>
      </w:r>
    </w:p>
    <w:p w14:paraId="1B3D2D7D"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House of Commons Library (2025) </w:t>
      </w:r>
      <w:r w:rsidRPr="00616FE3">
        <w:rPr>
          <w:rFonts w:ascii="Arial" w:hAnsi="Arial" w:cs="Arial"/>
          <w:i/>
          <w:iCs/>
          <w:sz w:val="24"/>
          <w:szCs w:val="24"/>
        </w:rPr>
        <w:t>Industrial strategy in the UK</w:t>
      </w:r>
      <w:r w:rsidRPr="00616FE3">
        <w:rPr>
          <w:rFonts w:ascii="Arial" w:hAnsi="Arial" w:cs="Arial"/>
          <w:sz w:val="24"/>
          <w:szCs w:val="24"/>
        </w:rPr>
        <w:t>. Research Briefing CBP</w:t>
      </w:r>
      <w:r w:rsidRPr="00616FE3">
        <w:rPr>
          <w:rFonts w:ascii="Arial" w:hAnsi="Arial" w:cs="Arial"/>
          <w:sz w:val="24"/>
          <w:szCs w:val="24"/>
        </w:rPr>
        <w:noBreakHyphen/>
        <w:t xml:space="preserve">7682. London: House of Commons Library. Available at: </w:t>
      </w:r>
      <w:hyperlink r:id="rId38" w:history="1">
        <w:r w:rsidRPr="00616FE3">
          <w:rPr>
            <w:rStyle w:val="Hyperlink"/>
            <w:rFonts w:ascii="Arial" w:hAnsi="Arial" w:cs="Arial"/>
            <w:sz w:val="24"/>
            <w:szCs w:val="24"/>
          </w:rPr>
          <w:t>https://researchbriefings.files.parliament.uk/documents/CBP-7682/CBP-7682.pdf</w:t>
        </w:r>
      </w:hyperlink>
      <w:r w:rsidRPr="00616FE3">
        <w:rPr>
          <w:rFonts w:ascii="Arial" w:hAnsi="Arial" w:cs="Arial"/>
          <w:sz w:val="24"/>
          <w:szCs w:val="24"/>
        </w:rPr>
        <w:t xml:space="preserve"> (Accessed: 16.11.2025).</w:t>
      </w:r>
    </w:p>
    <w:p w14:paraId="1506D8E6"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lastRenderedPageBreak/>
        <w:t xml:space="preserve">House of Lords Library (2024) </w:t>
      </w:r>
      <w:r w:rsidRPr="009F3310">
        <w:rPr>
          <w:rFonts w:ascii="Arial" w:hAnsi="Arial" w:cs="Arial"/>
          <w:i/>
          <w:iCs/>
          <w:sz w:val="24"/>
          <w:szCs w:val="24"/>
        </w:rPr>
        <w:t>Economic growth, inflation and productivity.</w:t>
      </w:r>
      <w:r w:rsidRPr="00616FE3">
        <w:rPr>
          <w:rFonts w:ascii="Arial" w:hAnsi="Arial" w:cs="Arial"/>
          <w:sz w:val="24"/>
          <w:szCs w:val="24"/>
        </w:rPr>
        <w:t xml:space="preserve"> Available at: </w:t>
      </w:r>
      <w:hyperlink r:id="rId39" w:history="1">
        <w:r w:rsidRPr="00616FE3">
          <w:rPr>
            <w:rStyle w:val="Hyperlink"/>
            <w:rFonts w:ascii="Arial" w:hAnsi="Arial" w:cs="Arial"/>
            <w:sz w:val="24"/>
            <w:szCs w:val="24"/>
          </w:rPr>
          <w:t>https://lordslibrary.parliament.uk/economic-growth-inflation-and-productivity/</w:t>
        </w:r>
      </w:hyperlink>
      <w:r w:rsidRPr="00616FE3">
        <w:rPr>
          <w:rFonts w:ascii="Arial" w:hAnsi="Arial" w:cs="Arial"/>
          <w:sz w:val="24"/>
          <w:szCs w:val="24"/>
        </w:rPr>
        <w:t xml:space="preserve"> (Accessed: 14.11.2025).</w:t>
      </w:r>
    </w:p>
    <w:p w14:paraId="42BBA3C8"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HR Magazine (2025) </w:t>
      </w:r>
      <w:r w:rsidRPr="009F3310">
        <w:rPr>
          <w:rFonts w:ascii="Arial" w:hAnsi="Arial" w:cs="Arial"/>
          <w:i/>
          <w:iCs/>
          <w:sz w:val="24"/>
          <w:szCs w:val="24"/>
        </w:rPr>
        <w:t>Labour backtracks on day-one unfair dismissal rights: Hr reacts.</w:t>
      </w:r>
      <w:r w:rsidRPr="00616FE3">
        <w:rPr>
          <w:rFonts w:ascii="Arial" w:hAnsi="Arial" w:cs="Arial"/>
          <w:sz w:val="24"/>
          <w:szCs w:val="24"/>
        </w:rPr>
        <w:t xml:space="preserve"> Available at: </w:t>
      </w:r>
      <w:hyperlink r:id="rId40" w:history="1">
        <w:r w:rsidRPr="00616FE3">
          <w:rPr>
            <w:rStyle w:val="Hyperlink"/>
            <w:rFonts w:ascii="Arial" w:hAnsi="Arial" w:cs="Arial"/>
            <w:sz w:val="24"/>
            <w:szCs w:val="24"/>
          </w:rPr>
          <w:t>https://www.hrmagazine.co.uk/content/news/labour-backtracks-on-day-one-unfair-dismissal-rights-hr-reacts</w:t>
        </w:r>
      </w:hyperlink>
      <w:r w:rsidRPr="00616FE3">
        <w:rPr>
          <w:rFonts w:ascii="Arial" w:hAnsi="Arial" w:cs="Arial"/>
          <w:sz w:val="24"/>
          <w:szCs w:val="24"/>
        </w:rPr>
        <w:t xml:space="preserve"> (Accessed: 01.12.2025)</w:t>
      </w:r>
    </w:p>
    <w:p w14:paraId="3386FA49"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Institution of Engineering and Technology (IET) (2025) </w:t>
      </w:r>
      <w:r w:rsidRPr="00616FE3">
        <w:rPr>
          <w:rFonts w:ascii="Arial" w:hAnsi="Arial" w:cs="Arial"/>
          <w:i/>
          <w:iCs/>
          <w:sz w:val="24"/>
          <w:szCs w:val="24"/>
        </w:rPr>
        <w:t>Latest UK engineering and technology skills stats 2025</w:t>
      </w:r>
      <w:r w:rsidRPr="00616FE3">
        <w:rPr>
          <w:rFonts w:ascii="Arial" w:hAnsi="Arial" w:cs="Arial"/>
          <w:sz w:val="24"/>
          <w:szCs w:val="24"/>
        </w:rPr>
        <w:t xml:space="preserve">. London: IET. Available at: </w:t>
      </w:r>
      <w:hyperlink r:id="rId41" w:history="1">
        <w:r w:rsidRPr="00616FE3">
          <w:rPr>
            <w:rStyle w:val="Hyperlink"/>
            <w:rFonts w:ascii="Arial" w:hAnsi="Arial" w:cs="Arial"/>
            <w:sz w:val="24"/>
            <w:szCs w:val="24"/>
          </w:rPr>
          <w:t>https://www.theiet.org/media/press-releases/press-releases-2025/press-releases-2025-october-december/6-october-2025-latest-uk-engineering-and-technology-skills-stats-2025</w:t>
        </w:r>
      </w:hyperlink>
      <w:r w:rsidRPr="00616FE3">
        <w:rPr>
          <w:rFonts w:ascii="Arial" w:hAnsi="Arial" w:cs="Arial"/>
          <w:sz w:val="24"/>
          <w:szCs w:val="24"/>
        </w:rPr>
        <w:t xml:space="preserve"> (Accessed: 20.11.2025)</w:t>
      </w:r>
    </w:p>
    <w:p w14:paraId="5C3C990F"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Jackson, I. (2025) </w:t>
      </w:r>
      <w:r w:rsidRPr="00616FE3">
        <w:rPr>
          <w:rFonts w:ascii="Arial" w:hAnsi="Arial" w:cs="Arial"/>
          <w:i/>
          <w:iCs/>
          <w:sz w:val="24"/>
          <w:szCs w:val="24"/>
        </w:rPr>
        <w:t>‘Confused and counterproductive’: House of Lords votes against day-one protection from unfair dismissal</w:t>
      </w:r>
      <w:r w:rsidRPr="00616FE3">
        <w:rPr>
          <w:rFonts w:ascii="Arial" w:hAnsi="Arial" w:cs="Arial"/>
          <w:sz w:val="24"/>
          <w:szCs w:val="24"/>
        </w:rPr>
        <w:t>. People Management, 21 July. Available at: https://www.peoplemanagement.co.uk/article/1926180/confused-counterproductive-house-lords-votes-against-day-one-protection-unfair-dismissal (Accessed: 26.10.2025).</w:t>
      </w:r>
    </w:p>
    <w:p w14:paraId="1BC8CCC9"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Jenkin, J. (2025) </w:t>
      </w:r>
      <w:r w:rsidRPr="00616FE3">
        <w:rPr>
          <w:rFonts w:ascii="Arial" w:hAnsi="Arial" w:cs="Arial"/>
          <w:i/>
          <w:iCs/>
          <w:sz w:val="24"/>
          <w:szCs w:val="24"/>
        </w:rPr>
        <w:t>Prepare for changes to unfair dismissal rules</w:t>
      </w:r>
      <w:r w:rsidRPr="00616FE3">
        <w:rPr>
          <w:rFonts w:ascii="Arial" w:hAnsi="Arial" w:cs="Arial"/>
          <w:sz w:val="24"/>
          <w:szCs w:val="24"/>
        </w:rPr>
        <w:t xml:space="preserve">. </w:t>
      </w:r>
      <w:r w:rsidRPr="00616FE3">
        <w:rPr>
          <w:rFonts w:ascii="Arial" w:hAnsi="Arial" w:cs="Arial"/>
          <w:i/>
          <w:iCs/>
          <w:sz w:val="24"/>
          <w:szCs w:val="24"/>
        </w:rPr>
        <w:t>HR Magazine</w:t>
      </w:r>
      <w:r w:rsidRPr="00616FE3">
        <w:rPr>
          <w:rFonts w:ascii="Arial" w:hAnsi="Arial" w:cs="Arial"/>
          <w:sz w:val="24"/>
          <w:szCs w:val="24"/>
        </w:rPr>
        <w:t xml:space="preserve">, 24 October. Available at: </w:t>
      </w:r>
      <w:hyperlink r:id="rId42" w:history="1">
        <w:r w:rsidRPr="00616FE3">
          <w:rPr>
            <w:rStyle w:val="Hyperlink"/>
            <w:rFonts w:ascii="Arial" w:hAnsi="Arial" w:cs="Arial"/>
            <w:sz w:val="24"/>
            <w:szCs w:val="24"/>
          </w:rPr>
          <w:t>https://www.hrmagazine.co.uk/content/features/prepare-for-changes-to-unfair-dismissal-rules</w:t>
        </w:r>
      </w:hyperlink>
      <w:r w:rsidRPr="00616FE3">
        <w:rPr>
          <w:rFonts w:ascii="Arial" w:hAnsi="Arial" w:cs="Arial"/>
          <w:sz w:val="24"/>
          <w:szCs w:val="24"/>
        </w:rPr>
        <w:t xml:space="preserve"> (Accessed: 26.10.2025).</w:t>
      </w:r>
    </w:p>
    <w:p w14:paraId="016509EC"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Make UK (2025) </w:t>
      </w:r>
      <w:r w:rsidRPr="00616FE3">
        <w:rPr>
          <w:rFonts w:ascii="Arial" w:hAnsi="Arial" w:cs="Arial"/>
          <w:i/>
          <w:iCs/>
          <w:sz w:val="24"/>
          <w:szCs w:val="24"/>
        </w:rPr>
        <w:t>Manufacturing Outlook Q3 2025</w:t>
      </w:r>
      <w:r w:rsidRPr="00616FE3">
        <w:rPr>
          <w:rFonts w:ascii="Arial" w:hAnsi="Arial" w:cs="Arial"/>
          <w:sz w:val="24"/>
          <w:szCs w:val="24"/>
        </w:rPr>
        <w:t xml:space="preserve">. Available at: </w:t>
      </w:r>
      <w:hyperlink r:id="rId43" w:history="1">
        <w:r w:rsidRPr="00616FE3">
          <w:rPr>
            <w:rStyle w:val="Hyperlink"/>
            <w:rFonts w:ascii="Arial" w:hAnsi="Arial" w:cs="Arial"/>
            <w:sz w:val="24"/>
            <w:szCs w:val="24"/>
          </w:rPr>
          <w:t>https://www.makeuk.org/insights/reports/manufacturing-outlook-2025-q3</w:t>
        </w:r>
      </w:hyperlink>
      <w:r w:rsidRPr="00616FE3">
        <w:rPr>
          <w:rFonts w:ascii="Arial" w:hAnsi="Arial" w:cs="Arial"/>
          <w:sz w:val="24"/>
          <w:szCs w:val="24"/>
        </w:rPr>
        <w:t xml:space="preserve"> (Accessed: 19.11.2025).</w:t>
      </w:r>
    </w:p>
    <w:p w14:paraId="1C3A607A"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Ministry of Justice (2024) </w:t>
      </w:r>
      <w:r w:rsidRPr="00616FE3">
        <w:rPr>
          <w:rFonts w:ascii="Arial" w:hAnsi="Arial" w:cs="Arial"/>
          <w:i/>
          <w:iCs/>
          <w:sz w:val="24"/>
          <w:szCs w:val="24"/>
        </w:rPr>
        <w:t>Tribunal statistics quarterly: April to June 2024</w:t>
      </w:r>
      <w:r w:rsidRPr="00616FE3">
        <w:rPr>
          <w:rFonts w:ascii="Arial" w:hAnsi="Arial" w:cs="Arial"/>
          <w:sz w:val="24"/>
          <w:szCs w:val="24"/>
        </w:rPr>
        <w:t xml:space="preserve">. Available at: </w:t>
      </w:r>
      <w:hyperlink r:id="rId44" w:anchor="employment-tribunal-and-employment-appeal-tribunal-2023-24" w:history="1">
        <w:r w:rsidRPr="00616FE3">
          <w:rPr>
            <w:rStyle w:val="Hyperlink"/>
            <w:rFonts w:ascii="Arial" w:hAnsi="Arial" w:cs="Arial"/>
            <w:sz w:val="24"/>
            <w:szCs w:val="24"/>
          </w:rPr>
          <w:t>https://www.gov.uk/government/statistics/tribunals-statistics-quarterly-april-to-june-2024/tribunal-statistics-quarterly-april-to-june-2024#employment-tribunal-and-employment-appeal-tribunal-2023-24</w:t>
        </w:r>
      </w:hyperlink>
      <w:r w:rsidRPr="00616FE3">
        <w:rPr>
          <w:rFonts w:ascii="Arial" w:hAnsi="Arial" w:cs="Arial"/>
          <w:sz w:val="24"/>
          <w:szCs w:val="24"/>
        </w:rPr>
        <w:t xml:space="preserve"> (Accessed: 06.11.2025).</w:t>
      </w:r>
    </w:p>
    <w:p w14:paraId="0693F594"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Office for National Statistics (2025a) </w:t>
      </w:r>
      <w:r w:rsidRPr="00616FE3">
        <w:rPr>
          <w:rFonts w:ascii="Arial" w:hAnsi="Arial" w:cs="Arial"/>
          <w:i/>
          <w:iCs/>
          <w:sz w:val="24"/>
          <w:szCs w:val="24"/>
        </w:rPr>
        <w:t>Output per hour worked</w:t>
      </w:r>
      <w:r w:rsidRPr="00616FE3">
        <w:rPr>
          <w:rFonts w:ascii="Arial" w:hAnsi="Arial" w:cs="Arial"/>
          <w:sz w:val="24"/>
          <w:szCs w:val="24"/>
        </w:rPr>
        <w:t xml:space="preserve">, UK. Available at: </w:t>
      </w:r>
      <w:hyperlink r:id="rId45" w:history="1">
        <w:r w:rsidRPr="00616FE3">
          <w:rPr>
            <w:rStyle w:val="Hyperlink"/>
            <w:rFonts w:ascii="Arial" w:hAnsi="Arial" w:cs="Arial"/>
            <w:sz w:val="24"/>
            <w:szCs w:val="24"/>
          </w:rPr>
          <w:t>https://www.ons.gov.uk/economy/economicoutputandproductivity/productivitymeasures/datasets/outputperhourworkeduk</w:t>
        </w:r>
      </w:hyperlink>
      <w:r w:rsidRPr="00616FE3">
        <w:rPr>
          <w:rFonts w:ascii="Arial" w:hAnsi="Arial" w:cs="Arial"/>
          <w:sz w:val="24"/>
          <w:szCs w:val="24"/>
        </w:rPr>
        <w:t xml:space="preserve"> (Accessed:14.11.2025).</w:t>
      </w:r>
    </w:p>
    <w:p w14:paraId="7540D1CB"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Office for National Statistics (2025b) </w:t>
      </w:r>
      <w:r w:rsidRPr="00616FE3">
        <w:rPr>
          <w:rFonts w:ascii="Arial" w:hAnsi="Arial" w:cs="Arial"/>
          <w:i/>
          <w:iCs/>
          <w:sz w:val="24"/>
          <w:szCs w:val="24"/>
        </w:rPr>
        <w:t>Consumer price inflation, UK: October 2025</w:t>
      </w:r>
      <w:r w:rsidRPr="00616FE3">
        <w:rPr>
          <w:rFonts w:ascii="Arial" w:hAnsi="Arial" w:cs="Arial"/>
          <w:sz w:val="24"/>
          <w:szCs w:val="24"/>
        </w:rPr>
        <w:t xml:space="preserve">. Statistical bulletin. Available at: </w:t>
      </w:r>
      <w:hyperlink r:id="rId46" w:history="1">
        <w:r w:rsidRPr="00616FE3">
          <w:rPr>
            <w:rStyle w:val="Hyperlink"/>
            <w:rFonts w:ascii="Arial" w:hAnsi="Arial" w:cs="Arial"/>
            <w:sz w:val="24"/>
            <w:szCs w:val="24"/>
          </w:rPr>
          <w:t>https://www.ons.gov.uk/economy/inflationandpriceindices/bulletins/consumerpriceinflation/october2025</w:t>
        </w:r>
      </w:hyperlink>
      <w:r w:rsidRPr="00616FE3">
        <w:rPr>
          <w:rFonts w:ascii="Arial" w:hAnsi="Arial" w:cs="Arial"/>
          <w:sz w:val="24"/>
          <w:szCs w:val="24"/>
        </w:rPr>
        <w:t xml:space="preserve"> (Accessed: 19.11.2025).</w:t>
      </w:r>
    </w:p>
    <w:p w14:paraId="52BD4295"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Office for National Statistics (2025c) </w:t>
      </w:r>
      <w:r w:rsidRPr="00616FE3">
        <w:rPr>
          <w:rFonts w:ascii="Arial" w:hAnsi="Arial" w:cs="Arial"/>
          <w:i/>
          <w:iCs/>
          <w:sz w:val="24"/>
          <w:szCs w:val="24"/>
        </w:rPr>
        <w:t>Producer price inflation, UK: October 2025</w:t>
      </w:r>
      <w:r w:rsidRPr="00616FE3">
        <w:rPr>
          <w:rFonts w:ascii="Arial" w:hAnsi="Arial" w:cs="Arial"/>
          <w:sz w:val="24"/>
          <w:szCs w:val="24"/>
        </w:rPr>
        <w:t xml:space="preserve">. Available at: </w:t>
      </w:r>
      <w:hyperlink r:id="rId47" w:history="1">
        <w:r w:rsidRPr="00616FE3">
          <w:rPr>
            <w:rStyle w:val="Hyperlink"/>
            <w:rFonts w:ascii="Arial" w:hAnsi="Arial" w:cs="Arial"/>
            <w:sz w:val="24"/>
            <w:szCs w:val="24"/>
          </w:rPr>
          <w:t>https://www.ons.gov.uk/economy/inflationandpriceindices/bulletins/producerpriceinflation/october2025</w:t>
        </w:r>
      </w:hyperlink>
      <w:r w:rsidRPr="00616FE3">
        <w:rPr>
          <w:rFonts w:ascii="Arial" w:hAnsi="Arial" w:cs="Arial"/>
          <w:sz w:val="24"/>
          <w:szCs w:val="24"/>
        </w:rPr>
        <w:t xml:space="preserve"> (Accessed: 19.11.2025)</w:t>
      </w:r>
    </w:p>
    <w:p w14:paraId="41B02AAA"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Office for National Statistics (2025d) </w:t>
      </w:r>
      <w:r w:rsidRPr="00616FE3">
        <w:rPr>
          <w:rFonts w:ascii="Arial" w:hAnsi="Arial" w:cs="Arial"/>
          <w:i/>
          <w:iCs/>
          <w:sz w:val="24"/>
          <w:szCs w:val="24"/>
        </w:rPr>
        <w:t>Average weekly earnings in Great Britain: November 2025</w:t>
      </w:r>
      <w:r w:rsidRPr="00616FE3">
        <w:rPr>
          <w:rFonts w:ascii="Arial" w:hAnsi="Arial" w:cs="Arial"/>
          <w:sz w:val="24"/>
          <w:szCs w:val="24"/>
        </w:rPr>
        <w:t xml:space="preserve">. Available at: </w:t>
      </w:r>
      <w:hyperlink r:id="rId48" w:history="1">
        <w:r w:rsidRPr="00616FE3">
          <w:rPr>
            <w:rStyle w:val="Hyperlink"/>
            <w:rFonts w:ascii="Arial" w:hAnsi="Arial" w:cs="Arial"/>
            <w:sz w:val="24"/>
            <w:szCs w:val="24"/>
          </w:rPr>
          <w:t>https://www.ons.gov.uk/employmentandlabourmarket/peopleinwork/employmenta</w:t>
        </w:r>
        <w:r w:rsidRPr="00616FE3">
          <w:rPr>
            <w:rStyle w:val="Hyperlink"/>
            <w:rFonts w:ascii="Arial" w:hAnsi="Arial" w:cs="Arial"/>
            <w:sz w:val="24"/>
            <w:szCs w:val="24"/>
          </w:rPr>
          <w:lastRenderedPageBreak/>
          <w:t>ndemployeetypes/bulletins/averageweeklyearningsingreatbritain/november2025</w:t>
        </w:r>
      </w:hyperlink>
      <w:r w:rsidRPr="00616FE3">
        <w:rPr>
          <w:rFonts w:ascii="Arial" w:hAnsi="Arial" w:cs="Arial"/>
          <w:sz w:val="24"/>
          <w:szCs w:val="24"/>
        </w:rPr>
        <w:t xml:space="preserve"> (Accessed: 20.11.2025).</w:t>
      </w:r>
    </w:p>
    <w:p w14:paraId="1E61A21D"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Pertemps (2025) </w:t>
      </w:r>
      <w:r w:rsidRPr="00616FE3">
        <w:rPr>
          <w:rFonts w:ascii="Arial" w:hAnsi="Arial" w:cs="Arial"/>
          <w:i/>
          <w:iCs/>
          <w:sz w:val="24"/>
          <w:szCs w:val="24"/>
        </w:rPr>
        <w:t>UK businesses warn rising costs and Employment Rights Bill threaten jobs and growth – CBI/Pertemps Employment Trends Survey 2025</w:t>
      </w:r>
      <w:r w:rsidRPr="00616FE3">
        <w:rPr>
          <w:rFonts w:ascii="Arial" w:hAnsi="Arial" w:cs="Arial"/>
          <w:sz w:val="24"/>
          <w:szCs w:val="24"/>
        </w:rPr>
        <w:t xml:space="preserve">. Available at: </w:t>
      </w:r>
      <w:hyperlink r:id="rId49" w:history="1">
        <w:r w:rsidRPr="00616FE3">
          <w:rPr>
            <w:rStyle w:val="Hyperlink"/>
            <w:rFonts w:ascii="Arial" w:hAnsi="Arial" w:cs="Arial"/>
            <w:sz w:val="24"/>
            <w:szCs w:val="24"/>
          </w:rPr>
          <w:t>UK Businesses Warn Rising Costs and Employment Rights Bill Threaten Jobs and Growth – CBI/Pertemps E</w:t>
        </w:r>
      </w:hyperlink>
      <w:r w:rsidRPr="00616FE3">
        <w:rPr>
          <w:rFonts w:ascii="Arial" w:hAnsi="Arial" w:cs="Arial"/>
          <w:sz w:val="24"/>
          <w:szCs w:val="24"/>
        </w:rPr>
        <w:t xml:space="preserve"> (Accessed: 26.10.2025).</w:t>
      </w:r>
    </w:p>
    <w:p w14:paraId="2294EAA9"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Pinsent Masons (2025) </w:t>
      </w:r>
      <w:r w:rsidRPr="009F3310">
        <w:rPr>
          <w:rFonts w:ascii="Arial" w:hAnsi="Arial" w:cs="Arial"/>
          <w:i/>
          <w:iCs/>
          <w:sz w:val="24"/>
          <w:szCs w:val="24"/>
        </w:rPr>
        <w:t xml:space="preserve">UK employers doubt HR processes would stand up in tribunal, study shows. </w:t>
      </w:r>
      <w:r w:rsidRPr="00616FE3">
        <w:rPr>
          <w:rFonts w:ascii="Arial" w:hAnsi="Arial" w:cs="Arial"/>
          <w:sz w:val="24"/>
          <w:szCs w:val="24"/>
        </w:rPr>
        <w:t xml:space="preserve">Available at: </w:t>
      </w:r>
      <w:hyperlink r:id="rId50" w:history="1">
        <w:r w:rsidRPr="00616FE3">
          <w:rPr>
            <w:rStyle w:val="Hyperlink"/>
            <w:rFonts w:ascii="Arial" w:hAnsi="Arial" w:cs="Arial"/>
            <w:sz w:val="24"/>
            <w:szCs w:val="24"/>
          </w:rPr>
          <w:t>https://www.pertemps.co.uk/news-blogs/latest-news/business-news/uk-businesses-warn-rising-costs-and-employment-rights-bill-threaten-jobs-and-growth-cbi-pertemps-employment-trends-survey-2025/</w:t>
        </w:r>
      </w:hyperlink>
      <w:r w:rsidRPr="00616FE3">
        <w:rPr>
          <w:rFonts w:ascii="Arial" w:hAnsi="Arial" w:cs="Arial"/>
          <w:sz w:val="24"/>
          <w:szCs w:val="24"/>
        </w:rPr>
        <w:t xml:space="preserve"> (Accessed: 29.11.2025).</w:t>
      </w:r>
    </w:p>
    <w:p w14:paraId="45FB0ABE"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Schultz, T.W. (1961) ‘Investment in human capital’, </w:t>
      </w:r>
      <w:r w:rsidRPr="00616FE3">
        <w:rPr>
          <w:rFonts w:ascii="Arial" w:hAnsi="Arial" w:cs="Arial"/>
          <w:i/>
          <w:iCs/>
          <w:sz w:val="24"/>
          <w:szCs w:val="24"/>
        </w:rPr>
        <w:t>American Economic Review</w:t>
      </w:r>
      <w:r w:rsidRPr="00616FE3">
        <w:rPr>
          <w:rFonts w:ascii="Arial" w:hAnsi="Arial" w:cs="Arial"/>
          <w:sz w:val="24"/>
          <w:szCs w:val="24"/>
        </w:rPr>
        <w:t>, 51(1), pp. 1–17.</w:t>
      </w:r>
    </w:p>
    <w:p w14:paraId="4AD80173"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Siemens (2021) </w:t>
      </w:r>
      <w:r w:rsidRPr="009F3310">
        <w:rPr>
          <w:rFonts w:ascii="Arial" w:hAnsi="Arial" w:cs="Arial"/>
          <w:i/>
          <w:iCs/>
          <w:sz w:val="24"/>
          <w:szCs w:val="24"/>
        </w:rPr>
        <w:t>‘Apprenticeship degree programme hailed a success’. Siemens Newsroom, 9 February</w:t>
      </w:r>
      <w:r w:rsidRPr="00616FE3">
        <w:rPr>
          <w:rFonts w:ascii="Arial" w:hAnsi="Arial" w:cs="Arial"/>
          <w:sz w:val="24"/>
          <w:szCs w:val="24"/>
        </w:rPr>
        <w:t xml:space="preserve">. Available at: </w:t>
      </w:r>
      <w:hyperlink r:id="rId51" w:history="1">
        <w:r w:rsidRPr="00616FE3">
          <w:rPr>
            <w:rStyle w:val="Hyperlink"/>
            <w:rFonts w:ascii="Arial" w:hAnsi="Arial" w:cs="Arial"/>
            <w:sz w:val="24"/>
            <w:szCs w:val="24"/>
          </w:rPr>
          <w:t>https://news.siemens.co.uk/news/apprenticeship-degree-programme-hailed-a-success</w:t>
        </w:r>
      </w:hyperlink>
      <w:r w:rsidRPr="00616FE3">
        <w:rPr>
          <w:rFonts w:ascii="Arial" w:hAnsi="Arial" w:cs="Arial"/>
          <w:sz w:val="24"/>
          <w:szCs w:val="24"/>
        </w:rPr>
        <w:t xml:space="preserve"> (Accessed: 24.11.2025)</w:t>
      </w:r>
    </w:p>
    <w:p w14:paraId="5BBC7E3B"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Skills Development Scotland (2022) </w:t>
      </w:r>
      <w:r w:rsidRPr="00616FE3">
        <w:rPr>
          <w:rFonts w:ascii="Arial" w:hAnsi="Arial" w:cs="Arial"/>
          <w:i/>
          <w:iCs/>
          <w:sz w:val="24"/>
          <w:szCs w:val="24"/>
        </w:rPr>
        <w:t>Skills for a Changing World: Strategic Plan 2022–2027</w:t>
      </w:r>
      <w:r w:rsidRPr="00616FE3">
        <w:rPr>
          <w:rFonts w:ascii="Arial" w:hAnsi="Arial" w:cs="Arial"/>
          <w:sz w:val="24"/>
          <w:szCs w:val="24"/>
        </w:rPr>
        <w:t xml:space="preserve">. Glasgow: SDS. Available at: </w:t>
      </w:r>
      <w:hyperlink r:id="rId52" w:history="1">
        <w:r w:rsidRPr="00616FE3">
          <w:rPr>
            <w:rStyle w:val="Hyperlink"/>
            <w:rFonts w:ascii="Arial" w:hAnsi="Arial" w:cs="Arial"/>
            <w:sz w:val="24"/>
            <w:szCs w:val="24"/>
          </w:rPr>
          <w:t>https://www.skillsdevelopmentscotland.co.uk/media/x5fjul51/sds-strategic-plan-2022-27.pdf</w:t>
        </w:r>
      </w:hyperlink>
      <w:r w:rsidRPr="00616FE3">
        <w:rPr>
          <w:rFonts w:ascii="Arial" w:hAnsi="Arial" w:cs="Arial"/>
          <w:sz w:val="24"/>
          <w:szCs w:val="24"/>
        </w:rPr>
        <w:t xml:space="preserve"> (Accessed: 16.11.2025).</w:t>
      </w:r>
    </w:p>
    <w:p w14:paraId="69437506"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Skills England (2025) </w:t>
      </w:r>
      <w:r w:rsidRPr="00616FE3">
        <w:rPr>
          <w:rFonts w:ascii="Arial" w:hAnsi="Arial" w:cs="Arial"/>
          <w:i/>
          <w:iCs/>
          <w:sz w:val="24"/>
          <w:szCs w:val="24"/>
        </w:rPr>
        <w:t>Assessment of priority skills to 2030</w:t>
      </w:r>
      <w:r w:rsidRPr="00616FE3">
        <w:rPr>
          <w:rFonts w:ascii="Arial" w:hAnsi="Arial" w:cs="Arial"/>
          <w:sz w:val="24"/>
          <w:szCs w:val="24"/>
        </w:rPr>
        <w:t xml:space="preserve">. London: Skills England. Available at: </w:t>
      </w:r>
      <w:hyperlink r:id="rId53" w:history="1">
        <w:r w:rsidRPr="00616FE3">
          <w:rPr>
            <w:rStyle w:val="Hyperlink"/>
            <w:rFonts w:ascii="Arial" w:hAnsi="Arial" w:cs="Arial"/>
            <w:sz w:val="24"/>
            <w:szCs w:val="24"/>
          </w:rPr>
          <w:t>https://www.gov.uk/government/publications/assessment-of-priority-skills-to-2030/assessment-of-priority-skills-to-2030</w:t>
        </w:r>
      </w:hyperlink>
      <w:r w:rsidRPr="00616FE3">
        <w:rPr>
          <w:rFonts w:ascii="Arial" w:hAnsi="Arial" w:cs="Arial"/>
          <w:sz w:val="24"/>
          <w:szCs w:val="24"/>
        </w:rPr>
        <w:t xml:space="preserve"> (Accessed: 14.11.2025).</w:t>
      </w:r>
    </w:p>
    <w:p w14:paraId="5BED4DFB"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Sofidel (2024b) </w:t>
      </w:r>
      <w:r w:rsidRPr="00616FE3">
        <w:rPr>
          <w:rFonts w:ascii="Arial" w:hAnsi="Arial" w:cs="Arial"/>
          <w:i/>
          <w:iCs/>
          <w:sz w:val="24"/>
          <w:szCs w:val="24"/>
        </w:rPr>
        <w:t>Integrated Report 2024</w:t>
      </w:r>
      <w:r w:rsidRPr="00616FE3">
        <w:rPr>
          <w:rFonts w:ascii="Arial" w:hAnsi="Arial" w:cs="Arial"/>
          <w:sz w:val="24"/>
          <w:szCs w:val="24"/>
        </w:rPr>
        <w:t xml:space="preserve">. Available at: </w:t>
      </w:r>
      <w:hyperlink r:id="rId54" w:history="1">
        <w:r w:rsidRPr="00616FE3">
          <w:rPr>
            <w:rStyle w:val="Hyperlink"/>
            <w:rFonts w:ascii="Arial" w:hAnsi="Arial" w:cs="Arial"/>
            <w:sz w:val="24"/>
            <w:szCs w:val="24"/>
          </w:rPr>
          <w:t>https://www.sofidel.com/wp-content/uploads/2024/05/Integrated_Report_2024_Sofidel_EN-1.pdf</w:t>
        </w:r>
      </w:hyperlink>
      <w:r w:rsidRPr="00616FE3">
        <w:rPr>
          <w:rFonts w:ascii="Arial" w:hAnsi="Arial" w:cs="Arial"/>
          <w:sz w:val="24"/>
          <w:szCs w:val="24"/>
        </w:rPr>
        <w:t xml:space="preserve"> (Accessed: 26.10.2025)</w:t>
      </w:r>
    </w:p>
    <w:p w14:paraId="39D5781E"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Sofidel UK (2024a) </w:t>
      </w:r>
      <w:r w:rsidRPr="00616FE3">
        <w:rPr>
          <w:rFonts w:ascii="Arial" w:hAnsi="Arial" w:cs="Arial"/>
          <w:i/>
          <w:iCs/>
          <w:sz w:val="24"/>
          <w:szCs w:val="24"/>
        </w:rPr>
        <w:t>Internal HR records: employee dismissals within first year of service</w:t>
      </w:r>
      <w:r w:rsidRPr="00616FE3">
        <w:rPr>
          <w:rFonts w:ascii="Arial" w:hAnsi="Arial" w:cs="Arial"/>
          <w:sz w:val="24"/>
          <w:szCs w:val="24"/>
        </w:rPr>
        <w:t>. Unpublished.</w:t>
      </w:r>
    </w:p>
    <w:p w14:paraId="4D6DD9E2" w14:textId="77777777" w:rsidR="00795A99" w:rsidRPr="00616FE3" w:rsidRDefault="00795A99" w:rsidP="00C06500">
      <w:pPr>
        <w:ind w:left="360"/>
        <w:rPr>
          <w:rFonts w:ascii="Arial" w:hAnsi="Arial" w:cs="Arial"/>
          <w:color w:val="000000" w:themeColor="text1"/>
          <w:sz w:val="24"/>
          <w:szCs w:val="24"/>
        </w:rPr>
      </w:pPr>
      <w:r w:rsidRPr="00616FE3">
        <w:rPr>
          <w:rFonts w:ascii="Arial" w:hAnsi="Arial" w:cs="Arial"/>
          <w:color w:val="000000" w:themeColor="text1"/>
          <w:sz w:val="24"/>
          <w:szCs w:val="24"/>
        </w:rPr>
        <w:t xml:space="preserve">Sofidel UK (2025a) </w:t>
      </w:r>
      <w:r w:rsidRPr="00616FE3">
        <w:rPr>
          <w:rFonts w:ascii="Arial" w:hAnsi="Arial" w:cs="Arial"/>
          <w:i/>
          <w:iCs/>
          <w:color w:val="000000" w:themeColor="text1"/>
          <w:sz w:val="24"/>
          <w:szCs w:val="24"/>
        </w:rPr>
        <w:t>Internal HR data on technical vacancies and apprenticeship uptake</w:t>
      </w:r>
      <w:r w:rsidRPr="00616FE3">
        <w:rPr>
          <w:rFonts w:ascii="Arial" w:hAnsi="Arial" w:cs="Arial"/>
          <w:color w:val="000000" w:themeColor="text1"/>
          <w:sz w:val="24"/>
          <w:szCs w:val="24"/>
        </w:rPr>
        <w:t>. Unpublished.</w:t>
      </w:r>
    </w:p>
    <w:p w14:paraId="0A4C9BC8" w14:textId="77777777" w:rsidR="00795A99" w:rsidRPr="00616FE3" w:rsidRDefault="00795A99" w:rsidP="00C06500">
      <w:pPr>
        <w:ind w:left="360"/>
        <w:rPr>
          <w:rFonts w:ascii="Arial" w:hAnsi="Arial" w:cs="Arial"/>
          <w:color w:val="000000" w:themeColor="text1"/>
          <w:sz w:val="24"/>
          <w:szCs w:val="24"/>
        </w:rPr>
      </w:pPr>
      <w:r w:rsidRPr="00616FE3">
        <w:rPr>
          <w:rFonts w:ascii="Arial" w:hAnsi="Arial" w:cs="Arial"/>
          <w:color w:val="000000" w:themeColor="text1"/>
          <w:sz w:val="24"/>
          <w:szCs w:val="24"/>
        </w:rPr>
        <w:t xml:space="preserve">Sofidel UK (2025b) </w:t>
      </w:r>
      <w:r w:rsidRPr="00616FE3">
        <w:rPr>
          <w:rFonts w:ascii="Arial" w:hAnsi="Arial" w:cs="Arial"/>
          <w:i/>
          <w:iCs/>
          <w:color w:val="000000" w:themeColor="text1"/>
          <w:sz w:val="24"/>
          <w:szCs w:val="24"/>
        </w:rPr>
        <w:t xml:space="preserve">Internal HR Salary Data Report. </w:t>
      </w:r>
      <w:r w:rsidRPr="00616FE3">
        <w:rPr>
          <w:rFonts w:ascii="Arial" w:hAnsi="Arial" w:cs="Arial"/>
          <w:color w:val="000000" w:themeColor="text1"/>
          <w:sz w:val="24"/>
          <w:szCs w:val="24"/>
        </w:rPr>
        <w:t>Unpublished.</w:t>
      </w:r>
    </w:p>
    <w:p w14:paraId="3800F19E" w14:textId="77777777" w:rsidR="00795A99" w:rsidRPr="00616FE3" w:rsidRDefault="00795A99" w:rsidP="00C06500">
      <w:pPr>
        <w:ind w:left="360"/>
        <w:rPr>
          <w:rFonts w:ascii="Arial" w:hAnsi="Arial" w:cs="Arial"/>
          <w:i/>
          <w:iCs/>
          <w:color w:val="000000" w:themeColor="text1"/>
          <w:sz w:val="24"/>
          <w:szCs w:val="24"/>
        </w:rPr>
      </w:pPr>
      <w:r w:rsidRPr="00616FE3">
        <w:rPr>
          <w:rFonts w:ascii="Arial" w:hAnsi="Arial" w:cs="Arial"/>
          <w:color w:val="000000" w:themeColor="text1"/>
          <w:sz w:val="24"/>
          <w:szCs w:val="24"/>
        </w:rPr>
        <w:t xml:space="preserve">Sofidel UK (2025c) </w:t>
      </w:r>
      <w:r w:rsidRPr="00616FE3">
        <w:rPr>
          <w:rFonts w:ascii="Arial" w:hAnsi="Arial" w:cs="Arial"/>
          <w:i/>
          <w:iCs/>
          <w:color w:val="000000" w:themeColor="text1"/>
          <w:sz w:val="24"/>
          <w:szCs w:val="24"/>
        </w:rPr>
        <w:t xml:space="preserve">Internal HR Training Materials and Administration Cost. </w:t>
      </w:r>
      <w:r w:rsidRPr="00616FE3">
        <w:rPr>
          <w:rFonts w:ascii="Arial" w:hAnsi="Arial" w:cs="Arial"/>
          <w:color w:val="000000" w:themeColor="text1"/>
          <w:sz w:val="24"/>
          <w:szCs w:val="24"/>
        </w:rPr>
        <w:t>Unpublished.</w:t>
      </w:r>
    </w:p>
    <w:p w14:paraId="17420973" w14:textId="77777777" w:rsidR="00795A99" w:rsidRPr="00616FE3" w:rsidRDefault="00795A99" w:rsidP="00C06500">
      <w:pPr>
        <w:ind w:left="360"/>
        <w:rPr>
          <w:rFonts w:ascii="Arial" w:hAnsi="Arial" w:cs="Arial"/>
          <w:i/>
          <w:iCs/>
          <w:color w:val="000000" w:themeColor="text1"/>
          <w:sz w:val="24"/>
          <w:szCs w:val="24"/>
        </w:rPr>
      </w:pPr>
      <w:r w:rsidRPr="00616FE3">
        <w:rPr>
          <w:rFonts w:ascii="Arial" w:hAnsi="Arial" w:cs="Arial"/>
          <w:color w:val="000000" w:themeColor="text1"/>
          <w:sz w:val="24"/>
          <w:szCs w:val="24"/>
        </w:rPr>
        <w:t xml:space="preserve">Sofidel UK (2025d) </w:t>
      </w:r>
      <w:r w:rsidRPr="00616FE3">
        <w:rPr>
          <w:rFonts w:ascii="Arial" w:hAnsi="Arial" w:cs="Arial"/>
          <w:i/>
          <w:iCs/>
          <w:color w:val="000000" w:themeColor="text1"/>
          <w:sz w:val="24"/>
          <w:szCs w:val="24"/>
        </w:rPr>
        <w:t xml:space="preserve">Internal Onboarding and Pathway Materials Cost. </w:t>
      </w:r>
      <w:r w:rsidRPr="00616FE3">
        <w:rPr>
          <w:rFonts w:ascii="Arial" w:hAnsi="Arial" w:cs="Arial"/>
          <w:color w:val="000000" w:themeColor="text1"/>
          <w:sz w:val="24"/>
          <w:szCs w:val="24"/>
        </w:rPr>
        <w:t>Unpublished.</w:t>
      </w:r>
    </w:p>
    <w:p w14:paraId="5B714C74" w14:textId="77777777" w:rsidR="00795A99" w:rsidRPr="00616FE3" w:rsidRDefault="00795A99" w:rsidP="00C06500">
      <w:pPr>
        <w:ind w:left="360"/>
        <w:rPr>
          <w:rFonts w:ascii="Arial" w:hAnsi="Arial" w:cs="Arial"/>
          <w:i/>
          <w:iCs/>
          <w:color w:val="000000" w:themeColor="text1"/>
          <w:sz w:val="24"/>
          <w:szCs w:val="24"/>
        </w:rPr>
      </w:pPr>
      <w:r w:rsidRPr="00616FE3">
        <w:rPr>
          <w:rFonts w:ascii="Arial" w:hAnsi="Arial" w:cs="Arial"/>
          <w:color w:val="000000" w:themeColor="text1"/>
          <w:sz w:val="24"/>
          <w:szCs w:val="24"/>
        </w:rPr>
        <w:t>Sofidel UK</w:t>
      </w:r>
      <w:r w:rsidRPr="00616FE3">
        <w:rPr>
          <w:rFonts w:ascii="Arial" w:hAnsi="Arial" w:cs="Arial"/>
          <w:i/>
          <w:iCs/>
          <w:color w:val="000000" w:themeColor="text1"/>
          <w:sz w:val="24"/>
          <w:szCs w:val="24"/>
        </w:rPr>
        <w:t xml:space="preserve"> (</w:t>
      </w:r>
      <w:r w:rsidRPr="00616FE3">
        <w:rPr>
          <w:rFonts w:ascii="Arial" w:hAnsi="Arial" w:cs="Arial"/>
          <w:color w:val="000000" w:themeColor="text1"/>
          <w:sz w:val="24"/>
          <w:szCs w:val="24"/>
        </w:rPr>
        <w:t>2025e</w:t>
      </w:r>
      <w:r w:rsidRPr="00616FE3">
        <w:rPr>
          <w:rFonts w:ascii="Arial" w:hAnsi="Arial" w:cs="Arial"/>
          <w:i/>
          <w:iCs/>
          <w:color w:val="000000" w:themeColor="text1"/>
          <w:sz w:val="24"/>
          <w:szCs w:val="24"/>
        </w:rPr>
        <w:t xml:space="preserve">) Internal HR Oversight and Administration Cost Estimate. </w:t>
      </w:r>
      <w:r w:rsidRPr="00616FE3">
        <w:rPr>
          <w:rFonts w:ascii="Arial" w:hAnsi="Arial" w:cs="Arial"/>
          <w:color w:val="000000" w:themeColor="text1"/>
          <w:sz w:val="24"/>
          <w:szCs w:val="24"/>
        </w:rPr>
        <w:t>Unpublished.</w:t>
      </w:r>
    </w:p>
    <w:p w14:paraId="248EE984" w14:textId="77777777" w:rsidR="00795A99" w:rsidRPr="00616FE3" w:rsidRDefault="00795A99" w:rsidP="00C06500">
      <w:pPr>
        <w:ind w:left="360"/>
        <w:rPr>
          <w:rFonts w:ascii="Arial" w:hAnsi="Arial" w:cs="Arial"/>
          <w:i/>
          <w:iCs/>
          <w:color w:val="000000" w:themeColor="text1"/>
          <w:sz w:val="24"/>
          <w:szCs w:val="24"/>
        </w:rPr>
      </w:pPr>
      <w:r w:rsidRPr="00616FE3">
        <w:rPr>
          <w:rFonts w:ascii="Arial" w:hAnsi="Arial" w:cs="Arial"/>
          <w:color w:val="000000" w:themeColor="text1"/>
          <w:sz w:val="24"/>
          <w:szCs w:val="24"/>
        </w:rPr>
        <w:lastRenderedPageBreak/>
        <w:t>Sofidel UK (2025f)</w:t>
      </w:r>
      <w:r w:rsidRPr="00616FE3">
        <w:rPr>
          <w:rFonts w:ascii="Arial" w:hAnsi="Arial" w:cs="Arial"/>
          <w:i/>
          <w:iCs/>
          <w:color w:val="000000" w:themeColor="text1"/>
          <w:sz w:val="24"/>
          <w:szCs w:val="24"/>
        </w:rPr>
        <w:t xml:space="preserve"> Internal Payroll Data Apprentice Salaries. </w:t>
      </w:r>
      <w:r w:rsidRPr="00616FE3">
        <w:rPr>
          <w:rFonts w:ascii="Arial" w:hAnsi="Arial" w:cs="Arial"/>
          <w:color w:val="000000" w:themeColor="text1"/>
          <w:sz w:val="24"/>
          <w:szCs w:val="24"/>
        </w:rPr>
        <w:t>Unpublished.</w:t>
      </w:r>
    </w:p>
    <w:p w14:paraId="19A12B99" w14:textId="77777777" w:rsidR="00795A99" w:rsidRPr="00616FE3" w:rsidRDefault="00795A99" w:rsidP="00C06500">
      <w:pPr>
        <w:ind w:left="360"/>
        <w:rPr>
          <w:rFonts w:ascii="Arial" w:hAnsi="Arial" w:cs="Arial"/>
          <w:i/>
          <w:iCs/>
          <w:color w:val="000000" w:themeColor="text1"/>
          <w:sz w:val="24"/>
          <w:szCs w:val="24"/>
        </w:rPr>
      </w:pPr>
      <w:r w:rsidRPr="00616FE3">
        <w:rPr>
          <w:rFonts w:ascii="Arial" w:hAnsi="Arial" w:cs="Arial"/>
          <w:color w:val="000000" w:themeColor="text1"/>
          <w:sz w:val="24"/>
          <w:szCs w:val="24"/>
        </w:rPr>
        <w:t>Sofidel UK (2025g)</w:t>
      </w:r>
      <w:r w:rsidRPr="00616FE3">
        <w:rPr>
          <w:rFonts w:ascii="Arial" w:hAnsi="Arial" w:cs="Arial"/>
          <w:i/>
          <w:iCs/>
          <w:color w:val="000000" w:themeColor="text1"/>
          <w:sz w:val="24"/>
          <w:szCs w:val="24"/>
        </w:rPr>
        <w:t xml:space="preserve"> Internal HR/Engineering Cost Estimate for Energy Monitoring Pilot. </w:t>
      </w:r>
      <w:r w:rsidRPr="00616FE3">
        <w:rPr>
          <w:rFonts w:ascii="Arial" w:hAnsi="Arial" w:cs="Arial"/>
          <w:color w:val="000000" w:themeColor="text1"/>
          <w:sz w:val="24"/>
          <w:szCs w:val="24"/>
        </w:rPr>
        <w:t>Unpublished.</w:t>
      </w:r>
    </w:p>
    <w:p w14:paraId="57123A5D"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Taylor, S. and Perkins, G. (2021) </w:t>
      </w:r>
      <w:r w:rsidRPr="00616FE3">
        <w:rPr>
          <w:rFonts w:ascii="Arial" w:hAnsi="Arial" w:cs="Arial"/>
          <w:i/>
          <w:iCs/>
          <w:sz w:val="24"/>
          <w:szCs w:val="24"/>
        </w:rPr>
        <w:t>Work and employment in a changing business environment</w:t>
      </w:r>
      <w:r w:rsidRPr="00616FE3">
        <w:rPr>
          <w:rFonts w:ascii="Arial" w:hAnsi="Arial" w:cs="Arial"/>
          <w:sz w:val="24"/>
          <w:szCs w:val="24"/>
        </w:rPr>
        <w:t>. London; Kogan Page.</w:t>
      </w:r>
    </w:p>
    <w:p w14:paraId="7155DAF2"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UK Government (2022) </w:t>
      </w:r>
      <w:r w:rsidRPr="00616FE3">
        <w:rPr>
          <w:rFonts w:ascii="Arial" w:hAnsi="Arial" w:cs="Arial"/>
          <w:i/>
          <w:iCs/>
          <w:sz w:val="24"/>
          <w:szCs w:val="24"/>
        </w:rPr>
        <w:t>Skills and Post</w:t>
      </w:r>
      <w:r w:rsidRPr="00616FE3">
        <w:rPr>
          <w:rFonts w:ascii="Arial" w:hAnsi="Arial" w:cs="Arial"/>
          <w:i/>
          <w:iCs/>
          <w:sz w:val="24"/>
          <w:szCs w:val="24"/>
        </w:rPr>
        <w:noBreakHyphen/>
        <w:t>16 Education Act 2022</w:t>
      </w:r>
      <w:r w:rsidRPr="00616FE3">
        <w:rPr>
          <w:rFonts w:ascii="Arial" w:hAnsi="Arial" w:cs="Arial"/>
          <w:sz w:val="24"/>
          <w:szCs w:val="24"/>
        </w:rPr>
        <w:t xml:space="preserve">. Available at: </w:t>
      </w:r>
      <w:hyperlink r:id="rId55" w:history="1">
        <w:r w:rsidRPr="00616FE3">
          <w:rPr>
            <w:rStyle w:val="Hyperlink"/>
            <w:rFonts w:ascii="Arial" w:hAnsi="Arial" w:cs="Arial"/>
            <w:sz w:val="24"/>
            <w:szCs w:val="24"/>
          </w:rPr>
          <w:t>https://www.legislation.gov.uk/ukpga/2022/21/contents</w:t>
        </w:r>
      </w:hyperlink>
      <w:r w:rsidRPr="00616FE3">
        <w:rPr>
          <w:rFonts w:ascii="Arial" w:hAnsi="Arial" w:cs="Arial"/>
          <w:sz w:val="24"/>
          <w:szCs w:val="24"/>
        </w:rPr>
        <w:t xml:space="preserve"> (Accessed: 14.11.2025).</w:t>
      </w:r>
    </w:p>
    <w:p w14:paraId="05BD7BF7"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UK Government (2025) </w:t>
      </w:r>
      <w:r w:rsidRPr="009F3310">
        <w:rPr>
          <w:rFonts w:ascii="Arial" w:hAnsi="Arial" w:cs="Arial"/>
          <w:i/>
          <w:iCs/>
          <w:sz w:val="24"/>
          <w:szCs w:val="24"/>
        </w:rPr>
        <w:t>Apprenticeship levy. London: HM Government</w:t>
      </w:r>
      <w:r w:rsidRPr="00616FE3">
        <w:rPr>
          <w:rFonts w:ascii="Arial" w:hAnsi="Arial" w:cs="Arial"/>
          <w:sz w:val="24"/>
          <w:szCs w:val="24"/>
        </w:rPr>
        <w:t xml:space="preserve">. Available at: </w:t>
      </w:r>
      <w:hyperlink r:id="rId56" w:history="1">
        <w:r w:rsidRPr="00616FE3">
          <w:rPr>
            <w:rStyle w:val="Hyperlink"/>
            <w:rFonts w:ascii="Arial" w:hAnsi="Arial" w:cs="Arial"/>
            <w:sz w:val="24"/>
            <w:szCs w:val="24"/>
          </w:rPr>
          <w:t>https://www.gov.uk/guidance/pay-apprenticeship-levy</w:t>
        </w:r>
      </w:hyperlink>
      <w:r w:rsidRPr="00616FE3">
        <w:rPr>
          <w:rFonts w:ascii="Arial" w:hAnsi="Arial" w:cs="Arial"/>
          <w:sz w:val="24"/>
          <w:szCs w:val="24"/>
        </w:rPr>
        <w:t xml:space="preserve"> (Accessed: 24.11.2025)</w:t>
      </w:r>
    </w:p>
    <w:p w14:paraId="5149648F" w14:textId="77777777" w:rsidR="00795A99" w:rsidRPr="00616FE3" w:rsidRDefault="00795A99" w:rsidP="00C06500">
      <w:pPr>
        <w:ind w:left="360"/>
        <w:rPr>
          <w:rFonts w:ascii="Arial" w:hAnsi="Arial" w:cs="Arial"/>
          <w:sz w:val="24"/>
          <w:szCs w:val="24"/>
        </w:rPr>
      </w:pPr>
      <w:r w:rsidRPr="00616FE3">
        <w:rPr>
          <w:rFonts w:ascii="Arial" w:hAnsi="Arial" w:cs="Arial"/>
          <w:sz w:val="24"/>
          <w:szCs w:val="24"/>
        </w:rPr>
        <w:t xml:space="preserve">Womack, J.P., Jones, D.T. and </w:t>
      </w:r>
      <w:proofErr w:type="spellStart"/>
      <w:r w:rsidRPr="00616FE3">
        <w:rPr>
          <w:rFonts w:ascii="Arial" w:hAnsi="Arial" w:cs="Arial"/>
          <w:sz w:val="24"/>
          <w:szCs w:val="24"/>
        </w:rPr>
        <w:t>Roos</w:t>
      </w:r>
      <w:proofErr w:type="spellEnd"/>
      <w:r w:rsidRPr="00616FE3">
        <w:rPr>
          <w:rFonts w:ascii="Arial" w:hAnsi="Arial" w:cs="Arial"/>
          <w:sz w:val="24"/>
          <w:szCs w:val="24"/>
        </w:rPr>
        <w:t xml:space="preserve">, D. (1997) The Machine That Changed the World. New York: Simon &amp; Schuster, Limited. Available from: ProQuest </w:t>
      </w:r>
      <w:proofErr w:type="spellStart"/>
      <w:r w:rsidRPr="00616FE3">
        <w:rPr>
          <w:rFonts w:ascii="Arial" w:hAnsi="Arial" w:cs="Arial"/>
          <w:sz w:val="24"/>
          <w:szCs w:val="24"/>
        </w:rPr>
        <w:t>Ebook</w:t>
      </w:r>
      <w:proofErr w:type="spellEnd"/>
      <w:r w:rsidRPr="00616FE3">
        <w:rPr>
          <w:rFonts w:ascii="Arial" w:hAnsi="Arial" w:cs="Arial"/>
          <w:sz w:val="24"/>
          <w:szCs w:val="24"/>
        </w:rPr>
        <w:t xml:space="preserve"> Central. (Accessed: 29.11.2025)</w:t>
      </w:r>
    </w:p>
    <w:sectPr w:rsidR="00795A99" w:rsidRPr="00616FE3" w:rsidSect="008339BB">
      <w:headerReference w:type="default" r:id="rId57"/>
      <w:footerReference w:type="default" r:id="rId58"/>
      <w:headerReference w:type="firs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65C90E" w14:textId="77777777" w:rsidR="00F47B3D" w:rsidRDefault="00F47B3D" w:rsidP="008339BB">
      <w:pPr>
        <w:spacing w:after="0" w:line="240" w:lineRule="auto"/>
      </w:pPr>
      <w:r>
        <w:separator/>
      </w:r>
    </w:p>
  </w:endnote>
  <w:endnote w:type="continuationSeparator" w:id="0">
    <w:p w14:paraId="2E5D5160" w14:textId="77777777" w:rsidR="00F47B3D" w:rsidRDefault="00F47B3D" w:rsidP="008339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776841"/>
      <w:docPartObj>
        <w:docPartGallery w:val="Page Numbers (Bottom of Page)"/>
        <w:docPartUnique/>
      </w:docPartObj>
    </w:sdtPr>
    <w:sdtEndPr/>
    <w:sdtContent>
      <w:p w14:paraId="304EB144" w14:textId="511ED286" w:rsidR="00F7299A" w:rsidRDefault="00F7299A">
        <w:pPr>
          <w:pStyle w:val="Footer"/>
          <w:jc w:val="center"/>
        </w:pPr>
        <w:r>
          <w:fldChar w:fldCharType="begin"/>
        </w:r>
        <w:r>
          <w:instrText>PAGE   \* MERGEFORMAT</w:instrText>
        </w:r>
        <w:r>
          <w:fldChar w:fldCharType="separate"/>
        </w:r>
        <w:r>
          <w:t>2</w:t>
        </w:r>
        <w:r>
          <w:fldChar w:fldCharType="end"/>
        </w:r>
      </w:p>
    </w:sdtContent>
  </w:sdt>
  <w:p w14:paraId="3B38235A" w14:textId="77777777" w:rsidR="00F7299A" w:rsidRDefault="00F729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23AB3B" w14:textId="77777777" w:rsidR="00F47B3D" w:rsidRDefault="00F47B3D" w:rsidP="008339BB">
      <w:pPr>
        <w:spacing w:after="0" w:line="240" w:lineRule="auto"/>
      </w:pPr>
      <w:r>
        <w:separator/>
      </w:r>
    </w:p>
  </w:footnote>
  <w:footnote w:type="continuationSeparator" w:id="0">
    <w:p w14:paraId="3A9F0036" w14:textId="77777777" w:rsidR="00F47B3D" w:rsidRDefault="00F47B3D" w:rsidP="008339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AC8858" w14:textId="0A611E23" w:rsidR="00F7299A" w:rsidRDefault="00F7299A" w:rsidP="00F7299A">
    <w:pPr>
      <w:pStyle w:val="Header"/>
      <w:jc w:val="right"/>
    </w:pPr>
    <w:r>
      <w:rPr>
        <w:noProof/>
      </w:rPr>
      <w:drawing>
        <wp:anchor distT="0" distB="0" distL="114300" distR="114300" simplePos="0" relativeHeight="251659264" behindDoc="1" locked="0" layoutInCell="1" allowOverlap="1" wp14:anchorId="4ACDE201" wp14:editId="72C61E00">
          <wp:simplePos x="0" y="0"/>
          <wp:positionH relativeFrom="column">
            <wp:posOffset>5128895</wp:posOffset>
          </wp:positionH>
          <wp:positionV relativeFrom="paragraph">
            <wp:posOffset>-316230</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1537041443" name="Picture 2"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7041443" name="Picture 2"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1F82EE" w14:textId="44DA92EB" w:rsidR="008339BB" w:rsidRDefault="008339BB">
    <w:pPr>
      <w:pStyle w:val="Header"/>
    </w:pPr>
    <w:r>
      <w:rPr>
        <w:noProof/>
      </w:rPr>
      <w:drawing>
        <wp:anchor distT="0" distB="0" distL="114300" distR="114300" simplePos="0" relativeHeight="251658240" behindDoc="1" locked="0" layoutInCell="1" allowOverlap="1" wp14:anchorId="10432734" wp14:editId="41D902E4">
          <wp:simplePos x="0" y="0"/>
          <wp:positionH relativeFrom="column">
            <wp:posOffset>5194300</wp:posOffset>
          </wp:positionH>
          <wp:positionV relativeFrom="paragraph">
            <wp:posOffset>-309880</wp:posOffset>
          </wp:positionV>
          <wp:extent cx="1238250" cy="577850"/>
          <wp:effectExtent l="0" t="0" r="0" b="0"/>
          <wp:wrapTight wrapText="bothSides">
            <wp:wrapPolygon edited="0">
              <wp:start x="14289" y="0"/>
              <wp:lineTo x="332" y="12105"/>
              <wp:lineTo x="0" y="14242"/>
              <wp:lineTo x="0" y="20651"/>
              <wp:lineTo x="16948" y="20651"/>
              <wp:lineTo x="17280" y="20651"/>
              <wp:lineTo x="21268" y="12818"/>
              <wp:lineTo x="21268" y="2136"/>
              <wp:lineTo x="18277" y="0"/>
              <wp:lineTo x="14289" y="0"/>
            </wp:wrapPolygon>
          </wp:wrapTight>
          <wp:docPr id="965600035" name="Picture 1"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5600035" name="Picture 1" descr="A blue and black logo&#10;&#10;AI-generated content may be incorrect."/>
                  <pic:cNvPicPr/>
                </pic:nvPicPr>
                <pic:blipFill>
                  <a:blip r:embed="rId1">
                    <a:extLst>
                      <a:ext uri="{28A0092B-C50C-407E-A947-70E740481C1C}">
                        <a14:useLocalDpi xmlns:a14="http://schemas.microsoft.com/office/drawing/2010/main" val="0"/>
                      </a:ext>
                    </a:extLst>
                  </a:blip>
                  <a:stretch>
                    <a:fillRect/>
                  </a:stretch>
                </pic:blipFill>
                <pic:spPr>
                  <a:xfrm>
                    <a:off x="0" y="0"/>
                    <a:ext cx="1238250" cy="577850"/>
                  </a:xfrm>
                  <a:prstGeom prst="rect">
                    <a:avLst/>
                  </a:prstGeom>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21149"/>
    <w:multiLevelType w:val="hybridMultilevel"/>
    <w:tmpl w:val="20F849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745CCA"/>
    <w:multiLevelType w:val="hybridMultilevel"/>
    <w:tmpl w:val="F3268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C7F87"/>
    <w:multiLevelType w:val="hybridMultilevel"/>
    <w:tmpl w:val="5ED2F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FB04EF"/>
    <w:multiLevelType w:val="hybridMultilevel"/>
    <w:tmpl w:val="856AA370"/>
    <w:lvl w:ilvl="0" w:tplc="AD9254B8">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A880622"/>
    <w:multiLevelType w:val="hybridMultilevel"/>
    <w:tmpl w:val="F0C8E2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317175">
    <w:abstractNumId w:val="0"/>
  </w:num>
  <w:num w:numId="2" w16cid:durableId="1280646317">
    <w:abstractNumId w:val="3"/>
  </w:num>
  <w:num w:numId="3" w16cid:durableId="170536661">
    <w:abstractNumId w:val="2"/>
  </w:num>
  <w:num w:numId="4" w16cid:durableId="2053458456">
    <w:abstractNumId w:val="1"/>
  </w:num>
  <w:num w:numId="5" w16cid:durableId="67496037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9BB"/>
    <w:rsid w:val="000358AC"/>
    <w:rsid w:val="000424C4"/>
    <w:rsid w:val="00045103"/>
    <w:rsid w:val="000544CE"/>
    <w:rsid w:val="000C0DA8"/>
    <w:rsid w:val="000C3344"/>
    <w:rsid w:val="00151DF8"/>
    <w:rsid w:val="00170A44"/>
    <w:rsid w:val="00174AAB"/>
    <w:rsid w:val="001A3845"/>
    <w:rsid w:val="001A73BF"/>
    <w:rsid w:val="001C3324"/>
    <w:rsid w:val="002076AA"/>
    <w:rsid w:val="00211C50"/>
    <w:rsid w:val="002A1E0E"/>
    <w:rsid w:val="002A6A7F"/>
    <w:rsid w:val="002C5CEA"/>
    <w:rsid w:val="002D14CA"/>
    <w:rsid w:val="00327CEC"/>
    <w:rsid w:val="0037307C"/>
    <w:rsid w:val="003827F2"/>
    <w:rsid w:val="003C7BBA"/>
    <w:rsid w:val="00416AAF"/>
    <w:rsid w:val="004A5714"/>
    <w:rsid w:val="004B4AC5"/>
    <w:rsid w:val="005334F7"/>
    <w:rsid w:val="00587AE6"/>
    <w:rsid w:val="00592EDB"/>
    <w:rsid w:val="005D011D"/>
    <w:rsid w:val="00616FE3"/>
    <w:rsid w:val="00623E30"/>
    <w:rsid w:val="006B33C0"/>
    <w:rsid w:val="006B7930"/>
    <w:rsid w:val="006C40FB"/>
    <w:rsid w:val="006E4971"/>
    <w:rsid w:val="006F6116"/>
    <w:rsid w:val="00741FC6"/>
    <w:rsid w:val="00742835"/>
    <w:rsid w:val="00742E4E"/>
    <w:rsid w:val="0074715A"/>
    <w:rsid w:val="007504EF"/>
    <w:rsid w:val="00795A99"/>
    <w:rsid w:val="007B1D0E"/>
    <w:rsid w:val="008045D3"/>
    <w:rsid w:val="008165FC"/>
    <w:rsid w:val="00824163"/>
    <w:rsid w:val="008305F1"/>
    <w:rsid w:val="008339BB"/>
    <w:rsid w:val="00891FD9"/>
    <w:rsid w:val="008B7418"/>
    <w:rsid w:val="009D01E1"/>
    <w:rsid w:val="009D5872"/>
    <w:rsid w:val="009F3310"/>
    <w:rsid w:val="00A017FD"/>
    <w:rsid w:val="00A20039"/>
    <w:rsid w:val="00AA3898"/>
    <w:rsid w:val="00AC778B"/>
    <w:rsid w:val="00AD60C4"/>
    <w:rsid w:val="00B07B2F"/>
    <w:rsid w:val="00B513D3"/>
    <w:rsid w:val="00B95D68"/>
    <w:rsid w:val="00BB73DD"/>
    <w:rsid w:val="00C06500"/>
    <w:rsid w:val="00C10743"/>
    <w:rsid w:val="00C62955"/>
    <w:rsid w:val="00C9407B"/>
    <w:rsid w:val="00CF3539"/>
    <w:rsid w:val="00D14AFF"/>
    <w:rsid w:val="00D22407"/>
    <w:rsid w:val="00D27016"/>
    <w:rsid w:val="00D362C0"/>
    <w:rsid w:val="00D661AB"/>
    <w:rsid w:val="00D66C34"/>
    <w:rsid w:val="00D82975"/>
    <w:rsid w:val="00D91126"/>
    <w:rsid w:val="00DE502A"/>
    <w:rsid w:val="00E7000D"/>
    <w:rsid w:val="00EF3DCE"/>
    <w:rsid w:val="00EF7D44"/>
    <w:rsid w:val="00F2028E"/>
    <w:rsid w:val="00F315B5"/>
    <w:rsid w:val="00F475FD"/>
    <w:rsid w:val="00F47B3D"/>
    <w:rsid w:val="00F6034B"/>
    <w:rsid w:val="00F7299A"/>
    <w:rsid w:val="00F7667A"/>
    <w:rsid w:val="00FB0F61"/>
    <w:rsid w:val="00FB5975"/>
    <w:rsid w:val="00FD1407"/>
    <w:rsid w:val="00FD2684"/>
    <w:rsid w:val="00FF0DC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C190D2"/>
  <w15:chartTrackingRefBased/>
  <w15:docId w15:val="{B303D9BE-EB7B-4B1F-9CF2-A13850283B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339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339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339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39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39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39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39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39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39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39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339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339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39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39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39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39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39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39BB"/>
    <w:rPr>
      <w:rFonts w:eastAsiaTheme="majorEastAsia" w:cstheme="majorBidi"/>
      <w:color w:val="272727" w:themeColor="text1" w:themeTint="D8"/>
    </w:rPr>
  </w:style>
  <w:style w:type="paragraph" w:styleId="Title">
    <w:name w:val="Title"/>
    <w:basedOn w:val="Normal"/>
    <w:next w:val="Normal"/>
    <w:link w:val="TitleChar"/>
    <w:uiPriority w:val="10"/>
    <w:qFormat/>
    <w:rsid w:val="008339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39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39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39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39BB"/>
    <w:pPr>
      <w:spacing w:before="160"/>
      <w:jc w:val="center"/>
    </w:pPr>
    <w:rPr>
      <w:i/>
      <w:iCs/>
      <w:color w:val="404040" w:themeColor="text1" w:themeTint="BF"/>
    </w:rPr>
  </w:style>
  <w:style w:type="character" w:customStyle="1" w:styleId="QuoteChar">
    <w:name w:val="Quote Char"/>
    <w:basedOn w:val="DefaultParagraphFont"/>
    <w:link w:val="Quote"/>
    <w:uiPriority w:val="29"/>
    <w:rsid w:val="008339BB"/>
    <w:rPr>
      <w:i/>
      <w:iCs/>
      <w:color w:val="404040" w:themeColor="text1" w:themeTint="BF"/>
    </w:rPr>
  </w:style>
  <w:style w:type="paragraph" w:styleId="ListParagraph">
    <w:name w:val="List Paragraph"/>
    <w:basedOn w:val="Normal"/>
    <w:uiPriority w:val="34"/>
    <w:qFormat/>
    <w:rsid w:val="008339BB"/>
    <w:pPr>
      <w:ind w:left="720"/>
      <w:contextualSpacing/>
    </w:pPr>
  </w:style>
  <w:style w:type="character" w:styleId="IntenseEmphasis">
    <w:name w:val="Intense Emphasis"/>
    <w:basedOn w:val="DefaultParagraphFont"/>
    <w:uiPriority w:val="21"/>
    <w:qFormat/>
    <w:rsid w:val="008339BB"/>
    <w:rPr>
      <w:i/>
      <w:iCs/>
      <w:color w:val="0F4761" w:themeColor="accent1" w:themeShade="BF"/>
    </w:rPr>
  </w:style>
  <w:style w:type="paragraph" w:styleId="IntenseQuote">
    <w:name w:val="Intense Quote"/>
    <w:basedOn w:val="Normal"/>
    <w:next w:val="Normal"/>
    <w:link w:val="IntenseQuoteChar"/>
    <w:uiPriority w:val="30"/>
    <w:qFormat/>
    <w:rsid w:val="008339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39BB"/>
    <w:rPr>
      <w:i/>
      <w:iCs/>
      <w:color w:val="0F4761" w:themeColor="accent1" w:themeShade="BF"/>
    </w:rPr>
  </w:style>
  <w:style w:type="character" w:styleId="IntenseReference">
    <w:name w:val="Intense Reference"/>
    <w:basedOn w:val="DefaultParagraphFont"/>
    <w:uiPriority w:val="32"/>
    <w:qFormat/>
    <w:rsid w:val="008339BB"/>
    <w:rPr>
      <w:b/>
      <w:bCs/>
      <w:smallCaps/>
      <w:color w:val="0F4761" w:themeColor="accent1" w:themeShade="BF"/>
      <w:spacing w:val="5"/>
    </w:rPr>
  </w:style>
  <w:style w:type="paragraph" w:styleId="NoSpacing">
    <w:name w:val="No Spacing"/>
    <w:link w:val="NoSpacingChar"/>
    <w:uiPriority w:val="1"/>
    <w:qFormat/>
    <w:rsid w:val="008339BB"/>
    <w:pPr>
      <w:spacing w:after="0" w:line="240" w:lineRule="auto"/>
    </w:pPr>
    <w:rPr>
      <w:color w:val="0E2841" w:themeColor="text2"/>
      <w:sz w:val="20"/>
      <w:szCs w:val="20"/>
      <w:lang w:val="en-US"/>
    </w:rPr>
  </w:style>
  <w:style w:type="character" w:customStyle="1" w:styleId="NoSpacingChar">
    <w:name w:val="No Spacing Char"/>
    <w:basedOn w:val="DefaultParagraphFont"/>
    <w:link w:val="NoSpacing"/>
    <w:uiPriority w:val="1"/>
    <w:rsid w:val="008339BB"/>
    <w:rPr>
      <w:color w:val="0E2841" w:themeColor="text2"/>
      <w:sz w:val="20"/>
      <w:szCs w:val="20"/>
      <w:lang w:val="en-US"/>
    </w:rPr>
  </w:style>
  <w:style w:type="paragraph" w:styleId="Header">
    <w:name w:val="header"/>
    <w:basedOn w:val="Normal"/>
    <w:link w:val="HeaderChar"/>
    <w:uiPriority w:val="99"/>
    <w:unhideWhenUsed/>
    <w:rsid w:val="008339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39BB"/>
  </w:style>
  <w:style w:type="paragraph" w:styleId="Footer">
    <w:name w:val="footer"/>
    <w:basedOn w:val="Normal"/>
    <w:link w:val="FooterChar"/>
    <w:uiPriority w:val="99"/>
    <w:unhideWhenUsed/>
    <w:rsid w:val="008339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39BB"/>
  </w:style>
  <w:style w:type="character" w:styleId="Hyperlink">
    <w:name w:val="Hyperlink"/>
    <w:basedOn w:val="DefaultParagraphFont"/>
    <w:uiPriority w:val="99"/>
    <w:unhideWhenUsed/>
    <w:rsid w:val="00D27016"/>
    <w:rPr>
      <w:color w:val="467886" w:themeColor="hyperlink"/>
      <w:u w:val="single"/>
    </w:rPr>
  </w:style>
  <w:style w:type="character" w:styleId="FollowedHyperlink">
    <w:name w:val="FollowedHyperlink"/>
    <w:basedOn w:val="DefaultParagraphFont"/>
    <w:uiPriority w:val="99"/>
    <w:semiHidden/>
    <w:unhideWhenUsed/>
    <w:rsid w:val="00D27016"/>
    <w:rPr>
      <w:color w:val="96607D" w:themeColor="followedHyperlink"/>
      <w:u w:val="single"/>
    </w:rPr>
  </w:style>
  <w:style w:type="character" w:styleId="UnresolvedMention">
    <w:name w:val="Unresolved Mention"/>
    <w:basedOn w:val="DefaultParagraphFont"/>
    <w:uiPriority w:val="99"/>
    <w:semiHidden/>
    <w:unhideWhenUsed/>
    <w:rsid w:val="00D27016"/>
    <w:rPr>
      <w:color w:val="605E5C"/>
      <w:shd w:val="clear" w:color="auto" w:fill="E1DFDD"/>
    </w:rPr>
  </w:style>
  <w:style w:type="paragraph" w:styleId="TOCHeading">
    <w:name w:val="TOC Heading"/>
    <w:basedOn w:val="Heading1"/>
    <w:next w:val="Normal"/>
    <w:uiPriority w:val="39"/>
    <w:unhideWhenUsed/>
    <w:qFormat/>
    <w:rsid w:val="00742835"/>
    <w:pPr>
      <w:spacing w:before="240" w:after="0"/>
      <w:outlineLvl w:val="9"/>
    </w:pPr>
    <w:rPr>
      <w:sz w:val="32"/>
      <w:szCs w:val="32"/>
      <w:lang w:eastAsia="en-GB"/>
    </w:rPr>
  </w:style>
  <w:style w:type="paragraph" w:styleId="TOC1">
    <w:name w:val="toc 1"/>
    <w:basedOn w:val="Normal"/>
    <w:next w:val="Normal"/>
    <w:autoRedefine/>
    <w:uiPriority w:val="39"/>
    <w:unhideWhenUsed/>
    <w:rsid w:val="007428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arbontrust.com/sites/default/files/documents/resource/public/Manufacturing-guide.pdf" TargetMode="External"/><Relationship Id="rId18" Type="http://schemas.openxmlformats.org/officeDocument/2006/relationships/hyperlink" Target="https://www.cipd.org/ie/knowledge/reports/private-sector-pay-survey/" TargetMode="External"/><Relationship Id="rId26" Type="http://schemas.openxmlformats.org/officeDocument/2006/relationships/hyperlink" Target="https://assets.publishing.service.gov.uk/media/68595e56db8e139f95652dc6/industrial_strategy_policy_paper.pdf" TargetMode="External"/><Relationship Id="rId39" Type="http://schemas.openxmlformats.org/officeDocument/2006/relationships/hyperlink" Target="https://lordslibrary.parliament.uk/economic-growth-inflation-and-productivity/" TargetMode="External"/><Relationship Id="rId21" Type="http://schemas.openxmlformats.org/officeDocument/2006/relationships/hyperlink" Target="https://www.cipd.org/globalassets/media/knowledge/knowledge-hub/reports/2025-pdfs/9024-lmo-autumn-2025-report-web.pdf" TargetMode="External"/><Relationship Id="rId34" Type="http://schemas.openxmlformats.org/officeDocument/2006/relationships/hyperlink" Target="https://harperjames.co.uk/article/cost-of-employment-tribunals-for-employers/" TargetMode="External"/><Relationship Id="rId42" Type="http://schemas.openxmlformats.org/officeDocument/2006/relationships/hyperlink" Target="https://www.hrmagazine.co.uk/content/features/prepare-for-changes-to-unfair-dismissal-rules" TargetMode="External"/><Relationship Id="rId47" Type="http://schemas.openxmlformats.org/officeDocument/2006/relationships/hyperlink" Target="https://www.ons.gov.uk/economy/inflationandpriceindices/bulletins/producerpriceinflation/october2025" TargetMode="External"/><Relationship Id="rId50" Type="http://schemas.openxmlformats.org/officeDocument/2006/relationships/hyperlink" Target="https://www.pertemps.co.uk/news-blogs/latest-news/business-news/uk-businesses-warn-rising-costs-and-employment-rights-bill-threaten-jobs-and-growth-cbi-pertemps-employment-trends-survey-2025/" TargetMode="External"/><Relationship Id="rId55" Type="http://schemas.openxmlformats.org/officeDocument/2006/relationships/hyperlink" Target="https://www.legislation.gov.uk/ukpga/2022/21/content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employment-law/proposed-changes-under-labour-government/" TargetMode="External"/><Relationship Id="rId29" Type="http://schemas.openxmlformats.org/officeDocument/2006/relationships/hyperlink" Target="https://www.gov.uk/government/publications/assessment-of-priority-skills-to-2030" TargetMode="External"/><Relationship Id="rId11" Type="http://schemas.openxmlformats.org/officeDocument/2006/relationships/hyperlink" Target="https://www.bankofengland.co.uk/monetary-policy-report/2025/november-2025" TargetMode="External"/><Relationship Id="rId24" Type="http://schemas.openxmlformats.org/officeDocument/2006/relationships/hyperlink" Target="https://assets.publishing.service.gov.uk/media/67125947b40d67191077b37f/impact-assessment-day-1-unfair-dismissal-rights.pdf" TargetMode="External"/><Relationship Id="rId32" Type="http://schemas.openxmlformats.org/officeDocument/2006/relationships/hyperlink" Target="https://energyelephant.com/pricing" TargetMode="External"/><Relationship Id="rId37" Type="http://schemas.openxmlformats.org/officeDocument/2006/relationships/hyperlink" Target="https://www.cipd.org/globalassets/media/knowledge/knowledge-hub/reports/2024-pdfs/8662-resource-and-talent-planning-2024-report-web.pdf" TargetMode="External"/><Relationship Id="rId40" Type="http://schemas.openxmlformats.org/officeDocument/2006/relationships/hyperlink" Target="https://www.hrmagazine.co.uk/content/news/labour-backtracks-on-day-one-unfair-dismissal-rights-hr-reacts" TargetMode="External"/><Relationship Id="rId45" Type="http://schemas.openxmlformats.org/officeDocument/2006/relationships/hyperlink" Target="https://www.ons.gov.uk/economy/economicoutputandproductivity/productivitymeasures/datasets/outputperhourworkeduk" TargetMode="External"/><Relationship Id="rId53" Type="http://schemas.openxmlformats.org/officeDocument/2006/relationships/hyperlink" Target="https://www.gov.uk/government/publications/assessment-of-priority-skills-to-2030/assessment-of-priority-skills-to-2030" TargetMode="External"/><Relationship Id="rId58"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shop.cipd.org/product?catalog=Essential-People-Skills-for-Line-Managers-F2F" TargetMode="External"/><Relationship Id="rId14" Type="http://schemas.openxmlformats.org/officeDocument/2006/relationships/hyperlink" Target="https://www.cipd.org/en/knowledge/factsheets/induction-factsheet/" TargetMode="External"/><Relationship Id="rId22" Type="http://schemas.openxmlformats.org/officeDocument/2006/relationships/hyperlink" Target="https://www.gov.uk/government/publications/next-steps-to-make-work-pay/next-steps-to-make-work-pay-web-accessible-version" TargetMode="External"/><Relationship Id="rId27" Type="http://schemas.openxmlformats.org/officeDocument/2006/relationships/hyperlink" Target="https://assets.publishing.service.gov.uk/media/634d3446d3bf7f61827af967/Local_skills_improvement_plans_-_statutory_guidance_Oct_2022.pdf" TargetMode="External"/><Relationship Id="rId30" Type="http://schemas.openxmlformats.org/officeDocument/2006/relationships/hyperlink" Target="https://www.gov.uk/government/news/apprenticeship-reforms-set-to-turbocharge-economic-growth" TargetMode="External"/><Relationship Id="rId35" Type="http://schemas.openxmlformats.org/officeDocument/2006/relationships/hyperlink" Target="https://assets.publishing.service.gov.uk/media/6194dfa4d3bf7f0555071b1b/net-zero-strategy-beis.pdf" TargetMode="External"/><Relationship Id="rId43" Type="http://schemas.openxmlformats.org/officeDocument/2006/relationships/hyperlink" Target="https://www.makeuk.org/insights/reports/manufacturing-outlook-2025-q3" TargetMode="External"/><Relationship Id="rId48" Type="http://schemas.openxmlformats.org/officeDocument/2006/relationships/hyperlink" Target="https://www.ons.gov.uk/employmentandlabourmarket/peopleinwork/employmentandemployeetypes/bulletins/averageweeklyearningsingreatbritain/november2025" TargetMode="External"/><Relationship Id="rId56" Type="http://schemas.openxmlformats.org/officeDocument/2006/relationships/hyperlink" Target="https://www.gov.uk/guidance/pay-apprenticeship-levy" TargetMode="External"/><Relationship Id="rId8" Type="http://schemas.openxmlformats.org/officeDocument/2006/relationships/hyperlink" Target="https://www.acas.org.uk/dismissals/unfair-dismissal" TargetMode="External"/><Relationship Id="rId51" Type="http://schemas.openxmlformats.org/officeDocument/2006/relationships/hyperlink" Target="https://news.siemens.co.uk/news/apprenticeship-degree-programme-hailed-a-success" TargetMode="External"/><Relationship Id="rId3" Type="http://schemas.openxmlformats.org/officeDocument/2006/relationships/styles" Target="styles.xml"/><Relationship Id="rId12" Type="http://schemas.openxmlformats.org/officeDocument/2006/relationships/hyperlink" Target="https://www.peoplemanagement.co.uk/article/1894985/hr-navigate-challenges-new-day-one-rights" TargetMode="External"/><Relationship Id="rId17" Type="http://schemas.openxmlformats.org/officeDocument/2006/relationships/hyperlink" Target="https://www.cipd.org/uk/knowledge/guides/dismissal-guidance-for-managers/" TargetMode="External"/><Relationship Id="rId25" Type="http://schemas.openxmlformats.org/officeDocument/2006/relationships/hyperlink" Target="https://assets.publishing.service.gov.uk/media/67e429c3d052ace7e89776c0/unfair-dismissal.pdf" TargetMode="External"/><Relationship Id="rId33" Type="http://schemas.openxmlformats.org/officeDocument/2006/relationships/hyperlink" Target="https://growingmidwales.co.uk/documents" TargetMode="External"/><Relationship Id="rId38" Type="http://schemas.openxmlformats.org/officeDocument/2006/relationships/hyperlink" Target="https://researchbriefings.files.parliament.uk/documents/CBP-7682/CBP-7682.pdf" TargetMode="External"/><Relationship Id="rId46" Type="http://schemas.openxmlformats.org/officeDocument/2006/relationships/hyperlink" Target="https://www.ons.gov.uk/economy/inflationandpriceindices/bulletins/consumerpriceinflation/october2025" TargetMode="External"/><Relationship Id="rId59" Type="http://schemas.openxmlformats.org/officeDocument/2006/relationships/header" Target="header2.xml"/><Relationship Id="rId20" Type="http://schemas.openxmlformats.org/officeDocument/2006/relationships/hyperlink" Target="https://www.cipd.org/uk/knowledge/factsheets/pestle-analysis-factsheet/" TargetMode="External"/><Relationship Id="rId41" Type="http://schemas.openxmlformats.org/officeDocument/2006/relationships/hyperlink" Target="https://www.theiet.org/media/press-releases/press-releases-2025/press-releases-2025-october-december/6-october-2025-latest-uk-engineering-and-technology-skills-stats-2025" TargetMode="External"/><Relationship Id="rId54" Type="http://schemas.openxmlformats.org/officeDocument/2006/relationships/hyperlink" Target="https://www.sofidel.com/wp-content/uploads/2024/05/Integrated_Report_2024_Sofidel_EN-1.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globalassets/media/comms/about-us/influencing-public-policy/policy-engagements/111224-employment-rights-bill_bt-committee-evidence_cipd.pdf" TargetMode="External"/><Relationship Id="rId23" Type="http://schemas.openxmlformats.org/officeDocument/2006/relationships/hyperlink" Target="https://www.gov.uk/government/news/biggest-upgrade-to-workers-rights-in-a-generation-comes-one-step-closer" TargetMode="External"/><Relationship Id="rId28" Type="http://schemas.openxmlformats.org/officeDocument/2006/relationships/hyperlink" Target="https://www.gov.uk/government/publications/identifying-and-meeting-local-skills-needs-to-support-growth/local-skills-improvement-plans-lsips-and-strategic-development-funding-sdf" TargetMode="External"/><Relationship Id="rId36" Type="http://schemas.openxmlformats.org/officeDocument/2006/relationships/hyperlink" Target="https://assets.publishing.service.gov.uk/media/67f67154b7e44efc70acc404/employment-rights-bill-analysis.pdf" TargetMode="External"/><Relationship Id="rId49" Type="http://schemas.openxmlformats.org/officeDocument/2006/relationships/hyperlink" Target="https://www.pertemps.co.uk/news-blogs/latest-news/business-news/uk-businesses-warn-rising-costs-and-employment-rights-bill-threaten-jobs-and-growth-cbi-pertemps-employment-trends-survey-2025/" TargetMode="External"/><Relationship Id="rId57" Type="http://schemas.openxmlformats.org/officeDocument/2006/relationships/header" Target="header1.xml"/><Relationship Id="rId10" Type="http://schemas.openxmlformats.org/officeDocument/2006/relationships/hyperlink" Target="https://committees.parliament.uk/writtenevidence/130768/pdf/" TargetMode="External"/><Relationship Id="rId31" Type="http://schemas.openxmlformats.org/officeDocument/2006/relationships/hyperlink" Target="https://www.legislation.gov.uk/ukpga/1996/18/part/IX/crossheading/written-statement-of-reasons-for-dismissal" TargetMode="External"/><Relationship Id="rId44" Type="http://schemas.openxmlformats.org/officeDocument/2006/relationships/hyperlink" Target="https://www.gov.uk/government/statistics/tribunals-statistics-quarterly-april-to-june-2024/tribunal-statistics-quarterly-april-to-june-2024" TargetMode="External"/><Relationship Id="rId52" Type="http://schemas.openxmlformats.org/officeDocument/2006/relationships/hyperlink" Target="https://www.skillsdevelopmentscotland.co.uk/media/x5fjul51/sds-strategic-plan-2022-27.pdf"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aveva.com/content/dam/aveva/documents/perspectives/success-stories/SuccessStory_Alcoa.pdf.coredownload.inline.pdf"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84510-F245-455F-A38F-9BC2C11FB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18</Pages>
  <Words>7064</Words>
  <Characters>40267</Characters>
  <Application>Microsoft Office Word</Application>
  <DocSecurity>0</DocSecurity>
  <Lines>335</Lines>
  <Paragraphs>94</Paragraphs>
  <ScaleCrop>false</ScaleCrop>
  <HeadingPairs>
    <vt:vector size="2" baseType="variant">
      <vt:variant>
        <vt:lpstr>Title</vt:lpstr>
      </vt:variant>
      <vt:variant>
        <vt:i4>1</vt:i4>
      </vt:variant>
    </vt:vector>
  </HeadingPairs>
  <TitlesOfParts>
    <vt:vector size="1" baseType="lpstr">
      <vt:lpstr/>
    </vt:vector>
  </TitlesOfParts>
  <Company>Name: Olivia Jenkins</Company>
  <LinksUpToDate>false</LinksUpToDate>
  <CharactersWithSpaces>47237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Name: Olivia Jenkins</dc:subject>
  <dc:creator>Olivia Jenkins</dc:creator>
  <cp:keywords/>
  <dc:description/>
  <cp:lastModifiedBy>Olivia Jenkins</cp:lastModifiedBy>
  <cp:revision>73</cp:revision>
  <dcterms:created xsi:type="dcterms:W3CDTF">2025-12-01T09:29:00Z</dcterms:created>
  <dcterms:modified xsi:type="dcterms:W3CDTF">2025-12-01T20:23:00Z</dcterms:modified>
</cp:coreProperties>
</file>