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674B5" w14:textId="77777777" w:rsidR="003B6AFE" w:rsidRDefault="003B6AFE" w:rsidP="00F47C3B">
      <w:pPr>
        <w:rPr>
          <w:rFonts w:ascii="Times New Roman" w:hAnsi="Times New Roman" w:cs="Times New Roman"/>
          <w:sz w:val="28"/>
          <w:szCs w:val="28"/>
        </w:rPr>
      </w:pPr>
    </w:p>
    <w:p w14:paraId="4B6FCCE2" w14:textId="77777777" w:rsidR="003B6AFE" w:rsidRDefault="003B6AFE" w:rsidP="00F47C3B">
      <w:pPr>
        <w:rPr>
          <w:rFonts w:ascii="Times New Roman" w:hAnsi="Times New Roman" w:cs="Times New Roman"/>
          <w:sz w:val="28"/>
          <w:szCs w:val="28"/>
        </w:rPr>
      </w:pPr>
    </w:p>
    <w:p w14:paraId="6365EE55" w14:textId="77777777" w:rsidR="003B6AFE" w:rsidRDefault="003B6AFE" w:rsidP="00F47C3B">
      <w:pPr>
        <w:rPr>
          <w:rFonts w:ascii="Times New Roman" w:hAnsi="Times New Roman" w:cs="Times New Roman"/>
          <w:sz w:val="28"/>
          <w:szCs w:val="28"/>
        </w:rPr>
      </w:pPr>
    </w:p>
    <w:p w14:paraId="1FF6C3AE" w14:textId="77777777" w:rsidR="003B6AFE" w:rsidRDefault="003B6AFE" w:rsidP="00F47C3B">
      <w:pPr>
        <w:rPr>
          <w:rFonts w:ascii="Times New Roman" w:hAnsi="Times New Roman" w:cs="Times New Roman"/>
          <w:sz w:val="28"/>
          <w:szCs w:val="28"/>
        </w:rPr>
      </w:pPr>
    </w:p>
    <w:p w14:paraId="7D881868" w14:textId="77777777" w:rsidR="003B6AFE" w:rsidRDefault="003B6AFE" w:rsidP="00F47C3B">
      <w:pPr>
        <w:rPr>
          <w:rFonts w:ascii="Times New Roman" w:hAnsi="Times New Roman" w:cs="Times New Roman"/>
          <w:sz w:val="28"/>
          <w:szCs w:val="28"/>
        </w:rPr>
      </w:pPr>
    </w:p>
    <w:p w14:paraId="253423A3" w14:textId="77777777" w:rsidR="003B6AFE" w:rsidRDefault="003B6AFE" w:rsidP="00F47C3B">
      <w:pPr>
        <w:rPr>
          <w:rFonts w:ascii="Times New Roman" w:hAnsi="Times New Roman" w:cs="Times New Roman"/>
          <w:sz w:val="28"/>
          <w:szCs w:val="28"/>
        </w:rPr>
      </w:pPr>
    </w:p>
    <w:p w14:paraId="4DAB7622" w14:textId="77777777" w:rsidR="003B6AFE" w:rsidRDefault="003B6AFE" w:rsidP="00F47C3B">
      <w:pPr>
        <w:rPr>
          <w:rFonts w:ascii="Times New Roman" w:hAnsi="Times New Roman" w:cs="Times New Roman"/>
          <w:sz w:val="28"/>
          <w:szCs w:val="28"/>
        </w:rPr>
      </w:pPr>
    </w:p>
    <w:p w14:paraId="36739746" w14:textId="77777777" w:rsidR="003B6AFE" w:rsidRDefault="003B6AFE" w:rsidP="00F47C3B">
      <w:pPr>
        <w:rPr>
          <w:rFonts w:ascii="Times New Roman" w:hAnsi="Times New Roman" w:cs="Times New Roman"/>
          <w:sz w:val="28"/>
          <w:szCs w:val="28"/>
        </w:rPr>
      </w:pPr>
    </w:p>
    <w:p w14:paraId="2AA6E801" w14:textId="77777777" w:rsidR="003B6AFE" w:rsidRDefault="003B6AFE" w:rsidP="00F47C3B">
      <w:pPr>
        <w:rPr>
          <w:rFonts w:ascii="Times New Roman" w:hAnsi="Times New Roman" w:cs="Times New Roman"/>
          <w:sz w:val="28"/>
          <w:szCs w:val="28"/>
        </w:rPr>
      </w:pPr>
    </w:p>
    <w:p w14:paraId="2B8C1FC7" w14:textId="2FF57DAB" w:rsidR="003B6AFE" w:rsidRDefault="003B6AFE" w:rsidP="00F47C3B">
      <w:pPr>
        <w:rPr>
          <w:rFonts w:ascii="Times New Roman" w:hAnsi="Times New Roman" w:cs="Times New Roman"/>
          <w:sz w:val="28"/>
          <w:szCs w:val="28"/>
        </w:rPr>
      </w:pPr>
    </w:p>
    <w:p w14:paraId="77E2E727" w14:textId="56CAC1CC" w:rsidR="003B6AFE" w:rsidRDefault="003B6AFE" w:rsidP="00F47C3B">
      <w:pPr>
        <w:rPr>
          <w:rFonts w:ascii="Times New Roman" w:hAnsi="Times New Roman" w:cs="Times New Roman"/>
          <w:sz w:val="28"/>
          <w:szCs w:val="28"/>
        </w:rPr>
      </w:pPr>
    </w:p>
    <w:p w14:paraId="3B79880D" w14:textId="40652580" w:rsidR="003B6AFE" w:rsidRDefault="003B6AFE" w:rsidP="00F47C3B">
      <w:pPr>
        <w:rPr>
          <w:rFonts w:ascii="Times New Roman" w:hAnsi="Times New Roman" w:cs="Times New Roman"/>
          <w:sz w:val="28"/>
          <w:szCs w:val="28"/>
        </w:rPr>
      </w:pPr>
    </w:p>
    <w:p w14:paraId="035C83FC" w14:textId="0F3FFDEB" w:rsidR="003B6AFE" w:rsidRDefault="003B6AFE" w:rsidP="00F47C3B">
      <w:pPr>
        <w:rPr>
          <w:rFonts w:ascii="Times New Roman" w:hAnsi="Times New Roman" w:cs="Times New Roman"/>
          <w:sz w:val="28"/>
          <w:szCs w:val="28"/>
        </w:rPr>
      </w:pPr>
    </w:p>
    <w:p w14:paraId="24FCC9A9" w14:textId="10D10F18" w:rsidR="003B6AFE" w:rsidRDefault="003B6AFE" w:rsidP="00F47C3B">
      <w:pPr>
        <w:rPr>
          <w:rFonts w:ascii="Times New Roman" w:hAnsi="Times New Roman" w:cs="Times New Roman"/>
          <w:sz w:val="28"/>
          <w:szCs w:val="28"/>
        </w:rPr>
      </w:pPr>
    </w:p>
    <w:p w14:paraId="3F3CD61F" w14:textId="19E28B7B" w:rsidR="003B6AFE" w:rsidRPr="003B6AFE" w:rsidRDefault="003B6AFE" w:rsidP="003B6AFE">
      <w:pPr>
        <w:jc w:val="center"/>
        <w:rPr>
          <w:rFonts w:ascii="Times New Roman" w:hAnsi="Times New Roman" w:cs="Times New Roman"/>
          <w:sz w:val="52"/>
          <w:szCs w:val="52"/>
        </w:rPr>
      </w:pPr>
      <w:r w:rsidRPr="003B6AFE">
        <w:rPr>
          <w:rFonts w:ascii="Times New Roman" w:hAnsi="Times New Roman" w:cs="Times New Roman"/>
          <w:sz w:val="52"/>
          <w:szCs w:val="52"/>
        </w:rPr>
        <w:t>Community Engagement</w:t>
      </w:r>
    </w:p>
    <w:p w14:paraId="462727AD" w14:textId="6729E59F" w:rsidR="003B6AFE" w:rsidRDefault="003B6AFE" w:rsidP="00F47C3B">
      <w:pPr>
        <w:rPr>
          <w:rFonts w:ascii="Times New Roman" w:hAnsi="Times New Roman" w:cs="Times New Roman"/>
          <w:sz w:val="28"/>
          <w:szCs w:val="28"/>
        </w:rPr>
      </w:pPr>
    </w:p>
    <w:p w14:paraId="4D5AF36E" w14:textId="3539A7AA" w:rsidR="003B6AFE" w:rsidRDefault="003B6AFE" w:rsidP="00F47C3B">
      <w:pPr>
        <w:rPr>
          <w:rFonts w:ascii="Times New Roman" w:hAnsi="Times New Roman" w:cs="Times New Roman"/>
          <w:sz w:val="28"/>
          <w:szCs w:val="28"/>
        </w:rPr>
      </w:pPr>
    </w:p>
    <w:p w14:paraId="7FE20363" w14:textId="1CA8FCFB" w:rsidR="003B6AFE" w:rsidRDefault="003B6AFE" w:rsidP="00F47C3B">
      <w:pPr>
        <w:rPr>
          <w:rFonts w:ascii="Times New Roman" w:hAnsi="Times New Roman" w:cs="Times New Roman"/>
          <w:sz w:val="28"/>
          <w:szCs w:val="28"/>
        </w:rPr>
      </w:pPr>
    </w:p>
    <w:p w14:paraId="19FDE128" w14:textId="3BB3894F" w:rsidR="003B6AFE" w:rsidRDefault="003B6AFE" w:rsidP="00F47C3B">
      <w:pPr>
        <w:rPr>
          <w:rFonts w:ascii="Times New Roman" w:hAnsi="Times New Roman" w:cs="Times New Roman"/>
          <w:sz w:val="28"/>
          <w:szCs w:val="28"/>
        </w:rPr>
      </w:pPr>
    </w:p>
    <w:p w14:paraId="4BDAA601" w14:textId="1E1F48A9" w:rsidR="003B6AFE" w:rsidRPr="003B6AFE" w:rsidRDefault="003B6AFE" w:rsidP="003B6AFE">
      <w:pPr>
        <w:spacing w:before="100" w:beforeAutospacing="1" w:after="100" w:afterAutospacing="1"/>
        <w:jc w:val="center"/>
        <w:rPr>
          <w:rFonts w:ascii="Times New Roman" w:eastAsia="Times New Roman" w:hAnsi="Times New Roman" w:cs="Times New Roman"/>
          <w:sz w:val="28"/>
          <w:szCs w:val="28"/>
          <w:lang w:eastAsia="en-GB"/>
        </w:rPr>
      </w:pPr>
      <w:r w:rsidRPr="003B6AFE">
        <w:rPr>
          <w:rFonts w:ascii="Times New Roman" w:eastAsia="Times New Roman" w:hAnsi="Times New Roman" w:cs="Times New Roman"/>
          <w:b/>
          <w:bCs/>
          <w:sz w:val="28"/>
          <w:szCs w:val="28"/>
          <w:lang w:eastAsia="en-GB"/>
        </w:rPr>
        <w:t>Assessment 2</w:t>
      </w:r>
    </w:p>
    <w:p w14:paraId="71A76401" w14:textId="3DB45F11" w:rsidR="003B6AFE" w:rsidRDefault="003B6AFE" w:rsidP="003B6AFE">
      <w:pPr>
        <w:jc w:val="center"/>
        <w:rPr>
          <w:rFonts w:ascii="Times New Roman" w:hAnsi="Times New Roman" w:cs="Times New Roman"/>
          <w:sz w:val="28"/>
          <w:szCs w:val="28"/>
        </w:rPr>
      </w:pPr>
    </w:p>
    <w:p w14:paraId="4BAFEDCF" w14:textId="374307D9" w:rsidR="003B6AFE" w:rsidRDefault="003B6AFE" w:rsidP="00F47C3B">
      <w:pPr>
        <w:rPr>
          <w:rFonts w:ascii="Times New Roman" w:hAnsi="Times New Roman" w:cs="Times New Roman"/>
          <w:sz w:val="28"/>
          <w:szCs w:val="28"/>
        </w:rPr>
      </w:pPr>
    </w:p>
    <w:p w14:paraId="2190EE05" w14:textId="5007F5A8" w:rsidR="003B6AFE" w:rsidRDefault="003B6AFE" w:rsidP="00F47C3B">
      <w:pPr>
        <w:rPr>
          <w:rFonts w:ascii="Times New Roman" w:hAnsi="Times New Roman" w:cs="Times New Roman"/>
          <w:sz w:val="28"/>
          <w:szCs w:val="28"/>
        </w:rPr>
      </w:pPr>
    </w:p>
    <w:p w14:paraId="5C67FE94" w14:textId="1C9E57B9" w:rsidR="003B6AFE" w:rsidRDefault="003B6AFE" w:rsidP="00F47C3B">
      <w:pPr>
        <w:rPr>
          <w:rFonts w:ascii="Times New Roman" w:hAnsi="Times New Roman" w:cs="Times New Roman"/>
          <w:sz w:val="28"/>
          <w:szCs w:val="28"/>
        </w:rPr>
      </w:pPr>
    </w:p>
    <w:p w14:paraId="01981387" w14:textId="4231C1D0" w:rsidR="003B6AFE" w:rsidRDefault="003B6AFE" w:rsidP="00F47C3B">
      <w:pPr>
        <w:rPr>
          <w:rFonts w:ascii="Times New Roman" w:hAnsi="Times New Roman" w:cs="Times New Roman"/>
          <w:sz w:val="28"/>
          <w:szCs w:val="28"/>
        </w:rPr>
      </w:pPr>
    </w:p>
    <w:p w14:paraId="09E52301" w14:textId="367CA585" w:rsidR="003B6AFE" w:rsidRDefault="003B6AFE" w:rsidP="00F47C3B">
      <w:pPr>
        <w:rPr>
          <w:rFonts w:ascii="Times New Roman" w:hAnsi="Times New Roman" w:cs="Times New Roman"/>
          <w:sz w:val="28"/>
          <w:szCs w:val="28"/>
        </w:rPr>
      </w:pPr>
    </w:p>
    <w:p w14:paraId="66E6B615" w14:textId="3BE42A82" w:rsidR="003B6AFE" w:rsidRDefault="003B6AFE" w:rsidP="00F47C3B">
      <w:pPr>
        <w:rPr>
          <w:rFonts w:ascii="Times New Roman" w:hAnsi="Times New Roman" w:cs="Times New Roman"/>
          <w:sz w:val="28"/>
          <w:szCs w:val="28"/>
        </w:rPr>
      </w:pPr>
    </w:p>
    <w:p w14:paraId="3B3F7FC3" w14:textId="0E154112" w:rsidR="003B6AFE" w:rsidRDefault="003B6AFE" w:rsidP="00F47C3B">
      <w:pPr>
        <w:rPr>
          <w:rFonts w:ascii="Times New Roman" w:hAnsi="Times New Roman" w:cs="Times New Roman"/>
          <w:sz w:val="28"/>
          <w:szCs w:val="28"/>
        </w:rPr>
      </w:pPr>
    </w:p>
    <w:p w14:paraId="606E1239" w14:textId="79BE07DE" w:rsidR="003B6AFE" w:rsidRDefault="003B6AFE" w:rsidP="00F47C3B">
      <w:pPr>
        <w:rPr>
          <w:rFonts w:ascii="Times New Roman" w:hAnsi="Times New Roman" w:cs="Times New Roman"/>
          <w:sz w:val="28"/>
          <w:szCs w:val="28"/>
        </w:rPr>
      </w:pPr>
    </w:p>
    <w:p w14:paraId="0A40D6D3" w14:textId="747E03D6" w:rsidR="003B6AFE" w:rsidRDefault="003B6AFE" w:rsidP="00F47C3B">
      <w:pPr>
        <w:rPr>
          <w:rFonts w:ascii="Times New Roman" w:hAnsi="Times New Roman" w:cs="Times New Roman"/>
          <w:sz w:val="28"/>
          <w:szCs w:val="28"/>
        </w:rPr>
      </w:pPr>
    </w:p>
    <w:p w14:paraId="216628DF" w14:textId="673ABDDD" w:rsidR="003B6AFE" w:rsidRDefault="003B6AFE" w:rsidP="00F47C3B">
      <w:pPr>
        <w:rPr>
          <w:rFonts w:ascii="Times New Roman" w:hAnsi="Times New Roman" w:cs="Times New Roman"/>
          <w:sz w:val="28"/>
          <w:szCs w:val="28"/>
        </w:rPr>
      </w:pPr>
    </w:p>
    <w:p w14:paraId="5392B2BB" w14:textId="3DDF9BE8" w:rsidR="003B6AFE" w:rsidRDefault="003B6AFE" w:rsidP="00F47C3B">
      <w:pPr>
        <w:rPr>
          <w:rFonts w:ascii="Times New Roman" w:hAnsi="Times New Roman" w:cs="Times New Roman"/>
          <w:sz w:val="28"/>
          <w:szCs w:val="28"/>
        </w:rPr>
      </w:pPr>
    </w:p>
    <w:p w14:paraId="466CE34E" w14:textId="5A5900E0" w:rsidR="003B6AFE" w:rsidRDefault="003B6AFE" w:rsidP="00F47C3B">
      <w:pPr>
        <w:rPr>
          <w:rFonts w:ascii="Times New Roman" w:hAnsi="Times New Roman" w:cs="Times New Roman"/>
          <w:sz w:val="28"/>
          <w:szCs w:val="28"/>
        </w:rPr>
      </w:pPr>
    </w:p>
    <w:p w14:paraId="23836D8A" w14:textId="77777777" w:rsidR="003B6AFE" w:rsidRDefault="003B6AFE" w:rsidP="00F47C3B">
      <w:pPr>
        <w:rPr>
          <w:rFonts w:ascii="Times New Roman" w:hAnsi="Times New Roman" w:cs="Times New Roman"/>
          <w:sz w:val="28"/>
          <w:szCs w:val="28"/>
        </w:rPr>
      </w:pPr>
    </w:p>
    <w:p w14:paraId="1415DC1F" w14:textId="6FA9552C" w:rsidR="003B6AFE" w:rsidRDefault="003B6AFE" w:rsidP="00F47C3B">
      <w:pPr>
        <w:rPr>
          <w:rFonts w:ascii="Times New Roman" w:hAnsi="Times New Roman" w:cs="Times New Roman"/>
          <w:sz w:val="28"/>
          <w:szCs w:val="28"/>
          <w:lang w:val="en-GB"/>
        </w:rPr>
      </w:pPr>
      <w:r>
        <w:rPr>
          <w:rFonts w:ascii="Times New Roman" w:hAnsi="Times New Roman" w:cs="Times New Roman"/>
          <w:sz w:val="28"/>
          <w:szCs w:val="28"/>
          <w:lang w:val="en-GB"/>
        </w:rPr>
        <w:t>Student ID:</w:t>
      </w:r>
      <w:r w:rsidR="00D52337">
        <w:rPr>
          <w:rFonts w:ascii="Times New Roman" w:hAnsi="Times New Roman" w:cs="Times New Roman"/>
          <w:sz w:val="28"/>
          <w:szCs w:val="28"/>
          <w:lang w:val="en-GB"/>
        </w:rPr>
        <w:t xml:space="preserve"> </w:t>
      </w:r>
      <w:r w:rsidR="0073069A">
        <w:rPr>
          <w:rFonts w:ascii="Times New Roman" w:hAnsi="Times New Roman" w:cs="Times New Roman"/>
          <w:sz w:val="28"/>
          <w:szCs w:val="28"/>
          <w:lang w:val="en-GB"/>
        </w:rPr>
        <w:t>20</w:t>
      </w:r>
      <w:r w:rsidR="00D52337">
        <w:rPr>
          <w:rFonts w:ascii="Times New Roman" w:hAnsi="Times New Roman" w:cs="Times New Roman"/>
          <w:sz w:val="28"/>
          <w:szCs w:val="28"/>
          <w:lang w:val="en-GB"/>
        </w:rPr>
        <w:t>30583</w:t>
      </w:r>
    </w:p>
    <w:p w14:paraId="0ADEB95C" w14:textId="55C80D70" w:rsidR="003B6AFE" w:rsidRDefault="003B6AFE" w:rsidP="00F47C3B">
      <w:pPr>
        <w:rPr>
          <w:rFonts w:ascii="Times New Roman" w:hAnsi="Times New Roman" w:cs="Times New Roman"/>
          <w:sz w:val="28"/>
          <w:szCs w:val="28"/>
          <w:lang w:val="en-GB"/>
        </w:rPr>
      </w:pPr>
      <w:r>
        <w:rPr>
          <w:rFonts w:ascii="Times New Roman" w:hAnsi="Times New Roman" w:cs="Times New Roman"/>
          <w:sz w:val="28"/>
          <w:szCs w:val="28"/>
          <w:lang w:val="en-GB"/>
        </w:rPr>
        <w:t>Student name: Silviu Rosu</w:t>
      </w:r>
    </w:p>
    <w:p w14:paraId="76B874A0" w14:textId="6035F1E4" w:rsidR="003B6AFE" w:rsidRDefault="00CC791F" w:rsidP="00F47C3B">
      <w:pPr>
        <w:rPr>
          <w:rFonts w:ascii="Times New Roman" w:hAnsi="Times New Roman" w:cs="Times New Roman"/>
          <w:sz w:val="28"/>
          <w:szCs w:val="28"/>
          <w:lang w:val="en-GB"/>
        </w:rPr>
      </w:pPr>
      <w:r>
        <w:rPr>
          <w:rFonts w:ascii="Times New Roman" w:hAnsi="Times New Roman" w:cs="Times New Roman"/>
          <w:sz w:val="28"/>
          <w:szCs w:val="28"/>
          <w:lang w:val="en-GB"/>
        </w:rPr>
        <w:t>Module</w:t>
      </w:r>
      <w:r w:rsidR="002C7383">
        <w:rPr>
          <w:rFonts w:ascii="Times New Roman" w:hAnsi="Times New Roman" w:cs="Times New Roman"/>
          <w:sz w:val="28"/>
          <w:szCs w:val="28"/>
          <w:lang w:val="en-GB"/>
        </w:rPr>
        <w:t xml:space="preserve"> code:</w:t>
      </w:r>
      <w:r w:rsidR="008B629B" w:rsidRPr="008B629B">
        <w:rPr>
          <w:rFonts w:ascii="Times New Roman" w:hAnsi="Times New Roman" w:cs="Times New Roman"/>
          <w:sz w:val="28"/>
          <w:szCs w:val="28"/>
          <w:lang w:val="en-GB"/>
        </w:rPr>
        <w:t xml:space="preserve"> LCBB4002</w:t>
      </w:r>
    </w:p>
    <w:p w14:paraId="4885D2FF" w14:textId="77777777" w:rsidR="003B6AFE" w:rsidRPr="003B6AFE" w:rsidRDefault="003B6AFE" w:rsidP="003B6AFE">
      <w:pPr>
        <w:rPr>
          <w:rFonts w:ascii="Times New Roman" w:hAnsi="Times New Roman" w:cs="Times New Roman"/>
          <w:sz w:val="28"/>
          <w:szCs w:val="28"/>
          <w:lang w:val="en-GB"/>
        </w:rPr>
      </w:pPr>
      <w:r w:rsidRPr="003B6AFE">
        <w:rPr>
          <w:rFonts w:ascii="Times New Roman" w:hAnsi="Times New Roman" w:cs="Times New Roman"/>
          <w:sz w:val="28"/>
          <w:szCs w:val="28"/>
          <w:lang w:val="en-GB"/>
        </w:rPr>
        <w:t>Module Coordinator/ Lecturer:</w:t>
      </w:r>
    </w:p>
    <w:p w14:paraId="6304A651" w14:textId="50FC548E" w:rsidR="003B6AFE" w:rsidRPr="003B6AFE" w:rsidRDefault="003B6AFE" w:rsidP="003B6AFE">
      <w:pPr>
        <w:rPr>
          <w:rFonts w:ascii="Times New Roman" w:hAnsi="Times New Roman" w:cs="Times New Roman"/>
          <w:sz w:val="28"/>
          <w:szCs w:val="28"/>
          <w:lang w:val="en-GB"/>
        </w:rPr>
      </w:pPr>
      <w:proofErr w:type="spellStart"/>
      <w:r w:rsidRPr="003B6AFE">
        <w:rPr>
          <w:rFonts w:ascii="Times New Roman" w:hAnsi="Times New Roman" w:cs="Times New Roman"/>
          <w:sz w:val="28"/>
          <w:szCs w:val="28"/>
          <w:lang w:val="en-GB"/>
        </w:rPr>
        <w:t>Faizu</w:t>
      </w:r>
      <w:proofErr w:type="spellEnd"/>
      <w:r w:rsidRPr="003B6AFE">
        <w:rPr>
          <w:rFonts w:ascii="Times New Roman" w:hAnsi="Times New Roman" w:cs="Times New Roman"/>
          <w:sz w:val="28"/>
          <w:szCs w:val="28"/>
          <w:lang w:val="en-GB"/>
        </w:rPr>
        <w:t xml:space="preserve"> Edu </w:t>
      </w:r>
      <w:proofErr w:type="spellStart"/>
      <w:r w:rsidRPr="003B6AFE">
        <w:rPr>
          <w:rFonts w:ascii="Times New Roman" w:hAnsi="Times New Roman" w:cs="Times New Roman"/>
          <w:sz w:val="28"/>
          <w:szCs w:val="28"/>
          <w:lang w:val="en-GB"/>
        </w:rPr>
        <w:t>Toyin</w:t>
      </w:r>
      <w:proofErr w:type="spellEnd"/>
      <w:r w:rsidRPr="003B6AFE">
        <w:rPr>
          <w:rFonts w:ascii="Times New Roman" w:hAnsi="Times New Roman" w:cs="Times New Roman"/>
          <w:sz w:val="28"/>
          <w:szCs w:val="28"/>
          <w:lang w:val="en-GB"/>
        </w:rPr>
        <w:t xml:space="preserve"> Adisa</w:t>
      </w:r>
    </w:p>
    <w:p w14:paraId="1177A8B0" w14:textId="77777777" w:rsidR="003B6AFE" w:rsidRDefault="003B6AFE" w:rsidP="00F47C3B">
      <w:pPr>
        <w:rPr>
          <w:rFonts w:ascii="Times New Roman" w:hAnsi="Times New Roman" w:cs="Times New Roman"/>
          <w:sz w:val="28"/>
          <w:szCs w:val="28"/>
        </w:rPr>
      </w:pPr>
    </w:p>
    <w:p w14:paraId="2B0D23D4" w14:textId="77777777" w:rsidR="003B6AFE" w:rsidRDefault="003B6AFE" w:rsidP="00F47C3B">
      <w:pPr>
        <w:rPr>
          <w:rFonts w:ascii="Times New Roman" w:hAnsi="Times New Roman" w:cs="Times New Roman"/>
          <w:sz w:val="28"/>
          <w:szCs w:val="28"/>
        </w:rPr>
      </w:pPr>
    </w:p>
    <w:sdt>
      <w:sdtPr>
        <w:rPr>
          <w:rFonts w:asciiTheme="minorHAnsi" w:eastAsiaTheme="minorHAnsi" w:hAnsiTheme="minorHAnsi" w:cstheme="minorBidi"/>
          <w:b w:val="0"/>
          <w:bCs w:val="0"/>
          <w:color w:val="auto"/>
          <w:sz w:val="24"/>
          <w:szCs w:val="24"/>
          <w:lang w:val="ro-GB"/>
        </w:rPr>
        <w:id w:val="1957138202"/>
        <w:docPartObj>
          <w:docPartGallery w:val="Table of Contents"/>
          <w:docPartUnique/>
        </w:docPartObj>
      </w:sdtPr>
      <w:sdtEndPr>
        <w:rPr>
          <w:noProof/>
        </w:rPr>
      </w:sdtEndPr>
      <w:sdtContent>
        <w:p w14:paraId="6F80633D" w14:textId="3BA1695E" w:rsidR="001A6913" w:rsidRDefault="001A6913">
          <w:pPr>
            <w:pStyle w:val="Titlucuprins"/>
          </w:pPr>
          <w:r>
            <w:t>Table of Contents</w:t>
          </w:r>
        </w:p>
        <w:p w14:paraId="7FD89601" w14:textId="0EA9A956" w:rsidR="001A6913" w:rsidRDefault="001A6913">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0054574" w:history="1">
            <w:r w:rsidRPr="00233479">
              <w:rPr>
                <w:rStyle w:val="Hyperlink"/>
                <w:noProof/>
                <w:lang w:val="en-GB"/>
              </w:rPr>
              <w:t>Lesson learn/ introduction</w:t>
            </w:r>
            <w:r>
              <w:rPr>
                <w:noProof/>
                <w:webHidden/>
              </w:rPr>
              <w:tab/>
            </w:r>
            <w:r>
              <w:rPr>
                <w:noProof/>
                <w:webHidden/>
              </w:rPr>
              <w:fldChar w:fldCharType="begin"/>
            </w:r>
            <w:r>
              <w:rPr>
                <w:noProof/>
                <w:webHidden/>
              </w:rPr>
              <w:instrText xml:space="preserve"> PAGEREF _Toc100054574 \h </w:instrText>
            </w:r>
            <w:r>
              <w:rPr>
                <w:noProof/>
                <w:webHidden/>
              </w:rPr>
            </w:r>
            <w:r>
              <w:rPr>
                <w:noProof/>
                <w:webHidden/>
              </w:rPr>
              <w:fldChar w:fldCharType="separate"/>
            </w:r>
            <w:r>
              <w:rPr>
                <w:noProof/>
                <w:webHidden/>
              </w:rPr>
              <w:t>3</w:t>
            </w:r>
            <w:r>
              <w:rPr>
                <w:noProof/>
                <w:webHidden/>
              </w:rPr>
              <w:fldChar w:fldCharType="end"/>
            </w:r>
          </w:hyperlink>
        </w:p>
        <w:p w14:paraId="32FFA59E" w14:textId="51D4AFC7" w:rsidR="001A6913" w:rsidRDefault="0009563C">
          <w:pPr>
            <w:pStyle w:val="Cuprins1"/>
            <w:tabs>
              <w:tab w:val="right" w:leader="dot" w:pos="9016"/>
            </w:tabs>
            <w:rPr>
              <w:noProof/>
            </w:rPr>
          </w:pPr>
          <w:hyperlink w:anchor="_Toc100054575" w:history="1">
            <w:r w:rsidR="001A6913" w:rsidRPr="00233479">
              <w:rPr>
                <w:rStyle w:val="Hyperlink"/>
                <w:noProof/>
                <w:lang w:val="en-GB"/>
              </w:rPr>
              <w:t>Community engagement</w:t>
            </w:r>
            <w:r w:rsidR="001A6913">
              <w:rPr>
                <w:noProof/>
                <w:webHidden/>
              </w:rPr>
              <w:tab/>
            </w:r>
            <w:r w:rsidR="001A6913">
              <w:rPr>
                <w:noProof/>
                <w:webHidden/>
              </w:rPr>
              <w:fldChar w:fldCharType="begin"/>
            </w:r>
            <w:r w:rsidR="001A6913">
              <w:rPr>
                <w:noProof/>
                <w:webHidden/>
              </w:rPr>
              <w:instrText xml:space="preserve"> PAGEREF _Toc100054575 \h </w:instrText>
            </w:r>
            <w:r w:rsidR="001A6913">
              <w:rPr>
                <w:noProof/>
                <w:webHidden/>
              </w:rPr>
            </w:r>
            <w:r w:rsidR="001A6913">
              <w:rPr>
                <w:noProof/>
                <w:webHidden/>
              </w:rPr>
              <w:fldChar w:fldCharType="separate"/>
            </w:r>
            <w:r w:rsidR="001A6913">
              <w:rPr>
                <w:noProof/>
                <w:webHidden/>
              </w:rPr>
              <w:t>5</w:t>
            </w:r>
            <w:r w:rsidR="001A6913">
              <w:rPr>
                <w:noProof/>
                <w:webHidden/>
              </w:rPr>
              <w:fldChar w:fldCharType="end"/>
            </w:r>
          </w:hyperlink>
        </w:p>
        <w:p w14:paraId="14815E9D" w14:textId="480DEDE6" w:rsidR="001A6913" w:rsidRDefault="0009563C">
          <w:pPr>
            <w:pStyle w:val="Cuprins1"/>
            <w:tabs>
              <w:tab w:val="right" w:leader="dot" w:pos="9016"/>
            </w:tabs>
            <w:rPr>
              <w:noProof/>
            </w:rPr>
          </w:pPr>
          <w:hyperlink w:anchor="_Toc100054576" w:history="1">
            <w:r w:rsidR="001A6913" w:rsidRPr="00233479">
              <w:rPr>
                <w:rStyle w:val="Hyperlink"/>
                <w:rFonts w:eastAsia="Times New Roman"/>
                <w:noProof/>
                <w:lang w:eastAsia="en-GB"/>
              </w:rPr>
              <w:t>‘De-politicize’ the project.</w:t>
            </w:r>
            <w:r w:rsidR="001A6913">
              <w:rPr>
                <w:noProof/>
                <w:webHidden/>
              </w:rPr>
              <w:tab/>
            </w:r>
            <w:r w:rsidR="001A6913">
              <w:rPr>
                <w:noProof/>
                <w:webHidden/>
              </w:rPr>
              <w:fldChar w:fldCharType="begin"/>
            </w:r>
            <w:r w:rsidR="001A6913">
              <w:rPr>
                <w:noProof/>
                <w:webHidden/>
              </w:rPr>
              <w:instrText xml:space="preserve"> PAGEREF _Toc100054576 \h </w:instrText>
            </w:r>
            <w:r w:rsidR="001A6913">
              <w:rPr>
                <w:noProof/>
                <w:webHidden/>
              </w:rPr>
            </w:r>
            <w:r w:rsidR="001A6913">
              <w:rPr>
                <w:noProof/>
                <w:webHidden/>
              </w:rPr>
              <w:fldChar w:fldCharType="separate"/>
            </w:r>
            <w:r w:rsidR="001A6913">
              <w:rPr>
                <w:noProof/>
                <w:webHidden/>
              </w:rPr>
              <w:t>6</w:t>
            </w:r>
            <w:r w:rsidR="001A6913">
              <w:rPr>
                <w:noProof/>
                <w:webHidden/>
              </w:rPr>
              <w:fldChar w:fldCharType="end"/>
            </w:r>
          </w:hyperlink>
        </w:p>
        <w:p w14:paraId="42177A10" w14:textId="3CA377FE" w:rsidR="001A6913" w:rsidRDefault="0009563C">
          <w:pPr>
            <w:pStyle w:val="Cuprins1"/>
            <w:tabs>
              <w:tab w:val="right" w:leader="dot" w:pos="9016"/>
            </w:tabs>
            <w:rPr>
              <w:noProof/>
            </w:rPr>
          </w:pPr>
          <w:hyperlink w:anchor="_Toc100054577" w:history="1">
            <w:r w:rsidR="001A6913" w:rsidRPr="00233479">
              <w:rPr>
                <w:rStyle w:val="Hyperlink"/>
                <w:noProof/>
              </w:rPr>
              <w:t>Social Media Community Management</w:t>
            </w:r>
            <w:r w:rsidR="001A6913">
              <w:rPr>
                <w:noProof/>
                <w:webHidden/>
              </w:rPr>
              <w:tab/>
            </w:r>
            <w:r w:rsidR="001A6913">
              <w:rPr>
                <w:noProof/>
                <w:webHidden/>
              </w:rPr>
              <w:fldChar w:fldCharType="begin"/>
            </w:r>
            <w:r w:rsidR="001A6913">
              <w:rPr>
                <w:noProof/>
                <w:webHidden/>
              </w:rPr>
              <w:instrText xml:space="preserve"> PAGEREF _Toc100054577 \h </w:instrText>
            </w:r>
            <w:r w:rsidR="001A6913">
              <w:rPr>
                <w:noProof/>
                <w:webHidden/>
              </w:rPr>
            </w:r>
            <w:r w:rsidR="001A6913">
              <w:rPr>
                <w:noProof/>
                <w:webHidden/>
              </w:rPr>
              <w:fldChar w:fldCharType="separate"/>
            </w:r>
            <w:r w:rsidR="001A6913">
              <w:rPr>
                <w:noProof/>
                <w:webHidden/>
              </w:rPr>
              <w:t>6</w:t>
            </w:r>
            <w:r w:rsidR="001A6913">
              <w:rPr>
                <w:noProof/>
                <w:webHidden/>
              </w:rPr>
              <w:fldChar w:fldCharType="end"/>
            </w:r>
          </w:hyperlink>
        </w:p>
        <w:p w14:paraId="19B2872A" w14:textId="7F620113" w:rsidR="001A6913" w:rsidRDefault="0009563C">
          <w:pPr>
            <w:pStyle w:val="Cuprins1"/>
            <w:tabs>
              <w:tab w:val="right" w:leader="dot" w:pos="9016"/>
            </w:tabs>
            <w:rPr>
              <w:noProof/>
            </w:rPr>
          </w:pPr>
          <w:hyperlink w:anchor="_Toc100054578" w:history="1">
            <w:r w:rsidR="001A6913" w:rsidRPr="00233479">
              <w:rPr>
                <w:rStyle w:val="Hyperlink"/>
                <w:noProof/>
                <w:lang w:val="en-GB"/>
              </w:rPr>
              <w:t>Conclusion</w:t>
            </w:r>
            <w:r w:rsidR="001A6913">
              <w:rPr>
                <w:noProof/>
                <w:webHidden/>
              </w:rPr>
              <w:tab/>
            </w:r>
            <w:r w:rsidR="001A6913">
              <w:rPr>
                <w:noProof/>
                <w:webHidden/>
              </w:rPr>
              <w:fldChar w:fldCharType="begin"/>
            </w:r>
            <w:r w:rsidR="001A6913">
              <w:rPr>
                <w:noProof/>
                <w:webHidden/>
              </w:rPr>
              <w:instrText xml:space="preserve"> PAGEREF _Toc100054578 \h </w:instrText>
            </w:r>
            <w:r w:rsidR="001A6913">
              <w:rPr>
                <w:noProof/>
                <w:webHidden/>
              </w:rPr>
            </w:r>
            <w:r w:rsidR="001A6913">
              <w:rPr>
                <w:noProof/>
                <w:webHidden/>
              </w:rPr>
              <w:fldChar w:fldCharType="separate"/>
            </w:r>
            <w:r w:rsidR="001A6913">
              <w:rPr>
                <w:noProof/>
                <w:webHidden/>
              </w:rPr>
              <w:t>8</w:t>
            </w:r>
            <w:r w:rsidR="001A6913">
              <w:rPr>
                <w:noProof/>
                <w:webHidden/>
              </w:rPr>
              <w:fldChar w:fldCharType="end"/>
            </w:r>
          </w:hyperlink>
        </w:p>
        <w:p w14:paraId="70F81771" w14:textId="395577C8" w:rsidR="001A6913" w:rsidRDefault="0009563C">
          <w:pPr>
            <w:pStyle w:val="Cuprins1"/>
            <w:tabs>
              <w:tab w:val="right" w:leader="dot" w:pos="9016"/>
            </w:tabs>
            <w:rPr>
              <w:noProof/>
            </w:rPr>
          </w:pPr>
          <w:hyperlink w:anchor="_Toc100054579" w:history="1">
            <w:r w:rsidR="001A6913" w:rsidRPr="00233479">
              <w:rPr>
                <w:rStyle w:val="Hyperlink"/>
                <w:noProof/>
                <w:lang w:val="en-GB"/>
              </w:rPr>
              <w:t>Reference list:</w:t>
            </w:r>
            <w:r w:rsidR="001A6913">
              <w:rPr>
                <w:noProof/>
                <w:webHidden/>
              </w:rPr>
              <w:tab/>
            </w:r>
            <w:r w:rsidR="001A6913">
              <w:rPr>
                <w:noProof/>
                <w:webHidden/>
              </w:rPr>
              <w:fldChar w:fldCharType="begin"/>
            </w:r>
            <w:r w:rsidR="001A6913">
              <w:rPr>
                <w:noProof/>
                <w:webHidden/>
              </w:rPr>
              <w:instrText xml:space="preserve"> PAGEREF _Toc100054579 \h </w:instrText>
            </w:r>
            <w:r w:rsidR="001A6913">
              <w:rPr>
                <w:noProof/>
                <w:webHidden/>
              </w:rPr>
            </w:r>
            <w:r w:rsidR="001A6913">
              <w:rPr>
                <w:noProof/>
                <w:webHidden/>
              </w:rPr>
              <w:fldChar w:fldCharType="separate"/>
            </w:r>
            <w:r w:rsidR="001A6913">
              <w:rPr>
                <w:noProof/>
                <w:webHidden/>
              </w:rPr>
              <w:t>9</w:t>
            </w:r>
            <w:r w:rsidR="001A6913">
              <w:rPr>
                <w:noProof/>
                <w:webHidden/>
              </w:rPr>
              <w:fldChar w:fldCharType="end"/>
            </w:r>
          </w:hyperlink>
        </w:p>
        <w:p w14:paraId="2B6BFDD8" w14:textId="1EE112F8" w:rsidR="001A6913" w:rsidRDefault="001A6913">
          <w:r>
            <w:rPr>
              <w:b/>
              <w:bCs/>
              <w:noProof/>
            </w:rPr>
            <w:fldChar w:fldCharType="end"/>
          </w:r>
        </w:p>
      </w:sdtContent>
    </w:sdt>
    <w:p w14:paraId="344403A8" w14:textId="77777777" w:rsidR="003B6AFE" w:rsidRDefault="003B6AFE" w:rsidP="00F47C3B">
      <w:pPr>
        <w:rPr>
          <w:rFonts w:ascii="Times New Roman" w:hAnsi="Times New Roman" w:cs="Times New Roman"/>
          <w:sz w:val="28"/>
          <w:szCs w:val="28"/>
        </w:rPr>
      </w:pPr>
    </w:p>
    <w:p w14:paraId="1A06DF9C" w14:textId="77777777" w:rsidR="003B6AFE" w:rsidRDefault="003B6AFE" w:rsidP="00F47C3B">
      <w:pPr>
        <w:rPr>
          <w:rFonts w:ascii="Times New Roman" w:hAnsi="Times New Roman" w:cs="Times New Roman"/>
          <w:sz w:val="28"/>
          <w:szCs w:val="28"/>
        </w:rPr>
      </w:pPr>
    </w:p>
    <w:p w14:paraId="34D4C27D" w14:textId="77777777" w:rsidR="003B6AFE" w:rsidRDefault="003B6AFE" w:rsidP="00F47C3B">
      <w:pPr>
        <w:rPr>
          <w:rFonts w:ascii="Times New Roman" w:hAnsi="Times New Roman" w:cs="Times New Roman"/>
          <w:sz w:val="28"/>
          <w:szCs w:val="28"/>
        </w:rPr>
      </w:pPr>
    </w:p>
    <w:p w14:paraId="6E08A90E" w14:textId="77777777" w:rsidR="003B6AFE" w:rsidRDefault="003B6AFE" w:rsidP="00F47C3B">
      <w:pPr>
        <w:rPr>
          <w:rFonts w:ascii="Times New Roman" w:hAnsi="Times New Roman" w:cs="Times New Roman"/>
          <w:sz w:val="28"/>
          <w:szCs w:val="28"/>
        </w:rPr>
      </w:pPr>
    </w:p>
    <w:p w14:paraId="0ADC3117" w14:textId="77777777" w:rsidR="003B6AFE" w:rsidRDefault="003B6AFE" w:rsidP="00F47C3B">
      <w:pPr>
        <w:rPr>
          <w:rFonts w:ascii="Times New Roman" w:hAnsi="Times New Roman" w:cs="Times New Roman"/>
          <w:sz w:val="28"/>
          <w:szCs w:val="28"/>
        </w:rPr>
      </w:pPr>
    </w:p>
    <w:p w14:paraId="79B1DCE7" w14:textId="77777777" w:rsidR="003B6AFE" w:rsidRDefault="003B6AFE" w:rsidP="00F47C3B">
      <w:pPr>
        <w:rPr>
          <w:rFonts w:ascii="Times New Roman" w:hAnsi="Times New Roman" w:cs="Times New Roman"/>
          <w:sz w:val="28"/>
          <w:szCs w:val="28"/>
        </w:rPr>
      </w:pPr>
    </w:p>
    <w:p w14:paraId="213A4367" w14:textId="5B86B505" w:rsidR="003B6AFE" w:rsidRDefault="003B6AFE" w:rsidP="00F47C3B">
      <w:pPr>
        <w:rPr>
          <w:rFonts w:ascii="Times New Roman" w:hAnsi="Times New Roman" w:cs="Times New Roman"/>
          <w:sz w:val="28"/>
          <w:szCs w:val="28"/>
        </w:rPr>
      </w:pPr>
    </w:p>
    <w:p w14:paraId="59DB757A" w14:textId="5336C267" w:rsidR="003B6AFE" w:rsidRDefault="003B6AFE" w:rsidP="00F47C3B">
      <w:pPr>
        <w:rPr>
          <w:rFonts w:ascii="Times New Roman" w:hAnsi="Times New Roman" w:cs="Times New Roman"/>
          <w:sz w:val="28"/>
          <w:szCs w:val="28"/>
        </w:rPr>
      </w:pPr>
    </w:p>
    <w:p w14:paraId="76CCD7A2" w14:textId="2B796979" w:rsidR="003B6AFE" w:rsidRDefault="003B6AFE" w:rsidP="00F47C3B">
      <w:pPr>
        <w:rPr>
          <w:rFonts w:ascii="Times New Roman" w:hAnsi="Times New Roman" w:cs="Times New Roman"/>
          <w:sz w:val="28"/>
          <w:szCs w:val="28"/>
        </w:rPr>
      </w:pPr>
    </w:p>
    <w:p w14:paraId="6BD0181A" w14:textId="293992C9" w:rsidR="003B6AFE" w:rsidRDefault="003B6AFE" w:rsidP="00F47C3B">
      <w:pPr>
        <w:rPr>
          <w:rFonts w:ascii="Times New Roman" w:hAnsi="Times New Roman" w:cs="Times New Roman"/>
          <w:sz w:val="28"/>
          <w:szCs w:val="28"/>
        </w:rPr>
      </w:pPr>
    </w:p>
    <w:p w14:paraId="20C0EDE2" w14:textId="2472A7CF" w:rsidR="003B6AFE" w:rsidRDefault="003B6AFE" w:rsidP="00F47C3B">
      <w:pPr>
        <w:rPr>
          <w:rFonts w:ascii="Times New Roman" w:hAnsi="Times New Roman" w:cs="Times New Roman"/>
          <w:sz w:val="28"/>
          <w:szCs w:val="28"/>
        </w:rPr>
      </w:pPr>
    </w:p>
    <w:p w14:paraId="5D9C6639" w14:textId="540A711F" w:rsidR="003B6AFE" w:rsidRDefault="003B6AFE" w:rsidP="00F47C3B">
      <w:pPr>
        <w:rPr>
          <w:rFonts w:ascii="Times New Roman" w:hAnsi="Times New Roman" w:cs="Times New Roman"/>
          <w:sz w:val="28"/>
          <w:szCs w:val="28"/>
        </w:rPr>
      </w:pPr>
    </w:p>
    <w:p w14:paraId="2FA298FD" w14:textId="0BD3FCE0" w:rsidR="003B6AFE" w:rsidRDefault="003B6AFE" w:rsidP="00F47C3B">
      <w:pPr>
        <w:rPr>
          <w:rFonts w:ascii="Times New Roman" w:hAnsi="Times New Roman" w:cs="Times New Roman"/>
          <w:sz w:val="28"/>
          <w:szCs w:val="28"/>
        </w:rPr>
      </w:pPr>
    </w:p>
    <w:p w14:paraId="5E98E47B" w14:textId="2A822AFC" w:rsidR="003B6AFE" w:rsidRDefault="003B6AFE" w:rsidP="00F47C3B">
      <w:pPr>
        <w:rPr>
          <w:rFonts w:ascii="Times New Roman" w:hAnsi="Times New Roman" w:cs="Times New Roman"/>
          <w:sz w:val="28"/>
          <w:szCs w:val="28"/>
        </w:rPr>
      </w:pPr>
    </w:p>
    <w:p w14:paraId="5EB7D964" w14:textId="4E1BB4FB" w:rsidR="003B6AFE" w:rsidRDefault="003B6AFE" w:rsidP="00F47C3B">
      <w:pPr>
        <w:rPr>
          <w:rFonts w:ascii="Times New Roman" w:hAnsi="Times New Roman" w:cs="Times New Roman"/>
          <w:sz w:val="28"/>
          <w:szCs w:val="28"/>
        </w:rPr>
      </w:pPr>
    </w:p>
    <w:p w14:paraId="17FAF15B" w14:textId="1109E051" w:rsidR="003B6AFE" w:rsidRDefault="003B6AFE" w:rsidP="00F47C3B">
      <w:pPr>
        <w:rPr>
          <w:rFonts w:ascii="Times New Roman" w:hAnsi="Times New Roman" w:cs="Times New Roman"/>
          <w:sz w:val="28"/>
          <w:szCs w:val="28"/>
        </w:rPr>
      </w:pPr>
    </w:p>
    <w:p w14:paraId="42EF3601" w14:textId="6DF78F24" w:rsidR="003B6AFE" w:rsidRDefault="003B6AFE" w:rsidP="00F47C3B">
      <w:pPr>
        <w:rPr>
          <w:rFonts w:ascii="Times New Roman" w:hAnsi="Times New Roman" w:cs="Times New Roman"/>
          <w:sz w:val="28"/>
          <w:szCs w:val="28"/>
        </w:rPr>
      </w:pPr>
    </w:p>
    <w:p w14:paraId="4D3B3C8E" w14:textId="748F03C0" w:rsidR="003B6AFE" w:rsidRDefault="003B6AFE" w:rsidP="00F47C3B">
      <w:pPr>
        <w:rPr>
          <w:rFonts w:ascii="Times New Roman" w:hAnsi="Times New Roman" w:cs="Times New Roman"/>
          <w:sz w:val="28"/>
          <w:szCs w:val="28"/>
        </w:rPr>
      </w:pPr>
    </w:p>
    <w:p w14:paraId="2D8FD9BB" w14:textId="02A0B3E1" w:rsidR="003B6AFE" w:rsidRDefault="003B6AFE" w:rsidP="00F47C3B">
      <w:pPr>
        <w:rPr>
          <w:rFonts w:ascii="Times New Roman" w:hAnsi="Times New Roman" w:cs="Times New Roman"/>
          <w:sz w:val="28"/>
          <w:szCs w:val="28"/>
        </w:rPr>
      </w:pPr>
    </w:p>
    <w:p w14:paraId="6A216327" w14:textId="1DE5B3A7" w:rsidR="003B6AFE" w:rsidRDefault="003B6AFE" w:rsidP="00F47C3B">
      <w:pPr>
        <w:rPr>
          <w:rFonts w:ascii="Times New Roman" w:hAnsi="Times New Roman" w:cs="Times New Roman"/>
          <w:sz w:val="28"/>
          <w:szCs w:val="28"/>
        </w:rPr>
      </w:pPr>
    </w:p>
    <w:p w14:paraId="1029C80A" w14:textId="2DEBEE37" w:rsidR="003B6AFE" w:rsidRDefault="003B6AFE" w:rsidP="00F47C3B">
      <w:pPr>
        <w:rPr>
          <w:rFonts w:ascii="Times New Roman" w:hAnsi="Times New Roman" w:cs="Times New Roman"/>
          <w:sz w:val="28"/>
          <w:szCs w:val="28"/>
        </w:rPr>
      </w:pPr>
    </w:p>
    <w:p w14:paraId="4F1E91DD" w14:textId="62CEBBFA" w:rsidR="003B6AFE" w:rsidRDefault="003B6AFE" w:rsidP="00F47C3B">
      <w:pPr>
        <w:rPr>
          <w:rFonts w:ascii="Times New Roman" w:hAnsi="Times New Roman" w:cs="Times New Roman"/>
          <w:sz w:val="28"/>
          <w:szCs w:val="28"/>
        </w:rPr>
      </w:pPr>
    </w:p>
    <w:p w14:paraId="300E46DB" w14:textId="2EC0FBA7" w:rsidR="003B6AFE" w:rsidRDefault="003B6AFE" w:rsidP="00F47C3B">
      <w:pPr>
        <w:rPr>
          <w:rFonts w:ascii="Times New Roman" w:hAnsi="Times New Roman" w:cs="Times New Roman"/>
          <w:sz w:val="28"/>
          <w:szCs w:val="28"/>
        </w:rPr>
      </w:pPr>
    </w:p>
    <w:p w14:paraId="3C830312" w14:textId="0919955F" w:rsidR="003B6AFE" w:rsidRDefault="003B6AFE" w:rsidP="00F47C3B">
      <w:pPr>
        <w:rPr>
          <w:rFonts w:ascii="Times New Roman" w:hAnsi="Times New Roman" w:cs="Times New Roman"/>
          <w:sz w:val="28"/>
          <w:szCs w:val="28"/>
        </w:rPr>
      </w:pPr>
    </w:p>
    <w:p w14:paraId="35840A18" w14:textId="2584177B" w:rsidR="003B6AFE" w:rsidRDefault="003B6AFE" w:rsidP="00F47C3B">
      <w:pPr>
        <w:rPr>
          <w:rFonts w:ascii="Times New Roman" w:hAnsi="Times New Roman" w:cs="Times New Roman"/>
          <w:sz w:val="28"/>
          <w:szCs w:val="28"/>
        </w:rPr>
      </w:pPr>
    </w:p>
    <w:p w14:paraId="57859E94" w14:textId="3C2165E3" w:rsidR="003B6AFE" w:rsidRDefault="003B6AFE" w:rsidP="00F47C3B">
      <w:pPr>
        <w:rPr>
          <w:rFonts w:ascii="Times New Roman" w:hAnsi="Times New Roman" w:cs="Times New Roman"/>
          <w:sz w:val="28"/>
          <w:szCs w:val="28"/>
        </w:rPr>
      </w:pPr>
    </w:p>
    <w:p w14:paraId="684E924D" w14:textId="294F6FD6" w:rsidR="003B6AFE" w:rsidRDefault="003B6AFE" w:rsidP="00F47C3B">
      <w:pPr>
        <w:rPr>
          <w:rFonts w:ascii="Times New Roman" w:hAnsi="Times New Roman" w:cs="Times New Roman"/>
          <w:sz w:val="28"/>
          <w:szCs w:val="28"/>
        </w:rPr>
      </w:pPr>
    </w:p>
    <w:p w14:paraId="678232BE" w14:textId="08E1803D" w:rsidR="003B6AFE" w:rsidRDefault="003B6AFE" w:rsidP="00F47C3B">
      <w:pPr>
        <w:rPr>
          <w:rFonts w:ascii="Times New Roman" w:hAnsi="Times New Roman" w:cs="Times New Roman"/>
          <w:sz w:val="28"/>
          <w:szCs w:val="28"/>
        </w:rPr>
      </w:pPr>
    </w:p>
    <w:p w14:paraId="4E015623" w14:textId="24525C7A" w:rsidR="003B6AFE" w:rsidRDefault="003B6AFE" w:rsidP="00F47C3B">
      <w:pPr>
        <w:rPr>
          <w:rFonts w:ascii="Times New Roman" w:hAnsi="Times New Roman" w:cs="Times New Roman"/>
          <w:sz w:val="28"/>
          <w:szCs w:val="28"/>
        </w:rPr>
      </w:pPr>
    </w:p>
    <w:p w14:paraId="06B26D0B" w14:textId="060E05BB" w:rsidR="003B6AFE" w:rsidRDefault="003B6AFE" w:rsidP="00F47C3B">
      <w:pPr>
        <w:rPr>
          <w:rFonts w:ascii="Times New Roman" w:hAnsi="Times New Roman" w:cs="Times New Roman"/>
          <w:sz w:val="28"/>
          <w:szCs w:val="28"/>
        </w:rPr>
      </w:pPr>
    </w:p>
    <w:p w14:paraId="5CC3A116" w14:textId="5807A022" w:rsidR="003B6AFE" w:rsidRDefault="003B6AFE" w:rsidP="00F47C3B">
      <w:pPr>
        <w:rPr>
          <w:rFonts w:ascii="Times New Roman" w:hAnsi="Times New Roman" w:cs="Times New Roman"/>
          <w:sz w:val="28"/>
          <w:szCs w:val="28"/>
        </w:rPr>
      </w:pPr>
    </w:p>
    <w:p w14:paraId="09BD173E" w14:textId="77777777" w:rsidR="00CA3764" w:rsidRPr="003B6AFE" w:rsidRDefault="00CA3764" w:rsidP="00F47C3B">
      <w:pPr>
        <w:rPr>
          <w:rFonts w:ascii="Times New Roman" w:hAnsi="Times New Roman" w:cs="Times New Roman"/>
          <w:sz w:val="28"/>
          <w:szCs w:val="28"/>
          <w:lang w:val="en-GB"/>
        </w:rPr>
      </w:pPr>
    </w:p>
    <w:p w14:paraId="3B6F17EC" w14:textId="2EC52E70" w:rsidR="003B6AFE" w:rsidRDefault="00613676" w:rsidP="001A6913">
      <w:pPr>
        <w:pStyle w:val="Titlu1"/>
        <w:rPr>
          <w:lang w:val="en-GB"/>
        </w:rPr>
      </w:pPr>
      <w:bookmarkStart w:id="0" w:name="_Toc100054574"/>
      <w:r w:rsidRPr="00613676">
        <w:rPr>
          <w:lang w:val="en-GB"/>
        </w:rPr>
        <w:t>Lesson learn/ introduction</w:t>
      </w:r>
      <w:bookmarkEnd w:id="0"/>
    </w:p>
    <w:p w14:paraId="5D93584D" w14:textId="77777777" w:rsidR="00613676" w:rsidRPr="00613676" w:rsidRDefault="00613676" w:rsidP="00F47C3B">
      <w:pPr>
        <w:rPr>
          <w:rFonts w:ascii="Times New Roman" w:hAnsi="Times New Roman" w:cs="Times New Roman"/>
          <w:b/>
          <w:bCs/>
          <w:sz w:val="28"/>
          <w:szCs w:val="28"/>
          <w:lang w:val="en-GB"/>
        </w:rPr>
      </w:pPr>
    </w:p>
    <w:p w14:paraId="49BBDB7F" w14:textId="53388C66" w:rsidR="00F47C3B" w:rsidRPr="00F47C3B" w:rsidRDefault="00F47C3B" w:rsidP="00F47C3B">
      <w:pPr>
        <w:rPr>
          <w:rFonts w:ascii="Times New Roman" w:hAnsi="Times New Roman" w:cs="Times New Roman"/>
          <w:sz w:val="28"/>
          <w:szCs w:val="28"/>
        </w:rPr>
      </w:pPr>
      <w:r w:rsidRPr="00F47C3B">
        <w:rPr>
          <w:rFonts w:ascii="Times New Roman" w:hAnsi="Times New Roman" w:cs="Times New Roman"/>
          <w:sz w:val="28"/>
          <w:szCs w:val="28"/>
        </w:rPr>
        <w:t xml:space="preserve">I think I've learned some general lessons that other people might find useful. To start with, it takes time to make long-term service changes and improvements. Part of the reason for this is that staff must be convinced that change will be good for patients; in fact, their scepticism may be a good thing because it can protect patients from changes that are too fast or frequent. In addition, it is important not to rush change, as it will likely require the help of many different organisations and agencies, all of which must be recognised and included at the start of each cycle of service changes. People who are excluded or feel excluded may be against change, and their efforts may work. When health care reform is likely to be a political issue, getting cross-party agreement on a mental health policy is important to make sure that it will stay in place even if the government changes. Again, this may take some time. </w:t>
      </w:r>
    </w:p>
    <w:p w14:paraId="46E06C11" w14:textId="77777777" w:rsidR="00F47C3B" w:rsidRPr="00F47C3B" w:rsidRDefault="00F47C3B" w:rsidP="00F47C3B">
      <w:pPr>
        <w:rPr>
          <w:rFonts w:ascii="Times New Roman" w:hAnsi="Times New Roman" w:cs="Times New Roman"/>
          <w:sz w:val="28"/>
          <w:szCs w:val="28"/>
        </w:rPr>
      </w:pPr>
      <w:r w:rsidRPr="00F47C3B">
        <w:rPr>
          <w:rFonts w:ascii="Times New Roman" w:hAnsi="Times New Roman" w:cs="Times New Roman"/>
          <w:sz w:val="28"/>
          <w:szCs w:val="28"/>
        </w:rPr>
        <w:t xml:space="preserve">In addition, it takes time to go from the idea stage of a change to the stage where it's stable. When service reform is in its early stages, a charismatic person or a small group of people often speak up for important initiatives and get support from stakeholder groups and people who have power in the health care system. It will be up to the medical director/supervisors of a mental hospital, for example, to decide whether or not change 4 happens at the place. However, after a number of efforts, such as setting up mental health day centres in important cities across the country, the mental health system needs to make sure these changes stay in place for the long term. Usually, charismatic leaders move on to other things at this point. People who can slowly stabilise the new organisation and build long-term relationships are the ones who make the most money. These people aren't very visible, but they have a lot of important jobs. They'll set up multi-agency working groups to find and solve problems that happen on a daily basis, hold consultation or partnership meetings with service users and their families, and make sure that services stay within their budgets, among other things. </w:t>
      </w:r>
    </w:p>
    <w:p w14:paraId="2A9EB0ED" w14:textId="77777777" w:rsidR="00F47C3B" w:rsidRPr="00F47C3B" w:rsidRDefault="00F47C3B" w:rsidP="00F47C3B">
      <w:pPr>
        <w:rPr>
          <w:rFonts w:ascii="Times New Roman" w:hAnsi="Times New Roman" w:cs="Times New Roman"/>
          <w:sz w:val="28"/>
          <w:szCs w:val="28"/>
        </w:rPr>
      </w:pPr>
      <w:r w:rsidRPr="00F47C3B">
        <w:rPr>
          <w:rFonts w:ascii="Times New Roman" w:hAnsi="Times New Roman" w:cs="Times New Roman"/>
          <w:sz w:val="28"/>
          <w:szCs w:val="28"/>
        </w:rPr>
        <w:t xml:space="preserve">Maintenance work for a new system may seem like a bad idea at first, but this consolidation is important to make sure that services can last for a long time and grow. A larger group of people will have to work together to provide all of the service components in the larger system of care, rather than a single person who is seen as the leader. Organizing and repeating lobbying actions by a coalition of stakeholder groups will often be necessary to make sure these policy decisions and their implementation on the ground work out. Modernizing mental health laws, for example, would require a lot of lobbying from a coalition of groups that work with people who have mental health problems. Verona, Italy, has changed its services a lot over the last 30 years, as shown by the local case record that was set up in 1979 (Figure (Figure1)1). A lot more day </w:t>
      </w:r>
      <w:r w:rsidRPr="00F47C3B">
        <w:rPr>
          <w:rFonts w:ascii="Times New Roman" w:hAnsi="Times New Roman" w:cs="Times New Roman"/>
          <w:sz w:val="28"/>
          <w:szCs w:val="28"/>
        </w:rPr>
        <w:lastRenderedPageBreak/>
        <w:t xml:space="preserve">care, residential care, outpatient therapy, and community interaction are available for people with mental illnesses now than there were a few years ago. </w:t>
      </w:r>
    </w:p>
    <w:p w14:paraId="24F64B64" w14:textId="704A1043" w:rsidR="00F47C3B" w:rsidRDefault="00F47C3B" w:rsidP="00F47C3B"/>
    <w:p w14:paraId="645EBDFE" w14:textId="3947D6B7" w:rsidR="00F47C3B" w:rsidRDefault="00F47C3B" w:rsidP="00F47C3B">
      <w:r>
        <w:rPr>
          <w:noProof/>
        </w:rPr>
        <w:drawing>
          <wp:inline distT="0" distB="0" distL="0" distR="0" wp14:anchorId="14050D04" wp14:editId="0D0B7694">
            <wp:extent cx="5359400" cy="3492500"/>
            <wp:effectExtent l="0" t="0" r="0"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59400" cy="3492500"/>
                    </a:xfrm>
                    <a:prstGeom prst="rect">
                      <a:avLst/>
                    </a:prstGeom>
                  </pic:spPr>
                </pic:pic>
              </a:graphicData>
            </a:graphic>
          </wp:inline>
        </w:drawing>
      </w:r>
    </w:p>
    <w:p w14:paraId="5195EA69" w14:textId="7F4E8ED7" w:rsidR="00F47C3B" w:rsidRDefault="00F47C3B" w:rsidP="00F47C3B"/>
    <w:p w14:paraId="03CAC000" w14:textId="77777777" w:rsidR="00F47C3B" w:rsidRDefault="00F47C3B" w:rsidP="00F47C3B"/>
    <w:p w14:paraId="17B70642" w14:textId="77777777" w:rsidR="00F47C3B" w:rsidRPr="00F47C3B" w:rsidRDefault="00F47C3B" w:rsidP="00F47C3B">
      <w:pPr>
        <w:rPr>
          <w:rFonts w:ascii="Times New Roman" w:hAnsi="Times New Roman" w:cs="Times New Roman"/>
          <w:sz w:val="28"/>
          <w:szCs w:val="28"/>
        </w:rPr>
      </w:pPr>
      <w:r w:rsidRPr="00F47C3B">
        <w:rPr>
          <w:rFonts w:ascii="Times New Roman" w:hAnsi="Times New Roman" w:cs="Times New Roman"/>
          <w:sz w:val="28"/>
          <w:szCs w:val="28"/>
        </w:rPr>
        <w:t xml:space="preserve">It's important to think about what users and their families have to say and do. Everyone who works in mental health services must keep their eye on the main goal: to improve the lives of people who have mental illnesses. As a result, it is very important that the people who are going to get the treatment and care be part of the planning and administration. Traditional and paternalistic approaches to mental health treatment have changed a lot in the last few years. Instead of relying on staff to make all important decisions in the "best interests" of patients, now people with mental illnesses work much more closely with their care providers. This means that there must be a big change in the way staff thinks. They must learn to be and feel less responsible for making decisions that affect every part of a patient's life. People who have mental illnesses also need to be able to talk about how they feel and what they want from their treatment. This may be very difficult for some people, especially those who have spent years in mental facilities where their opinions and preferences were rarely taken into account. Often, help from advocacy specialists is needed to help people who have lost the ability to recognise and communicate their own points of view. One of the findings is that, even though service quality may improve over time when community mental health services are set up, patient expectations may rise even faster, which can make them less satisfied. Despite what some people think, this isn't a bad thing for the people who work there. Instead, they </w:t>
      </w:r>
      <w:r w:rsidRPr="00F47C3B">
        <w:rPr>
          <w:rFonts w:ascii="Times New Roman" w:hAnsi="Times New Roman" w:cs="Times New Roman"/>
          <w:sz w:val="28"/>
          <w:szCs w:val="28"/>
        </w:rPr>
        <w:lastRenderedPageBreak/>
        <w:t xml:space="preserve">see this as a way to figure out what needs to be done next with the service. The best experts are people who use the service, so they are the clients. </w:t>
      </w:r>
    </w:p>
    <w:p w14:paraId="727D5172" w14:textId="6E30BC2B" w:rsidR="00F47C3B" w:rsidRDefault="00F47C3B" w:rsidP="00F47C3B">
      <w:pPr>
        <w:rPr>
          <w:rFonts w:ascii="Times New Roman" w:hAnsi="Times New Roman" w:cs="Times New Roman"/>
          <w:sz w:val="28"/>
          <w:szCs w:val="28"/>
        </w:rPr>
      </w:pPr>
      <w:r w:rsidRPr="00F47C3B">
        <w:rPr>
          <w:rFonts w:ascii="Times New Roman" w:hAnsi="Times New Roman" w:cs="Times New Roman"/>
          <w:sz w:val="28"/>
          <w:szCs w:val="28"/>
        </w:rPr>
        <w:t>Finally, the team in charge of such a process needs to know a lot about how to manage the whole budget, and service changes are likely to be used as an excuse to cut back on spending. While having a budget in place is important, having the ability to move money around is even more important, because money saved by cutting back on in-patient bed utilisation can be used for community mental health teams, occupational or residential programmes, or other things. If there isn't a well-defined and well-enforced financial barrier (often called a "ring fence") for mental health funds, money can easily be used for other health care needs. In other words, financial institutions must be set up to make sure that money can be transferred from service clients to the general public.</w:t>
      </w:r>
    </w:p>
    <w:p w14:paraId="5EAFBA26" w14:textId="16853FD0" w:rsidR="003B6AFE" w:rsidRDefault="003B6AFE" w:rsidP="00F47C3B">
      <w:pPr>
        <w:rPr>
          <w:rFonts w:ascii="Times New Roman" w:hAnsi="Times New Roman" w:cs="Times New Roman"/>
          <w:sz w:val="28"/>
          <w:szCs w:val="28"/>
        </w:rPr>
      </w:pPr>
    </w:p>
    <w:p w14:paraId="10EDD9A5" w14:textId="0FC34292" w:rsidR="003B6AFE" w:rsidRDefault="003B6AFE" w:rsidP="00F47C3B">
      <w:pPr>
        <w:rPr>
          <w:rFonts w:ascii="Times New Roman" w:hAnsi="Times New Roman" w:cs="Times New Roman"/>
          <w:sz w:val="28"/>
          <w:szCs w:val="28"/>
        </w:rPr>
      </w:pPr>
    </w:p>
    <w:p w14:paraId="50DD9449" w14:textId="0EF2D221" w:rsidR="003B6AFE" w:rsidRPr="00C47816" w:rsidRDefault="00C47816" w:rsidP="001A6913">
      <w:pPr>
        <w:pStyle w:val="Titlu1"/>
        <w:rPr>
          <w:lang w:val="en-GB"/>
        </w:rPr>
      </w:pPr>
      <w:bookmarkStart w:id="1" w:name="_Toc100054575"/>
      <w:r>
        <w:rPr>
          <w:lang w:val="en-GB"/>
        </w:rPr>
        <w:t>Community</w:t>
      </w:r>
      <w:r w:rsidR="000E416B">
        <w:rPr>
          <w:lang w:val="en-GB"/>
        </w:rPr>
        <w:t xml:space="preserve"> engagement</w:t>
      </w:r>
      <w:bookmarkEnd w:id="1"/>
      <w:r w:rsidR="000E416B">
        <w:rPr>
          <w:lang w:val="en-GB"/>
        </w:rPr>
        <w:t xml:space="preserve"> </w:t>
      </w:r>
    </w:p>
    <w:p w14:paraId="79AAC018" w14:textId="269843CB" w:rsidR="003B6AFE" w:rsidRDefault="003B6AFE" w:rsidP="00F47C3B">
      <w:pPr>
        <w:rPr>
          <w:rFonts w:ascii="Times New Roman" w:hAnsi="Times New Roman" w:cs="Times New Roman"/>
          <w:sz w:val="28"/>
          <w:szCs w:val="28"/>
        </w:rPr>
      </w:pPr>
    </w:p>
    <w:p w14:paraId="24EA40A1" w14:textId="77777777" w:rsidR="00C47816" w:rsidRPr="00C47816" w:rsidRDefault="00C47816" w:rsidP="00C47816">
      <w:pPr>
        <w:rPr>
          <w:rFonts w:ascii="Times New Roman" w:hAnsi="Times New Roman" w:cs="Times New Roman"/>
          <w:sz w:val="28"/>
          <w:szCs w:val="28"/>
        </w:rPr>
      </w:pPr>
      <w:r w:rsidRPr="00C47816">
        <w:rPr>
          <w:rFonts w:ascii="Times New Roman" w:hAnsi="Times New Roman" w:cs="Times New Roman"/>
          <w:sz w:val="28"/>
          <w:szCs w:val="28"/>
        </w:rPr>
        <w:t xml:space="preserve">Community involvement and communication are umbrella concepts that refer to all interested parties actively participating, exchanging information, and engaging in dialogue at all levels. Both are essential for building trust with communities, mobilising support and ownership, and detecting and resolving conflicts while they are still controllable. Thus, effective community engagement and communication are critical for the successful implementation and long-term sustainability of sanitation programmes. </w:t>
      </w:r>
    </w:p>
    <w:p w14:paraId="49BE3768" w14:textId="77777777" w:rsidR="00C47816" w:rsidRPr="00C47816" w:rsidRDefault="00C47816" w:rsidP="00C47816">
      <w:pPr>
        <w:rPr>
          <w:rFonts w:ascii="Times New Roman" w:hAnsi="Times New Roman" w:cs="Times New Roman"/>
          <w:sz w:val="28"/>
          <w:szCs w:val="28"/>
        </w:rPr>
      </w:pPr>
    </w:p>
    <w:p w14:paraId="21605F3C" w14:textId="77777777" w:rsidR="00C47816" w:rsidRPr="00C47816" w:rsidRDefault="00C47816" w:rsidP="00C47816">
      <w:pPr>
        <w:rPr>
          <w:rFonts w:ascii="Times New Roman" w:hAnsi="Times New Roman" w:cs="Times New Roman"/>
          <w:sz w:val="28"/>
          <w:szCs w:val="28"/>
        </w:rPr>
      </w:pPr>
      <w:r w:rsidRPr="00C47816">
        <w:rPr>
          <w:rFonts w:ascii="Times New Roman" w:hAnsi="Times New Roman" w:cs="Times New Roman"/>
          <w:sz w:val="28"/>
          <w:szCs w:val="28"/>
        </w:rPr>
        <w:t xml:space="preserve">Understanding public concerns and values, as well as generating popular support for proposed initiatives, are all aspects of community engagement, communication, and participatory planning. Furthermore, it is about using the vast amount of knowledge and experience possessed by stakeholders in order to generate effective, efficient, and long-term solutions (CAP-NET 2008). The process of identifying and analysing stakeholders, as well as establishing a plan for their engagement, is known as stakeholder analysis (RIETBERGEN-McCRACKEN et al. 1998). Stakeholder analysis may be done in a variety of ways, each with a varying amount of complexity. Click on the following links for more information on the different procedures involved in performing a stakeholder analysis: (1) identification of stakeholders, (2) importance and effect of stakeholders (3) stakeholder interests; and (4) a stakeholder engagement plan. </w:t>
      </w:r>
    </w:p>
    <w:p w14:paraId="09323B18" w14:textId="77777777" w:rsidR="00C47816" w:rsidRPr="00C47816" w:rsidRDefault="00C47816" w:rsidP="00C47816">
      <w:pPr>
        <w:rPr>
          <w:rFonts w:ascii="Times New Roman" w:hAnsi="Times New Roman" w:cs="Times New Roman"/>
          <w:sz w:val="28"/>
          <w:szCs w:val="28"/>
        </w:rPr>
      </w:pPr>
    </w:p>
    <w:p w14:paraId="3A6D8BF4" w14:textId="6711C755" w:rsidR="003B6AFE" w:rsidRDefault="00C47816" w:rsidP="00C47816">
      <w:pPr>
        <w:rPr>
          <w:rFonts w:ascii="Times New Roman" w:hAnsi="Times New Roman" w:cs="Times New Roman"/>
          <w:sz w:val="28"/>
          <w:szCs w:val="28"/>
        </w:rPr>
      </w:pPr>
      <w:r w:rsidRPr="00C47816">
        <w:rPr>
          <w:rFonts w:ascii="Times New Roman" w:hAnsi="Times New Roman" w:cs="Times New Roman"/>
          <w:sz w:val="28"/>
          <w:szCs w:val="28"/>
        </w:rPr>
        <w:t>In our experience, community engagement and communication are vital for analysing and controlling local political dynamics, which may be critical for the project's success or failure at any point in time. However, owing to their social-</w:t>
      </w:r>
      <w:r w:rsidRPr="00C47816">
        <w:rPr>
          <w:rFonts w:ascii="Times New Roman" w:hAnsi="Times New Roman" w:cs="Times New Roman"/>
          <w:sz w:val="28"/>
          <w:szCs w:val="28"/>
        </w:rPr>
        <w:lastRenderedPageBreak/>
        <w:t>political ramifications and unique context elements, community engagement and communication are the most difficult project components to implement – there is no standard protocol, step-by-step guide, or risk management. Nonetheless, thorough planning and implementation of community engagement and communication are crucial for effectively navigating obstacles and possibilities among the project's key beneficiaries.</w:t>
      </w:r>
    </w:p>
    <w:p w14:paraId="435968EC" w14:textId="1473F8C2" w:rsidR="003B6AFE" w:rsidRDefault="003B6AFE" w:rsidP="00F47C3B">
      <w:pPr>
        <w:rPr>
          <w:rFonts w:ascii="Times New Roman" w:hAnsi="Times New Roman" w:cs="Times New Roman"/>
          <w:sz w:val="28"/>
          <w:szCs w:val="28"/>
        </w:rPr>
      </w:pPr>
    </w:p>
    <w:p w14:paraId="20E09D65" w14:textId="77777777" w:rsidR="00760CA0" w:rsidRPr="00895B91" w:rsidRDefault="00760CA0" w:rsidP="001A6913">
      <w:pPr>
        <w:pStyle w:val="Titlu1"/>
        <w:rPr>
          <w:rFonts w:eastAsia="Times New Roman"/>
          <w:lang w:eastAsia="en-GB"/>
        </w:rPr>
      </w:pPr>
      <w:bookmarkStart w:id="2" w:name="_Toc100054576"/>
      <w:r w:rsidRPr="00895B91">
        <w:rPr>
          <w:rFonts w:eastAsia="Times New Roman"/>
          <w:lang w:eastAsia="en-GB"/>
        </w:rPr>
        <w:t>‘De-politicize’ the project.</w:t>
      </w:r>
      <w:bookmarkEnd w:id="2"/>
    </w:p>
    <w:p w14:paraId="4D4006C3" w14:textId="77777777" w:rsidR="00760CA0" w:rsidRPr="00760CA0" w:rsidRDefault="00760CA0" w:rsidP="00760CA0">
      <w:pPr>
        <w:rPr>
          <w:rFonts w:ascii="Times New Roman" w:hAnsi="Times New Roman" w:cs="Times New Roman"/>
          <w:sz w:val="28"/>
          <w:szCs w:val="28"/>
        </w:rPr>
      </w:pPr>
    </w:p>
    <w:p w14:paraId="2C505476" w14:textId="77777777" w:rsidR="00760CA0" w:rsidRPr="00760CA0" w:rsidRDefault="00760CA0" w:rsidP="00760CA0">
      <w:pPr>
        <w:rPr>
          <w:rFonts w:ascii="Times New Roman" w:hAnsi="Times New Roman" w:cs="Times New Roman"/>
          <w:sz w:val="28"/>
          <w:szCs w:val="28"/>
        </w:rPr>
      </w:pPr>
      <w:r w:rsidRPr="00760CA0">
        <w:rPr>
          <w:rFonts w:ascii="Times New Roman" w:hAnsi="Times New Roman" w:cs="Times New Roman"/>
          <w:sz w:val="28"/>
          <w:szCs w:val="28"/>
        </w:rPr>
        <w:t xml:space="preserve">When there are political problems in the area, it may be difficult to tie the project to a single local administrative or governmental organisation. Opposition groups may oppose the plan in order to dissuade other political leaders and parties from supporting it, or to strengthen their own position. </w:t>
      </w:r>
    </w:p>
    <w:p w14:paraId="20C502BE" w14:textId="77777777" w:rsidR="00760CA0" w:rsidRPr="00760CA0" w:rsidRDefault="00760CA0" w:rsidP="00760CA0">
      <w:pPr>
        <w:rPr>
          <w:rFonts w:ascii="Times New Roman" w:hAnsi="Times New Roman" w:cs="Times New Roman"/>
          <w:sz w:val="28"/>
          <w:szCs w:val="28"/>
        </w:rPr>
      </w:pPr>
      <w:r w:rsidRPr="00760CA0">
        <w:rPr>
          <w:rFonts w:ascii="Times New Roman" w:hAnsi="Times New Roman" w:cs="Times New Roman"/>
          <w:sz w:val="28"/>
          <w:szCs w:val="28"/>
        </w:rPr>
        <w:t xml:space="preserve">As a result, forming and formalising a Local Project Committee comprised of members from diverse organisations, such as political parties and the general public, may aid in getting people from various groups, such as political parties and the general public, on board. We realised that establishing an official committee in charge of the community's goal is critical. </w:t>
      </w:r>
    </w:p>
    <w:p w14:paraId="401AE9DE" w14:textId="35099C1A" w:rsidR="000E416B" w:rsidRDefault="00760CA0" w:rsidP="00760CA0">
      <w:pPr>
        <w:rPr>
          <w:rFonts w:ascii="Times New Roman" w:hAnsi="Times New Roman" w:cs="Times New Roman"/>
          <w:sz w:val="28"/>
          <w:szCs w:val="28"/>
        </w:rPr>
      </w:pPr>
      <w:r w:rsidRPr="00760CA0">
        <w:rPr>
          <w:rFonts w:ascii="Times New Roman" w:hAnsi="Times New Roman" w:cs="Times New Roman"/>
          <w:sz w:val="28"/>
          <w:szCs w:val="28"/>
        </w:rPr>
        <w:t>To prevent the project becoming a political football, it's vital to integrate the next higher level of government (district, governorate, or national) as it proceeds. In this way, they will be able to keep track of the project's development.</w:t>
      </w:r>
    </w:p>
    <w:p w14:paraId="4CB65CF9" w14:textId="0B1999E5" w:rsidR="00D6450D" w:rsidRDefault="00D6450D" w:rsidP="00760CA0">
      <w:pPr>
        <w:rPr>
          <w:rFonts w:ascii="Times New Roman" w:hAnsi="Times New Roman" w:cs="Times New Roman"/>
          <w:sz w:val="28"/>
          <w:szCs w:val="28"/>
        </w:rPr>
      </w:pPr>
    </w:p>
    <w:p w14:paraId="7031AD12" w14:textId="3CC9854C" w:rsidR="00D6450D" w:rsidRDefault="00D6450D" w:rsidP="00760CA0">
      <w:pPr>
        <w:rPr>
          <w:rFonts w:ascii="Times New Roman" w:hAnsi="Times New Roman" w:cs="Times New Roman"/>
          <w:sz w:val="28"/>
          <w:szCs w:val="28"/>
        </w:rPr>
      </w:pPr>
    </w:p>
    <w:p w14:paraId="399175E2" w14:textId="1C643CD7" w:rsidR="00D6450D" w:rsidRDefault="00D6450D" w:rsidP="00760CA0">
      <w:pPr>
        <w:rPr>
          <w:rFonts w:ascii="Times New Roman" w:hAnsi="Times New Roman" w:cs="Times New Roman"/>
          <w:sz w:val="28"/>
          <w:szCs w:val="28"/>
        </w:rPr>
      </w:pPr>
    </w:p>
    <w:p w14:paraId="14AE2D3A" w14:textId="1E5B5596" w:rsidR="00D6450D" w:rsidRPr="00D6450D" w:rsidRDefault="00D6450D" w:rsidP="001A6913">
      <w:pPr>
        <w:pStyle w:val="Titlu1"/>
      </w:pPr>
      <w:bookmarkStart w:id="3" w:name="_Toc100054577"/>
      <w:r w:rsidRPr="00D6450D">
        <w:t>Social Media Community Management</w:t>
      </w:r>
      <w:bookmarkEnd w:id="3"/>
      <w:r w:rsidRPr="00D6450D">
        <w:t xml:space="preserve"> </w:t>
      </w:r>
    </w:p>
    <w:p w14:paraId="30EF18B6" w14:textId="77777777" w:rsidR="00D6450D" w:rsidRPr="00D6450D" w:rsidRDefault="00D6450D" w:rsidP="00D6450D">
      <w:pPr>
        <w:rPr>
          <w:rFonts w:ascii="Times New Roman" w:hAnsi="Times New Roman" w:cs="Times New Roman"/>
          <w:sz w:val="28"/>
          <w:szCs w:val="28"/>
        </w:rPr>
      </w:pPr>
    </w:p>
    <w:p w14:paraId="3DF668C6" w14:textId="5F93C0F4"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Social media community management is the practise of engaging your audience on social media. This includes your own social media accounts, but also those of other people you follow, such as influencers or industry-related sites. </w:t>
      </w:r>
    </w:p>
    <w:p w14:paraId="311E4288"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The brand-customer connection is developed early in the customer journey. </w:t>
      </w:r>
    </w:p>
    <w:p w14:paraId="07C301F4"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An audience growth plan is utilised to recruit new consumers and convert them. </w:t>
      </w:r>
    </w:p>
    <w:p w14:paraId="1C40BE0E"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Actively maintaining your community will increase your chances of converting followers and increasing your company's ROI. </w:t>
      </w:r>
    </w:p>
    <w:p w14:paraId="7AC7D64E" w14:textId="425E2B61" w:rsidR="00D6450D" w:rsidRDefault="00D6450D" w:rsidP="00D6450D">
      <w:pPr>
        <w:rPr>
          <w:rFonts w:ascii="Times New Roman" w:hAnsi="Times New Roman" w:cs="Times New Roman"/>
          <w:sz w:val="28"/>
          <w:szCs w:val="28"/>
        </w:rPr>
      </w:pPr>
    </w:p>
    <w:p w14:paraId="31B300CE" w14:textId="77777777" w:rsidR="00D6450D" w:rsidRPr="00D6450D" w:rsidRDefault="00D6450D" w:rsidP="00D6450D">
      <w:pPr>
        <w:rPr>
          <w:rFonts w:ascii="Times New Roman" w:hAnsi="Times New Roman" w:cs="Times New Roman"/>
          <w:sz w:val="28"/>
          <w:szCs w:val="28"/>
        </w:rPr>
      </w:pPr>
    </w:p>
    <w:p w14:paraId="5F756984" w14:textId="412EA894" w:rsidR="00D6450D" w:rsidRDefault="00D6450D" w:rsidP="00D6450D">
      <w:pPr>
        <w:rPr>
          <w:rFonts w:ascii="Times New Roman" w:hAnsi="Times New Roman" w:cs="Times New Roman"/>
          <w:sz w:val="28"/>
          <w:szCs w:val="28"/>
          <w:lang w:val="en-GB"/>
        </w:rPr>
      </w:pPr>
      <w:r w:rsidRPr="00D6450D">
        <w:rPr>
          <w:rFonts w:ascii="Times New Roman" w:hAnsi="Times New Roman" w:cs="Times New Roman"/>
          <w:sz w:val="28"/>
          <w:szCs w:val="28"/>
        </w:rPr>
        <w:t xml:space="preserve">A Community Management Strategy in </w:t>
      </w:r>
      <w:r>
        <w:rPr>
          <w:rFonts w:ascii="Times New Roman" w:hAnsi="Times New Roman" w:cs="Times New Roman"/>
          <w:sz w:val="28"/>
          <w:szCs w:val="28"/>
          <w:lang w:val="en-GB"/>
        </w:rPr>
        <w:t>few steps:</w:t>
      </w:r>
    </w:p>
    <w:p w14:paraId="36060351" w14:textId="77777777" w:rsidR="00D6450D" w:rsidRPr="00D6450D" w:rsidRDefault="00D6450D" w:rsidP="00D6450D">
      <w:pPr>
        <w:rPr>
          <w:rFonts w:ascii="Times New Roman" w:hAnsi="Times New Roman" w:cs="Times New Roman"/>
          <w:sz w:val="28"/>
          <w:szCs w:val="28"/>
          <w:lang w:val="en-GB"/>
        </w:rPr>
      </w:pPr>
    </w:p>
    <w:p w14:paraId="365DDE78"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A clear aim will help you create an effective community management approach. So let's talk about the five phases of social media community management and design strategies for each. </w:t>
      </w:r>
    </w:p>
    <w:p w14:paraId="4A2C828D" w14:textId="77777777" w:rsidR="00D6450D" w:rsidRPr="00D6450D" w:rsidRDefault="00D6450D" w:rsidP="00D6450D">
      <w:pPr>
        <w:rPr>
          <w:rFonts w:ascii="Times New Roman" w:hAnsi="Times New Roman" w:cs="Times New Roman"/>
          <w:sz w:val="28"/>
          <w:szCs w:val="28"/>
        </w:rPr>
      </w:pPr>
    </w:p>
    <w:p w14:paraId="18D4B5A4" w14:textId="05049100" w:rsidR="00D6450D" w:rsidRPr="00D6450D" w:rsidRDefault="00D6450D" w:rsidP="00D6450D">
      <w:pPr>
        <w:rPr>
          <w:rFonts w:ascii="Times New Roman" w:hAnsi="Times New Roman" w:cs="Times New Roman"/>
          <w:b/>
          <w:bCs/>
          <w:sz w:val="28"/>
          <w:szCs w:val="28"/>
        </w:rPr>
      </w:pPr>
      <w:r w:rsidRPr="00D6450D">
        <w:rPr>
          <w:rFonts w:ascii="Times New Roman" w:hAnsi="Times New Roman" w:cs="Times New Roman"/>
          <w:sz w:val="28"/>
          <w:szCs w:val="28"/>
        </w:rPr>
        <w:t xml:space="preserve"> </w:t>
      </w:r>
      <w:r w:rsidRPr="00D6450D">
        <w:rPr>
          <w:rFonts w:ascii="Times New Roman" w:hAnsi="Times New Roman" w:cs="Times New Roman"/>
          <w:b/>
          <w:bCs/>
          <w:sz w:val="28"/>
          <w:szCs w:val="28"/>
        </w:rPr>
        <w:t xml:space="preserve">Obtain </w:t>
      </w:r>
    </w:p>
    <w:p w14:paraId="33492008" w14:textId="77777777" w:rsidR="00D6450D" w:rsidRPr="00D6450D" w:rsidRDefault="00D6450D" w:rsidP="00D6450D">
      <w:pPr>
        <w:rPr>
          <w:rFonts w:ascii="Times New Roman" w:hAnsi="Times New Roman" w:cs="Times New Roman"/>
          <w:sz w:val="28"/>
          <w:szCs w:val="28"/>
        </w:rPr>
      </w:pPr>
    </w:p>
    <w:p w14:paraId="4FD394C2" w14:textId="1606FBDD"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The community management staff may be detached from the marketing departments that generate revenue.</w:t>
      </w:r>
      <w:r>
        <w:rPr>
          <w:rFonts w:ascii="Times New Roman" w:hAnsi="Times New Roman" w:cs="Times New Roman"/>
          <w:sz w:val="28"/>
          <w:szCs w:val="28"/>
          <w:lang w:val="en-GB"/>
        </w:rPr>
        <w:t xml:space="preserve"> Think</w:t>
      </w:r>
      <w:r w:rsidRPr="00D6450D">
        <w:rPr>
          <w:rFonts w:ascii="Times New Roman" w:hAnsi="Times New Roman" w:cs="Times New Roman"/>
          <w:sz w:val="28"/>
          <w:szCs w:val="28"/>
        </w:rPr>
        <w:t xml:space="preserve"> of your current community as the cornerstone of your marketing activities. The most devoted community members can assist your company get media exposure. </w:t>
      </w:r>
    </w:p>
    <w:p w14:paraId="4434235C" w14:textId="02CF65CA"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From brand awareness to consideration to conversion, marketers can contact their audience at every stage of the buyer's journey. It also has to be better integrated into the business acquisition approach.</w:t>
      </w:r>
    </w:p>
    <w:p w14:paraId="1F3D6B46"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Prepare a social media community management plan for each campaign stage and categorise your customer inquiries accordingly. </w:t>
      </w:r>
    </w:p>
    <w:p w14:paraId="1810C7AA"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When interacting with buying clients, brand awareness enquiries will be distinct from campaign conversion stage queries. They may need different personnel and experience. Also, your community should be your primary source of feedback on campaigns and content. </w:t>
      </w:r>
    </w:p>
    <w:p w14:paraId="633AED28"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While stats show efficiency, community participation may prove marketing efficacy. Did one component of your campaign garner greater attention? Listen to your neighbourhood. </w:t>
      </w:r>
    </w:p>
    <w:p w14:paraId="66A90CCB" w14:textId="77777777" w:rsidR="00D6450D" w:rsidRPr="00D6450D" w:rsidRDefault="00D6450D" w:rsidP="00D6450D">
      <w:pPr>
        <w:rPr>
          <w:rFonts w:ascii="Times New Roman" w:hAnsi="Times New Roman" w:cs="Times New Roman"/>
          <w:sz w:val="28"/>
          <w:szCs w:val="28"/>
        </w:rPr>
      </w:pPr>
    </w:p>
    <w:p w14:paraId="7E5CABD9" w14:textId="77777777" w:rsidR="00D6450D" w:rsidRPr="00D6450D" w:rsidRDefault="00D6450D" w:rsidP="00D6450D">
      <w:pPr>
        <w:rPr>
          <w:rFonts w:ascii="Times New Roman" w:hAnsi="Times New Roman" w:cs="Times New Roman"/>
          <w:b/>
          <w:bCs/>
          <w:sz w:val="28"/>
          <w:szCs w:val="28"/>
        </w:rPr>
      </w:pPr>
      <w:r w:rsidRPr="00D6450D">
        <w:rPr>
          <w:rFonts w:ascii="Times New Roman" w:hAnsi="Times New Roman" w:cs="Times New Roman"/>
          <w:b/>
          <w:bCs/>
          <w:sz w:val="28"/>
          <w:szCs w:val="28"/>
        </w:rPr>
        <w:t xml:space="preserve">Social customer service </w:t>
      </w:r>
    </w:p>
    <w:p w14:paraId="44399772" w14:textId="77777777" w:rsidR="00D6450D" w:rsidRPr="00D6450D" w:rsidRDefault="00D6450D" w:rsidP="00D6450D">
      <w:pPr>
        <w:rPr>
          <w:rFonts w:ascii="Times New Roman" w:hAnsi="Times New Roman" w:cs="Times New Roman"/>
          <w:sz w:val="28"/>
          <w:szCs w:val="28"/>
        </w:rPr>
      </w:pPr>
    </w:p>
    <w:p w14:paraId="7073D4BE"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Companies are increasingly aware of the possibilities of social media for consumer-brand connection. </w:t>
      </w:r>
    </w:p>
    <w:p w14:paraId="17113FC1" w14:textId="7F9C7FAD"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We can now listen, monitor, and analyse audience behaviour, get customer input, and strengthen existing bonds. </w:t>
      </w:r>
    </w:p>
    <w:p w14:paraId="025F3036" w14:textId="0927244D"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Customers' demands have shifted. They now anticipate lightning-fast replies. Unsurprisingly, 50% of customers want a response within 30 minutes on Facebook, yet the average response time was 1 hour 56 minutes. </w:t>
      </w:r>
    </w:p>
    <w:p w14:paraId="77D65CF4"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In 2020, social media interactions with companies increased dramatically, putting many customer service teams to the test. Daily Burn's Communications and Content Manager Olivia Petzy spoke with Socialbakers. </w:t>
      </w:r>
    </w:p>
    <w:p w14:paraId="558673AE"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“Social media enquiries have skyrocketed. And our users expect to be able to contact us at any time,” she added. “They use social media as a live conversation. And they demand a quick reaction, which we take pleasure in.” </w:t>
      </w:r>
    </w:p>
    <w:p w14:paraId="233A99B8" w14:textId="2204FBEE" w:rsidR="00D6450D" w:rsidRPr="00D6450D" w:rsidRDefault="00D6450D" w:rsidP="00D6450D">
      <w:pPr>
        <w:rPr>
          <w:rFonts w:ascii="Times New Roman" w:hAnsi="Times New Roman" w:cs="Times New Roman"/>
          <w:sz w:val="28"/>
          <w:szCs w:val="28"/>
        </w:rPr>
      </w:pPr>
    </w:p>
    <w:p w14:paraId="1A280043" w14:textId="77777777" w:rsidR="00D6450D" w:rsidRPr="00D6450D" w:rsidRDefault="00D6450D" w:rsidP="00D6450D">
      <w:pPr>
        <w:rPr>
          <w:rFonts w:ascii="Times New Roman" w:hAnsi="Times New Roman" w:cs="Times New Roman"/>
          <w:b/>
          <w:bCs/>
          <w:sz w:val="28"/>
          <w:szCs w:val="28"/>
        </w:rPr>
      </w:pPr>
      <w:r w:rsidRPr="00D6450D">
        <w:rPr>
          <w:rFonts w:ascii="Times New Roman" w:hAnsi="Times New Roman" w:cs="Times New Roman"/>
          <w:b/>
          <w:bCs/>
          <w:sz w:val="28"/>
          <w:szCs w:val="28"/>
        </w:rPr>
        <w:t xml:space="preserve">Get a Custom Demo </w:t>
      </w:r>
    </w:p>
    <w:p w14:paraId="0B9ECAB5" w14:textId="77777777" w:rsidR="00D6450D" w:rsidRPr="00D6450D" w:rsidRDefault="00D6450D" w:rsidP="00D6450D">
      <w:pPr>
        <w:rPr>
          <w:rFonts w:ascii="Times New Roman" w:hAnsi="Times New Roman" w:cs="Times New Roman"/>
          <w:sz w:val="28"/>
          <w:szCs w:val="28"/>
        </w:rPr>
      </w:pPr>
    </w:p>
    <w:p w14:paraId="65D3365A"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When a customer contacts your brand for whatever reason, you need to be able to go back to a previous conversation and get the whole history instantly. </w:t>
      </w:r>
    </w:p>
    <w:p w14:paraId="0B1B1B90"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Adding chatbots to your community engagement processes is another best practise step for firms facing an increase in consumer enquiries. Customers increasingly utilise AI chatbots to interact with brands on social media. </w:t>
      </w:r>
    </w:p>
    <w:p w14:paraId="6C7A1F66"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lastRenderedPageBreak/>
        <w:t xml:space="preserve">This technology may assist overworked customer service employees address comparable community requests faster while still supporting 24/7 interactions, which is precisely what customers want. </w:t>
      </w:r>
    </w:p>
    <w:p w14:paraId="2F03E764"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Today's consumers want a seamless brand experience across all platforms. The days of switching platforms to communicate with a company are dwindling. </w:t>
      </w:r>
    </w:p>
    <w:p w14:paraId="590AA9F6" w14:textId="77777777" w:rsidR="00A40481" w:rsidRDefault="00A40481" w:rsidP="00D6450D">
      <w:pPr>
        <w:rPr>
          <w:rFonts w:ascii="Times New Roman" w:hAnsi="Times New Roman" w:cs="Times New Roman"/>
          <w:b/>
          <w:bCs/>
          <w:sz w:val="28"/>
          <w:szCs w:val="28"/>
        </w:rPr>
      </w:pPr>
    </w:p>
    <w:p w14:paraId="1DE4E343" w14:textId="375F2B3E" w:rsidR="00D6450D" w:rsidRPr="00D6450D" w:rsidRDefault="00D6450D" w:rsidP="00D6450D">
      <w:pPr>
        <w:rPr>
          <w:rFonts w:ascii="Times New Roman" w:hAnsi="Times New Roman" w:cs="Times New Roman"/>
          <w:b/>
          <w:bCs/>
          <w:sz w:val="28"/>
          <w:szCs w:val="28"/>
        </w:rPr>
      </w:pPr>
      <w:r w:rsidRPr="00D6450D">
        <w:rPr>
          <w:rFonts w:ascii="Times New Roman" w:hAnsi="Times New Roman" w:cs="Times New Roman"/>
          <w:b/>
          <w:bCs/>
          <w:sz w:val="28"/>
          <w:szCs w:val="28"/>
        </w:rPr>
        <w:t xml:space="preserve">Crisis control </w:t>
      </w:r>
    </w:p>
    <w:p w14:paraId="70EF3111" w14:textId="77777777" w:rsidR="00D6450D" w:rsidRPr="00D6450D" w:rsidRDefault="00D6450D" w:rsidP="00D6450D">
      <w:pPr>
        <w:rPr>
          <w:rFonts w:ascii="Times New Roman" w:hAnsi="Times New Roman" w:cs="Times New Roman"/>
          <w:sz w:val="28"/>
          <w:szCs w:val="28"/>
        </w:rPr>
      </w:pPr>
    </w:p>
    <w:p w14:paraId="1B77E18C" w14:textId="03E65BDF"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Crisis management is one facet of community administration that needs forward preparedness. Having a social media problem may do a lot of harm to a brand's reputation if not addressed properly. Difficulties range from ignored social media mentions to delivery issues. Teams need a strategy and tools to recognise and resolve emergencies promptly. </w:t>
      </w:r>
    </w:p>
    <w:p w14:paraId="44145275"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Internal crisis management and customer service teams should help respond to unfavourable feedback. In a crisis, they may advocate for a brand. In many cases, a brand's social media staff can quickly respond to complaints and unfavourable remarks. </w:t>
      </w:r>
    </w:p>
    <w:p w14:paraId="1AF004F3" w14:textId="77777777" w:rsidR="00D6450D" w:rsidRPr="00D6450D" w:rsidRDefault="00D6450D" w:rsidP="00D6450D">
      <w:pPr>
        <w:rPr>
          <w:rFonts w:ascii="Times New Roman" w:hAnsi="Times New Roman" w:cs="Times New Roman"/>
          <w:sz w:val="28"/>
          <w:szCs w:val="28"/>
        </w:rPr>
      </w:pPr>
      <w:r w:rsidRPr="00D6450D">
        <w:rPr>
          <w:rFonts w:ascii="Times New Roman" w:hAnsi="Times New Roman" w:cs="Times New Roman"/>
          <w:sz w:val="28"/>
          <w:szCs w:val="28"/>
        </w:rPr>
        <w:t xml:space="preserve">In every crisis, brand sentiment must be monitored. The crisis management team must prevent bad sentiment from spiralling out of hand. While the community management staff should respond to comments as quickly as feasible, the general mood should be monitored. </w:t>
      </w:r>
    </w:p>
    <w:p w14:paraId="64CADC0C" w14:textId="77777777" w:rsidR="00D6450D" w:rsidRPr="00D6450D" w:rsidRDefault="00D6450D" w:rsidP="00D6450D">
      <w:pPr>
        <w:rPr>
          <w:rFonts w:ascii="Times New Roman" w:hAnsi="Times New Roman" w:cs="Times New Roman"/>
          <w:sz w:val="28"/>
          <w:szCs w:val="28"/>
        </w:rPr>
      </w:pPr>
    </w:p>
    <w:p w14:paraId="6600AF22" w14:textId="434B9B98" w:rsidR="003B6AFE" w:rsidRDefault="003B6AFE" w:rsidP="00F47C3B">
      <w:pPr>
        <w:rPr>
          <w:rFonts w:ascii="Times New Roman" w:hAnsi="Times New Roman" w:cs="Times New Roman"/>
          <w:sz w:val="28"/>
          <w:szCs w:val="28"/>
        </w:rPr>
      </w:pPr>
    </w:p>
    <w:p w14:paraId="469CF3CE" w14:textId="0E41FAA8" w:rsidR="003B6AFE" w:rsidRDefault="003B6AFE" w:rsidP="00F47C3B">
      <w:pPr>
        <w:rPr>
          <w:rFonts w:ascii="Times New Roman" w:hAnsi="Times New Roman" w:cs="Times New Roman"/>
          <w:sz w:val="28"/>
          <w:szCs w:val="28"/>
        </w:rPr>
      </w:pPr>
    </w:p>
    <w:p w14:paraId="7A9FB5E3" w14:textId="27EE3CE8" w:rsidR="00A40481" w:rsidRDefault="00A40481" w:rsidP="001A6913">
      <w:pPr>
        <w:pStyle w:val="Titlu1"/>
        <w:rPr>
          <w:lang w:val="en-GB"/>
        </w:rPr>
      </w:pPr>
      <w:bookmarkStart w:id="4" w:name="_Toc100054578"/>
      <w:r w:rsidRPr="00A40481">
        <w:rPr>
          <w:lang w:val="en-GB"/>
        </w:rPr>
        <w:t>Conclusion</w:t>
      </w:r>
      <w:bookmarkEnd w:id="4"/>
    </w:p>
    <w:p w14:paraId="79A348B3" w14:textId="0828F29E" w:rsidR="00A40481" w:rsidRDefault="00A40481" w:rsidP="00F47C3B">
      <w:pPr>
        <w:rPr>
          <w:rFonts w:ascii="Times New Roman" w:hAnsi="Times New Roman" w:cs="Times New Roman"/>
          <w:b/>
          <w:bCs/>
          <w:sz w:val="28"/>
          <w:szCs w:val="28"/>
          <w:lang w:val="en-GB"/>
        </w:rPr>
      </w:pPr>
    </w:p>
    <w:p w14:paraId="3AF5D063" w14:textId="0CDF9D16" w:rsidR="00A40481" w:rsidRPr="00613676" w:rsidRDefault="00613676" w:rsidP="00F47C3B">
      <w:pPr>
        <w:rPr>
          <w:rFonts w:ascii="Times New Roman" w:hAnsi="Times New Roman" w:cs="Times New Roman"/>
          <w:sz w:val="28"/>
          <w:szCs w:val="28"/>
          <w:lang w:val="en-GB"/>
        </w:rPr>
      </w:pPr>
      <w:r w:rsidRPr="00613676">
        <w:rPr>
          <w:rFonts w:ascii="Times New Roman" w:hAnsi="Times New Roman" w:cs="Times New Roman"/>
          <w:sz w:val="28"/>
          <w:szCs w:val="28"/>
          <w:lang w:val="en-GB"/>
        </w:rPr>
        <w:t>Engaging your community is the most critical approach for any company that want to grow and attract new clients. The overwhelming majority of social media campaigns' primary objective is to keep their attention while simultaneously attracting new prospective clients. This method is referred to as a community engagement strategy.</w:t>
      </w:r>
    </w:p>
    <w:p w14:paraId="27D46465" w14:textId="1A1C4837" w:rsidR="003B6AFE" w:rsidRDefault="003B6AFE" w:rsidP="00F47C3B">
      <w:pPr>
        <w:rPr>
          <w:rFonts w:ascii="Times New Roman" w:hAnsi="Times New Roman" w:cs="Times New Roman"/>
          <w:sz w:val="28"/>
          <w:szCs w:val="28"/>
        </w:rPr>
      </w:pPr>
    </w:p>
    <w:p w14:paraId="4A0B316F" w14:textId="2A7445CB" w:rsidR="003B6AFE" w:rsidRDefault="003B6AFE" w:rsidP="00F47C3B">
      <w:pPr>
        <w:rPr>
          <w:rFonts w:ascii="Times New Roman" w:hAnsi="Times New Roman" w:cs="Times New Roman"/>
          <w:sz w:val="28"/>
          <w:szCs w:val="28"/>
        </w:rPr>
      </w:pPr>
    </w:p>
    <w:p w14:paraId="49A647C0" w14:textId="0B1B63C6" w:rsidR="003B6AFE" w:rsidRDefault="003B6AFE" w:rsidP="00F47C3B">
      <w:pPr>
        <w:rPr>
          <w:rFonts w:ascii="Times New Roman" w:hAnsi="Times New Roman" w:cs="Times New Roman"/>
          <w:sz w:val="28"/>
          <w:szCs w:val="28"/>
        </w:rPr>
      </w:pPr>
    </w:p>
    <w:p w14:paraId="34CF604C" w14:textId="12AE1463" w:rsidR="003B6AFE" w:rsidRDefault="003B6AFE" w:rsidP="00F47C3B">
      <w:pPr>
        <w:rPr>
          <w:rFonts w:ascii="Times New Roman" w:hAnsi="Times New Roman" w:cs="Times New Roman"/>
          <w:sz w:val="28"/>
          <w:szCs w:val="28"/>
        </w:rPr>
      </w:pPr>
    </w:p>
    <w:p w14:paraId="3B50C619" w14:textId="24CC8666" w:rsidR="003B6AFE" w:rsidRDefault="003B6AFE" w:rsidP="00F47C3B">
      <w:pPr>
        <w:rPr>
          <w:rFonts w:ascii="Times New Roman" w:hAnsi="Times New Roman" w:cs="Times New Roman"/>
          <w:sz w:val="28"/>
          <w:szCs w:val="28"/>
        </w:rPr>
      </w:pPr>
    </w:p>
    <w:p w14:paraId="554CBE4F" w14:textId="7C2DD2EF" w:rsidR="003B6AFE" w:rsidRDefault="003B6AFE" w:rsidP="00F47C3B">
      <w:pPr>
        <w:rPr>
          <w:rFonts w:ascii="Times New Roman" w:hAnsi="Times New Roman" w:cs="Times New Roman"/>
          <w:sz w:val="28"/>
          <w:szCs w:val="28"/>
        </w:rPr>
      </w:pPr>
    </w:p>
    <w:p w14:paraId="05020CCB" w14:textId="3AB185DD" w:rsidR="003B6AFE" w:rsidRDefault="003B6AFE" w:rsidP="00F47C3B">
      <w:pPr>
        <w:rPr>
          <w:rFonts w:ascii="Times New Roman" w:hAnsi="Times New Roman" w:cs="Times New Roman"/>
          <w:sz w:val="28"/>
          <w:szCs w:val="28"/>
        </w:rPr>
      </w:pPr>
    </w:p>
    <w:p w14:paraId="47693904" w14:textId="2ABD1E1B" w:rsidR="003B6AFE" w:rsidRDefault="003B6AFE" w:rsidP="00F47C3B">
      <w:pPr>
        <w:rPr>
          <w:rFonts w:ascii="Times New Roman" w:hAnsi="Times New Roman" w:cs="Times New Roman"/>
          <w:sz w:val="28"/>
          <w:szCs w:val="28"/>
        </w:rPr>
      </w:pPr>
    </w:p>
    <w:p w14:paraId="3438A882" w14:textId="7CA54DA1" w:rsidR="003B6AFE" w:rsidRDefault="003B6AFE" w:rsidP="00F47C3B">
      <w:pPr>
        <w:rPr>
          <w:rFonts w:ascii="Times New Roman" w:hAnsi="Times New Roman" w:cs="Times New Roman"/>
          <w:sz w:val="28"/>
          <w:szCs w:val="28"/>
        </w:rPr>
      </w:pPr>
    </w:p>
    <w:p w14:paraId="6CA0017D" w14:textId="5165F6BF" w:rsidR="003B6AFE" w:rsidRDefault="003B6AFE" w:rsidP="00F47C3B">
      <w:pPr>
        <w:rPr>
          <w:rFonts w:ascii="Times New Roman" w:hAnsi="Times New Roman" w:cs="Times New Roman"/>
          <w:sz w:val="28"/>
          <w:szCs w:val="28"/>
        </w:rPr>
      </w:pPr>
    </w:p>
    <w:p w14:paraId="5B60B533" w14:textId="281448F5" w:rsidR="003B6AFE" w:rsidRDefault="003B6AFE" w:rsidP="00F47C3B">
      <w:pPr>
        <w:rPr>
          <w:rFonts w:ascii="Times New Roman" w:hAnsi="Times New Roman" w:cs="Times New Roman"/>
          <w:sz w:val="28"/>
          <w:szCs w:val="28"/>
        </w:rPr>
      </w:pPr>
    </w:p>
    <w:p w14:paraId="79A92683" w14:textId="69377868" w:rsidR="003B6AFE" w:rsidRDefault="003B6AFE" w:rsidP="00F47C3B">
      <w:pPr>
        <w:rPr>
          <w:rFonts w:ascii="Times New Roman" w:hAnsi="Times New Roman" w:cs="Times New Roman"/>
          <w:sz w:val="28"/>
          <w:szCs w:val="28"/>
        </w:rPr>
      </w:pPr>
    </w:p>
    <w:p w14:paraId="101321B3" w14:textId="049DFED1" w:rsidR="003B6AFE" w:rsidRDefault="003B6AFE" w:rsidP="001A6913">
      <w:pPr>
        <w:pStyle w:val="Titlu1"/>
        <w:rPr>
          <w:lang w:val="en-GB"/>
        </w:rPr>
      </w:pPr>
      <w:bookmarkStart w:id="5" w:name="_Toc100054579"/>
      <w:r>
        <w:rPr>
          <w:lang w:val="en-GB"/>
        </w:rPr>
        <w:t>Reference list:</w:t>
      </w:r>
      <w:bookmarkEnd w:id="5"/>
    </w:p>
    <w:p w14:paraId="7D4AEC94" w14:textId="77777777" w:rsidR="001A6913" w:rsidRDefault="001A6913" w:rsidP="001A6913">
      <w:pPr>
        <w:rPr>
          <w:rFonts w:ascii="Times New Roman" w:hAnsi="Times New Roman" w:cs="Times New Roman"/>
          <w:sz w:val="28"/>
          <w:szCs w:val="28"/>
          <w:lang w:val="en-GB"/>
        </w:rPr>
      </w:pPr>
    </w:p>
    <w:p w14:paraId="3E62EDA4"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Campbell SM, Shield T, Rogers A. How do stakeholder groups vary in a Delphi technique about primary mental health care and what factors influence their ratings? </w:t>
      </w:r>
      <w:r w:rsidRPr="002E3B54">
        <w:rPr>
          <w:rFonts w:ascii="Cambria" w:eastAsia="Times New Roman" w:hAnsi="Cambria" w:cs="Times New Roman"/>
          <w:i/>
          <w:iCs/>
          <w:color w:val="212121"/>
          <w:sz w:val="26"/>
          <w:szCs w:val="26"/>
          <w:lang w:eastAsia="en-GB"/>
        </w:rPr>
        <w:t>Qual Saf Health Care. </w:t>
      </w:r>
      <w:r w:rsidRPr="002E3B54">
        <w:rPr>
          <w:rFonts w:ascii="Cambria" w:eastAsia="Times New Roman" w:hAnsi="Cambria" w:cs="Times New Roman"/>
          <w:color w:val="212121"/>
          <w:sz w:val="26"/>
          <w:szCs w:val="26"/>
          <w:lang w:eastAsia="en-GB"/>
        </w:rPr>
        <w:t>2004;13:428–434. [</w:t>
      </w:r>
      <w:hyperlink r:id="rId9" w:history="1">
        <w:r w:rsidRPr="002E3B54">
          <w:rPr>
            <w:rFonts w:ascii="Cambria" w:eastAsia="Times New Roman" w:hAnsi="Cambria" w:cs="Times New Roman"/>
            <w:color w:val="4C2C92"/>
            <w:sz w:val="26"/>
            <w:szCs w:val="26"/>
            <w:u w:val="single"/>
            <w:lang w:eastAsia="en-GB"/>
          </w:rPr>
          <w:t>PMC free article</w:t>
        </w:r>
      </w:hyperlink>
      <w:r w:rsidRPr="002E3B54">
        <w:rPr>
          <w:rFonts w:ascii="Cambria" w:eastAsia="Times New Roman" w:hAnsi="Cambria" w:cs="Times New Roman"/>
          <w:color w:val="212121"/>
          <w:sz w:val="26"/>
          <w:szCs w:val="26"/>
          <w:lang w:eastAsia="en-GB"/>
        </w:rPr>
        <w:t>] [</w:t>
      </w:r>
      <w:hyperlink r:id="rId10" w:history="1">
        <w:r w:rsidRPr="002E3B54">
          <w:rPr>
            <w:rFonts w:ascii="Cambria" w:eastAsia="Times New Roman" w:hAnsi="Cambria" w:cs="Times New Roman"/>
            <w:color w:val="4C2C92"/>
            <w:sz w:val="26"/>
            <w:szCs w:val="26"/>
            <w:u w:val="single"/>
            <w:lang w:eastAsia="en-GB"/>
          </w:rPr>
          <w:t>PubMed</w:t>
        </w:r>
      </w:hyperlink>
      <w:r w:rsidRPr="002E3B54">
        <w:rPr>
          <w:rFonts w:ascii="Cambria" w:eastAsia="Times New Roman" w:hAnsi="Cambria" w:cs="Times New Roman"/>
          <w:color w:val="212121"/>
          <w:sz w:val="26"/>
          <w:szCs w:val="26"/>
          <w:lang w:eastAsia="en-GB"/>
        </w:rPr>
        <w:t>] [</w:t>
      </w:r>
      <w:hyperlink r:id="rId11"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74437A6D"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Chamberlin J. User/consumer involvement in mental health service delivery. </w:t>
      </w:r>
      <w:r w:rsidRPr="002E3B54">
        <w:rPr>
          <w:rFonts w:ascii="Cambria" w:eastAsia="Times New Roman" w:hAnsi="Cambria" w:cs="Times New Roman"/>
          <w:i/>
          <w:iCs/>
          <w:color w:val="212121"/>
          <w:sz w:val="26"/>
          <w:szCs w:val="26"/>
          <w:lang w:eastAsia="en-GB"/>
        </w:rPr>
        <w:t>Epidemiol Psichiatr Soc. </w:t>
      </w:r>
      <w:r w:rsidRPr="002E3B54">
        <w:rPr>
          <w:rFonts w:ascii="Cambria" w:eastAsia="Times New Roman" w:hAnsi="Cambria" w:cs="Times New Roman"/>
          <w:color w:val="212121"/>
          <w:sz w:val="26"/>
          <w:szCs w:val="26"/>
          <w:lang w:eastAsia="en-GB"/>
        </w:rPr>
        <w:t>2005;14:10–14. [</w:t>
      </w:r>
      <w:hyperlink r:id="rId12" w:history="1">
        <w:r w:rsidRPr="002E3B54">
          <w:rPr>
            <w:rFonts w:ascii="Cambria" w:eastAsia="Times New Roman" w:hAnsi="Cambria" w:cs="Times New Roman"/>
            <w:color w:val="4C2C92"/>
            <w:sz w:val="26"/>
            <w:szCs w:val="26"/>
            <w:u w:val="single"/>
            <w:lang w:eastAsia="en-GB"/>
          </w:rPr>
          <w:t>PubMed</w:t>
        </w:r>
      </w:hyperlink>
      <w:r w:rsidRPr="002E3B54">
        <w:rPr>
          <w:rFonts w:ascii="Cambria" w:eastAsia="Times New Roman" w:hAnsi="Cambria" w:cs="Times New Roman"/>
          <w:color w:val="212121"/>
          <w:sz w:val="26"/>
          <w:szCs w:val="26"/>
          <w:lang w:eastAsia="en-GB"/>
        </w:rPr>
        <w:t>] [</w:t>
      </w:r>
      <w:hyperlink r:id="rId13"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5BBC9D3C"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Griffiths KM, Jorm AF, Christensen H. Research priorities in mental health, Part 2: an evaluation of the current research effort against stakeholders’ priorities. </w:t>
      </w:r>
      <w:r w:rsidRPr="002E3B54">
        <w:rPr>
          <w:rFonts w:ascii="Cambria" w:eastAsia="Times New Roman" w:hAnsi="Cambria" w:cs="Times New Roman"/>
          <w:i/>
          <w:iCs/>
          <w:color w:val="212121"/>
          <w:sz w:val="26"/>
          <w:szCs w:val="26"/>
          <w:lang w:eastAsia="en-GB"/>
        </w:rPr>
        <w:t>Aust N Zeal J Psychiatry. </w:t>
      </w:r>
      <w:r w:rsidRPr="002E3B54">
        <w:rPr>
          <w:rFonts w:ascii="Cambria" w:eastAsia="Times New Roman" w:hAnsi="Cambria" w:cs="Times New Roman"/>
          <w:color w:val="212121"/>
          <w:sz w:val="26"/>
          <w:szCs w:val="26"/>
          <w:lang w:eastAsia="en-GB"/>
        </w:rPr>
        <w:t>2002;36:327–339. [</w:t>
      </w:r>
      <w:hyperlink r:id="rId14" w:history="1">
        <w:r w:rsidRPr="002E3B54">
          <w:rPr>
            <w:rFonts w:ascii="Cambria" w:eastAsia="Times New Roman" w:hAnsi="Cambria" w:cs="Times New Roman"/>
            <w:color w:val="4C2C92"/>
            <w:sz w:val="26"/>
            <w:szCs w:val="26"/>
            <w:u w:val="single"/>
            <w:lang w:eastAsia="en-GB"/>
          </w:rPr>
          <w:t>PubMed</w:t>
        </w:r>
      </w:hyperlink>
      <w:r w:rsidRPr="002E3B54">
        <w:rPr>
          <w:rFonts w:ascii="Cambria" w:eastAsia="Times New Roman" w:hAnsi="Cambria" w:cs="Times New Roman"/>
          <w:color w:val="212121"/>
          <w:sz w:val="26"/>
          <w:szCs w:val="26"/>
          <w:lang w:eastAsia="en-GB"/>
        </w:rPr>
        <w:t>] [</w:t>
      </w:r>
      <w:hyperlink r:id="rId15"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6DE8E787"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Knapp M, Beecham J, Anderson J. The TAPS project. 3: Predicting the community costs of closing psychiatric hospitals. </w:t>
      </w:r>
      <w:r w:rsidRPr="002E3B54">
        <w:rPr>
          <w:rFonts w:ascii="Cambria" w:eastAsia="Times New Roman" w:hAnsi="Cambria" w:cs="Times New Roman"/>
          <w:i/>
          <w:iCs/>
          <w:color w:val="212121"/>
          <w:sz w:val="26"/>
          <w:szCs w:val="26"/>
          <w:lang w:eastAsia="en-GB"/>
        </w:rPr>
        <w:t>Br J Psychiatry. </w:t>
      </w:r>
      <w:r w:rsidRPr="002E3B54">
        <w:rPr>
          <w:rFonts w:ascii="Cambria" w:eastAsia="Times New Roman" w:hAnsi="Cambria" w:cs="Times New Roman"/>
          <w:color w:val="212121"/>
          <w:sz w:val="26"/>
          <w:szCs w:val="26"/>
          <w:lang w:eastAsia="en-GB"/>
        </w:rPr>
        <w:t>1990;157:661–670. [</w:t>
      </w:r>
      <w:hyperlink r:id="rId16" w:history="1">
        <w:r w:rsidRPr="002E3B54">
          <w:rPr>
            <w:rFonts w:ascii="Cambria" w:eastAsia="Times New Roman" w:hAnsi="Cambria" w:cs="Times New Roman"/>
            <w:color w:val="4C2C92"/>
            <w:sz w:val="26"/>
            <w:szCs w:val="26"/>
            <w:u w:val="single"/>
            <w:lang w:eastAsia="en-GB"/>
          </w:rPr>
          <w:t>PubMed</w:t>
        </w:r>
      </w:hyperlink>
      <w:r w:rsidRPr="002E3B54">
        <w:rPr>
          <w:rFonts w:ascii="Cambria" w:eastAsia="Times New Roman" w:hAnsi="Cambria" w:cs="Times New Roman"/>
          <w:color w:val="212121"/>
          <w:sz w:val="26"/>
          <w:szCs w:val="26"/>
          <w:lang w:eastAsia="en-GB"/>
        </w:rPr>
        <w:t>] [</w:t>
      </w:r>
      <w:hyperlink r:id="rId17"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1B0712FE"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Knapp M, McDaid D, Mossialos E, editors. </w:t>
      </w:r>
      <w:r w:rsidRPr="002E3B54">
        <w:rPr>
          <w:rFonts w:ascii="Cambria" w:eastAsia="Times New Roman" w:hAnsi="Cambria" w:cs="Times New Roman"/>
          <w:i/>
          <w:iCs/>
          <w:color w:val="212121"/>
          <w:sz w:val="26"/>
          <w:szCs w:val="26"/>
          <w:lang w:eastAsia="en-GB"/>
        </w:rPr>
        <w:t>Mental health policy and practice across Europe.</w:t>
      </w:r>
      <w:r w:rsidRPr="002E3B54">
        <w:rPr>
          <w:rFonts w:ascii="Cambria" w:eastAsia="Times New Roman" w:hAnsi="Cambria" w:cs="Times New Roman"/>
          <w:color w:val="212121"/>
          <w:sz w:val="26"/>
          <w:szCs w:val="26"/>
          <w:lang w:eastAsia="en-GB"/>
        </w:rPr>
        <w:t> Buckingham: Open University Press; 2007.  [</w:t>
      </w:r>
      <w:hyperlink r:id="rId18"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797051F1"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Pescosolido BA, Wright ER, Kikuzawa S. “Stakeholder” attitudes over time toward the closing of a state hospital. </w:t>
      </w:r>
      <w:r w:rsidRPr="002E3B54">
        <w:rPr>
          <w:rFonts w:ascii="Cambria" w:eastAsia="Times New Roman" w:hAnsi="Cambria" w:cs="Times New Roman"/>
          <w:i/>
          <w:iCs/>
          <w:color w:val="212121"/>
          <w:sz w:val="26"/>
          <w:szCs w:val="26"/>
          <w:lang w:eastAsia="en-GB"/>
        </w:rPr>
        <w:t>J Behav Health Serv Res. </w:t>
      </w:r>
      <w:r w:rsidRPr="002E3B54">
        <w:rPr>
          <w:rFonts w:ascii="Cambria" w:eastAsia="Times New Roman" w:hAnsi="Cambria" w:cs="Times New Roman"/>
          <w:color w:val="212121"/>
          <w:sz w:val="26"/>
          <w:szCs w:val="26"/>
          <w:lang w:eastAsia="en-GB"/>
        </w:rPr>
        <w:t>1999;26:318–328. [</w:t>
      </w:r>
      <w:hyperlink r:id="rId19" w:history="1">
        <w:r w:rsidRPr="002E3B54">
          <w:rPr>
            <w:rFonts w:ascii="Cambria" w:eastAsia="Times New Roman" w:hAnsi="Cambria" w:cs="Times New Roman"/>
            <w:color w:val="4C2C92"/>
            <w:sz w:val="26"/>
            <w:szCs w:val="26"/>
            <w:u w:val="single"/>
            <w:lang w:eastAsia="en-GB"/>
          </w:rPr>
          <w:t>PubMed</w:t>
        </w:r>
      </w:hyperlink>
      <w:r w:rsidRPr="002E3B54">
        <w:rPr>
          <w:rFonts w:ascii="Cambria" w:eastAsia="Times New Roman" w:hAnsi="Cambria" w:cs="Times New Roman"/>
          <w:color w:val="212121"/>
          <w:sz w:val="26"/>
          <w:szCs w:val="26"/>
          <w:lang w:eastAsia="en-GB"/>
        </w:rPr>
        <w:t>] [</w:t>
      </w:r>
      <w:hyperlink r:id="rId20"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6504892D"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Reynolds A, Thornicroft G, editors. </w:t>
      </w:r>
      <w:r w:rsidRPr="002E3B54">
        <w:rPr>
          <w:rFonts w:ascii="Cambria" w:eastAsia="Times New Roman" w:hAnsi="Cambria" w:cs="Times New Roman"/>
          <w:i/>
          <w:iCs/>
          <w:color w:val="212121"/>
          <w:sz w:val="26"/>
          <w:szCs w:val="26"/>
          <w:lang w:eastAsia="en-GB"/>
        </w:rPr>
        <w:t>Managing mental health services.</w:t>
      </w:r>
      <w:r w:rsidRPr="002E3B54">
        <w:rPr>
          <w:rFonts w:ascii="Cambria" w:eastAsia="Times New Roman" w:hAnsi="Cambria" w:cs="Times New Roman"/>
          <w:color w:val="212121"/>
          <w:sz w:val="26"/>
          <w:szCs w:val="26"/>
          <w:lang w:eastAsia="en-GB"/>
        </w:rPr>
        <w:t> Buckingham: Open University Press; 1999.  [</w:t>
      </w:r>
      <w:hyperlink r:id="rId21"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7A0F82A6"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Rose D, editor. </w:t>
      </w:r>
      <w:r w:rsidRPr="002E3B54">
        <w:rPr>
          <w:rFonts w:ascii="Cambria" w:eastAsia="Times New Roman" w:hAnsi="Cambria" w:cs="Times New Roman"/>
          <w:i/>
          <w:iCs/>
          <w:color w:val="212121"/>
          <w:sz w:val="26"/>
          <w:szCs w:val="26"/>
          <w:lang w:eastAsia="en-GB"/>
        </w:rPr>
        <w:t>Users’ voices, the perspectives of mental health service users on community and hospital care.</w:t>
      </w:r>
      <w:r w:rsidRPr="002E3B54">
        <w:rPr>
          <w:rFonts w:ascii="Cambria" w:eastAsia="Times New Roman" w:hAnsi="Cambria" w:cs="Times New Roman"/>
          <w:color w:val="212121"/>
          <w:sz w:val="26"/>
          <w:szCs w:val="26"/>
          <w:lang w:eastAsia="en-GB"/>
        </w:rPr>
        <w:t> London: The Sainsbury Centre; 2001.  [</w:t>
      </w:r>
      <w:hyperlink r:id="rId22"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40140B72"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Tansella M, editor. </w:t>
      </w:r>
      <w:r w:rsidRPr="002E3B54">
        <w:rPr>
          <w:rFonts w:ascii="Cambria" w:eastAsia="Times New Roman" w:hAnsi="Cambria" w:cs="Times New Roman"/>
          <w:i/>
          <w:iCs/>
          <w:color w:val="212121"/>
          <w:sz w:val="26"/>
          <w:szCs w:val="26"/>
          <w:lang w:eastAsia="en-GB"/>
        </w:rPr>
        <w:t>Community-based psychiatry. Long-term patterns of care in South Verona. Psychological Medicine Monograph Supplement 19.</w:t>
      </w:r>
      <w:r w:rsidRPr="002E3B54">
        <w:rPr>
          <w:rFonts w:ascii="Cambria" w:eastAsia="Times New Roman" w:hAnsi="Cambria" w:cs="Times New Roman"/>
          <w:color w:val="212121"/>
          <w:sz w:val="26"/>
          <w:szCs w:val="26"/>
          <w:lang w:eastAsia="en-GB"/>
        </w:rPr>
        <w:t> Cambridge: Cambridge University Press; 1991.  [</w:t>
      </w:r>
      <w:hyperlink r:id="rId23"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5C07F90B"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Thornicroft G, editor. </w:t>
      </w:r>
      <w:r w:rsidRPr="002E3B54">
        <w:rPr>
          <w:rFonts w:ascii="Cambria" w:eastAsia="Times New Roman" w:hAnsi="Cambria" w:cs="Times New Roman"/>
          <w:i/>
          <w:iCs/>
          <w:color w:val="212121"/>
          <w:sz w:val="26"/>
          <w:szCs w:val="26"/>
          <w:lang w:eastAsia="en-GB"/>
        </w:rPr>
        <w:t>Shunned: discrimination against people with mental illness.</w:t>
      </w:r>
      <w:r w:rsidRPr="002E3B54">
        <w:rPr>
          <w:rFonts w:ascii="Cambria" w:eastAsia="Times New Roman" w:hAnsi="Cambria" w:cs="Times New Roman"/>
          <w:color w:val="212121"/>
          <w:sz w:val="26"/>
          <w:szCs w:val="26"/>
          <w:lang w:eastAsia="en-GB"/>
        </w:rPr>
        <w:t> Oxford: Oxford University Press; 2006.  [</w:t>
      </w:r>
      <w:hyperlink r:id="rId24"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38E9F2AA"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Thornicroft G, Tansella M. Balancing community-based and hospital-based mental health care. </w:t>
      </w:r>
      <w:r w:rsidRPr="002E3B54">
        <w:rPr>
          <w:rFonts w:ascii="Cambria" w:eastAsia="Times New Roman" w:hAnsi="Cambria" w:cs="Times New Roman"/>
          <w:i/>
          <w:iCs/>
          <w:color w:val="212121"/>
          <w:sz w:val="26"/>
          <w:szCs w:val="26"/>
          <w:lang w:eastAsia="en-GB"/>
        </w:rPr>
        <w:t>World Psychiatry. </w:t>
      </w:r>
      <w:r w:rsidRPr="002E3B54">
        <w:rPr>
          <w:rFonts w:ascii="Cambria" w:eastAsia="Times New Roman" w:hAnsi="Cambria" w:cs="Times New Roman"/>
          <w:color w:val="212121"/>
          <w:sz w:val="26"/>
          <w:szCs w:val="26"/>
          <w:lang w:eastAsia="en-GB"/>
        </w:rPr>
        <w:t>2002;1:84–90. [</w:t>
      </w:r>
      <w:hyperlink r:id="rId25" w:history="1">
        <w:r w:rsidRPr="002E3B54">
          <w:rPr>
            <w:rFonts w:ascii="Cambria" w:eastAsia="Times New Roman" w:hAnsi="Cambria" w:cs="Times New Roman"/>
            <w:color w:val="4C2C92"/>
            <w:sz w:val="26"/>
            <w:szCs w:val="26"/>
            <w:u w:val="single"/>
            <w:lang w:eastAsia="en-GB"/>
          </w:rPr>
          <w:t>PMC free article</w:t>
        </w:r>
      </w:hyperlink>
      <w:r w:rsidRPr="002E3B54">
        <w:rPr>
          <w:rFonts w:ascii="Cambria" w:eastAsia="Times New Roman" w:hAnsi="Cambria" w:cs="Times New Roman"/>
          <w:color w:val="212121"/>
          <w:sz w:val="26"/>
          <w:szCs w:val="26"/>
          <w:lang w:eastAsia="en-GB"/>
        </w:rPr>
        <w:t>] [</w:t>
      </w:r>
      <w:hyperlink r:id="rId26" w:history="1">
        <w:r w:rsidRPr="002E3B54">
          <w:rPr>
            <w:rFonts w:ascii="Cambria" w:eastAsia="Times New Roman" w:hAnsi="Cambria" w:cs="Times New Roman"/>
            <w:color w:val="4C2C92"/>
            <w:sz w:val="26"/>
            <w:szCs w:val="26"/>
            <w:u w:val="single"/>
            <w:lang w:eastAsia="en-GB"/>
          </w:rPr>
          <w:t>PubMed</w:t>
        </w:r>
      </w:hyperlink>
      <w:r w:rsidRPr="002E3B54">
        <w:rPr>
          <w:rFonts w:ascii="Cambria" w:eastAsia="Times New Roman" w:hAnsi="Cambria" w:cs="Times New Roman"/>
          <w:color w:val="212121"/>
          <w:sz w:val="26"/>
          <w:szCs w:val="26"/>
          <w:lang w:eastAsia="en-GB"/>
        </w:rPr>
        <w:t>] [</w:t>
      </w:r>
      <w:hyperlink r:id="rId27"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020F2B2B"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Thornicroft G, Tansella M. Cambridge: Cambridge University Press; Better mental health care. in press. [</w:t>
      </w:r>
      <w:hyperlink r:id="rId28"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1AF7C812" w14:textId="77777777" w:rsidR="001A6913" w:rsidRPr="002E3B54" w:rsidRDefault="001A6913" w:rsidP="001A6913">
      <w:pPr>
        <w:pStyle w:val="Listparagraf"/>
        <w:numPr>
          <w:ilvl w:val="0"/>
          <w:numId w:val="1"/>
        </w:numPr>
        <w:rPr>
          <w:rFonts w:ascii="Cambria" w:eastAsia="Times New Roman" w:hAnsi="Cambria" w:cs="Times New Roman"/>
          <w:color w:val="212121"/>
          <w:sz w:val="26"/>
          <w:szCs w:val="26"/>
          <w:lang w:eastAsia="en-GB"/>
        </w:rPr>
      </w:pPr>
      <w:r w:rsidRPr="002E3B54">
        <w:rPr>
          <w:rFonts w:ascii="Cambria" w:eastAsia="Times New Roman" w:hAnsi="Cambria" w:cs="Times New Roman"/>
          <w:color w:val="212121"/>
          <w:sz w:val="26"/>
          <w:szCs w:val="26"/>
          <w:lang w:eastAsia="en-GB"/>
        </w:rPr>
        <w:t>Thornicroft G, Tansella M. Components of a modern mental health service: a pragmatic balance of community and hospital care: overview of systematic evidence. </w:t>
      </w:r>
      <w:r w:rsidRPr="002E3B54">
        <w:rPr>
          <w:rFonts w:ascii="Cambria" w:eastAsia="Times New Roman" w:hAnsi="Cambria" w:cs="Times New Roman"/>
          <w:i/>
          <w:iCs/>
          <w:color w:val="212121"/>
          <w:sz w:val="26"/>
          <w:szCs w:val="26"/>
          <w:lang w:eastAsia="en-GB"/>
        </w:rPr>
        <w:t>Br J Psychiatry. </w:t>
      </w:r>
      <w:r w:rsidRPr="002E3B54">
        <w:rPr>
          <w:rFonts w:ascii="Cambria" w:eastAsia="Times New Roman" w:hAnsi="Cambria" w:cs="Times New Roman"/>
          <w:color w:val="212121"/>
          <w:sz w:val="26"/>
          <w:szCs w:val="26"/>
          <w:lang w:eastAsia="en-GB"/>
        </w:rPr>
        <w:t>2004;185:283–290. [</w:t>
      </w:r>
      <w:hyperlink r:id="rId29" w:history="1">
        <w:r w:rsidRPr="002E3B54">
          <w:rPr>
            <w:rFonts w:ascii="Cambria" w:eastAsia="Times New Roman" w:hAnsi="Cambria" w:cs="Times New Roman"/>
            <w:color w:val="4C2C92"/>
            <w:sz w:val="26"/>
            <w:szCs w:val="26"/>
            <w:u w:val="single"/>
            <w:lang w:eastAsia="en-GB"/>
          </w:rPr>
          <w:t>PubMed</w:t>
        </w:r>
      </w:hyperlink>
      <w:r w:rsidRPr="002E3B54">
        <w:rPr>
          <w:rFonts w:ascii="Cambria" w:eastAsia="Times New Roman" w:hAnsi="Cambria" w:cs="Times New Roman"/>
          <w:color w:val="212121"/>
          <w:sz w:val="26"/>
          <w:szCs w:val="26"/>
          <w:lang w:eastAsia="en-GB"/>
        </w:rPr>
        <w:t>] [</w:t>
      </w:r>
      <w:hyperlink r:id="rId30" w:tgtFrame="_blank" w:history="1">
        <w:r w:rsidRPr="002E3B54">
          <w:rPr>
            <w:rFonts w:ascii="Cambria" w:eastAsia="Times New Roman" w:hAnsi="Cambria" w:cs="Times New Roman"/>
            <w:color w:val="4C2C92"/>
            <w:sz w:val="26"/>
            <w:szCs w:val="26"/>
            <w:u w:val="single"/>
            <w:lang w:eastAsia="en-GB"/>
          </w:rPr>
          <w:t>Google Scholar</w:t>
        </w:r>
      </w:hyperlink>
      <w:r w:rsidRPr="002E3B54">
        <w:rPr>
          <w:rFonts w:ascii="Cambria" w:eastAsia="Times New Roman" w:hAnsi="Cambria" w:cs="Times New Roman"/>
          <w:color w:val="212121"/>
          <w:sz w:val="26"/>
          <w:szCs w:val="26"/>
          <w:lang w:eastAsia="en-GB"/>
        </w:rPr>
        <w:t>]</w:t>
      </w:r>
    </w:p>
    <w:p w14:paraId="2EC31DE7" w14:textId="77777777" w:rsidR="001A6913" w:rsidRPr="002E3B54" w:rsidRDefault="001A6913" w:rsidP="001A6913">
      <w:pPr>
        <w:rPr>
          <w:rFonts w:ascii="Times New Roman" w:eastAsia="Times New Roman" w:hAnsi="Times New Roman" w:cs="Times New Roman"/>
          <w:lang w:eastAsia="en-GB"/>
        </w:rPr>
      </w:pPr>
    </w:p>
    <w:p w14:paraId="21E4D2C6" w14:textId="77777777" w:rsidR="001A6913" w:rsidRPr="003B6AFE" w:rsidRDefault="001A6913" w:rsidP="00F47C3B">
      <w:pPr>
        <w:rPr>
          <w:rFonts w:ascii="Times New Roman" w:hAnsi="Times New Roman" w:cs="Times New Roman"/>
          <w:sz w:val="28"/>
          <w:szCs w:val="28"/>
          <w:lang w:val="en-GB"/>
        </w:rPr>
      </w:pPr>
    </w:p>
    <w:sectPr w:rsidR="001A6913" w:rsidRPr="003B6A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9843A" w14:textId="77777777" w:rsidR="0009563C" w:rsidRDefault="0009563C" w:rsidP="001A6913">
      <w:r>
        <w:separator/>
      </w:r>
    </w:p>
  </w:endnote>
  <w:endnote w:type="continuationSeparator" w:id="0">
    <w:p w14:paraId="0F1C857B" w14:textId="77777777" w:rsidR="0009563C" w:rsidRDefault="0009563C" w:rsidP="001A6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29A8B" w14:textId="77777777" w:rsidR="0009563C" w:rsidRDefault="0009563C" w:rsidP="001A6913">
      <w:r>
        <w:separator/>
      </w:r>
    </w:p>
  </w:footnote>
  <w:footnote w:type="continuationSeparator" w:id="0">
    <w:p w14:paraId="1662C220" w14:textId="77777777" w:rsidR="0009563C" w:rsidRDefault="0009563C" w:rsidP="001A69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2D48C9"/>
    <w:multiLevelType w:val="hybridMultilevel"/>
    <w:tmpl w:val="03E82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8433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158"/>
    <w:rsid w:val="0009563C"/>
    <w:rsid w:val="000E416B"/>
    <w:rsid w:val="001A6913"/>
    <w:rsid w:val="001E68CF"/>
    <w:rsid w:val="002A363D"/>
    <w:rsid w:val="002C7383"/>
    <w:rsid w:val="003B6AFE"/>
    <w:rsid w:val="00613676"/>
    <w:rsid w:val="0073069A"/>
    <w:rsid w:val="00736405"/>
    <w:rsid w:val="00760CA0"/>
    <w:rsid w:val="007E6158"/>
    <w:rsid w:val="00831580"/>
    <w:rsid w:val="008B629B"/>
    <w:rsid w:val="009B1667"/>
    <w:rsid w:val="00A40481"/>
    <w:rsid w:val="00C47816"/>
    <w:rsid w:val="00CA3764"/>
    <w:rsid w:val="00CC791F"/>
    <w:rsid w:val="00D458C8"/>
    <w:rsid w:val="00D52337"/>
    <w:rsid w:val="00D6450D"/>
    <w:rsid w:val="00F47C3B"/>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74AD69FF"/>
  <w15:chartTrackingRefBased/>
  <w15:docId w15:val="{D77C3DB9-C301-3046-AD07-6287583E7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o-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A69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link w:val="Titlu2Caracter"/>
    <w:uiPriority w:val="9"/>
    <w:qFormat/>
    <w:rsid w:val="007E6158"/>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7E6158"/>
    <w:rPr>
      <w:rFonts w:ascii="Times New Roman" w:eastAsia="Times New Roman" w:hAnsi="Times New Roman" w:cs="Times New Roman"/>
      <w:b/>
      <w:bCs/>
      <w:sz w:val="36"/>
      <w:szCs w:val="36"/>
      <w:lang w:eastAsia="en-GB"/>
    </w:rPr>
  </w:style>
  <w:style w:type="paragraph" w:customStyle="1" w:styleId="p">
    <w:name w:val="p"/>
    <w:basedOn w:val="Normal"/>
    <w:rsid w:val="007E6158"/>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7E615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Fontdeparagrafimplicit"/>
    <w:rsid w:val="007E6158"/>
  </w:style>
  <w:style w:type="character" w:styleId="Hyperlink">
    <w:name w:val="Hyperlink"/>
    <w:basedOn w:val="Fontdeparagrafimplicit"/>
    <w:uiPriority w:val="99"/>
    <w:unhideWhenUsed/>
    <w:rsid w:val="007E6158"/>
    <w:rPr>
      <w:color w:val="0000FF"/>
      <w:u w:val="single"/>
    </w:rPr>
  </w:style>
  <w:style w:type="character" w:customStyle="1" w:styleId="figpopup-sensitive-area">
    <w:name w:val="figpopup-sensitive-area"/>
    <w:basedOn w:val="Fontdeparagrafimplicit"/>
    <w:rsid w:val="007E6158"/>
  </w:style>
  <w:style w:type="character" w:customStyle="1" w:styleId="Titlu1Caracter">
    <w:name w:val="Titlu 1 Caracter"/>
    <w:basedOn w:val="Fontdeparagrafimplicit"/>
    <w:link w:val="Titlu1"/>
    <w:uiPriority w:val="9"/>
    <w:rsid w:val="001A6913"/>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1A6913"/>
    <w:pPr>
      <w:ind w:left="720"/>
      <w:contextualSpacing/>
    </w:pPr>
  </w:style>
  <w:style w:type="paragraph" w:styleId="Antet">
    <w:name w:val="header"/>
    <w:basedOn w:val="Normal"/>
    <w:link w:val="AntetCaracter"/>
    <w:uiPriority w:val="99"/>
    <w:unhideWhenUsed/>
    <w:rsid w:val="001A6913"/>
    <w:pPr>
      <w:tabs>
        <w:tab w:val="center" w:pos="4513"/>
        <w:tab w:val="right" w:pos="9026"/>
      </w:tabs>
    </w:pPr>
  </w:style>
  <w:style w:type="character" w:customStyle="1" w:styleId="AntetCaracter">
    <w:name w:val="Antet Caracter"/>
    <w:basedOn w:val="Fontdeparagrafimplicit"/>
    <w:link w:val="Antet"/>
    <w:uiPriority w:val="99"/>
    <w:rsid w:val="001A6913"/>
  </w:style>
  <w:style w:type="paragraph" w:styleId="Subsol">
    <w:name w:val="footer"/>
    <w:basedOn w:val="Normal"/>
    <w:link w:val="SubsolCaracter"/>
    <w:uiPriority w:val="99"/>
    <w:unhideWhenUsed/>
    <w:rsid w:val="001A6913"/>
    <w:pPr>
      <w:tabs>
        <w:tab w:val="center" w:pos="4513"/>
        <w:tab w:val="right" w:pos="9026"/>
      </w:tabs>
    </w:pPr>
  </w:style>
  <w:style w:type="character" w:customStyle="1" w:styleId="SubsolCaracter">
    <w:name w:val="Subsol Caracter"/>
    <w:basedOn w:val="Fontdeparagrafimplicit"/>
    <w:link w:val="Subsol"/>
    <w:uiPriority w:val="99"/>
    <w:rsid w:val="001A6913"/>
  </w:style>
  <w:style w:type="paragraph" w:styleId="Titlucuprins">
    <w:name w:val="TOC Heading"/>
    <w:basedOn w:val="Titlu1"/>
    <w:next w:val="Normal"/>
    <w:uiPriority w:val="39"/>
    <w:unhideWhenUsed/>
    <w:qFormat/>
    <w:rsid w:val="001A6913"/>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1A6913"/>
    <w:pPr>
      <w:spacing w:before="120"/>
    </w:pPr>
    <w:rPr>
      <w:rFonts w:cstheme="minorHAnsi"/>
      <w:b/>
      <w:bCs/>
      <w:i/>
      <w:iCs/>
    </w:rPr>
  </w:style>
  <w:style w:type="paragraph" w:styleId="Cuprins2">
    <w:name w:val="toc 2"/>
    <w:basedOn w:val="Normal"/>
    <w:next w:val="Normal"/>
    <w:autoRedefine/>
    <w:uiPriority w:val="39"/>
    <w:semiHidden/>
    <w:unhideWhenUsed/>
    <w:rsid w:val="001A6913"/>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1A6913"/>
    <w:pPr>
      <w:ind w:left="480"/>
    </w:pPr>
    <w:rPr>
      <w:rFonts w:cstheme="minorHAnsi"/>
      <w:sz w:val="20"/>
      <w:szCs w:val="20"/>
    </w:rPr>
  </w:style>
  <w:style w:type="paragraph" w:styleId="Cuprins4">
    <w:name w:val="toc 4"/>
    <w:basedOn w:val="Normal"/>
    <w:next w:val="Normal"/>
    <w:autoRedefine/>
    <w:uiPriority w:val="39"/>
    <w:semiHidden/>
    <w:unhideWhenUsed/>
    <w:rsid w:val="001A6913"/>
    <w:pPr>
      <w:ind w:left="720"/>
    </w:pPr>
    <w:rPr>
      <w:rFonts w:cstheme="minorHAnsi"/>
      <w:sz w:val="20"/>
      <w:szCs w:val="20"/>
    </w:rPr>
  </w:style>
  <w:style w:type="paragraph" w:styleId="Cuprins5">
    <w:name w:val="toc 5"/>
    <w:basedOn w:val="Normal"/>
    <w:next w:val="Normal"/>
    <w:autoRedefine/>
    <w:uiPriority w:val="39"/>
    <w:semiHidden/>
    <w:unhideWhenUsed/>
    <w:rsid w:val="001A6913"/>
    <w:pPr>
      <w:ind w:left="960"/>
    </w:pPr>
    <w:rPr>
      <w:rFonts w:cstheme="minorHAnsi"/>
      <w:sz w:val="20"/>
      <w:szCs w:val="20"/>
    </w:rPr>
  </w:style>
  <w:style w:type="paragraph" w:styleId="Cuprins6">
    <w:name w:val="toc 6"/>
    <w:basedOn w:val="Normal"/>
    <w:next w:val="Normal"/>
    <w:autoRedefine/>
    <w:uiPriority w:val="39"/>
    <w:semiHidden/>
    <w:unhideWhenUsed/>
    <w:rsid w:val="001A6913"/>
    <w:pPr>
      <w:ind w:left="1200"/>
    </w:pPr>
    <w:rPr>
      <w:rFonts w:cstheme="minorHAnsi"/>
      <w:sz w:val="20"/>
      <w:szCs w:val="20"/>
    </w:rPr>
  </w:style>
  <w:style w:type="paragraph" w:styleId="Cuprins7">
    <w:name w:val="toc 7"/>
    <w:basedOn w:val="Normal"/>
    <w:next w:val="Normal"/>
    <w:autoRedefine/>
    <w:uiPriority w:val="39"/>
    <w:semiHidden/>
    <w:unhideWhenUsed/>
    <w:rsid w:val="001A6913"/>
    <w:pPr>
      <w:ind w:left="1440"/>
    </w:pPr>
    <w:rPr>
      <w:rFonts w:cstheme="minorHAnsi"/>
      <w:sz w:val="20"/>
      <w:szCs w:val="20"/>
    </w:rPr>
  </w:style>
  <w:style w:type="paragraph" w:styleId="Cuprins8">
    <w:name w:val="toc 8"/>
    <w:basedOn w:val="Normal"/>
    <w:next w:val="Normal"/>
    <w:autoRedefine/>
    <w:uiPriority w:val="39"/>
    <w:semiHidden/>
    <w:unhideWhenUsed/>
    <w:rsid w:val="001A6913"/>
    <w:pPr>
      <w:ind w:left="1680"/>
    </w:pPr>
    <w:rPr>
      <w:rFonts w:cstheme="minorHAnsi"/>
      <w:sz w:val="20"/>
      <w:szCs w:val="20"/>
    </w:rPr>
  </w:style>
  <w:style w:type="paragraph" w:styleId="Cuprins9">
    <w:name w:val="toc 9"/>
    <w:basedOn w:val="Normal"/>
    <w:next w:val="Normal"/>
    <w:autoRedefine/>
    <w:uiPriority w:val="39"/>
    <w:semiHidden/>
    <w:unhideWhenUsed/>
    <w:rsid w:val="001A6913"/>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119435">
      <w:bodyDiv w:val="1"/>
      <w:marLeft w:val="0"/>
      <w:marRight w:val="0"/>
      <w:marTop w:val="0"/>
      <w:marBottom w:val="0"/>
      <w:divBdr>
        <w:top w:val="none" w:sz="0" w:space="0" w:color="auto"/>
        <w:left w:val="none" w:sz="0" w:space="0" w:color="auto"/>
        <w:bottom w:val="none" w:sz="0" w:space="0" w:color="auto"/>
        <w:right w:val="none" w:sz="0" w:space="0" w:color="auto"/>
      </w:divBdr>
      <w:divsChild>
        <w:div w:id="1515610557">
          <w:marLeft w:val="0"/>
          <w:marRight w:val="0"/>
          <w:marTop w:val="0"/>
          <w:marBottom w:val="0"/>
          <w:divBdr>
            <w:top w:val="none" w:sz="0" w:space="0" w:color="auto"/>
            <w:left w:val="none" w:sz="0" w:space="0" w:color="auto"/>
            <w:bottom w:val="none" w:sz="0" w:space="0" w:color="auto"/>
            <w:right w:val="none" w:sz="0" w:space="0" w:color="auto"/>
          </w:divBdr>
          <w:divsChild>
            <w:div w:id="822086242">
              <w:marLeft w:val="0"/>
              <w:marRight w:val="0"/>
              <w:marTop w:val="0"/>
              <w:marBottom w:val="0"/>
              <w:divBdr>
                <w:top w:val="none" w:sz="0" w:space="0" w:color="auto"/>
                <w:left w:val="none" w:sz="0" w:space="0" w:color="auto"/>
                <w:bottom w:val="none" w:sz="0" w:space="0" w:color="auto"/>
                <w:right w:val="none" w:sz="0" w:space="0" w:color="auto"/>
              </w:divBdr>
              <w:divsChild>
                <w:div w:id="1605840075">
                  <w:marLeft w:val="0"/>
                  <w:marRight w:val="0"/>
                  <w:marTop w:val="0"/>
                  <w:marBottom w:val="0"/>
                  <w:divBdr>
                    <w:top w:val="none" w:sz="0" w:space="0" w:color="auto"/>
                    <w:left w:val="none" w:sz="0" w:space="0" w:color="auto"/>
                    <w:bottom w:val="none" w:sz="0" w:space="0" w:color="auto"/>
                    <w:right w:val="none" w:sz="0" w:space="0" w:color="auto"/>
                  </w:divBdr>
                  <w:divsChild>
                    <w:div w:id="1730037277">
                      <w:marLeft w:val="0"/>
                      <w:marRight w:val="0"/>
                      <w:marTop w:val="0"/>
                      <w:marBottom w:val="0"/>
                      <w:divBdr>
                        <w:top w:val="none" w:sz="0" w:space="0" w:color="auto"/>
                        <w:left w:val="none" w:sz="0" w:space="0" w:color="auto"/>
                        <w:bottom w:val="none" w:sz="0" w:space="0" w:color="auto"/>
                        <w:right w:val="none" w:sz="0" w:space="0" w:color="auto"/>
                      </w:divBdr>
                    </w:div>
                  </w:divsChild>
                </w:div>
                <w:div w:id="1759254584">
                  <w:marLeft w:val="0"/>
                  <w:marRight w:val="0"/>
                  <w:marTop w:val="0"/>
                  <w:marBottom w:val="0"/>
                  <w:divBdr>
                    <w:top w:val="none" w:sz="0" w:space="0" w:color="auto"/>
                    <w:left w:val="none" w:sz="0" w:space="0" w:color="auto"/>
                    <w:bottom w:val="none" w:sz="0" w:space="0" w:color="auto"/>
                    <w:right w:val="none" w:sz="0" w:space="0" w:color="auto"/>
                  </w:divBdr>
                  <w:divsChild>
                    <w:div w:id="200011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732558">
      <w:bodyDiv w:val="1"/>
      <w:marLeft w:val="0"/>
      <w:marRight w:val="0"/>
      <w:marTop w:val="0"/>
      <w:marBottom w:val="0"/>
      <w:divBdr>
        <w:top w:val="none" w:sz="0" w:space="0" w:color="auto"/>
        <w:left w:val="none" w:sz="0" w:space="0" w:color="auto"/>
        <w:bottom w:val="none" w:sz="0" w:space="0" w:color="auto"/>
        <w:right w:val="none" w:sz="0" w:space="0" w:color="auto"/>
      </w:divBdr>
      <w:divsChild>
        <w:div w:id="1969504969">
          <w:marLeft w:val="0"/>
          <w:marRight w:val="0"/>
          <w:marTop w:val="0"/>
          <w:marBottom w:val="0"/>
          <w:divBdr>
            <w:top w:val="none" w:sz="0" w:space="0" w:color="auto"/>
            <w:left w:val="none" w:sz="0" w:space="0" w:color="auto"/>
            <w:bottom w:val="none" w:sz="0" w:space="0" w:color="auto"/>
            <w:right w:val="none" w:sz="0" w:space="0" w:color="auto"/>
          </w:divBdr>
          <w:divsChild>
            <w:div w:id="1711225973">
              <w:marLeft w:val="0"/>
              <w:marRight w:val="0"/>
              <w:marTop w:val="0"/>
              <w:marBottom w:val="0"/>
              <w:divBdr>
                <w:top w:val="none" w:sz="0" w:space="0" w:color="auto"/>
                <w:left w:val="none" w:sz="0" w:space="0" w:color="auto"/>
                <w:bottom w:val="none" w:sz="0" w:space="0" w:color="auto"/>
                <w:right w:val="none" w:sz="0" w:space="0" w:color="auto"/>
              </w:divBdr>
              <w:divsChild>
                <w:div w:id="460850646">
                  <w:marLeft w:val="0"/>
                  <w:marRight w:val="0"/>
                  <w:marTop w:val="0"/>
                  <w:marBottom w:val="0"/>
                  <w:divBdr>
                    <w:top w:val="none" w:sz="0" w:space="0" w:color="auto"/>
                    <w:left w:val="none" w:sz="0" w:space="0" w:color="auto"/>
                    <w:bottom w:val="none" w:sz="0" w:space="0" w:color="auto"/>
                    <w:right w:val="none" w:sz="0" w:space="0" w:color="auto"/>
                  </w:divBdr>
                  <w:divsChild>
                    <w:div w:id="174536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805606">
      <w:bodyDiv w:val="1"/>
      <w:marLeft w:val="0"/>
      <w:marRight w:val="0"/>
      <w:marTop w:val="0"/>
      <w:marBottom w:val="0"/>
      <w:divBdr>
        <w:top w:val="none" w:sz="0" w:space="0" w:color="auto"/>
        <w:left w:val="none" w:sz="0" w:space="0" w:color="auto"/>
        <w:bottom w:val="none" w:sz="0" w:space="0" w:color="auto"/>
        <w:right w:val="none" w:sz="0" w:space="0" w:color="auto"/>
      </w:divBdr>
      <w:divsChild>
        <w:div w:id="62528917">
          <w:marLeft w:val="0"/>
          <w:marRight w:val="0"/>
          <w:marTop w:val="0"/>
          <w:marBottom w:val="0"/>
          <w:divBdr>
            <w:top w:val="none" w:sz="0" w:space="0" w:color="auto"/>
            <w:left w:val="none" w:sz="0" w:space="0" w:color="auto"/>
            <w:bottom w:val="none" w:sz="0" w:space="0" w:color="auto"/>
            <w:right w:val="none" w:sz="0" w:space="0" w:color="auto"/>
          </w:divBdr>
          <w:divsChild>
            <w:div w:id="824854263">
              <w:marLeft w:val="0"/>
              <w:marRight w:val="0"/>
              <w:marTop w:val="0"/>
              <w:marBottom w:val="0"/>
              <w:divBdr>
                <w:top w:val="none" w:sz="0" w:space="0" w:color="auto"/>
                <w:left w:val="none" w:sz="0" w:space="0" w:color="auto"/>
                <w:bottom w:val="none" w:sz="0" w:space="0" w:color="auto"/>
                <w:right w:val="none" w:sz="0" w:space="0" w:color="auto"/>
              </w:divBdr>
              <w:divsChild>
                <w:div w:id="244608876">
                  <w:marLeft w:val="0"/>
                  <w:marRight w:val="0"/>
                  <w:marTop w:val="0"/>
                  <w:marBottom w:val="0"/>
                  <w:divBdr>
                    <w:top w:val="none" w:sz="0" w:space="0" w:color="auto"/>
                    <w:left w:val="none" w:sz="0" w:space="0" w:color="auto"/>
                    <w:bottom w:val="none" w:sz="0" w:space="0" w:color="auto"/>
                    <w:right w:val="none" w:sz="0" w:space="0" w:color="auto"/>
                  </w:divBdr>
                  <w:divsChild>
                    <w:div w:id="10154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614836">
      <w:bodyDiv w:val="1"/>
      <w:marLeft w:val="0"/>
      <w:marRight w:val="0"/>
      <w:marTop w:val="0"/>
      <w:marBottom w:val="0"/>
      <w:divBdr>
        <w:top w:val="none" w:sz="0" w:space="0" w:color="auto"/>
        <w:left w:val="none" w:sz="0" w:space="0" w:color="auto"/>
        <w:bottom w:val="none" w:sz="0" w:space="0" w:color="auto"/>
        <w:right w:val="none" w:sz="0" w:space="0" w:color="auto"/>
      </w:divBdr>
      <w:divsChild>
        <w:div w:id="1117529244">
          <w:marLeft w:val="0"/>
          <w:marRight w:val="0"/>
          <w:marTop w:val="400"/>
          <w:marBottom w:val="400"/>
          <w:divBdr>
            <w:top w:val="none" w:sz="0" w:space="0" w:color="auto"/>
            <w:left w:val="none" w:sz="0" w:space="0" w:color="auto"/>
            <w:bottom w:val="none" w:sz="0" w:space="0" w:color="auto"/>
            <w:right w:val="none" w:sz="0" w:space="0" w:color="auto"/>
          </w:divBdr>
          <w:divsChild>
            <w:div w:id="489835907">
              <w:marLeft w:val="0"/>
              <w:marRight w:val="0"/>
              <w:marTop w:val="400"/>
              <w:marBottom w:val="400"/>
              <w:divBdr>
                <w:top w:val="single" w:sz="6" w:space="20" w:color="EAC3AF"/>
                <w:left w:val="single" w:sz="6" w:space="20" w:color="EAC3AF"/>
                <w:bottom w:val="single" w:sz="6" w:space="20" w:color="EAC3AF"/>
                <w:right w:val="single" w:sz="6" w:space="20" w:color="EAC3AF"/>
              </w:divBdr>
              <w:divsChild>
                <w:div w:id="148057602">
                  <w:marLeft w:val="0"/>
                  <w:marRight w:val="0"/>
                  <w:marTop w:val="200"/>
                  <w:marBottom w:val="0"/>
                  <w:divBdr>
                    <w:top w:val="none" w:sz="0" w:space="0" w:color="auto"/>
                    <w:left w:val="none" w:sz="0" w:space="0" w:color="auto"/>
                    <w:bottom w:val="none" w:sz="0" w:space="0" w:color="auto"/>
                    <w:right w:val="none" w:sz="0" w:space="0" w:color="auto"/>
                  </w:divBdr>
                  <w:divsChild>
                    <w:div w:id="1207764118">
                      <w:marLeft w:val="0"/>
                      <w:marRight w:val="0"/>
                      <w:marTop w:val="0"/>
                      <w:marBottom w:val="0"/>
                      <w:divBdr>
                        <w:top w:val="none" w:sz="0" w:space="0" w:color="auto"/>
                        <w:left w:val="none" w:sz="0" w:space="0" w:color="auto"/>
                        <w:bottom w:val="none" w:sz="0" w:space="0" w:color="auto"/>
                        <w:right w:val="none" w:sz="0" w:space="0" w:color="auto"/>
                      </w:divBdr>
                    </w:div>
                    <w:div w:id="1720474537">
                      <w:marLeft w:val="0"/>
                      <w:marRight w:val="0"/>
                      <w:marTop w:val="20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holar.google.com/scholar_lookup?journal=Epidemiol+Psichiatr+Soc&amp;title=User/consumer+involvement+in+mental+health+service+delivery&amp;author=J+Chamberlin+&amp;volume=14&amp;publication_year=2005&amp;pages=10-14&amp;pmid=15792289&amp;" TargetMode="External"/><Relationship Id="rId18" Type="http://schemas.openxmlformats.org/officeDocument/2006/relationships/hyperlink" Target="https://scholar.google.com/scholar_lookup?title=Mental+health+policy+and+practice+across+Europe&amp;publication_year=2007&amp;" TargetMode="External"/><Relationship Id="rId26" Type="http://schemas.openxmlformats.org/officeDocument/2006/relationships/hyperlink" Target="https://www.ncbi.nlm.nih.gov/pubmed/16946858" TargetMode="External"/><Relationship Id="rId3" Type="http://schemas.openxmlformats.org/officeDocument/2006/relationships/styles" Target="styles.xml"/><Relationship Id="rId21" Type="http://schemas.openxmlformats.org/officeDocument/2006/relationships/hyperlink" Target="https://scholar.google.com/scholar_lookup?title=Managing+mental+health+services&amp;publication_year=1999&amp;" TargetMode="External"/><Relationship Id="rId7" Type="http://schemas.openxmlformats.org/officeDocument/2006/relationships/endnotes" Target="endnotes.xml"/><Relationship Id="rId12" Type="http://schemas.openxmlformats.org/officeDocument/2006/relationships/hyperlink" Target="https://www.ncbi.nlm.nih.gov/pubmed/15792289" TargetMode="External"/><Relationship Id="rId17" Type="http://schemas.openxmlformats.org/officeDocument/2006/relationships/hyperlink" Target="https://scholar.google.com/scholar_lookup?journal=Br+J+Psychiatry&amp;title=The+TAPS+project.+3:+Predicting+the+community+costs+of+closing+psychiatric+hospitals&amp;author=M+Knapp&amp;author=J+Beecham&amp;author=J+Anderson&amp;volume=157&amp;publication_year=1990&amp;pages=661-670&amp;pmid=2126218&amp;" TargetMode="External"/><Relationship Id="rId25" Type="http://schemas.openxmlformats.org/officeDocument/2006/relationships/hyperlink" Target="https://www.ncbi.nlm.nih.gov/pmc/articles/PMC1489876/" TargetMode="External"/><Relationship Id="rId2" Type="http://schemas.openxmlformats.org/officeDocument/2006/relationships/numbering" Target="numbering.xml"/><Relationship Id="rId16" Type="http://schemas.openxmlformats.org/officeDocument/2006/relationships/hyperlink" Target="https://www.ncbi.nlm.nih.gov/pubmed/2126218" TargetMode="External"/><Relationship Id="rId20" Type="http://schemas.openxmlformats.org/officeDocument/2006/relationships/hyperlink" Target="https://scholar.google.com/scholar_lookup?journal=J+Behav+Health+Serv+Res&amp;title=" TargetMode="External"/><Relationship Id="rId29" Type="http://schemas.openxmlformats.org/officeDocument/2006/relationships/hyperlink" Target="https://www.ncbi.nlm.nih.gov/pubmed/154589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scholar_lookup?journal=Qual+Saf+Health+Care&amp;title=How+do+stakeholder+groups+vary+in+a+Delphi+technique+about+primary+mental+health+care+and+what+factors+influence+their+ratings?&amp;author=SM+Campbell&amp;author=T+Shield&amp;author=A+Rogers&amp;volume=13&amp;publication_year=2004&amp;pages=428-434&amp;pmid=15576704&amp;" TargetMode="External"/><Relationship Id="rId24" Type="http://schemas.openxmlformats.org/officeDocument/2006/relationships/hyperlink" Target="https://scholar.google.com/scholar_lookup?title=Shunned:+discrimination+against+people+with+mental+illness&amp;publication_year=2006&amp;"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cholar.google.com/scholar_lookup?journal=Aust+N+Zeal+J+Psychiatry&amp;title=Research+priorities+in+mental+health,+Part+2:+an+evaluation+of+the+current+research+effort+against+stakeholders&#8217;+priorities&amp;author=KM+Griffiths&amp;author=AF+Jorm&amp;author=H+Christensen&amp;volume=36&amp;publication_year=2002&amp;pages=327-339&amp;" TargetMode="External"/><Relationship Id="rId23" Type="http://schemas.openxmlformats.org/officeDocument/2006/relationships/hyperlink" Target="https://scholar.google.com/scholar_lookup?title=Community-based+psychiatry.+Long-term+patterns+of+care+in+South+Verona.+Psychological+Medicine+Monograph+Supplement+19&amp;publication_year=1991&amp;" TargetMode="External"/><Relationship Id="rId28" Type="http://schemas.openxmlformats.org/officeDocument/2006/relationships/hyperlink" Target="https://scholar.google.com/scholar?q=Thornicroft+G+Tansella+M+Better+mental+health+care+Cambridge+Cambridge+University+Press+in+press+" TargetMode="External"/><Relationship Id="rId10" Type="http://schemas.openxmlformats.org/officeDocument/2006/relationships/hyperlink" Target="https://www.ncbi.nlm.nih.gov/pubmed/15576704" TargetMode="External"/><Relationship Id="rId19" Type="http://schemas.openxmlformats.org/officeDocument/2006/relationships/hyperlink" Target="https://www.ncbi.nlm.nih.gov/pubmed/10425869"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cbi.nlm.nih.gov/pmc/articles/PMC1743904/" TargetMode="External"/><Relationship Id="rId14" Type="http://schemas.openxmlformats.org/officeDocument/2006/relationships/hyperlink" Target="https://www.ncbi.nlm.nih.gov/pubmed/12060181" TargetMode="External"/><Relationship Id="rId22" Type="http://schemas.openxmlformats.org/officeDocument/2006/relationships/hyperlink" Target="https://scholar.google.com/scholar_lookup?title=Users&#8217;+voices,+the+perspectives+of+mental+health+service+users+on+community+and+hospital+care&amp;publication_year=2001&amp;" TargetMode="External"/><Relationship Id="rId27" Type="http://schemas.openxmlformats.org/officeDocument/2006/relationships/hyperlink" Target="https://scholar.google.com/scholar_lookup?journal=World+Psychiatry&amp;title=Balancing+community-based+and+hospital-based+mental+health+care&amp;author=G+Thornicroft&amp;author=M+Tansella&amp;volume=1&amp;publication_year=2002&amp;pages=84-90&amp;pmid=16946858&amp;" TargetMode="External"/><Relationship Id="rId30" Type="http://schemas.openxmlformats.org/officeDocument/2006/relationships/hyperlink" Target="https://scholar.google.com/scholar_lookup?journal=Br+J+Psychiatry&amp;title=Components+of+a+modern+mental+health+service:+a+pragmatic+balance+of+community+and+hospital+care:+overview+of+systematic+evidence&amp;author=G+Thornicroft&amp;author=M+Tansella&amp;volume=185&amp;publication_year=2004&amp;pages=283-290&amp;pmid=15458987&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1AE23-40B9-574F-8A5A-D6050C9870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2940</Words>
  <Characters>17057</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ANAMARIA-ELENA CRETOIU</dc:creator>
  <cp:keywords/>
  <dc:description/>
  <cp:lastModifiedBy>Silviu Rosu</cp:lastModifiedBy>
  <cp:revision>8</cp:revision>
  <dcterms:created xsi:type="dcterms:W3CDTF">2022-04-02T21:18:00Z</dcterms:created>
  <dcterms:modified xsi:type="dcterms:W3CDTF">2022-04-24T11:14:00Z</dcterms:modified>
</cp:coreProperties>
</file>