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259" w:rsidRPr="008A5F4C" w:rsidRDefault="00856259"/>
    <w:tbl>
      <w:tblPr>
        <w:tblW w:w="0" w:type="auto"/>
        <w:tblLayout w:type="fixed"/>
        <w:tblLook w:val="0600" w:firstRow="0" w:lastRow="0" w:firstColumn="0" w:lastColumn="0" w:noHBand="1" w:noVBand="1"/>
      </w:tblPr>
      <w:tblGrid>
        <w:gridCol w:w="1870"/>
        <w:gridCol w:w="1870"/>
        <w:gridCol w:w="1870"/>
        <w:gridCol w:w="3740"/>
      </w:tblGrid>
      <w:tr w:rsidR="005276A8" w:rsidTr="00ED38DD">
        <w:trPr>
          <w:trHeight w:val="1349"/>
        </w:trPr>
        <w:tc>
          <w:tcPr>
            <w:tcW w:w="1870" w:type="dxa"/>
          </w:tcPr>
          <w:p w:rsidR="005276A8" w:rsidRDefault="005276A8"/>
        </w:tc>
        <w:tc>
          <w:tcPr>
            <w:tcW w:w="1870" w:type="dxa"/>
          </w:tcPr>
          <w:p w:rsidR="008116AD" w:rsidRDefault="008116AD"/>
          <w:p w:rsidR="008116AD" w:rsidRPr="008116AD" w:rsidRDefault="008116AD" w:rsidP="008116AD"/>
          <w:p w:rsidR="008116AD" w:rsidRPr="008116AD" w:rsidRDefault="008116AD" w:rsidP="008116AD"/>
          <w:p w:rsidR="005276A8" w:rsidRPr="008116AD" w:rsidRDefault="005276A8" w:rsidP="008116AD">
            <w:pPr>
              <w:jc w:val="center"/>
              <w:rPr>
                <w:rFonts w:ascii="Times New Roman" w:hAnsi="Times New Roman" w:cs="Times New Roman"/>
              </w:rPr>
            </w:pPr>
          </w:p>
        </w:tc>
        <w:tc>
          <w:tcPr>
            <w:tcW w:w="1870" w:type="dxa"/>
          </w:tcPr>
          <w:p w:rsidR="005276A8" w:rsidRDefault="005276A8" w:rsidP="00537DAC">
            <w:pPr>
              <w:jc w:val="right"/>
            </w:pPr>
          </w:p>
        </w:tc>
        <w:tc>
          <w:tcPr>
            <w:tcW w:w="3740" w:type="dxa"/>
          </w:tcPr>
          <w:p w:rsidR="005276A8" w:rsidRDefault="005276A8" w:rsidP="00537DAC">
            <w:pPr>
              <w:pStyle w:val="Subtitle"/>
            </w:pPr>
          </w:p>
        </w:tc>
      </w:tr>
      <w:tr w:rsidR="005276A8" w:rsidTr="00ED38DD">
        <w:trPr>
          <w:trHeight w:val="2858"/>
        </w:trPr>
        <w:tc>
          <w:tcPr>
            <w:tcW w:w="9350" w:type="dxa"/>
            <w:gridSpan w:val="4"/>
            <w:vAlign w:val="bottom"/>
          </w:tcPr>
          <w:p w:rsidR="008116AD" w:rsidRDefault="008116AD" w:rsidP="008116AD">
            <w:pPr>
              <w:spacing w:after="160"/>
              <w:jc w:val="center"/>
              <w:rPr>
                <w:sz w:val="32"/>
                <w:szCs w:val="32"/>
              </w:rPr>
            </w:pPr>
            <w:r>
              <w:rPr>
                <w:noProof/>
                <w:sz w:val="32"/>
                <w:szCs w:val="32"/>
                <w:lang w:val="en-GB" w:eastAsia="en-GB"/>
              </w:rPr>
              <w:drawing>
                <wp:inline distT="0" distB="0" distL="0" distR="0">
                  <wp:extent cx="3124200" cy="1352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4200" cy="1352550"/>
                          </a:xfrm>
                          <a:prstGeom prst="rect">
                            <a:avLst/>
                          </a:prstGeom>
                          <a:noFill/>
                          <a:ln>
                            <a:noFill/>
                          </a:ln>
                        </pic:spPr>
                      </pic:pic>
                    </a:graphicData>
                  </a:graphic>
                </wp:inline>
              </w:drawing>
            </w:r>
          </w:p>
          <w:p w:rsidR="008116AD" w:rsidRDefault="008116AD" w:rsidP="008116AD">
            <w:pPr>
              <w:spacing w:after="160"/>
              <w:jc w:val="center"/>
              <w:rPr>
                <w:sz w:val="32"/>
                <w:szCs w:val="32"/>
              </w:rPr>
            </w:pPr>
          </w:p>
          <w:p w:rsidR="008116AD" w:rsidRDefault="008116AD" w:rsidP="008116AD">
            <w:pPr>
              <w:spacing w:after="160"/>
              <w:jc w:val="center"/>
              <w:rPr>
                <w:sz w:val="32"/>
                <w:szCs w:val="32"/>
              </w:rPr>
            </w:pPr>
          </w:p>
          <w:p w:rsidR="008116AD" w:rsidRDefault="008116AD" w:rsidP="008116AD">
            <w:pPr>
              <w:spacing w:after="160"/>
              <w:jc w:val="center"/>
              <w:rPr>
                <w:b/>
                <w:bCs/>
                <w:sz w:val="44"/>
                <w:szCs w:val="32"/>
              </w:rPr>
            </w:pPr>
            <w:r>
              <w:rPr>
                <w:b/>
                <w:bCs/>
                <w:sz w:val="44"/>
                <w:szCs w:val="32"/>
              </w:rPr>
              <w:t>B.A. International Hotel Management</w:t>
            </w:r>
          </w:p>
          <w:p w:rsidR="008116AD" w:rsidRDefault="008116AD" w:rsidP="008116AD">
            <w:pPr>
              <w:spacing w:after="160"/>
              <w:jc w:val="center"/>
              <w:rPr>
                <w:i/>
                <w:iCs/>
                <w:sz w:val="40"/>
                <w:szCs w:val="28"/>
              </w:rPr>
            </w:pPr>
            <w:r>
              <w:rPr>
                <w:i/>
                <w:iCs/>
                <w:sz w:val="40"/>
                <w:szCs w:val="28"/>
              </w:rPr>
              <w:t xml:space="preserve">Management and Organisational </w:t>
            </w:r>
            <w:r>
              <w:rPr>
                <w:i/>
                <w:iCs/>
                <w:sz w:val="40"/>
                <w:szCs w:val="28"/>
              </w:rPr>
              <w:t>Behavior</w:t>
            </w:r>
          </w:p>
          <w:p w:rsidR="008116AD" w:rsidRDefault="008116AD" w:rsidP="008116AD">
            <w:pPr>
              <w:spacing w:after="160"/>
              <w:jc w:val="center"/>
              <w:rPr>
                <w:szCs w:val="22"/>
              </w:rPr>
            </w:pPr>
          </w:p>
          <w:p w:rsidR="008116AD" w:rsidRDefault="008116AD" w:rsidP="008116AD">
            <w:pPr>
              <w:spacing w:after="160"/>
              <w:jc w:val="center"/>
              <w:rPr>
                <w:b/>
                <w:bCs/>
                <w:sz w:val="36"/>
              </w:rPr>
            </w:pPr>
            <w:r>
              <w:rPr>
                <w:b/>
                <w:bCs/>
                <w:sz w:val="36"/>
              </w:rPr>
              <w:t>BMIH5004 – Assessment 2</w:t>
            </w:r>
          </w:p>
          <w:p w:rsidR="008116AD" w:rsidRDefault="008116AD" w:rsidP="008116AD">
            <w:pPr>
              <w:spacing w:after="160"/>
              <w:jc w:val="center"/>
              <w:rPr>
                <w:sz w:val="36"/>
              </w:rPr>
            </w:pPr>
            <w:r>
              <w:rPr>
                <w:sz w:val="36"/>
              </w:rPr>
              <w:t>Written Report</w:t>
            </w:r>
          </w:p>
          <w:p w:rsidR="008116AD" w:rsidRDefault="008116AD" w:rsidP="008116AD">
            <w:pPr>
              <w:spacing w:after="160"/>
              <w:jc w:val="center"/>
            </w:pPr>
          </w:p>
          <w:p w:rsidR="008116AD" w:rsidRDefault="008116AD" w:rsidP="008116AD">
            <w:pPr>
              <w:spacing w:after="160"/>
              <w:jc w:val="center"/>
            </w:pPr>
          </w:p>
          <w:p w:rsidR="008116AD" w:rsidRDefault="008116AD" w:rsidP="008116AD">
            <w:pPr>
              <w:spacing w:after="160"/>
              <w:jc w:val="center"/>
            </w:pPr>
          </w:p>
          <w:p w:rsidR="008116AD" w:rsidRDefault="008116AD" w:rsidP="008116AD">
            <w:pPr>
              <w:spacing w:after="160"/>
              <w:jc w:val="center"/>
              <w:rPr>
                <w:b/>
              </w:rPr>
            </w:pPr>
          </w:p>
          <w:p w:rsidR="008116AD" w:rsidRDefault="008116AD" w:rsidP="008116AD">
            <w:pPr>
              <w:spacing w:after="160"/>
              <w:jc w:val="center"/>
              <w:rPr>
                <w:b/>
                <w:i/>
                <w:iCs/>
              </w:rPr>
            </w:pPr>
            <w:r>
              <w:rPr>
                <w:b/>
                <w:i/>
                <w:iCs/>
              </w:rPr>
              <w:t xml:space="preserve">Student Name – </w:t>
            </w:r>
            <w:r>
              <w:rPr>
                <w:b/>
                <w:i/>
                <w:iCs/>
              </w:rPr>
              <w:t>Madalina Ghera</w:t>
            </w:r>
          </w:p>
          <w:p w:rsidR="008116AD" w:rsidRDefault="008116AD" w:rsidP="008116AD">
            <w:pPr>
              <w:spacing w:after="160"/>
              <w:jc w:val="center"/>
              <w:rPr>
                <w:b/>
                <w:i/>
                <w:iCs/>
              </w:rPr>
            </w:pPr>
            <w:r>
              <w:rPr>
                <w:b/>
                <w:i/>
                <w:iCs/>
              </w:rPr>
              <w:t>Student ID –</w:t>
            </w:r>
            <w:r>
              <w:rPr>
                <w:b/>
                <w:i/>
                <w:iCs/>
              </w:rPr>
              <w:t>2128167</w:t>
            </w:r>
          </w:p>
          <w:p w:rsidR="008116AD" w:rsidRDefault="008116AD" w:rsidP="008116AD">
            <w:pPr>
              <w:spacing w:after="160"/>
              <w:jc w:val="center"/>
              <w:rPr>
                <w:b/>
                <w:i/>
                <w:iCs/>
              </w:rPr>
            </w:pPr>
            <w:r>
              <w:rPr>
                <w:b/>
                <w:i/>
                <w:iCs/>
              </w:rPr>
              <w:t>Tutor: Charlotte Joyner</w:t>
            </w:r>
            <w:bookmarkStart w:id="0" w:name="_GoBack"/>
            <w:bookmarkEnd w:id="0"/>
          </w:p>
          <w:p w:rsidR="008116AD" w:rsidRDefault="008116AD" w:rsidP="008116AD">
            <w:pPr>
              <w:spacing w:after="160"/>
              <w:jc w:val="center"/>
              <w:rPr>
                <w:i/>
                <w:iCs/>
              </w:rPr>
            </w:pPr>
          </w:p>
          <w:p w:rsidR="008116AD" w:rsidRDefault="008116AD" w:rsidP="008116AD">
            <w:pPr>
              <w:spacing w:after="160"/>
              <w:jc w:val="center"/>
              <w:rPr>
                <w:i/>
                <w:iCs/>
              </w:rPr>
            </w:pPr>
          </w:p>
          <w:p w:rsidR="008116AD" w:rsidRDefault="008116AD" w:rsidP="008116AD">
            <w:pPr>
              <w:spacing w:after="160"/>
              <w:jc w:val="center"/>
              <w:rPr>
                <w:i/>
                <w:iCs/>
              </w:rPr>
            </w:pPr>
          </w:p>
          <w:p w:rsidR="008116AD" w:rsidRDefault="008116AD" w:rsidP="008116AD">
            <w:pPr>
              <w:spacing w:after="160"/>
              <w:jc w:val="center"/>
              <w:rPr>
                <w:i/>
                <w:iCs/>
              </w:rPr>
            </w:pPr>
          </w:p>
          <w:p w:rsidR="008116AD" w:rsidRDefault="008116AD" w:rsidP="008116AD">
            <w:pPr>
              <w:spacing w:after="160"/>
              <w:jc w:val="center"/>
              <w:rPr>
                <w:i/>
                <w:iCs/>
              </w:rPr>
            </w:pPr>
          </w:p>
          <w:p w:rsidR="008116AD" w:rsidRDefault="008116AD" w:rsidP="008116AD">
            <w:pPr>
              <w:spacing w:after="160"/>
              <w:jc w:val="center"/>
              <w:rPr>
                <w:i/>
                <w:iCs/>
              </w:rPr>
            </w:pPr>
          </w:p>
          <w:p w:rsidR="008116AD" w:rsidRDefault="008116AD" w:rsidP="008116AD">
            <w:pPr>
              <w:spacing w:after="160"/>
              <w:jc w:val="center"/>
              <w:rPr>
                <w:i/>
                <w:iCs/>
              </w:rPr>
            </w:pPr>
          </w:p>
          <w:p w:rsidR="008116AD" w:rsidRDefault="008116AD" w:rsidP="008116AD">
            <w:pPr>
              <w:spacing w:after="160"/>
            </w:pPr>
            <w:r>
              <w:br w:type="page"/>
            </w:r>
          </w:p>
          <w:sdt>
            <w:sdtPr>
              <w:rPr>
                <w:rFonts w:ascii="Arial" w:eastAsiaTheme="minorHAnsi" w:hAnsi="Arial" w:cs="Arial"/>
                <w:b/>
                <w:bCs/>
                <w:color w:val="auto"/>
                <w:sz w:val="24"/>
                <w:szCs w:val="24"/>
                <w:lang w:val="en-GB"/>
              </w:rPr>
              <w:id w:val="-1603331232"/>
              <w:docPartObj>
                <w:docPartGallery w:val="Table of Contents"/>
                <w:docPartUnique/>
              </w:docPartObj>
            </w:sdtPr>
            <w:sdtEndPr>
              <w:rPr>
                <w:rFonts w:asciiTheme="minorHAnsi" w:hAnsiTheme="minorHAnsi"/>
                <w:lang w:val="en-US"/>
              </w:rPr>
            </w:sdtEndPr>
            <w:sdtContent>
              <w:p w:rsidR="008116AD" w:rsidRDefault="008116AD" w:rsidP="008116AD">
                <w:pPr>
                  <w:pStyle w:val="TOCHeading"/>
                  <w:jc w:val="center"/>
                  <w:rPr>
                    <w:rFonts w:ascii="Arial" w:hAnsi="Arial" w:cs="Arial"/>
                    <w:b/>
                    <w:bCs/>
                    <w:color w:val="auto"/>
                    <w:sz w:val="24"/>
                    <w:szCs w:val="24"/>
                    <w:lang w:val="en-GB"/>
                  </w:rPr>
                </w:pPr>
                <w:r>
                  <w:rPr>
                    <w:rFonts w:ascii="Arial" w:hAnsi="Arial" w:cs="Arial"/>
                    <w:b/>
                    <w:bCs/>
                    <w:color w:val="auto"/>
                    <w:sz w:val="24"/>
                    <w:szCs w:val="24"/>
                    <w:lang w:val="en-GB"/>
                  </w:rPr>
                  <w:t>Table of Contents</w:t>
                </w:r>
              </w:p>
              <w:p w:rsidR="008116AD" w:rsidRDefault="008116AD" w:rsidP="008116AD">
                <w:pPr>
                  <w:rPr>
                    <w:rFonts w:ascii="Arial" w:hAnsi="Arial"/>
                    <w:szCs w:val="22"/>
                    <w:lang w:val="en-GB"/>
                  </w:rPr>
                </w:pPr>
              </w:p>
              <w:p w:rsidR="008116AD" w:rsidRDefault="008116AD" w:rsidP="008116A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r:id="rId10" w:anchor="_Toc159222375"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_Toc159222375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8116AD" w:rsidRDefault="008116AD" w:rsidP="008116AD">
                <w:pPr>
                  <w:pStyle w:val="TOC1"/>
                  <w:tabs>
                    <w:tab w:val="right" w:leader="dot" w:pos="9016"/>
                  </w:tabs>
                  <w:rPr>
                    <w:rFonts w:asciiTheme="minorHAnsi" w:eastAsiaTheme="minorEastAsia" w:hAnsiTheme="minorHAnsi"/>
                    <w:noProof/>
                    <w:sz w:val="22"/>
                    <w:lang w:eastAsia="en-GB"/>
                  </w:rPr>
                </w:pPr>
                <w:hyperlink r:id="rId11" w:anchor="_Toc159222376" w:history="1">
                  <w:r>
                    <w:rPr>
                      <w:rStyle w:val="Hyperlink"/>
                      <w:noProof/>
                    </w:rPr>
                    <w:t>Hyatt Hotel Corporation’s Organisational Structure, Culture and Objectives</w:t>
                  </w:r>
                  <w:r>
                    <w:rPr>
                      <w:rStyle w:val="Hyperlink"/>
                      <w:noProof/>
                      <w:webHidden/>
                    </w:rPr>
                    <w:tab/>
                  </w:r>
                  <w:r>
                    <w:rPr>
                      <w:rStyle w:val="Hyperlink"/>
                      <w:noProof/>
                      <w:webHidden/>
                    </w:rPr>
                    <w:fldChar w:fldCharType="begin"/>
                  </w:r>
                  <w:r>
                    <w:rPr>
                      <w:rStyle w:val="Hyperlink"/>
                      <w:noProof/>
                      <w:webHidden/>
                    </w:rPr>
                    <w:instrText xml:space="preserve"> PAGEREF _Toc159222376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8116AD" w:rsidRDefault="008116AD" w:rsidP="008116AD">
                <w:pPr>
                  <w:pStyle w:val="TOC1"/>
                  <w:tabs>
                    <w:tab w:val="right" w:leader="dot" w:pos="9016"/>
                  </w:tabs>
                  <w:rPr>
                    <w:rFonts w:asciiTheme="minorHAnsi" w:eastAsiaTheme="minorEastAsia" w:hAnsiTheme="minorHAnsi"/>
                    <w:noProof/>
                    <w:sz w:val="22"/>
                    <w:lang w:eastAsia="en-GB"/>
                  </w:rPr>
                </w:pPr>
                <w:hyperlink r:id="rId12" w:anchor="_Toc159222377" w:history="1">
                  <w:r>
                    <w:rPr>
                      <w:rStyle w:val="Hyperlink"/>
                      <w:noProof/>
                    </w:rPr>
                    <w:t>The Recent Change Initiatives in Hyatt Hotel Group and Their Impact</w:t>
                  </w:r>
                  <w:r>
                    <w:rPr>
                      <w:rStyle w:val="Hyperlink"/>
                      <w:noProof/>
                      <w:webHidden/>
                    </w:rPr>
                    <w:tab/>
                  </w:r>
                  <w:r>
                    <w:rPr>
                      <w:rStyle w:val="Hyperlink"/>
                      <w:noProof/>
                      <w:webHidden/>
                    </w:rPr>
                    <w:fldChar w:fldCharType="begin"/>
                  </w:r>
                  <w:r>
                    <w:rPr>
                      <w:rStyle w:val="Hyperlink"/>
                      <w:noProof/>
                      <w:webHidden/>
                    </w:rPr>
                    <w:instrText xml:space="preserve"> PAGEREF _Toc159222377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8116AD" w:rsidRDefault="008116AD" w:rsidP="008116AD">
                <w:pPr>
                  <w:pStyle w:val="TOC1"/>
                  <w:tabs>
                    <w:tab w:val="right" w:leader="dot" w:pos="9016"/>
                  </w:tabs>
                  <w:rPr>
                    <w:rFonts w:asciiTheme="minorHAnsi" w:eastAsiaTheme="minorEastAsia" w:hAnsiTheme="minorHAnsi"/>
                    <w:noProof/>
                    <w:sz w:val="22"/>
                    <w:lang w:eastAsia="en-GB"/>
                  </w:rPr>
                </w:pPr>
                <w:hyperlink r:id="rId13" w:anchor="_Toc159222378" w:history="1">
                  <w:r>
                    <w:rPr>
                      <w:rStyle w:val="Hyperlink"/>
                      <w:noProof/>
                    </w:rPr>
                    <w:t>Hyatt Hotel Group’s Strategic Direction</w:t>
                  </w:r>
                  <w:r>
                    <w:rPr>
                      <w:rStyle w:val="Hyperlink"/>
                      <w:noProof/>
                      <w:webHidden/>
                    </w:rPr>
                    <w:tab/>
                  </w:r>
                  <w:r>
                    <w:rPr>
                      <w:rStyle w:val="Hyperlink"/>
                      <w:noProof/>
                      <w:webHidden/>
                    </w:rPr>
                    <w:fldChar w:fldCharType="begin"/>
                  </w:r>
                  <w:r>
                    <w:rPr>
                      <w:rStyle w:val="Hyperlink"/>
                      <w:noProof/>
                      <w:webHidden/>
                    </w:rPr>
                    <w:instrText xml:space="preserve"> PAGEREF _Toc159222378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8116AD" w:rsidRDefault="008116AD" w:rsidP="008116AD">
                <w:pPr>
                  <w:pStyle w:val="TOC1"/>
                  <w:tabs>
                    <w:tab w:val="right" w:leader="dot" w:pos="9016"/>
                  </w:tabs>
                  <w:rPr>
                    <w:rFonts w:asciiTheme="minorHAnsi" w:eastAsiaTheme="minorEastAsia" w:hAnsiTheme="minorHAnsi"/>
                    <w:noProof/>
                    <w:sz w:val="22"/>
                    <w:lang w:eastAsia="en-GB"/>
                  </w:rPr>
                </w:pPr>
                <w:hyperlink r:id="rId14" w:anchor="_Toc159222379" w:history="1">
                  <w:r>
                    <w:rPr>
                      <w:rStyle w:val="Hyperlink"/>
                      <w:noProof/>
                    </w:rPr>
                    <w:t>Hyatt Hotel Group’s Current Business Performances</w:t>
                  </w:r>
                  <w:r>
                    <w:rPr>
                      <w:rStyle w:val="Hyperlink"/>
                      <w:noProof/>
                      <w:webHidden/>
                    </w:rPr>
                    <w:tab/>
                  </w:r>
                  <w:r>
                    <w:rPr>
                      <w:rStyle w:val="Hyperlink"/>
                      <w:noProof/>
                      <w:webHidden/>
                    </w:rPr>
                    <w:fldChar w:fldCharType="begin"/>
                  </w:r>
                  <w:r>
                    <w:rPr>
                      <w:rStyle w:val="Hyperlink"/>
                      <w:noProof/>
                      <w:webHidden/>
                    </w:rPr>
                    <w:instrText xml:space="preserve"> PAGEREF _Toc159222379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8116AD" w:rsidRDefault="008116AD" w:rsidP="008116AD">
                <w:pPr>
                  <w:pStyle w:val="TOC1"/>
                  <w:tabs>
                    <w:tab w:val="right" w:leader="dot" w:pos="9016"/>
                  </w:tabs>
                  <w:rPr>
                    <w:rFonts w:asciiTheme="minorHAnsi" w:eastAsiaTheme="minorEastAsia" w:hAnsiTheme="minorHAnsi"/>
                    <w:noProof/>
                    <w:sz w:val="22"/>
                    <w:lang w:eastAsia="en-GB"/>
                  </w:rPr>
                </w:pPr>
                <w:hyperlink r:id="rId15" w:anchor="_Toc159222380" w:history="1">
                  <w:r>
                    <w:rPr>
                      <w:rStyle w:val="Hyperlink"/>
                      <w:noProof/>
                    </w:rPr>
                    <w:t>Recommendations for Hyatt Hotel Group</w:t>
                  </w:r>
                  <w:r>
                    <w:rPr>
                      <w:rStyle w:val="Hyperlink"/>
                      <w:noProof/>
                      <w:webHidden/>
                    </w:rPr>
                    <w:tab/>
                  </w:r>
                  <w:r>
                    <w:rPr>
                      <w:rStyle w:val="Hyperlink"/>
                      <w:noProof/>
                      <w:webHidden/>
                    </w:rPr>
                    <w:fldChar w:fldCharType="begin"/>
                  </w:r>
                  <w:r>
                    <w:rPr>
                      <w:rStyle w:val="Hyperlink"/>
                      <w:noProof/>
                      <w:webHidden/>
                    </w:rPr>
                    <w:instrText xml:space="preserve"> PAGEREF _Toc159222380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8116AD" w:rsidRDefault="008116AD" w:rsidP="008116AD">
                <w:pPr>
                  <w:pStyle w:val="TOC1"/>
                  <w:tabs>
                    <w:tab w:val="right" w:leader="dot" w:pos="9016"/>
                  </w:tabs>
                  <w:rPr>
                    <w:rFonts w:asciiTheme="minorHAnsi" w:eastAsiaTheme="minorEastAsia" w:hAnsiTheme="minorHAnsi"/>
                    <w:noProof/>
                    <w:sz w:val="22"/>
                    <w:lang w:eastAsia="en-GB"/>
                  </w:rPr>
                </w:pPr>
                <w:hyperlink r:id="rId16" w:anchor="_Toc159222381"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_Toc159222381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rsidR="008116AD" w:rsidRDefault="008116AD" w:rsidP="008116AD">
                <w:pPr>
                  <w:pStyle w:val="TOC1"/>
                  <w:tabs>
                    <w:tab w:val="right" w:leader="dot" w:pos="9016"/>
                  </w:tabs>
                  <w:rPr>
                    <w:rFonts w:asciiTheme="minorHAnsi" w:eastAsiaTheme="minorEastAsia" w:hAnsiTheme="minorHAnsi"/>
                    <w:noProof/>
                    <w:sz w:val="22"/>
                    <w:lang w:eastAsia="en-GB"/>
                  </w:rPr>
                </w:pPr>
                <w:hyperlink r:id="rId17" w:anchor="_Toc159222382"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_Toc159222382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rsidR="008116AD" w:rsidRDefault="008116AD" w:rsidP="008116AD">
                <w:pPr>
                  <w:rPr>
                    <w:rFonts w:ascii="Arial" w:hAnsi="Arial"/>
                  </w:rPr>
                </w:pPr>
                <w:r>
                  <w:rPr>
                    <w:b/>
                    <w:bCs/>
                  </w:rPr>
                  <w:fldChar w:fldCharType="end"/>
                </w:r>
              </w:p>
            </w:sdtContent>
          </w:sdt>
          <w:p w:rsidR="008116AD" w:rsidRDefault="008116AD" w:rsidP="008116AD">
            <w:pPr>
              <w:spacing w:after="160"/>
            </w:pPr>
          </w:p>
          <w:p w:rsidR="008116AD" w:rsidRDefault="008116AD" w:rsidP="008116AD">
            <w:pPr>
              <w:spacing w:after="160"/>
            </w:pPr>
            <w:r>
              <w:br w:type="page"/>
            </w: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spacing w:after="160"/>
            </w:pPr>
          </w:p>
          <w:p w:rsidR="008116AD" w:rsidRDefault="008116AD" w:rsidP="008116AD">
            <w:pPr>
              <w:pStyle w:val="Heading1"/>
            </w:pPr>
            <w:bookmarkStart w:id="1" w:name="_Toc159222375"/>
            <w:r>
              <w:lastRenderedPageBreak/>
              <w:t>Introduction</w:t>
            </w:r>
            <w:bookmarkEnd w:id="1"/>
          </w:p>
          <w:p w:rsidR="008116AD" w:rsidRDefault="008116AD" w:rsidP="008116AD">
            <w:pPr>
              <w:spacing w:after="160"/>
            </w:pPr>
            <w:r>
              <w:t xml:space="preserve">This audit case study will discuss the organisational structure, culture, objectives, change initiatives, strategic directions and business performances of Hyatt Hotels Corporation, which is also known as the ‘Hyatt Hotels &amp; Resorts’. Hyatt Hotels Corporation (HHC) is a multi – national American hospitality organisation that is headquartered in the ‘Riverside Plaza’ in Chicago, Illinois. HHC is a highly employee and customer – centric organisation that focus on the ‘people’, where the intention is to make the co-workers, friends. This is the reason behind Hyatt’s success and being one of the best hotel and hospitality brand across the globe (Hyatt, 2020). </w:t>
            </w:r>
          </w:p>
          <w:p w:rsidR="008116AD" w:rsidRDefault="008116AD" w:rsidP="008116AD">
            <w:pPr>
              <w:spacing w:after="160"/>
            </w:pPr>
            <w:r>
              <w:t>The company franchises and manages luxury and business resorts, hotels and vacation – properties across many countries in the world. The organisation was founded by Hyatt Robert Von Dehn and Jack Dyer Crouch on the 27</w:t>
            </w:r>
            <w:r>
              <w:rPr>
                <w:vertAlign w:val="superscript"/>
              </w:rPr>
              <w:t>th</w:t>
            </w:r>
            <w:r>
              <w:t xml:space="preserve"> of September 1957. As calculated in the financial year of 2023, there are 1350 hotels worldwide with more than approximately 350,200 rooms (Hyatt, 2020). The total number of employees, as calculated in the financial year of 2023, is 189,000. The global competitors of the company are Hilton Hotels, Marriott Hotels, Taj Hotels, Shangri – La Hotels, Radisson Hotels, Oberoi Hotels and Starwood Hotels (Craft, 2023). Lastly, a set of specific, measurable, achievable, realistic and time – bound recommendations are formulated for the company, Hyatt Hotels Corporation for business success in the future. </w:t>
            </w:r>
          </w:p>
          <w:p w:rsidR="008116AD" w:rsidRDefault="008116AD" w:rsidP="008116AD">
            <w:pPr>
              <w:pStyle w:val="Heading1"/>
            </w:pPr>
            <w:bookmarkStart w:id="2" w:name="_Toc159222376"/>
            <w:r>
              <w:t>Hyatt Hotel Corporation’s Organisational Structure, Culture and Objectives</w:t>
            </w:r>
            <w:bookmarkEnd w:id="2"/>
          </w:p>
          <w:p w:rsidR="008116AD" w:rsidRDefault="008116AD" w:rsidP="008116AD">
            <w:pPr>
              <w:spacing w:after="160"/>
            </w:pPr>
            <w:r>
              <w:t xml:space="preserve">As far as the HHC’s </w:t>
            </w:r>
            <w:r>
              <w:rPr>
                <w:i/>
                <w:iCs/>
              </w:rPr>
              <w:t>organisational structure</w:t>
            </w:r>
            <w:r>
              <w:t xml:space="preserve"> is concerned, it is led by the chief executive officer and president who is guided and supported by the various ‘C – Level’ executives like the chief financial officer, chief commercial officer and chief human resource officers (Hyatt, 2020). The company has a board of directors who are directly responsible for the various aspects related to the corporate governance. The organisational structure of the company includes both divisional and functional structure. Through this structure, the company efficiently and effectively manages the diverse range of resorts, hotels and other services that they provide to the end consumers. </w:t>
            </w:r>
          </w:p>
          <w:p w:rsidR="008116AD" w:rsidRDefault="008116AD" w:rsidP="008116AD">
            <w:pPr>
              <w:spacing w:after="160"/>
            </w:pPr>
            <w:r>
              <w:t xml:space="preserve">Hua </w:t>
            </w:r>
            <w:r>
              <w:rPr>
                <w:i/>
                <w:iCs/>
              </w:rPr>
              <w:t>et al.</w:t>
            </w:r>
            <w:r>
              <w:t xml:space="preserve"> (2020) stated that every department like the finance, marketing, operations and human resource is responsible for specific functions, tasks and expertise. The company is geographically divided into three different units and they are related to the Americas, Asia – Pacific and EMEA (Europe, Middle – East and Africa) that allows the employees, managers and directors to focus on their skills, activities and efforts towards those specific regions (Hyatt, 2020). This is because, the cultures, beliefs, preferences, demands and consumer behaviours of the customers and the people are different in these three regions.</w:t>
            </w:r>
          </w:p>
          <w:p w:rsidR="008116AD" w:rsidRDefault="008116AD" w:rsidP="008116AD">
            <w:pPr>
              <w:spacing w:after="160"/>
            </w:pPr>
            <w:r>
              <w:t xml:space="preserve">As far as the HHC’s </w:t>
            </w:r>
            <w:r>
              <w:rPr>
                <w:i/>
                <w:iCs/>
              </w:rPr>
              <w:t>organisational culture</w:t>
            </w:r>
            <w:r>
              <w:t xml:space="preserve"> is concerned, they strive towards creating a sense of community and belonging. The company values relationships in context to employees, community and the customers at the same time. The company is highly employee – centric and customer – centric, and at the same time, have created a working environment, where the co-workers treat each other, as friends. Velickovic </w:t>
            </w:r>
            <w:r>
              <w:rPr>
                <w:i/>
                <w:iCs/>
              </w:rPr>
              <w:t>et al.</w:t>
            </w:r>
            <w:r>
              <w:t xml:space="preserve"> (2023) argued that this has effectively enhanced the employee performances and organisational productivity to higher standards. </w:t>
            </w:r>
          </w:p>
          <w:p w:rsidR="008116AD" w:rsidRDefault="008116AD" w:rsidP="008116AD">
            <w:pPr>
              <w:spacing w:after="160"/>
            </w:pPr>
            <w:r>
              <w:lastRenderedPageBreak/>
              <w:t>The overall organisational culture is to value each other and have respect, empathy, humility and integrity for each other. It has been also seen that the company gives a lot of importance to the creativity and innovativeness of their respected employees. Catana and Toma (2021) suggested that this indirectly increases the levels of motivation among the different workers, staffs and employees of the company. HHC also focus on the development and growth of an individual’s career and their future success within the employment sector.</w:t>
            </w:r>
          </w:p>
          <w:p w:rsidR="008116AD" w:rsidRDefault="008116AD" w:rsidP="008116AD">
            <w:pPr>
              <w:spacing w:after="160"/>
            </w:pPr>
            <w:r>
              <w:t xml:space="preserve">As far as the HHC’s </w:t>
            </w:r>
            <w:r>
              <w:rPr>
                <w:i/>
                <w:iCs/>
              </w:rPr>
              <w:t>organisational objectives</w:t>
            </w:r>
            <w:r>
              <w:t xml:space="preserve"> and goals are concerned, they mention that their purpose and mission is to care for their people (consumers, community and employees), so that they can be at their best, and at the same time, provide best experiences and make a difference within the lives of all the people are in touch. The company also tries their best to address the social, change and environmental related issues in the recent times. Rai </w:t>
            </w:r>
            <w:r>
              <w:rPr>
                <w:i/>
                <w:iCs/>
              </w:rPr>
              <w:t>et al</w:t>
            </w:r>
            <w:r>
              <w:t>. (2022) suggested that one of the common goal and objective is to provide their customers with exclusive and best tourism experiences through their hotels and services across the globe.</w:t>
            </w:r>
          </w:p>
          <w:p w:rsidR="008116AD" w:rsidRDefault="008116AD" w:rsidP="008116AD">
            <w:pPr>
              <w:spacing w:after="160"/>
            </w:pPr>
            <w:r>
              <w:t xml:space="preserve">Through the above analysis, it can be evaluated that there is a direct relationship with the organisational structure, organisational culture and the people with the organisational performances of Hyatt Hotel Corporation. HHC is one of the leading hotel and tourism organisations across the various continents in the world. Catana and Toma (2021) further suggested that HHC focuses on the various ways, through which their competitive advantages can be improved and enhanced in comparison to their direct competitors like Hilton Hotels, Radisson and Marriott Hotels. </w:t>
            </w:r>
          </w:p>
          <w:p w:rsidR="008116AD" w:rsidRDefault="008116AD" w:rsidP="008116AD">
            <w:pPr>
              <w:spacing w:after="160"/>
            </w:pPr>
            <w:r>
              <w:t>Ali and Anwar (2021) stated that it is highly necessary to give importance to needs and demands of the customers along with the employees to succeed in the hotel industry and thus, the company works on attractive offers for their customers and motivational activities for their employees. One of the main reasons for their business success in the recent decade is their dedication towards the betterment of the employees and customers. Lastly, it can be said that, the organisational culture of any business organisation affects the organisational productivity, performance and success in both positive and negative way.</w:t>
            </w:r>
          </w:p>
          <w:p w:rsidR="008116AD" w:rsidRDefault="008116AD" w:rsidP="008116AD">
            <w:pPr>
              <w:pStyle w:val="Heading1"/>
            </w:pPr>
            <w:bookmarkStart w:id="3" w:name="_Toc159222377"/>
            <w:r>
              <w:t>The Recent Change Initiatives in Hyatt Hotel Group and Their Impact</w:t>
            </w:r>
            <w:bookmarkEnd w:id="3"/>
          </w:p>
          <w:p w:rsidR="008116AD" w:rsidRDefault="008116AD" w:rsidP="008116AD">
            <w:pPr>
              <w:spacing w:after="160"/>
            </w:pPr>
            <w:r>
              <w:t xml:space="preserve">The recent change initiatives within the Hyatt group that took place in this decade are related to strategic change, people – centric change, unplanned change and technological change (Hyatt, 2020). </w:t>
            </w:r>
          </w:p>
          <w:p w:rsidR="008116AD" w:rsidRDefault="008116AD" w:rsidP="008116AD">
            <w:pPr>
              <w:spacing w:after="160"/>
            </w:pPr>
            <w:r>
              <w:t xml:space="preserve">Zhang </w:t>
            </w:r>
            <w:r>
              <w:rPr>
                <w:i/>
                <w:iCs/>
              </w:rPr>
              <w:t>et al</w:t>
            </w:r>
            <w:r>
              <w:t>. (2020) suggested that due to the high competition within the global market, Hyatt has brought in some strategic changes within the company in order to maintain and enhance the competitive advantage within the industry. It has been seen that, the company has improvised a lot on the various processes, activities and beauty of their hotels in order to attract more and more consumers. They have worked on effective pricing and discounts that helped them to beat the competition with Radisson and Hilton hotels within the United Kingdom, Asia and the Middle – East. In short, the company has worked effectively on their pricing strategies, marketing strategies and beauty and development of their hotels in order to maintain and enhance their market share and market reputation.</w:t>
            </w:r>
          </w:p>
          <w:p w:rsidR="008116AD" w:rsidRDefault="008116AD" w:rsidP="008116AD">
            <w:pPr>
              <w:spacing w:after="160"/>
            </w:pPr>
            <w:r>
              <w:t xml:space="preserve">Moliner </w:t>
            </w:r>
            <w:r>
              <w:rPr>
                <w:i/>
                <w:iCs/>
              </w:rPr>
              <w:t>et al.</w:t>
            </w:r>
            <w:r>
              <w:t xml:space="preserve"> (2021) explained that the people – centric change that they have introduced is related to unbiasedness, ethical approaches, maintenance of equality </w:t>
            </w:r>
            <w:r>
              <w:lastRenderedPageBreak/>
              <w:t xml:space="preserve">and non – discrimination and respect for all the employees who belong to the different ethnicity, age, religion, language, country and beliefs. Due to these changes, the overall organisational environment, atmosphere and culture has improved from before. It is highly essential to maintain the above - mentioned factors within an organisation to maintain equality and business ethics. </w:t>
            </w:r>
          </w:p>
          <w:p w:rsidR="008116AD" w:rsidRDefault="008116AD" w:rsidP="008116AD">
            <w:pPr>
              <w:spacing w:after="160"/>
            </w:pPr>
            <w:r>
              <w:t xml:space="preserve">Sharma </w:t>
            </w:r>
            <w:r>
              <w:rPr>
                <w:i/>
              </w:rPr>
              <w:t>et al</w:t>
            </w:r>
            <w:r>
              <w:t xml:space="preserve">. (2021) explained that the unplanned change is related to the Covid – 19 pandemic that started during the early 2020’s, where lockdowns and social distance disrupted the tour and travel business across the globe. Due to the pandemic, the changes that were initiated were related to cleanliness and hygiene within the hotel premises. Uses of various disinfectants, hand sanitisers and masks were introduced. This change affected many people across the globe, where people resisted and showed irritation. Due to various health reasons, in the later stage, people managed to adopt the changes. Sharma </w:t>
            </w:r>
            <w:r>
              <w:rPr>
                <w:i/>
                <w:iCs/>
              </w:rPr>
              <w:t>et al.</w:t>
            </w:r>
            <w:r>
              <w:t xml:space="preserve"> (2021) further suggested that there has been a change initiative related to technology where the latest technology is being used in order to manage bookings, data management, customer relationship management and financial data collection and recording.</w:t>
            </w:r>
          </w:p>
          <w:p w:rsidR="008116AD" w:rsidRDefault="008116AD" w:rsidP="008116AD">
            <w:pPr>
              <w:spacing w:after="160"/>
            </w:pPr>
            <w:r>
              <w:t xml:space="preserve">As far as the impact of the above change initiatives are concerned, they were both negative and positive in nature. Ushakov </w:t>
            </w:r>
            <w:r>
              <w:rPr>
                <w:i/>
              </w:rPr>
              <w:t>et al.</w:t>
            </w:r>
            <w:r>
              <w:t xml:space="preserve"> (2020) argued that the unplanned change initiative due to the pandemic disrupted the industry but everyone had to accommodate in order to be safe and alive during that period. The strategic changes and people – centric changes that were initiated by HHC were highly successful and led to success for the company. The overall organisational culture and environment were boosted and the employees worked with high levels of motivation and as a result, the organisational performance increased globally. Lastly, the technological change that was initiated by the company was for the betterment of the employees and the customers but few people were resisting the change, as they were not that used to with the latest technology and preferred previous modes of interactions and bookings. It can be concluded that most of the changes were well managed by the various stakeholders of the organisation, HHC. </w:t>
            </w:r>
          </w:p>
          <w:p w:rsidR="008116AD" w:rsidRDefault="008116AD" w:rsidP="008116AD">
            <w:pPr>
              <w:pStyle w:val="Heading1"/>
            </w:pPr>
            <w:bookmarkStart w:id="4" w:name="_Toc159222378"/>
            <w:r>
              <w:t>Hyatt Hotel Group’s Strategic Direction</w:t>
            </w:r>
            <w:bookmarkEnd w:id="4"/>
          </w:p>
          <w:p w:rsidR="008116AD" w:rsidRDefault="008116AD" w:rsidP="008116AD">
            <w:pPr>
              <w:spacing w:after="160"/>
            </w:pPr>
            <w:r>
              <w:t>HHC’s strategic direction is to increase the number of hotels in the new markets globally, increase market share, expand their brands, implement competitive pricing and lastly, become more employee – centric and customer – centric. These strategic directions indicate that the company’s success in the future. Due to the high levels of competition within the hotel and tourism industry, it becomes hard to maintain or develop the competitive advantages within the market. Therefore, it is highly required to work effectively on the product, place, promotion and price, which are the four P’s of marketing (Campaign Monitor, 2022).</w:t>
            </w:r>
          </w:p>
          <w:p w:rsidR="008116AD" w:rsidRDefault="008116AD" w:rsidP="008116AD">
            <w:pPr>
              <w:spacing w:after="160"/>
              <w:jc w:val="center"/>
            </w:pPr>
            <w:r>
              <w:rPr>
                <w:noProof/>
                <w:lang w:val="en-GB" w:eastAsia="en-GB"/>
              </w:rPr>
              <w:lastRenderedPageBreak/>
              <w:drawing>
                <wp:inline distT="0" distB="0" distL="0" distR="0">
                  <wp:extent cx="5248275" cy="5524500"/>
                  <wp:effectExtent l="0" t="0" r="9525" b="0"/>
                  <wp:docPr id="7" name="Picture 7" descr="four ps of marketing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ps of marketing matri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8275" cy="5524500"/>
                          </a:xfrm>
                          <a:prstGeom prst="rect">
                            <a:avLst/>
                          </a:prstGeom>
                          <a:noFill/>
                          <a:ln>
                            <a:noFill/>
                          </a:ln>
                        </pic:spPr>
                      </pic:pic>
                    </a:graphicData>
                  </a:graphic>
                </wp:inline>
              </w:drawing>
            </w:r>
          </w:p>
          <w:p w:rsidR="008116AD" w:rsidRDefault="008116AD" w:rsidP="008116AD">
            <w:pPr>
              <w:spacing w:after="160"/>
              <w:jc w:val="center"/>
              <w:rPr>
                <w:b/>
                <w:bCs/>
              </w:rPr>
            </w:pPr>
            <w:r>
              <w:rPr>
                <w:b/>
                <w:bCs/>
              </w:rPr>
              <w:t>Figure 1: The Marketing Mix</w:t>
            </w:r>
          </w:p>
          <w:p w:rsidR="008116AD" w:rsidRDefault="008116AD" w:rsidP="008116AD">
            <w:pPr>
              <w:spacing w:after="160"/>
              <w:jc w:val="center"/>
            </w:pPr>
            <w:r>
              <w:t>(Source: Campaign Monitor, 2022)</w:t>
            </w:r>
          </w:p>
          <w:p w:rsidR="008116AD" w:rsidRDefault="008116AD" w:rsidP="008116AD">
            <w:pPr>
              <w:spacing w:after="160"/>
            </w:pPr>
            <w:r>
              <w:t xml:space="preserve">As far as the product is concerned, the Hyatt Group works effectively on making their properties top – notch and beautiful. They also work on the areas that enhance the consumer experiences to higher standards in comparison to their competitors. As far as the place is concerned, the company is trying to open new hotels in different location like in America, Asia and the Middle – East. As far as the promotions are concerned, through effective marketing activities and ads, the company is spreading the awareness of their hotels and services across the globe (Hyatt, 2020). Lastly, as far as the prices are concerned, the company is effectively working on their pricing and discounts in order to attract more and more customers to their hotels globally. It can be concluded that HHC’s main strategic direction is to become the market and industry leader and along with it, be responsible and careful towards the end consumers, employees and the community. </w:t>
            </w:r>
          </w:p>
          <w:p w:rsidR="008116AD" w:rsidRDefault="008116AD" w:rsidP="008116AD">
            <w:pPr>
              <w:pStyle w:val="Heading1"/>
            </w:pPr>
            <w:bookmarkStart w:id="5" w:name="_Toc159222379"/>
            <w:r>
              <w:t>Hyatt Hotel Group’s Current Business Performances</w:t>
            </w:r>
            <w:bookmarkEnd w:id="5"/>
          </w:p>
          <w:p w:rsidR="008116AD" w:rsidRDefault="008116AD" w:rsidP="008116AD">
            <w:pPr>
              <w:spacing w:after="160"/>
            </w:pPr>
            <w:r>
              <w:t xml:space="preserve">Qi (2023) mentioned that the business performance of Hyatt Hotels Corporation has increased from 2021 to 2022 and it has drastically increased from 2022 to 2023 in the </w:t>
            </w:r>
            <w:r>
              <w:lastRenderedPageBreak/>
              <w:t xml:space="preserve">global context. The revenue of the company was US$ 5.89 billion in the financial year of 2022, which was higher in comparison to 2021. The operating income in 2022 was 939 million US$, which was higher than 2021. The net income in 2022 was 455 million USD, which was again higher than 2021. The total assets and total equity was 12.6 billion and 3.56 billion USD respectively in the year 2022, which was again higher than the previous year. It has been seen that the trend of their business performance in increasing each year in the global context. Lastly, their employee strengths also increased from 2020 until today. Qi (2023) further suggested that the business performance of HHC has been appreciable throughout the previous years. </w:t>
            </w:r>
          </w:p>
          <w:p w:rsidR="008116AD" w:rsidRDefault="008116AD" w:rsidP="008116AD">
            <w:pPr>
              <w:pStyle w:val="Heading1"/>
            </w:pPr>
            <w:bookmarkStart w:id="6" w:name="_Toc159222380"/>
            <w:r>
              <w:t>Recommendations for Hyatt Hotel Group</w:t>
            </w:r>
            <w:bookmarkEnd w:id="6"/>
          </w:p>
          <w:p w:rsidR="008116AD" w:rsidRDefault="008116AD" w:rsidP="008116AD">
            <w:pPr>
              <w:spacing w:after="160"/>
            </w:pPr>
            <w:r>
              <w:t xml:space="preserve">Hanaysha </w:t>
            </w:r>
            <w:r>
              <w:rPr>
                <w:i/>
                <w:iCs/>
              </w:rPr>
              <w:t>et al.</w:t>
            </w:r>
            <w:r>
              <w:t xml:space="preserve"> (2021) stated that for Hyatt Hotels Corporation, it is recommended that the company should focus more on their pricing strategies, marketing strategies and CSR strategies in order to develop their competitive advantage within the hotel industry globally. Gupta </w:t>
            </w:r>
            <w:r>
              <w:rPr>
                <w:i/>
                <w:iCs/>
              </w:rPr>
              <w:t>et al.</w:t>
            </w:r>
            <w:r>
              <w:t xml:space="preserve"> (2021) stated that they should educate people more on their services and work on marketing strategies that will attract the minds of the various people who can be their prospective customers. </w:t>
            </w:r>
          </w:p>
          <w:p w:rsidR="008116AD" w:rsidRDefault="008116AD" w:rsidP="008116AD">
            <w:pPr>
              <w:spacing w:after="160"/>
            </w:pPr>
            <w:r>
              <w:t>HHC should work on making their prices more competitive to gain market share and response globally. Lastly, HHC should invest more on their CSR activities in context to the global communities where their hotels are located. According to the opinion of Apaydin</w:t>
            </w:r>
            <w:r>
              <w:rPr>
                <w:i/>
                <w:iCs/>
              </w:rPr>
              <w:t xml:space="preserve"> et al.</w:t>
            </w:r>
            <w:r>
              <w:t xml:space="preserve"> (2021), the CSR activities play a beneficial role in improving the brand reputation and awareness, which in turn enables a business to gain brand loyalty on a global level. </w:t>
            </w:r>
          </w:p>
          <w:p w:rsidR="008116AD" w:rsidRDefault="008116AD" w:rsidP="008116AD">
            <w:pPr>
              <w:pStyle w:val="Heading1"/>
            </w:pPr>
            <w:bookmarkStart w:id="7" w:name="_Toc159222381"/>
            <w:r>
              <w:t>Conclusion</w:t>
            </w:r>
            <w:bookmarkEnd w:id="7"/>
          </w:p>
          <w:p w:rsidR="008116AD" w:rsidRDefault="008116AD" w:rsidP="008116AD">
            <w:pPr>
              <w:spacing w:after="160"/>
            </w:pPr>
            <w:r>
              <w:t xml:space="preserve">After the completion of this report it can highlighted that, HHC was able to improve its business operations over the years. For enhancing its market share, the organisation must consider the four factors illustrated with the aid of the 4Ps model concerning marketing. Additionally, attention should be given on the process of forming proper business strategies regarding pricing, brand expansion and promotion, and most importantly on CSR. These are vital for a business to develop its position in the global market. Moreover, it was observed that the changes that have taken place within the organisation were implemented in a smooth and proper manner; hence, aiding in the growth and expansion of the business even amidst the face of severe rivalry in the global market. </w:t>
            </w:r>
          </w:p>
          <w:p w:rsidR="008116AD" w:rsidRDefault="008116AD" w:rsidP="008116AD">
            <w:pPr>
              <w:spacing w:after="160"/>
            </w:pPr>
            <w:r>
              <w:br w:type="page"/>
            </w:r>
          </w:p>
          <w:p w:rsidR="008116AD" w:rsidRDefault="008116AD" w:rsidP="008116AD">
            <w:pPr>
              <w:pStyle w:val="Heading1"/>
            </w:pPr>
            <w:bookmarkStart w:id="8" w:name="_Toc159222382"/>
            <w:r>
              <w:t>References</w:t>
            </w:r>
            <w:bookmarkEnd w:id="8"/>
          </w:p>
          <w:p w:rsidR="008116AD" w:rsidRDefault="008116AD" w:rsidP="008116AD">
            <w:pPr>
              <w:spacing w:after="160"/>
              <w:rPr>
                <w:rFonts w:cs="Arial"/>
                <w:color w:val="222222"/>
                <w:shd w:val="clear" w:color="auto" w:fill="FFFFFF"/>
              </w:rPr>
            </w:pPr>
            <w:r>
              <w:rPr>
                <w:rFonts w:cs="Arial"/>
                <w:color w:val="222222"/>
                <w:shd w:val="clear" w:color="auto" w:fill="FFFFFF"/>
              </w:rPr>
              <w:t>Ali, B.J. and Anwar, G. (2021) ‘An empirical study of employees’ motivation and its influence job satisfaction’,</w:t>
            </w:r>
            <w:r>
              <w:rPr>
                <w:rFonts w:cs="Arial"/>
                <w:i/>
                <w:iCs/>
                <w:color w:val="222222"/>
                <w:shd w:val="clear" w:color="auto" w:fill="FFFFFF"/>
              </w:rPr>
              <w:t xml:space="preserve"> International Journal of Engineering, Business and Management</w:t>
            </w:r>
            <w:r>
              <w:rPr>
                <w:rFonts w:cs="Arial"/>
                <w:color w:val="222222"/>
                <w:shd w:val="clear" w:color="auto" w:fill="FFFFFF"/>
              </w:rPr>
              <w:t>, </w:t>
            </w:r>
            <w:r>
              <w:rPr>
                <w:rFonts w:cs="Arial"/>
                <w:i/>
                <w:iCs/>
                <w:color w:val="222222"/>
                <w:shd w:val="clear" w:color="auto" w:fill="FFFFFF"/>
              </w:rPr>
              <w:t>5</w:t>
            </w:r>
            <w:r>
              <w:rPr>
                <w:rFonts w:cs="Arial"/>
                <w:color w:val="222222"/>
                <w:shd w:val="clear" w:color="auto" w:fill="FFFFFF"/>
              </w:rPr>
              <w:t>(2), pp.21-30. Available at: https://doi.org/10.22161/ijebm.5.2.3</w:t>
            </w:r>
          </w:p>
          <w:p w:rsidR="008116AD" w:rsidRDefault="008116AD" w:rsidP="008116AD">
            <w:pPr>
              <w:spacing w:after="160"/>
              <w:rPr>
                <w:rFonts w:cs="Arial"/>
                <w:color w:val="222222"/>
                <w:shd w:val="clear" w:color="auto" w:fill="FFFFFF"/>
              </w:rPr>
            </w:pPr>
            <w:r>
              <w:rPr>
                <w:rFonts w:cs="Arial"/>
                <w:color w:val="222222"/>
                <w:shd w:val="clear" w:color="auto" w:fill="FFFFFF"/>
              </w:rPr>
              <w:t>Apaydin, M., Jiang, G.F., Demirbag, M. and Jamali, D. (2021) ‘The importance of corporate social responsibility strategic fit and times of economic hardship’, </w:t>
            </w:r>
            <w:r>
              <w:rPr>
                <w:rFonts w:cs="Arial"/>
                <w:i/>
                <w:iCs/>
                <w:color w:val="222222"/>
                <w:shd w:val="clear" w:color="auto" w:fill="FFFFFF"/>
              </w:rPr>
              <w:t>British Journal of Management</w:t>
            </w:r>
            <w:r>
              <w:rPr>
                <w:rFonts w:cs="Arial"/>
                <w:color w:val="222222"/>
                <w:shd w:val="clear" w:color="auto" w:fill="FFFFFF"/>
              </w:rPr>
              <w:t>, </w:t>
            </w:r>
            <w:r>
              <w:rPr>
                <w:rFonts w:cs="Arial"/>
                <w:i/>
                <w:iCs/>
                <w:color w:val="222222"/>
                <w:shd w:val="clear" w:color="auto" w:fill="FFFFFF"/>
              </w:rPr>
              <w:t>32</w:t>
            </w:r>
            <w:r>
              <w:rPr>
                <w:rFonts w:cs="Arial"/>
                <w:color w:val="222222"/>
                <w:shd w:val="clear" w:color="auto" w:fill="FFFFFF"/>
              </w:rPr>
              <w:t>(2), pp.399-415. Available at: https://doi.org/10.1111/1467-8551.12402</w:t>
            </w:r>
          </w:p>
          <w:p w:rsidR="008116AD" w:rsidRDefault="008116AD" w:rsidP="008116AD">
            <w:pPr>
              <w:spacing w:after="160"/>
              <w:rPr>
                <w:rFonts w:cs="Arial"/>
                <w:color w:val="222222"/>
                <w:shd w:val="clear" w:color="auto" w:fill="FFFFFF"/>
              </w:rPr>
            </w:pPr>
            <w:r>
              <w:rPr>
                <w:rFonts w:cs="Arial"/>
                <w:color w:val="222222"/>
                <w:shd w:val="clear" w:color="auto" w:fill="FFFFFF"/>
              </w:rPr>
              <w:t>Campaign Monitor (2020). The Four Ps of Marketing Explained. [online] Campaign Monitor. Available at: https://www.campaignmonitor.com/resources/knowledge-base/what-are-the-4-ps-of-marketing/.</w:t>
            </w:r>
          </w:p>
          <w:p w:rsidR="008116AD" w:rsidRDefault="008116AD" w:rsidP="008116AD">
            <w:pPr>
              <w:spacing w:after="160"/>
              <w:rPr>
                <w:rFonts w:cs="Arial"/>
                <w:color w:val="222222"/>
                <w:shd w:val="clear" w:color="auto" w:fill="FFFFFF"/>
              </w:rPr>
            </w:pPr>
            <w:r>
              <w:rPr>
                <w:rFonts w:cs="Arial"/>
                <w:color w:val="222222"/>
                <w:shd w:val="clear" w:color="auto" w:fill="FFFFFF"/>
              </w:rPr>
              <w:lastRenderedPageBreak/>
              <w:t xml:space="preserve">Catana, Ş.A. and Toma, S.G. (2021) ‘Entrepreneurship in the hospitality industry. Case study: Marriott International’, </w:t>
            </w:r>
            <w:r>
              <w:rPr>
                <w:rFonts w:cs="Arial"/>
                <w:i/>
                <w:color w:val="222222"/>
                <w:shd w:val="clear" w:color="auto" w:fill="FFFFFF"/>
              </w:rPr>
              <w:t>SEA-Practical Application of Science</w:t>
            </w:r>
            <w:r>
              <w:rPr>
                <w:rFonts w:cs="Arial"/>
                <w:color w:val="222222"/>
                <w:shd w:val="clear" w:color="auto" w:fill="FFFFFF"/>
              </w:rPr>
              <w:t>, (27), pp.221-225. Available at: https://seaopenresearch.eu/Journals/articles/SPAS_27_6.pdf</w:t>
            </w:r>
          </w:p>
          <w:p w:rsidR="008116AD" w:rsidRDefault="008116AD" w:rsidP="008116AD">
            <w:pPr>
              <w:spacing w:after="160"/>
            </w:pPr>
            <w:r>
              <w:t>Craft (2021). Competitors of Hyatt. [online] Hyatt Competitors. Available at: https://craft.co/hyatt-hotels/competitors.</w:t>
            </w:r>
          </w:p>
          <w:p w:rsidR="008116AD" w:rsidRDefault="008116AD" w:rsidP="008116AD">
            <w:pPr>
              <w:spacing w:after="160"/>
              <w:rPr>
                <w:rFonts w:cs="Arial"/>
                <w:color w:val="222222"/>
                <w:shd w:val="clear" w:color="auto" w:fill="FFFFFF"/>
              </w:rPr>
            </w:pPr>
            <w:r>
              <w:rPr>
                <w:rFonts w:cs="Arial"/>
                <w:color w:val="222222"/>
                <w:shd w:val="clear" w:color="auto" w:fill="FFFFFF"/>
              </w:rPr>
              <w:t>Gupta, V., Ivanov, D. and Choi, T.M. (2021) ‘Competitive pricing of substitute products under supply disruption’, </w:t>
            </w:r>
            <w:r>
              <w:rPr>
                <w:rFonts w:cs="Arial"/>
                <w:i/>
                <w:iCs/>
                <w:color w:val="222222"/>
                <w:shd w:val="clear" w:color="auto" w:fill="FFFFFF"/>
              </w:rPr>
              <w:t>Omega</w:t>
            </w:r>
            <w:r>
              <w:rPr>
                <w:rFonts w:cs="Arial"/>
                <w:color w:val="222222"/>
                <w:shd w:val="clear" w:color="auto" w:fill="FFFFFF"/>
              </w:rPr>
              <w:t>, </w:t>
            </w:r>
            <w:r>
              <w:rPr>
                <w:rFonts w:cs="Arial"/>
                <w:i/>
                <w:iCs/>
                <w:color w:val="222222"/>
                <w:shd w:val="clear" w:color="auto" w:fill="FFFFFF"/>
              </w:rPr>
              <w:t>101</w:t>
            </w:r>
            <w:r>
              <w:rPr>
                <w:rFonts w:cs="Arial"/>
                <w:color w:val="222222"/>
                <w:shd w:val="clear" w:color="auto" w:fill="FFFFFF"/>
              </w:rPr>
              <w:t>, p.102279. Available at: https://doi.org/10.1016/j.omega.2020.102279</w:t>
            </w:r>
          </w:p>
          <w:p w:rsidR="008116AD" w:rsidRDefault="008116AD" w:rsidP="008116AD">
            <w:pPr>
              <w:spacing w:after="160"/>
              <w:rPr>
                <w:rFonts w:cs="Arial"/>
                <w:color w:val="222222"/>
                <w:shd w:val="clear" w:color="auto" w:fill="FFFFFF"/>
              </w:rPr>
            </w:pPr>
            <w:r>
              <w:rPr>
                <w:rFonts w:cs="Arial"/>
                <w:color w:val="222222"/>
                <w:shd w:val="clear" w:color="auto" w:fill="FFFFFF"/>
              </w:rPr>
              <w:t>Hanaysha, J.R., Al Shaikh, M.E. and Alzoubi, H.M. (2021) ‘Importance of marketing mix elements in determining consumer purchase decision in the retail market’, </w:t>
            </w:r>
            <w:r>
              <w:rPr>
                <w:rFonts w:cs="Arial"/>
                <w:i/>
                <w:iCs/>
                <w:color w:val="222222"/>
                <w:shd w:val="clear" w:color="auto" w:fill="FFFFFF"/>
              </w:rPr>
              <w:t>International Journal of Service Science, Management, Engineering, and Technology (IJSSMET)</w:t>
            </w:r>
            <w:r>
              <w:rPr>
                <w:rFonts w:cs="Arial"/>
                <w:color w:val="222222"/>
                <w:shd w:val="clear" w:color="auto" w:fill="FFFFFF"/>
              </w:rPr>
              <w:t>, </w:t>
            </w:r>
            <w:r>
              <w:rPr>
                <w:rFonts w:cs="Arial"/>
                <w:i/>
                <w:iCs/>
                <w:color w:val="222222"/>
                <w:shd w:val="clear" w:color="auto" w:fill="FFFFFF"/>
              </w:rPr>
              <w:t>12</w:t>
            </w:r>
            <w:r>
              <w:rPr>
                <w:rFonts w:cs="Arial"/>
                <w:color w:val="222222"/>
                <w:shd w:val="clear" w:color="auto" w:fill="FFFFFF"/>
              </w:rPr>
              <w:t>(6), pp.56-72. Available at: https://</w:t>
            </w:r>
            <w:r>
              <w:t>doi.org/</w:t>
            </w:r>
            <w:r>
              <w:rPr>
                <w:rFonts w:cs="Arial"/>
                <w:color w:val="222222"/>
                <w:shd w:val="clear" w:color="auto" w:fill="FFFFFF"/>
              </w:rPr>
              <w:t xml:space="preserve"> 10.4018/IJSSMET.2021110104</w:t>
            </w:r>
          </w:p>
          <w:p w:rsidR="008116AD" w:rsidRDefault="008116AD" w:rsidP="008116AD">
            <w:pPr>
              <w:spacing w:after="160"/>
              <w:rPr>
                <w:rFonts w:cs="Arial"/>
                <w:color w:val="222222"/>
                <w:shd w:val="clear" w:color="auto" w:fill="FFFFFF"/>
              </w:rPr>
            </w:pPr>
            <w:r>
              <w:rPr>
                <w:rFonts w:cs="Arial"/>
                <w:color w:val="222222"/>
                <w:shd w:val="clear" w:color="auto" w:fill="FFFFFF"/>
              </w:rPr>
              <w:t>Hua, N., DeFranco, A. and Abbott, J. (2020) ‘Management fees and hotel performance in the US’, </w:t>
            </w:r>
            <w:r>
              <w:rPr>
                <w:rFonts w:cs="Arial"/>
                <w:i/>
                <w:iCs/>
                <w:color w:val="222222"/>
                <w:shd w:val="clear" w:color="auto" w:fill="FFFFFF"/>
              </w:rPr>
              <w:t>Tourism management</w:t>
            </w:r>
            <w:r>
              <w:rPr>
                <w:rFonts w:cs="Arial"/>
                <w:color w:val="222222"/>
                <w:shd w:val="clear" w:color="auto" w:fill="FFFFFF"/>
              </w:rPr>
              <w:t>, </w:t>
            </w:r>
            <w:r>
              <w:rPr>
                <w:rFonts w:cs="Arial"/>
                <w:i/>
                <w:iCs/>
                <w:color w:val="222222"/>
                <w:shd w:val="clear" w:color="auto" w:fill="FFFFFF"/>
              </w:rPr>
              <w:t>79</w:t>
            </w:r>
            <w:r>
              <w:rPr>
                <w:rFonts w:cs="Arial"/>
                <w:color w:val="222222"/>
                <w:shd w:val="clear" w:color="auto" w:fill="FFFFFF"/>
              </w:rPr>
              <w:t>, p.104093. Available at: https://doi.org/10.1016/j.tourman.2020.104093</w:t>
            </w:r>
          </w:p>
          <w:p w:rsidR="008116AD" w:rsidRDefault="008116AD" w:rsidP="008116AD">
            <w:pPr>
              <w:spacing w:after="160"/>
            </w:pPr>
            <w:r>
              <w:t>Hyatt (2020). About Hyatt. [online] Hyatt About. Available at: https://about.hyatt.com/.</w:t>
            </w:r>
          </w:p>
          <w:p w:rsidR="008116AD" w:rsidRDefault="008116AD" w:rsidP="008116AD">
            <w:pPr>
              <w:spacing w:after="160"/>
              <w:rPr>
                <w:rFonts w:cs="Arial"/>
                <w:color w:val="222222"/>
                <w:shd w:val="clear" w:color="auto" w:fill="FFFFFF"/>
              </w:rPr>
            </w:pPr>
            <w:r>
              <w:rPr>
                <w:rFonts w:cs="Arial"/>
                <w:color w:val="222222"/>
                <w:shd w:val="clear" w:color="auto" w:fill="FFFFFF"/>
              </w:rPr>
              <w:t>Pereira-Moliner, J., López-Gamero, M.D., Font, X., Molina-Azorín, J.F., Tarí, J.J. and Pertusa-Ortega, E.M. (2021) ‘Sustainability, competitive advantages and performance in the hotel industry: A synergistic relationship’, </w:t>
            </w:r>
            <w:r>
              <w:rPr>
                <w:rFonts w:cs="Arial"/>
                <w:i/>
                <w:iCs/>
                <w:color w:val="222222"/>
                <w:shd w:val="clear" w:color="auto" w:fill="FFFFFF"/>
              </w:rPr>
              <w:t>Journal of Tourism and Services</w:t>
            </w:r>
            <w:r>
              <w:rPr>
                <w:rFonts w:cs="Arial"/>
                <w:color w:val="222222"/>
                <w:shd w:val="clear" w:color="auto" w:fill="FFFFFF"/>
              </w:rPr>
              <w:t>, </w:t>
            </w:r>
            <w:r>
              <w:rPr>
                <w:rFonts w:cs="Arial"/>
                <w:i/>
                <w:iCs/>
                <w:color w:val="222222"/>
                <w:shd w:val="clear" w:color="auto" w:fill="FFFFFF"/>
              </w:rPr>
              <w:t>12</w:t>
            </w:r>
            <w:r>
              <w:rPr>
                <w:rFonts w:cs="Arial"/>
                <w:color w:val="222222"/>
                <w:shd w:val="clear" w:color="auto" w:fill="FFFFFF"/>
              </w:rPr>
              <w:t>(23), pp.132-149. Available at: https://doi.org/10.29036/jots.v12i23.282</w:t>
            </w:r>
          </w:p>
          <w:p w:rsidR="008116AD" w:rsidRDefault="008116AD" w:rsidP="008116AD">
            <w:pPr>
              <w:spacing w:after="160"/>
              <w:rPr>
                <w:rFonts w:cs="Arial"/>
                <w:color w:val="222222"/>
                <w:shd w:val="clear" w:color="auto" w:fill="FFFFFF"/>
              </w:rPr>
            </w:pPr>
            <w:r>
              <w:rPr>
                <w:rFonts w:cs="Arial"/>
                <w:color w:val="222222"/>
                <w:shd w:val="clear" w:color="auto" w:fill="FFFFFF"/>
              </w:rPr>
              <w:t>Qi, Y. (2023) ‘Financial Analysis of Hyatt Hotels Corporation’, </w:t>
            </w:r>
            <w:r>
              <w:rPr>
                <w:rFonts w:cs="Arial"/>
                <w:i/>
                <w:iCs/>
                <w:color w:val="222222"/>
                <w:shd w:val="clear" w:color="auto" w:fill="FFFFFF"/>
              </w:rPr>
              <w:t>Highlights in Business, Economics and Management</w:t>
            </w:r>
            <w:r>
              <w:rPr>
                <w:rFonts w:cs="Arial"/>
                <w:color w:val="222222"/>
                <w:shd w:val="clear" w:color="auto" w:fill="FFFFFF"/>
              </w:rPr>
              <w:t>, </w:t>
            </w:r>
            <w:r>
              <w:rPr>
                <w:rFonts w:cs="Arial"/>
                <w:i/>
                <w:iCs/>
                <w:color w:val="222222"/>
                <w:shd w:val="clear" w:color="auto" w:fill="FFFFFF"/>
              </w:rPr>
              <w:t>15</w:t>
            </w:r>
            <w:r>
              <w:rPr>
                <w:rFonts w:cs="Arial"/>
                <w:color w:val="222222"/>
                <w:shd w:val="clear" w:color="auto" w:fill="FFFFFF"/>
              </w:rPr>
              <w:t>, pp.111-116. Available at: https://doi.org/10.54097/hbem.v15i.9325</w:t>
            </w:r>
          </w:p>
          <w:p w:rsidR="008116AD" w:rsidRDefault="008116AD" w:rsidP="008116AD">
            <w:pPr>
              <w:spacing w:after="160"/>
              <w:rPr>
                <w:rFonts w:cs="Arial"/>
                <w:color w:val="222222"/>
                <w:shd w:val="clear" w:color="auto" w:fill="FFFFFF"/>
              </w:rPr>
            </w:pPr>
            <w:r>
              <w:rPr>
                <w:rFonts w:cs="Arial"/>
                <w:color w:val="222222"/>
                <w:shd w:val="clear" w:color="auto" w:fill="FFFFFF"/>
              </w:rPr>
              <w:t>Rai, S.K., Rana, P. and Kashif, M. (2022) ‘Hotel Personnel Retention In Uttar Pradesh: A Study of HYATT Hotels’, </w:t>
            </w:r>
            <w:r>
              <w:rPr>
                <w:rFonts w:cs="Arial"/>
                <w:i/>
                <w:iCs/>
                <w:color w:val="222222"/>
                <w:shd w:val="clear" w:color="auto" w:fill="FFFFFF"/>
              </w:rPr>
              <w:t>International Journal of New Practices in Management and Engineering</w:t>
            </w:r>
            <w:r>
              <w:rPr>
                <w:rFonts w:cs="Arial"/>
                <w:color w:val="222222"/>
                <w:shd w:val="clear" w:color="auto" w:fill="FFFFFF"/>
              </w:rPr>
              <w:t>, </w:t>
            </w:r>
            <w:r>
              <w:rPr>
                <w:rFonts w:cs="Arial"/>
                <w:i/>
                <w:iCs/>
                <w:color w:val="222222"/>
                <w:shd w:val="clear" w:color="auto" w:fill="FFFFFF"/>
              </w:rPr>
              <w:t>11</w:t>
            </w:r>
            <w:r>
              <w:rPr>
                <w:rFonts w:cs="Arial"/>
                <w:color w:val="222222"/>
                <w:shd w:val="clear" w:color="auto" w:fill="FFFFFF"/>
              </w:rPr>
              <w:t>(01), pp.47-52. Available at: https://doi.org/10.17762/ijnpme.v11i01.173</w:t>
            </w:r>
          </w:p>
          <w:p w:rsidR="008116AD" w:rsidRDefault="008116AD" w:rsidP="008116AD">
            <w:pPr>
              <w:spacing w:after="160"/>
              <w:rPr>
                <w:rFonts w:cs="Arial"/>
                <w:color w:val="222222"/>
                <w:shd w:val="clear" w:color="auto" w:fill="FFFFFF"/>
              </w:rPr>
            </w:pPr>
            <w:r>
              <w:rPr>
                <w:rFonts w:cs="Arial"/>
                <w:color w:val="222222"/>
                <w:shd w:val="clear" w:color="auto" w:fill="FFFFFF"/>
              </w:rPr>
              <w:t>Sharma, A., Shin, H., Santa-María, M.J. and Nicolau, J.L. (2021) ‘Hotels' COVID-19 innovation and performance’, </w:t>
            </w:r>
            <w:r>
              <w:rPr>
                <w:rFonts w:cs="Arial"/>
                <w:i/>
                <w:iCs/>
                <w:color w:val="222222"/>
                <w:shd w:val="clear" w:color="auto" w:fill="FFFFFF"/>
              </w:rPr>
              <w:t>Annals of Tourism Research</w:t>
            </w:r>
            <w:r>
              <w:rPr>
                <w:rFonts w:cs="Arial"/>
                <w:color w:val="222222"/>
                <w:shd w:val="clear" w:color="auto" w:fill="FFFFFF"/>
              </w:rPr>
              <w:t>, </w:t>
            </w:r>
            <w:r>
              <w:rPr>
                <w:rFonts w:cs="Arial"/>
                <w:i/>
                <w:iCs/>
                <w:color w:val="222222"/>
                <w:shd w:val="clear" w:color="auto" w:fill="FFFFFF"/>
              </w:rPr>
              <w:t>88</w:t>
            </w:r>
            <w:r>
              <w:rPr>
                <w:rFonts w:cs="Arial"/>
                <w:color w:val="222222"/>
                <w:shd w:val="clear" w:color="auto" w:fill="FFFFFF"/>
              </w:rPr>
              <w:t>, p.103180. Available at: https://doi.org/10.1016/j.annals.2021.103180</w:t>
            </w:r>
          </w:p>
          <w:p w:rsidR="008116AD" w:rsidRDefault="008116AD" w:rsidP="008116AD">
            <w:pPr>
              <w:spacing w:after="160"/>
              <w:rPr>
                <w:rFonts w:cs="Arial"/>
                <w:color w:val="222222"/>
                <w:shd w:val="clear" w:color="auto" w:fill="FFFFFF"/>
              </w:rPr>
            </w:pPr>
            <w:r>
              <w:rPr>
                <w:rFonts w:cs="Arial"/>
                <w:color w:val="222222"/>
                <w:shd w:val="clear" w:color="auto" w:fill="FFFFFF"/>
              </w:rPr>
              <w:t>Ushakov, R.N., Kryukova, E.M., Khetagurova, V.S., Mukhomorova, I.V. and Zelenov, V.V. (2020) ‘Efficiency of hotel management. Training of specialists in hotel industry field’, </w:t>
            </w:r>
            <w:r>
              <w:rPr>
                <w:rFonts w:cs="Arial"/>
                <w:i/>
                <w:iCs/>
                <w:color w:val="222222"/>
                <w:shd w:val="clear" w:color="auto" w:fill="FFFFFF"/>
              </w:rPr>
              <w:t>Journal of Environmental Management &amp; Tourism</w:t>
            </w:r>
            <w:r>
              <w:rPr>
                <w:rFonts w:cs="Arial"/>
                <w:color w:val="222222"/>
                <w:shd w:val="clear" w:color="auto" w:fill="FFFFFF"/>
              </w:rPr>
              <w:t>, </w:t>
            </w:r>
            <w:r>
              <w:rPr>
                <w:rFonts w:cs="Arial"/>
                <w:i/>
                <w:iCs/>
                <w:color w:val="222222"/>
                <w:shd w:val="clear" w:color="auto" w:fill="FFFFFF"/>
              </w:rPr>
              <w:t>11</w:t>
            </w:r>
            <w:r>
              <w:rPr>
                <w:rFonts w:cs="Arial"/>
                <w:color w:val="222222"/>
                <w:shd w:val="clear" w:color="auto" w:fill="FFFFFF"/>
              </w:rPr>
              <w:t>(2 (42)), pp.388-395. Available at: https://</w:t>
            </w:r>
            <w:r>
              <w:t xml:space="preserve"> </w:t>
            </w:r>
            <w:r>
              <w:rPr>
                <w:rFonts w:cs="Arial"/>
                <w:color w:val="222222"/>
                <w:shd w:val="clear" w:color="auto" w:fill="FFFFFF"/>
              </w:rPr>
              <w:t>doi.org/10.14505/jemt.11.2(42).17</w:t>
            </w:r>
          </w:p>
          <w:p w:rsidR="008116AD" w:rsidRDefault="008116AD" w:rsidP="008116AD">
            <w:pPr>
              <w:spacing w:after="160"/>
              <w:rPr>
                <w:rFonts w:cs="Arial"/>
                <w:color w:val="222222"/>
                <w:shd w:val="clear" w:color="auto" w:fill="FFFFFF"/>
              </w:rPr>
            </w:pPr>
            <w:r>
              <w:rPr>
                <w:rFonts w:cs="Arial"/>
                <w:color w:val="222222"/>
                <w:shd w:val="clear" w:color="auto" w:fill="FFFFFF"/>
              </w:rPr>
              <w:t>Velickovic, G., Stanojevic, J. and Veselinovic, M. (2023) ‘Managing Financial Performance toward Achievements in Sustainability Prospects: Comparative Analysis of the e-Commerce and Hospitality Industries’, </w:t>
            </w:r>
            <w:r>
              <w:rPr>
                <w:rFonts w:cs="Arial"/>
                <w:i/>
                <w:iCs/>
                <w:color w:val="222222"/>
                <w:shd w:val="clear" w:color="auto" w:fill="FFFFFF"/>
              </w:rPr>
              <w:t>Journal of Risk and Financial Management</w:t>
            </w:r>
            <w:r>
              <w:rPr>
                <w:rFonts w:cs="Arial"/>
                <w:color w:val="222222"/>
                <w:shd w:val="clear" w:color="auto" w:fill="FFFFFF"/>
              </w:rPr>
              <w:t>, </w:t>
            </w:r>
            <w:r>
              <w:rPr>
                <w:rFonts w:cs="Arial"/>
                <w:i/>
                <w:iCs/>
                <w:color w:val="222222"/>
                <w:shd w:val="clear" w:color="auto" w:fill="FFFFFF"/>
              </w:rPr>
              <w:t>16</w:t>
            </w:r>
            <w:r>
              <w:rPr>
                <w:rFonts w:cs="Arial"/>
                <w:color w:val="222222"/>
                <w:shd w:val="clear" w:color="auto" w:fill="FFFFFF"/>
              </w:rPr>
              <w:t>(9), p.395. Available at: https://doi.org/10.3390/jrfm16090395</w:t>
            </w:r>
          </w:p>
          <w:p w:rsidR="008116AD" w:rsidRDefault="008116AD" w:rsidP="008116AD">
            <w:pPr>
              <w:spacing w:after="160"/>
              <w:rPr>
                <w:szCs w:val="22"/>
              </w:rPr>
            </w:pPr>
            <w:r>
              <w:rPr>
                <w:rFonts w:cs="Arial"/>
                <w:color w:val="222222"/>
                <w:shd w:val="clear" w:color="auto" w:fill="FFFFFF"/>
              </w:rPr>
              <w:t>Zhang, D., Tu, J., Zhou, L. and Yu, Z. (2020) ‘Higher tourism specialization, better hotel industry efficiency?’, </w:t>
            </w:r>
            <w:r>
              <w:rPr>
                <w:rFonts w:cs="Arial"/>
                <w:i/>
                <w:iCs/>
                <w:color w:val="222222"/>
                <w:shd w:val="clear" w:color="auto" w:fill="FFFFFF"/>
              </w:rPr>
              <w:t>International journal of hospitality management</w:t>
            </w:r>
            <w:r>
              <w:rPr>
                <w:rFonts w:cs="Arial"/>
                <w:color w:val="222222"/>
                <w:shd w:val="clear" w:color="auto" w:fill="FFFFFF"/>
              </w:rPr>
              <w:t>, </w:t>
            </w:r>
            <w:r>
              <w:rPr>
                <w:rFonts w:cs="Arial"/>
                <w:i/>
                <w:iCs/>
                <w:color w:val="222222"/>
                <w:shd w:val="clear" w:color="auto" w:fill="FFFFFF"/>
              </w:rPr>
              <w:t>87</w:t>
            </w:r>
            <w:r>
              <w:rPr>
                <w:rFonts w:cs="Arial"/>
                <w:color w:val="222222"/>
                <w:shd w:val="clear" w:color="auto" w:fill="FFFFFF"/>
              </w:rPr>
              <w:t>, p.102509. Available at: https://doi.org/10.1016/j.ijhm.2020.102509</w:t>
            </w:r>
          </w:p>
          <w:p w:rsidR="005276A8" w:rsidRPr="00537DAC" w:rsidRDefault="005276A8" w:rsidP="00ED38DD">
            <w:pPr>
              <w:pStyle w:val="Title"/>
            </w:pPr>
          </w:p>
        </w:tc>
      </w:tr>
      <w:tr w:rsidR="00ED38DD" w:rsidTr="00ED38DD">
        <w:trPr>
          <w:trHeight w:val="6768"/>
        </w:trPr>
        <w:tc>
          <w:tcPr>
            <w:tcW w:w="9350" w:type="dxa"/>
            <w:gridSpan w:val="4"/>
            <w:vAlign w:val="center"/>
          </w:tcPr>
          <w:p w:rsidR="00ED38DD" w:rsidRDefault="00ED38DD" w:rsidP="00ED38DD">
            <w:pPr>
              <w:jc w:val="center"/>
            </w:pPr>
          </w:p>
        </w:tc>
      </w:tr>
    </w:tbl>
    <w:p w:rsidR="00017B10" w:rsidRDefault="00017B10"/>
    <w:p w:rsidR="00370139" w:rsidRDefault="00370139"/>
    <w:p w:rsidR="00314EDE" w:rsidRDefault="00314EDE"/>
    <w:sectPr w:rsidR="00314EDE" w:rsidSect="0006271E">
      <w:footerReference w:type="even" r:id="rId19"/>
      <w:footerReference w:type="default" r:id="rId20"/>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6AD" w:rsidRDefault="008116AD" w:rsidP="0006271E">
      <w:r>
        <w:separator/>
      </w:r>
    </w:p>
  </w:endnote>
  <w:endnote w:type="continuationSeparator" w:id="0">
    <w:p w:rsidR="008116AD" w:rsidRDefault="008116AD"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76420444"/>
      <w:docPartObj>
        <w:docPartGallery w:val="Page Numbers (Bottom of Page)"/>
        <w:docPartUnique/>
      </w:docPartObj>
    </w:sdtPr>
    <w:sdtEndPr>
      <w:rPr>
        <w:rStyle w:val="PageNumber"/>
      </w:rPr>
    </w:sdtEndPr>
    <w:sdtContent>
      <w:p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6635694"/>
      <w:docPartObj>
        <w:docPartGallery w:val="Page Numbers (Bottom of Page)"/>
        <w:docPartUnique/>
      </w:docPartObj>
    </w:sdtPr>
    <w:sdtEndPr>
      <w:rPr>
        <w:rStyle w:val="PageNumber"/>
      </w:rPr>
    </w:sdtEndPr>
    <w:sdtContent>
      <w:p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8116AD">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6AD" w:rsidRDefault="008116AD" w:rsidP="0006271E">
      <w:r>
        <w:separator/>
      </w:r>
    </w:p>
  </w:footnote>
  <w:footnote w:type="continuationSeparator" w:id="0">
    <w:p w:rsidR="008116AD" w:rsidRDefault="008116AD" w:rsidP="000627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6AD"/>
    <w:rsid w:val="00017B10"/>
    <w:rsid w:val="00056442"/>
    <w:rsid w:val="0006271E"/>
    <w:rsid w:val="000B5D29"/>
    <w:rsid w:val="000D54C3"/>
    <w:rsid w:val="00173543"/>
    <w:rsid w:val="001E06EE"/>
    <w:rsid w:val="00314EDE"/>
    <w:rsid w:val="00370139"/>
    <w:rsid w:val="004C7F2B"/>
    <w:rsid w:val="005120A6"/>
    <w:rsid w:val="005276A8"/>
    <w:rsid w:val="00537DAC"/>
    <w:rsid w:val="005D4907"/>
    <w:rsid w:val="00667CD7"/>
    <w:rsid w:val="006748DB"/>
    <w:rsid w:val="006C60E6"/>
    <w:rsid w:val="00715806"/>
    <w:rsid w:val="008116AD"/>
    <w:rsid w:val="0081410C"/>
    <w:rsid w:val="00815D34"/>
    <w:rsid w:val="00834654"/>
    <w:rsid w:val="00856259"/>
    <w:rsid w:val="008A5F4C"/>
    <w:rsid w:val="00952F7D"/>
    <w:rsid w:val="00A32309"/>
    <w:rsid w:val="00A45A59"/>
    <w:rsid w:val="00A45BDD"/>
    <w:rsid w:val="00A6381B"/>
    <w:rsid w:val="00A76F40"/>
    <w:rsid w:val="00A82D92"/>
    <w:rsid w:val="00A83EF7"/>
    <w:rsid w:val="00AA7317"/>
    <w:rsid w:val="00B864BA"/>
    <w:rsid w:val="00BE02BB"/>
    <w:rsid w:val="00D62CAD"/>
    <w:rsid w:val="00D64ACC"/>
    <w:rsid w:val="00D85677"/>
    <w:rsid w:val="00E8561E"/>
    <w:rsid w:val="00ED38DD"/>
    <w:rsid w:val="00F00CEE"/>
    <w:rsid w:val="00FC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5C8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7"/>
    <w:qFormat/>
    <w:rsid w:val="00173543"/>
  </w:style>
  <w:style w:type="paragraph" w:styleId="Heading1">
    <w:name w:val="heading 1"/>
    <w:basedOn w:val="Heading3"/>
    <w:next w:val="Normal"/>
    <w:link w:val="Heading1Char"/>
    <w:qFormat/>
    <w:rsid w:val="00537DAC"/>
    <w:pPr>
      <w:outlineLvl w:val="0"/>
    </w:pPr>
  </w:style>
  <w:style w:type="paragraph" w:styleId="Heading2">
    <w:name w:val="heading 2"/>
    <w:basedOn w:val="Heading3"/>
    <w:next w:val="Normal"/>
    <w:link w:val="Heading2Char"/>
    <w:uiPriority w:val="1"/>
    <w:qFormat/>
    <w:rsid w:val="00537DAC"/>
    <w:pPr>
      <w:outlineLvl w:val="1"/>
    </w:pPr>
    <w:rPr>
      <w:color w:val="EED0C6" w:themeColor="accent3"/>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537DAC"/>
    <w:rPr>
      <w:rFonts w:asciiTheme="majorHAnsi" w:eastAsiaTheme="majorEastAsia" w:hAnsiTheme="majorHAnsi" w:cstheme="majorBidi"/>
      <w:color w:val="EED0C6" w:themeColor="accent3"/>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p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i/>
      <w:sz w:val="42"/>
    </w:rPr>
  </w:style>
  <w:style w:type="character" w:customStyle="1" w:styleId="SubtitleChar">
    <w:name w:val="Subtitle Char"/>
    <w:basedOn w:val="DefaultParagraphFont"/>
    <w:link w:val="Subtitle"/>
    <w:uiPriority w:val="11"/>
    <w:rsid w:val="00537DAC"/>
    <w:rPr>
      <w:i/>
      <w:sz w:val="42"/>
    </w:rPr>
  </w:style>
  <w:style w:type="character" w:styleId="Hyperlink">
    <w:name w:val="Hyperlink"/>
    <w:basedOn w:val="DefaultParagraphFont"/>
    <w:uiPriority w:val="99"/>
    <w:semiHidden/>
    <w:unhideWhenUsed/>
    <w:rsid w:val="008116AD"/>
    <w:rPr>
      <w:color w:val="0000FF" w:themeColor="hyperlink"/>
      <w:u w:val="single"/>
    </w:rPr>
  </w:style>
  <w:style w:type="paragraph" w:styleId="TOC1">
    <w:name w:val="toc 1"/>
    <w:basedOn w:val="Normal"/>
    <w:next w:val="Normal"/>
    <w:autoRedefine/>
    <w:uiPriority w:val="39"/>
    <w:semiHidden/>
    <w:unhideWhenUsed/>
    <w:rsid w:val="008116AD"/>
    <w:pPr>
      <w:spacing w:after="100" w:line="360" w:lineRule="auto"/>
      <w:jc w:val="both"/>
    </w:pPr>
    <w:rPr>
      <w:rFonts w:ascii="Arial" w:hAnsi="Arial"/>
      <w:szCs w:val="22"/>
      <w:lang w:val="en-GB"/>
    </w:rPr>
  </w:style>
  <w:style w:type="paragraph" w:styleId="TOCHeading">
    <w:name w:val="TOC Heading"/>
    <w:basedOn w:val="Heading1"/>
    <w:next w:val="Normal"/>
    <w:uiPriority w:val="39"/>
    <w:semiHidden/>
    <w:unhideWhenUsed/>
    <w:qFormat/>
    <w:rsid w:val="008116AD"/>
    <w:pPr>
      <w:spacing w:before="240" w:line="256" w:lineRule="auto"/>
      <w:outlineLvl w:val="9"/>
    </w:pPr>
    <w:rPr>
      <w:color w:val="1B263A"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093365">
      <w:bodyDiv w:val="1"/>
      <w:marLeft w:val="0"/>
      <w:marRight w:val="0"/>
      <w:marTop w:val="0"/>
      <w:marBottom w:val="0"/>
      <w:divBdr>
        <w:top w:val="none" w:sz="0" w:space="0" w:color="auto"/>
        <w:left w:val="none" w:sz="0" w:space="0" w:color="auto"/>
        <w:bottom w:val="none" w:sz="0" w:space="0" w:color="auto"/>
        <w:right w:val="none" w:sz="0" w:space="0" w:color="auto"/>
      </w:divBdr>
    </w:div>
    <w:div w:id="140753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steakonsix\AppData\Local\Microsoft\Windows\INetCache\Content.Outlook\QONIUP7J\BMIH5004_Management%20and%20Organisational%20Behaviour%20First%20Copy.docx"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steakonsix\AppData\Local\Microsoft\Windows\INetCache\Content.Outlook\QONIUP7J\BMIH5004_Management%20and%20Organisational%20Behaviour%20First%20Copy.docx" TargetMode="External"/><Relationship Id="rId17" Type="http://schemas.openxmlformats.org/officeDocument/2006/relationships/hyperlink" Target="file:///C:\Users\steakonsix\AppData\Local\Microsoft\Windows\INetCache\Content.Outlook\QONIUP7J\BMIH5004_Management%20and%20Organisational%20Behaviour%20First%20Copy.docx" TargetMode="External"/><Relationship Id="rId2" Type="http://schemas.openxmlformats.org/officeDocument/2006/relationships/customXml" Target="../customXml/item2.xml"/><Relationship Id="rId16" Type="http://schemas.openxmlformats.org/officeDocument/2006/relationships/hyperlink" Target="file:///C:\Users\steakonsix\AppData\Local\Microsoft\Windows\INetCache\Content.Outlook\QONIUP7J\BMIH5004_Management%20and%20Organisational%20Behaviour%20First%20Copy.doc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teakonsix\AppData\Local\Microsoft\Windows\INetCache\Content.Outlook\QONIUP7J\BMIH5004_Management%20and%20Organisational%20Behaviour%20First%20Copy.docx" TargetMode="External"/><Relationship Id="rId5" Type="http://schemas.openxmlformats.org/officeDocument/2006/relationships/settings" Target="settings.xml"/><Relationship Id="rId15" Type="http://schemas.openxmlformats.org/officeDocument/2006/relationships/hyperlink" Target="file:///C:\Users\steakonsix\AppData\Local\Microsoft\Windows\INetCache\Content.Outlook\QONIUP7J\BMIH5004_Management%20and%20Organisational%20Behaviour%20First%20Copy.docx" TargetMode="External"/><Relationship Id="rId23" Type="http://schemas.openxmlformats.org/officeDocument/2006/relationships/theme" Target="theme/theme1.xml"/><Relationship Id="rId10" Type="http://schemas.openxmlformats.org/officeDocument/2006/relationships/hyperlink" Target="file:///C:\Users\steakonsix\AppData\Local\Microsoft\Windows\INetCache\Content.Outlook\QONIUP7J\BMIH5004_Management%20and%20Organisational%20Behaviour%20First%20Copy.docx"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steakonsix\AppData\Local\Microsoft\Windows\INetCache\Content.Outlook\QONIUP7J\BMIH5004_Management%20and%20Organisational%20Behaviour%20First%20Copy.docx" TargetMode="Externa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akonsix\AppData\Roaming\Microsoft\Templates\Classic%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A6D9AE81E447AB83EDA7BF4FB7DC02">
    <w:name w:val="47A6D9AE81E447AB83EDA7BF4FB7DC02"/>
  </w:style>
  <w:style w:type="paragraph" w:customStyle="1" w:styleId="3A0C748F7E4E450AB0C00D426F92A23E">
    <w:name w:val="3A0C748F7E4E450AB0C00D426F92A23E"/>
  </w:style>
  <w:style w:type="paragraph" w:customStyle="1" w:styleId="E385BD01446840DCA14DA358E92C600C">
    <w:name w:val="E385BD01446840DCA14DA358E92C600C"/>
  </w:style>
  <w:style w:type="paragraph" w:customStyle="1" w:styleId="4381A8319C1643E18F244354E89F32A2">
    <w:name w:val="4381A8319C1643E18F244354E89F32A2"/>
  </w:style>
  <w:style w:type="paragraph" w:customStyle="1" w:styleId="4F9D739B55AE4638B35EEFC514547B78">
    <w:name w:val="4F9D739B55AE4638B35EEFC514547B78"/>
  </w:style>
  <w:style w:type="paragraph" w:customStyle="1" w:styleId="882250600C6E4837AE5ED7D970AB5167">
    <w:name w:val="882250600C6E4837AE5ED7D970AB5167"/>
  </w:style>
  <w:style w:type="paragraph" w:customStyle="1" w:styleId="IntroductionText">
    <w:name w:val="Introduction Text"/>
    <w:basedOn w:val="Heading4"/>
    <w:uiPriority w:val="7"/>
    <w:qFormat/>
    <w:pPr>
      <w:spacing w:line="240" w:lineRule="auto"/>
    </w:pPr>
    <w:rPr>
      <w:rFonts w:asciiTheme="minorHAnsi" w:hAnsiTheme="minorHAnsi"/>
      <w:color w:val="5B9BD5" w:themeColor="accent1"/>
      <w:sz w:val="32"/>
      <w:szCs w:val="24"/>
      <w:lang w:val="en-US"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customStyle="1" w:styleId="5B5CC2DEC53B4689A637E4E4481C6E6B">
    <w:name w:val="5B5CC2DEC53B4689A637E4E4481C6E6B"/>
  </w:style>
  <w:style w:type="paragraph" w:customStyle="1" w:styleId="Text">
    <w:name w:val="Text"/>
    <w:basedOn w:val="Normal"/>
    <w:uiPriority w:val="5"/>
    <w:qFormat/>
    <w:pPr>
      <w:spacing w:after="0" w:line="240" w:lineRule="auto"/>
    </w:pPr>
    <w:rPr>
      <w:rFonts w:eastAsiaTheme="minorHAnsi"/>
      <w:i/>
      <w:color w:val="000000" w:themeColor="text1"/>
      <w:sz w:val="28"/>
      <w:szCs w:val="24"/>
      <w:lang w:val="en-US" w:eastAsia="en-US"/>
    </w:rPr>
  </w:style>
  <w:style w:type="paragraph" w:customStyle="1" w:styleId="A20B121E766342AF916BC2C148D9DBC8">
    <w:name w:val="A20B121E766342AF916BC2C148D9DBC8"/>
  </w:style>
  <w:style w:type="paragraph" w:customStyle="1" w:styleId="BC0A8DEA3C9B443A8A724674318ABFA6">
    <w:name w:val="BC0A8DEA3C9B443A8A724674318ABFA6"/>
  </w:style>
  <w:style w:type="paragraph" w:customStyle="1" w:styleId="8DBFB470A5FE4800BBC3D177098A9F9A">
    <w:name w:val="8DBFB470A5FE4800BBC3D177098A9F9A"/>
  </w:style>
  <w:style w:type="paragraph" w:customStyle="1" w:styleId="C707A48A06A84900B6D682D73443A358">
    <w:name w:val="C707A48A06A84900B6D682D73443A358"/>
  </w:style>
  <w:style w:type="paragraph" w:customStyle="1" w:styleId="99E536275A134E6DB2C13358CD02359D">
    <w:name w:val="99E536275A134E6DB2C13358CD02359D"/>
  </w:style>
  <w:style w:type="paragraph" w:customStyle="1" w:styleId="FF02D29E461C4C409F6F42FC4DC28B8D">
    <w:name w:val="FF02D29E461C4C409F6F42FC4DC28B8D"/>
  </w:style>
  <w:style w:type="paragraph" w:customStyle="1" w:styleId="380AB9807DD8431D9EEA329F6E342F80">
    <w:name w:val="380AB9807DD8431D9EEA329F6E342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CAC1FA21-0704-45B8-A2C2-B71E5CB0E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E14A6-9BF9-4BA9-A90A-5D24EDD49C71}">
  <ds:schemaRefs>
    <ds:schemaRef ds:uri="http://schemas.microsoft.com/sharepoint/v3/contenttype/forms"/>
  </ds:schemaRefs>
</ds:datastoreItem>
</file>

<file path=customXml/itemProps3.xml><?xml version="1.0" encoding="utf-8"?>
<ds:datastoreItem xmlns:ds="http://schemas.openxmlformats.org/officeDocument/2006/customXml" ds:itemID="{473E1B92-02B3-4FC3-8DE4-FAE462CE316F}">
  <ds:schemaRefs>
    <ds:schemaRef ds:uri="http://purl.org/dc/terms/"/>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71af3243-3dd4-4a8d-8c0d-dd76da1f02a5"/>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Classic student report</Template>
  <TotalTime>0</TotalTime>
  <Pages>9</Pages>
  <Words>2984</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2024-02-27T08:57:00Z</dcterms:created>
  <dcterms:modified xsi:type="dcterms:W3CDTF">2024-02-27T09:36:00Z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