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24B8" w:rsidRDefault="00DF24B8" w:rsidP="00DF24B8">
      <w:pPr>
        <w:jc w:val="center"/>
        <w:rPr>
          <w:u w:val="single"/>
        </w:rPr>
      </w:pPr>
      <w:r>
        <w:rPr>
          <w:u w:val="single"/>
        </w:rPr>
        <w:t xml:space="preserve">Commentary on an extract taken from Dudo of St. Quentin’s </w:t>
      </w:r>
      <w:r w:rsidRPr="00DF24B8">
        <w:rPr>
          <w:i/>
          <w:u w:val="single"/>
        </w:rPr>
        <w:t>History of the Norman Dukes</w:t>
      </w:r>
    </w:p>
    <w:p w:rsidR="009320A7" w:rsidRDefault="0097285E" w:rsidP="0097285E">
      <w:r>
        <w:t xml:space="preserve">This extract is taken from the </w:t>
      </w:r>
      <w:r>
        <w:rPr>
          <w:i/>
        </w:rPr>
        <w:t>Historia Normannorum Ducus</w:t>
      </w:r>
      <w:r>
        <w:t>, written between 1015 and 1026</w:t>
      </w:r>
      <w:r w:rsidR="00F736E9">
        <w:t>,</w:t>
      </w:r>
      <w:r>
        <w:t xml:space="preserve"> by Dudo of St. Quentin.</w:t>
      </w:r>
      <w:r w:rsidR="00584E7E">
        <w:rPr>
          <w:rStyle w:val="FootnoteReference"/>
        </w:rPr>
        <w:footnoteReference w:id="1"/>
      </w:r>
      <w:r>
        <w:t xml:space="preserve"> The</w:t>
      </w:r>
      <w:r w:rsidR="00D95F1C">
        <w:t xml:space="preserve"> author of this panegyric was di</w:t>
      </w:r>
      <w:r>
        <w:t>spatched by the count of Vermandois to Duke Richard I, where he was asked to write a detailed history of the Dukes of Normandy</w:t>
      </w:r>
      <w:r w:rsidR="00C75F05">
        <w:t xml:space="preserve">. </w:t>
      </w:r>
      <w:r>
        <w:t>The purpose of this history was to remember the accomplishment</w:t>
      </w:r>
      <w:r w:rsidR="004B2163">
        <w:t>s</w:t>
      </w:r>
      <w:r>
        <w:t xml:space="preserve"> that the Normans achieved during their expansion within the Frankish empire. </w:t>
      </w:r>
    </w:p>
    <w:p w:rsidR="0097285E" w:rsidRDefault="0097285E" w:rsidP="0097285E">
      <w:r>
        <w:t xml:space="preserve">In the preface of this </w:t>
      </w:r>
      <w:r w:rsidR="003C6327">
        <w:t>history, Dudo makes it</w:t>
      </w:r>
      <w:r>
        <w:t xml:space="preserve"> clear that he did not approach this project voluntarily;</w:t>
      </w:r>
      <w:r w:rsidR="00F62E64">
        <w:rPr>
          <w:rStyle w:val="FootnoteReference"/>
        </w:rPr>
        <w:footnoteReference w:id="2"/>
      </w:r>
      <w:r>
        <w:t xml:space="preserve"> more that he was forced to do so by the pleading and ‘most charming of speeches’ by his superior.</w:t>
      </w:r>
      <w:r w:rsidR="00092D1D">
        <w:rPr>
          <w:rStyle w:val="FootnoteReference"/>
        </w:rPr>
        <w:footnoteReference w:id="3"/>
      </w:r>
      <w:r>
        <w:t xml:space="preserve"> It is cle</w:t>
      </w:r>
      <w:r w:rsidR="00D95F1C">
        <w:t>ar</w:t>
      </w:r>
      <w:r w:rsidR="0012588E">
        <w:t>,</w:t>
      </w:r>
      <w:r w:rsidR="00D95F1C">
        <w:t xml:space="preserve"> then</w:t>
      </w:r>
      <w:r w:rsidR="0012588E">
        <w:t>,</w:t>
      </w:r>
      <w:r w:rsidR="00D95F1C">
        <w:t xml:space="preserve"> that the authors hand was</w:t>
      </w:r>
      <w:r>
        <w:t xml:space="preserve"> forced to produce this timeline. Whether this determines the credibility of the source is to be concluded after taking into account other elements of this literature. It is to be con</w:t>
      </w:r>
      <w:r w:rsidR="002C0742">
        <w:t>s</w:t>
      </w:r>
      <w:r w:rsidR="00D62668">
        <w:t xml:space="preserve">idered </w:t>
      </w:r>
      <w:r w:rsidR="00F653F3">
        <w:t>that the text</w:t>
      </w:r>
      <w:r w:rsidR="0012588E">
        <w:t xml:space="preserve"> may be perceived as</w:t>
      </w:r>
      <w:r>
        <w:t xml:space="preserve"> untrustworthy</w:t>
      </w:r>
      <w:r w:rsidR="00D95F1C">
        <w:t>, as</w:t>
      </w:r>
      <w:r>
        <w:t xml:space="preserve"> the author may not truly believe in what he is por</w:t>
      </w:r>
      <w:r w:rsidR="00C64AB4">
        <w:t>traying. The extracts significance</w:t>
      </w:r>
      <w:r>
        <w:t>, it cannot be denied, is highly important regardless of wheth</w:t>
      </w:r>
      <w:r w:rsidR="00ED0C4A">
        <w:t xml:space="preserve">er the facts presented are true, as it displays the </w:t>
      </w:r>
      <w:r w:rsidR="00D40FCB">
        <w:t xml:space="preserve">attitudes that </w:t>
      </w:r>
      <w:r>
        <w:t xml:space="preserve">the Franks inflicted on the Northmen that invaded the Frankish coastline. </w:t>
      </w:r>
    </w:p>
    <w:p w:rsidR="0097285E" w:rsidRDefault="0097285E" w:rsidP="0097285E">
      <w:r>
        <w:t>It is important t</w:t>
      </w:r>
      <w:r w:rsidR="00DA5CA1">
        <w:t>o note the use of biblical and Christian</w:t>
      </w:r>
      <w:r>
        <w:t xml:space="preserve"> references within this text. Presenting the audience with a date</w:t>
      </w:r>
      <w:r w:rsidR="00C208BF">
        <w:t>,</w:t>
      </w:r>
      <w:r>
        <w:t xml:space="preserve"> ‘876 from the lord’s incarnation’ in the opening of this chapter, is an effective way for Dudo to give his work credibility</w:t>
      </w:r>
      <w:r w:rsidR="00097A26">
        <w:t>,</w:t>
      </w:r>
      <w:r>
        <w:t xml:space="preserve"> as well as cementing it within histo</w:t>
      </w:r>
      <w:r w:rsidR="00E873D2">
        <w:t>rical fact. I</w:t>
      </w:r>
      <w:r>
        <w:t>t</w:t>
      </w:r>
      <w:r w:rsidR="00E873D2">
        <w:t xml:space="preserve"> also</w:t>
      </w:r>
      <w:r>
        <w:t xml:space="preserve"> places this</w:t>
      </w:r>
      <w:r w:rsidR="00DA5CA1">
        <w:t xml:space="preserve"> history on the Christian</w:t>
      </w:r>
      <w:r w:rsidR="008F1D10">
        <w:t xml:space="preserve"> timeline, to be </w:t>
      </w:r>
      <w:r>
        <w:t xml:space="preserve">recognised and established within Christian history, present and future, regardless of the </w:t>
      </w:r>
      <w:r w:rsidR="00EA21EF">
        <w:t>Normans’ own religious identity</w:t>
      </w:r>
      <w:r w:rsidR="000B58FB">
        <w:t>.</w:t>
      </w:r>
      <w:r>
        <w:t xml:space="preserve"> It is also evident that the imagery used by Dudo to depict the landscape of Normandy</w:t>
      </w:r>
      <w:r w:rsidR="0050498B">
        <w:t xml:space="preserve"> and the river Schelde, </w:t>
      </w:r>
      <w:r>
        <w:t xml:space="preserve">has similar features to </w:t>
      </w:r>
      <w:r w:rsidR="0050498B">
        <w:t>the Garden of Eden illustrated in the</w:t>
      </w:r>
      <w:r>
        <w:t xml:space="preserve"> Old Testament</w:t>
      </w:r>
      <w:r w:rsidR="0050498B">
        <w:t>.</w:t>
      </w:r>
      <w:r>
        <w:t xml:space="preserve"> In the </w:t>
      </w:r>
      <w:r w:rsidRPr="00A56A6A">
        <w:rPr>
          <w:i/>
        </w:rPr>
        <w:t>Book of</w:t>
      </w:r>
      <w:r>
        <w:t xml:space="preserve"> </w:t>
      </w:r>
      <w:r w:rsidRPr="00A56A6A">
        <w:rPr>
          <w:i/>
        </w:rPr>
        <w:t>Genesis</w:t>
      </w:r>
      <w:r>
        <w:t>, the garden is described as having ‘various trees that were a delight to the eye and good for eating’, as well as a river which waters the garden and feeds the earth, allowing it to produce plentiful food and sustainable land for farming.</w:t>
      </w:r>
      <w:r w:rsidR="007113C1">
        <w:rPr>
          <w:rStyle w:val="FootnoteReference"/>
        </w:rPr>
        <w:footnoteReference w:id="4"/>
      </w:r>
      <w:r>
        <w:t xml:space="preserve"> Dudo describes the land of Normandy in this same paradisiacal portrayal, featuring ‘crystal-clear courses’ and the ‘</w:t>
      </w:r>
      <w:r w:rsidRPr="008F5830">
        <w:t>fragrant grasses of its elevated banks</w:t>
      </w:r>
      <w:r>
        <w:t xml:space="preserve">’, </w:t>
      </w:r>
      <w:r w:rsidRPr="00A56A6A">
        <w:t>ideal</w:t>
      </w:r>
      <w:r>
        <w:t xml:space="preserve"> for long-boat exploration and settlement. This idyllic representation of the coast of Normandy, highlights biblical references which could be used to establish the growing differences between the characteristics of the Vikings and the N</w:t>
      </w:r>
      <w:r w:rsidR="008C29E9">
        <w:t xml:space="preserve">ormans. Whereas the </w:t>
      </w:r>
      <w:r w:rsidR="007229CB">
        <w:t>Norse</w:t>
      </w:r>
      <w:r w:rsidR="008664DC">
        <w:t>men</w:t>
      </w:r>
      <w:r w:rsidR="00264DC0">
        <w:t xml:space="preserve"> were p</w:t>
      </w:r>
      <w:r>
        <w:t>agan in belief, the Normans, upon their arrival in Normandy, converted to Christianity in terms with the Treaty of Saint-Clair-Sur-</w:t>
      </w:r>
      <w:r w:rsidR="007229CB">
        <w:t xml:space="preserve">Epte (911 AD), </w:t>
      </w:r>
      <w:r>
        <w:t>assimilating with the Frankish culture.</w:t>
      </w:r>
      <w:r w:rsidR="007113C1">
        <w:rPr>
          <w:rStyle w:val="FootnoteReference"/>
        </w:rPr>
        <w:footnoteReference w:id="5"/>
      </w:r>
      <w:r>
        <w:t xml:space="preserve"> It makes sense, then, that this history is portraying the Normans in a biblical environment, as this is how they identified and distanced themselves from their Sc</w:t>
      </w:r>
      <w:r w:rsidR="006155CE">
        <w:t>andinavian ancestors</w:t>
      </w:r>
      <w:r w:rsidR="008C29E9">
        <w:t>.</w:t>
      </w:r>
    </w:p>
    <w:p w:rsidR="0097285E" w:rsidRDefault="0097285E" w:rsidP="0097285E">
      <w:r>
        <w:t>To further this point, it is necessary to look at the attempts that</w:t>
      </w:r>
      <w:r w:rsidR="00871B49">
        <w:t xml:space="preserve"> Rollo makes</w:t>
      </w:r>
      <w:r>
        <w:t xml:space="preserve"> to follow his new ‘adopted’ religion of Christianity. When approached with this paradise</w:t>
      </w:r>
      <w:r w:rsidR="006F7D89">
        <w:t xml:space="preserve">, </w:t>
      </w:r>
      <w:r>
        <w:t>which is ‘</w:t>
      </w:r>
      <w:r w:rsidRPr="00A4458F">
        <w:t>embellished with abodes of monkish habitation</w:t>
      </w:r>
      <w:r w:rsidR="00590527">
        <w:t>’, Rollo</w:t>
      </w:r>
      <w:r>
        <w:t xml:space="preserve"> makes a decision which contradicts the act of pillage and plunder</w:t>
      </w:r>
      <w:r w:rsidR="00C17CD1">
        <w:t>.</w:t>
      </w:r>
      <w:r>
        <w:t xml:space="preserve"> To </w:t>
      </w:r>
      <w:r w:rsidRPr="00A56A6A">
        <w:t>understand</w:t>
      </w:r>
      <w:r>
        <w:t xml:space="preserve"> the quantity and extent of Viking activity across modern Europe, </w:t>
      </w:r>
      <w:r w:rsidRPr="00A56A6A">
        <w:t>The</w:t>
      </w:r>
      <w:r>
        <w:t xml:space="preserve"> </w:t>
      </w:r>
      <w:r w:rsidRPr="00A56A6A">
        <w:rPr>
          <w:i/>
        </w:rPr>
        <w:t>Peterborough Chronicle</w:t>
      </w:r>
      <w:r>
        <w:t xml:space="preserve"> states that a significant amount of raids took place on the English coast between the years 787 – 839 AD.</w:t>
      </w:r>
      <w:r w:rsidR="000C026A">
        <w:rPr>
          <w:rStyle w:val="FootnoteReference"/>
        </w:rPr>
        <w:footnoteReference w:id="6"/>
      </w:r>
      <w:r>
        <w:t xml:space="preserve"> To a Viking, the sign of monasteries and monastic buildings</w:t>
      </w:r>
      <w:r w:rsidR="0083213E">
        <w:t xml:space="preserve"> would </w:t>
      </w:r>
      <w:r w:rsidR="00A07BD9">
        <w:lastRenderedPageBreak/>
        <w:t>predict</w:t>
      </w:r>
      <w:r>
        <w:t xml:space="preserve"> a successful raid, as it is sure to be full of treasures and submissive subjects. However, Dudo states that Rollo, though hesitant, steers the boat to the other side of the river and ignores the embellishments of the monastery, dissolving his ‘barbaric’ ties of a shared identity with the Norsemen. Dudo gives Rollo characteristics which support the idea that Rollo is no longer interested in terror or pillaging, a converted Christian, but whether this is actually true is up to the</w:t>
      </w:r>
      <w:r w:rsidR="001E138C">
        <w:t xml:space="preserve"> works of historians. Douglas states</w:t>
      </w:r>
      <w:r>
        <w:t xml:space="preserve"> that before his death, Rollo ‘ordered the sacrifice of a hundred Christian captives’.</w:t>
      </w:r>
      <w:r w:rsidR="00C61D80">
        <w:rPr>
          <w:rStyle w:val="FootnoteReference"/>
        </w:rPr>
        <w:footnoteReference w:id="7"/>
      </w:r>
      <w:r>
        <w:t xml:space="preserve"> It is obvious here that we cannot take Dudo’s work as factual truth</w:t>
      </w:r>
      <w:r w:rsidR="000E42E2">
        <w:t>. Rollo</w:t>
      </w:r>
      <w:r w:rsidR="00510BA6">
        <w:t xml:space="preserve"> also attempts t</w:t>
      </w:r>
      <w:r>
        <w:t>o fo</w:t>
      </w:r>
      <w:r w:rsidR="00510BA6">
        <w:t>llow his ‘adopted’ faith within this passage, by</w:t>
      </w:r>
      <w:r w:rsidR="000E42E2">
        <w:t xml:space="preserve"> </w:t>
      </w:r>
      <w:r w:rsidR="00510BA6">
        <w:t>placing</w:t>
      </w:r>
      <w:r>
        <w:t xml:space="preserve"> a virgin on the altar</w:t>
      </w:r>
      <w:r w:rsidR="00510BA6">
        <w:t xml:space="preserve"> of the chapel</w:t>
      </w:r>
      <w:r>
        <w:t xml:space="preserve"> as a sacrifice. This shows the transition that Rollo is trying to make, leaving an offerin</w:t>
      </w:r>
      <w:r w:rsidR="004E7F77">
        <w:t>g to God, though in an</w:t>
      </w:r>
      <w:r>
        <w:t xml:space="preserve"> ignorant manner. Making a human sacrifice is very much pagan in this aspect. This displays Rollo as a leader who doesn’t completely understand the concept of Christianity. This false understanding is echoed in Wilbert’s </w:t>
      </w:r>
      <w:r w:rsidRPr="001337A2">
        <w:rPr>
          <w:i/>
        </w:rPr>
        <w:t>Life of Leo IX</w:t>
      </w:r>
      <w:r>
        <w:t>, where he depicts Robert Guiscard as: ‘a dog barking out the human words “</w:t>
      </w:r>
      <w:r>
        <w:rPr>
          <w:i/>
        </w:rPr>
        <w:t>Deus meu</w:t>
      </w:r>
      <w:r>
        <w:t>s”’.</w:t>
      </w:r>
      <w:r w:rsidR="00837A7A">
        <w:rPr>
          <w:rStyle w:val="FootnoteReference"/>
        </w:rPr>
        <w:footnoteReference w:id="8"/>
      </w:r>
      <w:r>
        <w:t xml:space="preserve"> The Normans are displayed in contemporary literature as imitators of Christianity, though this is abandoned in the portrayal of Normans in Sicily. From the actions that Rollo makes during his exploration of Normandy within this passage, it is clear that references to Christianity and the characteristics of the Scandinavians, are used to establish Rollo as a Norman, with a Norman identity, distancing him from his ancestors which in turn strengthens his legitimacy to the ownership of Normandy. </w:t>
      </w:r>
    </w:p>
    <w:p w:rsidR="002269EB" w:rsidRDefault="0097285E" w:rsidP="0097285E">
      <w:r>
        <w:t>As well as biblical reference</w:t>
      </w:r>
      <w:r w:rsidR="0042622F">
        <w:t>s</w:t>
      </w:r>
      <w:r>
        <w:t xml:space="preserve"> throughout this extract, Dudo also e</w:t>
      </w:r>
      <w:r w:rsidR="00F823A2">
        <w:t>stablishments links between the characteristics of</w:t>
      </w:r>
      <w:r>
        <w:t xml:space="preserve"> Rollo as a leader, to classical heroic literature and myth. The author uses references </w:t>
      </w:r>
      <w:r w:rsidR="00E73690">
        <w:t>to classical figures, depicted</w:t>
      </w:r>
      <w:r>
        <w:t xml:space="preserve"> through the description of the journey that Rollo takes to reach Normandy. According to the author, Rollo had to travel across ‘the deep where </w:t>
      </w:r>
      <w:r w:rsidRPr="00697F2A">
        <w:t>the cerulean whirlpool of the Seine</w:t>
      </w:r>
      <w:r>
        <w:t xml:space="preserve"> [was situated]’. This is like the journey that Odysseus takes on his final voyage in Homer’s </w:t>
      </w:r>
      <w:r>
        <w:rPr>
          <w:i/>
        </w:rPr>
        <w:t>Odyssey</w:t>
      </w:r>
      <w:r>
        <w:t>.</w:t>
      </w:r>
      <w:r w:rsidR="0086089A">
        <w:rPr>
          <w:rStyle w:val="FootnoteReference"/>
        </w:rPr>
        <w:footnoteReference w:id="9"/>
      </w:r>
      <w:r>
        <w:t xml:space="preserve"> Odysseus was a skilled voyager who, like Rollo,</w:t>
      </w:r>
      <w:r w:rsidR="00922164">
        <w:t xml:space="preserve"> came across a whirlpool, known as Charybdis in classical mythology.</w:t>
      </w:r>
      <w:r>
        <w:t xml:space="preserve"> Though Odysseus decides to tackle another obstacle (Scylla), it is hard to deny the strong connotations that Dudo’s work has with the classics. This metho</w:t>
      </w:r>
      <w:r w:rsidR="00051FF1">
        <w:t>d of writing cements Rollo</w:t>
      </w:r>
      <w:r>
        <w:t xml:space="preserve"> in a metaphorical heroic ‘mould’, accumulating to the concept of the Norman myth and the identity of Normanitas</w:t>
      </w:r>
      <w:r w:rsidR="00600527">
        <w:t>:</w:t>
      </w:r>
      <w:r>
        <w:t xml:space="preserve"> ‘</w:t>
      </w:r>
      <w:r w:rsidRPr="00147F27">
        <w:t>the basis of Norman identity</w:t>
      </w:r>
      <w:r>
        <w:t>’.</w:t>
      </w:r>
      <w:r w:rsidR="001B3762">
        <w:rPr>
          <w:rStyle w:val="FootnoteReference"/>
        </w:rPr>
        <w:footnoteReference w:id="10"/>
      </w:r>
      <w:r>
        <w:t xml:space="preserve">   </w:t>
      </w:r>
    </w:p>
    <w:p w:rsidR="00C922D5" w:rsidRDefault="00A71245" w:rsidP="0097285E">
      <w:r>
        <w:t xml:space="preserve">In the apostrophe, </w:t>
      </w:r>
      <w:r w:rsidR="00E11017">
        <w:t>Dudo demonstrates the effectiveness</w:t>
      </w:r>
      <w:r>
        <w:t xml:space="preserve"> of panegyric verse in medieval literatu</w:t>
      </w:r>
      <w:r w:rsidR="00E11017">
        <w:t xml:space="preserve">re, praising Rollo as the rightful and worthy ruler of Normandy. By presenting this verse in a ‘eulogistic’ </w:t>
      </w:r>
      <w:r w:rsidR="004411D9">
        <w:t>manner,</w:t>
      </w:r>
      <w:r w:rsidR="004411D9">
        <w:rPr>
          <w:rStyle w:val="FootnoteReference"/>
        </w:rPr>
        <w:footnoteReference w:id="11"/>
      </w:r>
      <w:r w:rsidR="00066517">
        <w:t xml:space="preserve"> using words such as ‘</w:t>
      </w:r>
      <w:r w:rsidR="00CA3C70">
        <w:t>peace’ and ‘</w:t>
      </w:r>
      <w:r w:rsidR="005330DC">
        <w:t>flourish</w:t>
      </w:r>
      <w:r w:rsidR="0063712B">
        <w:t>’</w:t>
      </w:r>
      <w:r w:rsidR="005330DC">
        <w:t xml:space="preserve"> </w:t>
      </w:r>
      <w:r w:rsidR="00CA3C70">
        <w:t>to describe the future of Rollo’</w:t>
      </w:r>
      <w:r w:rsidR="00EF5B65">
        <w:t>s dukedom</w:t>
      </w:r>
      <w:r w:rsidR="005330DC">
        <w:t>, the concept of legitimac</w:t>
      </w:r>
      <w:r w:rsidR="0050727C">
        <w:t>y and ownership in relation to the Normans and the duchy of Normandy is supported</w:t>
      </w:r>
      <w:r w:rsidR="005330DC">
        <w:t>. However, it is hard to deny that this verse contains many negative undertones</w:t>
      </w:r>
      <w:r w:rsidR="00931827">
        <w:t>,</w:t>
      </w:r>
      <w:r w:rsidR="005330DC">
        <w:t xml:space="preserve"> though hidden amongst </w:t>
      </w:r>
      <w:r w:rsidR="00006349">
        <w:t>optimistic</w:t>
      </w:r>
      <w:r w:rsidR="005330DC">
        <w:t xml:space="preserve"> </w:t>
      </w:r>
      <w:r w:rsidR="0052429C">
        <w:t>praise.</w:t>
      </w:r>
      <w:r w:rsidR="00F30181">
        <w:t xml:space="preserve"> For example, ‘once </w:t>
      </w:r>
      <w:r w:rsidR="00F30181" w:rsidRPr="00F30181">
        <w:t>the Franks have been devoured by war, and the populace broken</w:t>
      </w:r>
      <w:r w:rsidR="00F30181">
        <w:t>’</w:t>
      </w:r>
      <w:r w:rsidR="003365A3">
        <w:t>, recognises that</w:t>
      </w:r>
      <w:r w:rsidR="00F30181">
        <w:t xml:space="preserve"> Norman control after the year 911 AD was purely due to the brutality</w:t>
      </w:r>
      <w:r w:rsidR="007803AE">
        <w:t xml:space="preserve"> and effectiveness of the military that Rollo controlled. </w:t>
      </w:r>
      <w:r w:rsidR="003326BE">
        <w:t>To</w:t>
      </w:r>
      <w:r w:rsidR="00A44EA9">
        <w:t>o break a populace, emotion</w:t>
      </w:r>
      <w:r w:rsidR="003326BE">
        <w:t xml:space="preserve">ally and physically, </w:t>
      </w:r>
      <w:r w:rsidR="00A44EA9">
        <w:t>the Normans must</w:t>
      </w:r>
      <w:r w:rsidR="00193AC0">
        <w:t xml:space="preserve"> have</w:t>
      </w:r>
      <w:r w:rsidR="00A44EA9">
        <w:t xml:space="preserve"> destroyed essential parts of Frankish culture,</w:t>
      </w:r>
      <w:r w:rsidR="000F1B69">
        <w:t xml:space="preserve"> such as </w:t>
      </w:r>
      <w:r w:rsidR="000F1B69">
        <w:lastRenderedPageBreak/>
        <w:t xml:space="preserve">monastic and secular buildings. This in turn is an oxymoron in relation to the entirety of the text which we have encountered and examined so far. </w:t>
      </w:r>
      <w:r w:rsidR="00301350">
        <w:t>It suggest</w:t>
      </w:r>
      <w:r w:rsidR="00AE75B0">
        <w:t>s</w:t>
      </w:r>
      <w:r w:rsidR="00301350">
        <w:t xml:space="preserve"> that the Normans are not </w:t>
      </w:r>
      <w:r w:rsidR="00386CE6">
        <w:t xml:space="preserve">as </w:t>
      </w:r>
      <w:r w:rsidR="00301350">
        <w:t>dissimilar to the Scandinavians as they would</w:t>
      </w:r>
      <w:r w:rsidR="00AE75B0">
        <w:t xml:space="preserve"> have</w:t>
      </w:r>
      <w:r w:rsidR="00301350">
        <w:t xml:space="preserve"> like</w:t>
      </w:r>
      <w:r w:rsidR="00AE75B0">
        <w:t>d</w:t>
      </w:r>
      <w:r w:rsidR="00301350">
        <w:t xml:space="preserve"> t</w:t>
      </w:r>
      <w:r w:rsidR="00AE75B0">
        <w:t>he submissive cultures t</w:t>
      </w:r>
      <w:r w:rsidR="00301350">
        <w:t>o believe</w:t>
      </w:r>
      <w:r w:rsidR="0053566B">
        <w:t xml:space="preserve">, as they still </w:t>
      </w:r>
      <w:r w:rsidR="00AE75B0">
        <w:t>followed</w:t>
      </w:r>
      <w:r w:rsidR="00301350">
        <w:t xml:space="preserve"> tactics which made populations fear and submit to their domination.</w:t>
      </w:r>
      <w:r w:rsidR="00600860">
        <w:t xml:space="preserve"> Describing the Normans as ‘wolves’,</w:t>
      </w:r>
      <w:r w:rsidR="009053D5">
        <w:rPr>
          <w:rStyle w:val="FootnoteReference"/>
        </w:rPr>
        <w:footnoteReference w:id="12"/>
      </w:r>
      <w:r w:rsidR="00600860">
        <w:t xml:space="preserve"> a predator who feasts on weaker prey, also depicts Normans in a negative light.</w:t>
      </w:r>
      <w:r w:rsidR="00301350">
        <w:t xml:space="preserve"> </w:t>
      </w:r>
      <w:r w:rsidR="00386CE6">
        <w:t xml:space="preserve">Dudo, therefore, uses panegyric verse to </w:t>
      </w:r>
      <w:r w:rsidR="00281D46">
        <w:t xml:space="preserve">convey a subtext which </w:t>
      </w:r>
      <w:r w:rsidR="006B308F">
        <w:t>concludes that the Normans were n</w:t>
      </w:r>
      <w:r w:rsidR="00697D81">
        <w:t>o different to the raiding Vikings</w:t>
      </w:r>
      <w:r w:rsidR="006B308F">
        <w:t xml:space="preserve"> who pillaged the Frankish coastline before them. </w:t>
      </w:r>
    </w:p>
    <w:p w:rsidR="00CD235B" w:rsidRPr="00E61B2F" w:rsidRDefault="00E61B2F" w:rsidP="0097285E">
      <w:r>
        <w:t xml:space="preserve">Dudo uses the </w:t>
      </w:r>
      <w:r>
        <w:rPr>
          <w:i/>
        </w:rPr>
        <w:t>History of the Norman Dukes</w:t>
      </w:r>
      <w:r w:rsidR="00973412">
        <w:t xml:space="preserve"> to present the</w:t>
      </w:r>
      <w:r w:rsidR="00933771">
        <w:t xml:space="preserve"> ever-growing</w:t>
      </w:r>
      <w:r w:rsidR="00973412">
        <w:t xml:space="preserve"> idea of Norman identity and the char</w:t>
      </w:r>
      <w:r w:rsidR="009D3B26">
        <w:t xml:space="preserve">acteristics which </w:t>
      </w:r>
      <w:r w:rsidR="00AA6E22">
        <w:t>this entails. He does this by displaying many different literary techniques</w:t>
      </w:r>
      <w:r w:rsidR="005552C8">
        <w:t>, including references to</w:t>
      </w:r>
      <w:r w:rsidR="00AA6E22">
        <w:t xml:space="preserve"> biblical and classical imagery, religious iconography and the </w:t>
      </w:r>
      <w:r w:rsidR="002704CA">
        <w:t xml:space="preserve">use of panegyric verse. </w:t>
      </w:r>
      <w:r w:rsidR="0011309D">
        <w:t>The purpose of such a history is to establish the Normans and their leaders as legitimate rulers of the duchy of Normandy, irrelevant of whether this was deserving or out of fear of an overpowered population. Dudo engages with the audience in a thought-provok</w:t>
      </w:r>
      <w:r w:rsidR="008015A6">
        <w:t xml:space="preserve">ing and conclusive manner, which is the reason for this extracts success as a timeline of the Norman invasion of Normandy and the gradual assimilation and development of a singular and inclusive </w:t>
      </w:r>
      <w:r w:rsidR="00205086">
        <w:t xml:space="preserve">Norman </w:t>
      </w:r>
      <w:r w:rsidR="008015A6">
        <w:t xml:space="preserve">identity. </w:t>
      </w: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B376D" w:rsidRDefault="00CB376D" w:rsidP="0097285E">
      <w:pPr>
        <w:rPr>
          <w:u w:val="single"/>
        </w:rPr>
      </w:pPr>
    </w:p>
    <w:p w:rsidR="00C1374C" w:rsidRDefault="00C1374C" w:rsidP="00C1374C">
      <w:pPr>
        <w:jc w:val="center"/>
        <w:rPr>
          <w:u w:val="single"/>
        </w:rPr>
      </w:pPr>
      <w:r>
        <w:rPr>
          <w:u w:val="single"/>
        </w:rPr>
        <w:lastRenderedPageBreak/>
        <w:t>BIBLIOGRAPHY</w:t>
      </w:r>
    </w:p>
    <w:p w:rsidR="00C1374C" w:rsidRPr="00C1374C" w:rsidRDefault="00C1374C" w:rsidP="0097285E">
      <w:pPr>
        <w:rPr>
          <w:u w:val="single"/>
        </w:rPr>
      </w:pPr>
      <w:r w:rsidRPr="00C1374C">
        <w:rPr>
          <w:u w:val="single"/>
        </w:rPr>
        <w:t>PRIMARY SOURCE MATERIALS</w:t>
      </w:r>
    </w:p>
    <w:p w:rsidR="00F3775F" w:rsidRPr="0016638E" w:rsidRDefault="00F3775F" w:rsidP="00F3775F">
      <w:pPr>
        <w:rPr>
          <w:sz w:val="20"/>
          <w:szCs w:val="20"/>
        </w:rPr>
      </w:pPr>
      <w:r w:rsidRPr="0016638E">
        <w:rPr>
          <w:i/>
          <w:sz w:val="20"/>
          <w:szCs w:val="20"/>
        </w:rPr>
        <w:t>The Anglo Saxon Chronicle: A Collaborative Edition</w:t>
      </w:r>
      <w:r w:rsidRPr="0016638E">
        <w:rPr>
          <w:sz w:val="20"/>
          <w:szCs w:val="20"/>
        </w:rPr>
        <w:t xml:space="preserve">, trans. A.A. Somerville, from David Dumville and Simon Keynes, general eds., (Cambridge: D.S. Brewer, 1983-), vol.7; MS E, ed. Susan Irvine (Cambridge: D.S. Brewer, 2004), pp.41-45, in </w:t>
      </w:r>
      <w:r w:rsidRPr="0016638E">
        <w:rPr>
          <w:i/>
          <w:sz w:val="20"/>
          <w:szCs w:val="20"/>
        </w:rPr>
        <w:t>The Viking Age: A Reader</w:t>
      </w:r>
      <w:r w:rsidRPr="0016638E">
        <w:rPr>
          <w:sz w:val="20"/>
          <w:szCs w:val="20"/>
        </w:rPr>
        <w:t>, ed. A.A. Somerville and R.A. McDonald, 2nd edn., (University of Toronto Press, 2014).</w:t>
      </w:r>
    </w:p>
    <w:p w:rsidR="00CB376D" w:rsidRPr="00CB376D" w:rsidRDefault="00CB376D" w:rsidP="0097285E">
      <w:pPr>
        <w:rPr>
          <w:sz w:val="20"/>
          <w:szCs w:val="20"/>
        </w:rPr>
      </w:pPr>
      <w:r w:rsidRPr="0016638E">
        <w:rPr>
          <w:sz w:val="20"/>
          <w:szCs w:val="20"/>
        </w:rPr>
        <w:t xml:space="preserve">Dudo of St. Quentin, </w:t>
      </w:r>
      <w:r w:rsidRPr="0016638E">
        <w:rPr>
          <w:i/>
          <w:sz w:val="20"/>
          <w:szCs w:val="20"/>
        </w:rPr>
        <w:t>History of the Norman Dukes</w:t>
      </w:r>
      <w:r w:rsidRPr="0016638E">
        <w:rPr>
          <w:sz w:val="20"/>
          <w:szCs w:val="20"/>
        </w:rPr>
        <w:t>, provided in module reader</w:t>
      </w:r>
      <w:r>
        <w:rPr>
          <w:sz w:val="20"/>
          <w:szCs w:val="20"/>
        </w:rPr>
        <w:t>.</w:t>
      </w:r>
    </w:p>
    <w:p w:rsidR="00CB376D" w:rsidRPr="00CB376D" w:rsidRDefault="00CB376D" w:rsidP="0097285E">
      <w:pPr>
        <w:rPr>
          <w:sz w:val="20"/>
          <w:szCs w:val="20"/>
        </w:rPr>
      </w:pPr>
      <w:r w:rsidRPr="0016638E">
        <w:rPr>
          <w:sz w:val="20"/>
          <w:szCs w:val="20"/>
        </w:rPr>
        <w:t xml:space="preserve">Wilbert, </w:t>
      </w:r>
      <w:r w:rsidRPr="0016638E">
        <w:rPr>
          <w:i/>
          <w:sz w:val="20"/>
          <w:szCs w:val="20"/>
        </w:rPr>
        <w:t>The Life of Leo IX</w:t>
      </w:r>
      <w:r>
        <w:rPr>
          <w:sz w:val="20"/>
          <w:szCs w:val="20"/>
        </w:rPr>
        <w:t>, provided in module reader.</w:t>
      </w:r>
    </w:p>
    <w:p w:rsidR="00CB376D" w:rsidRDefault="00CB376D" w:rsidP="0097285E">
      <w:pPr>
        <w:rPr>
          <w:u w:val="single"/>
        </w:rPr>
      </w:pPr>
    </w:p>
    <w:p w:rsidR="00CB376D" w:rsidRPr="00C1374C" w:rsidRDefault="00C1374C" w:rsidP="0097285E">
      <w:pPr>
        <w:rPr>
          <w:u w:val="single"/>
        </w:rPr>
      </w:pPr>
      <w:r w:rsidRPr="00C1374C">
        <w:rPr>
          <w:u w:val="single"/>
        </w:rPr>
        <w:t>SECONDARY SOURCE MATERIALS</w:t>
      </w:r>
    </w:p>
    <w:p w:rsidR="00C1374C" w:rsidRPr="0016638E" w:rsidRDefault="00C1374C" w:rsidP="00C1374C">
      <w:pPr>
        <w:rPr>
          <w:sz w:val="20"/>
          <w:szCs w:val="20"/>
        </w:rPr>
      </w:pPr>
      <w:r w:rsidRPr="0016638E">
        <w:rPr>
          <w:sz w:val="20"/>
          <w:szCs w:val="20"/>
        </w:rPr>
        <w:t xml:space="preserve">Albu, </w:t>
      </w:r>
      <w:r>
        <w:rPr>
          <w:sz w:val="20"/>
          <w:szCs w:val="20"/>
        </w:rPr>
        <w:t xml:space="preserve">E., </w:t>
      </w:r>
      <w:proofErr w:type="gramStart"/>
      <w:r w:rsidRPr="0016638E">
        <w:rPr>
          <w:i/>
          <w:sz w:val="20"/>
          <w:szCs w:val="20"/>
        </w:rPr>
        <w:t>The</w:t>
      </w:r>
      <w:proofErr w:type="gramEnd"/>
      <w:r w:rsidRPr="0016638E">
        <w:rPr>
          <w:i/>
          <w:sz w:val="20"/>
          <w:szCs w:val="20"/>
        </w:rPr>
        <w:t xml:space="preserve"> Normans in their Histories</w:t>
      </w:r>
      <w:r w:rsidRPr="0016638E">
        <w:rPr>
          <w:sz w:val="20"/>
          <w:szCs w:val="20"/>
        </w:rPr>
        <w:t xml:space="preserve"> (Woodbridge: The Boydell Press, 2001).</w:t>
      </w:r>
    </w:p>
    <w:p w:rsidR="00C1374C" w:rsidRPr="0016638E" w:rsidRDefault="00C1374C" w:rsidP="00C1374C">
      <w:pPr>
        <w:rPr>
          <w:sz w:val="20"/>
          <w:szCs w:val="20"/>
        </w:rPr>
      </w:pPr>
      <w:r w:rsidRPr="0016638E">
        <w:rPr>
          <w:i/>
          <w:sz w:val="20"/>
          <w:szCs w:val="20"/>
        </w:rPr>
        <w:t>The Anchor Bible: Genesis</w:t>
      </w:r>
      <w:r w:rsidRPr="0016638E">
        <w:rPr>
          <w:sz w:val="20"/>
          <w:szCs w:val="20"/>
        </w:rPr>
        <w:t xml:space="preserve">, intro. </w:t>
      </w:r>
      <w:proofErr w:type="gramStart"/>
      <w:r w:rsidRPr="0016638E">
        <w:rPr>
          <w:sz w:val="20"/>
          <w:szCs w:val="20"/>
        </w:rPr>
        <w:t>and</w:t>
      </w:r>
      <w:proofErr w:type="gramEnd"/>
      <w:r w:rsidRPr="0016638E">
        <w:rPr>
          <w:sz w:val="20"/>
          <w:szCs w:val="20"/>
        </w:rPr>
        <w:t xml:space="preserve"> trans. E.A. Speiser (New York: Doubleday and Company Inc., 1964).</w:t>
      </w:r>
    </w:p>
    <w:p w:rsidR="00CB376D" w:rsidRPr="0016638E" w:rsidRDefault="00CB376D" w:rsidP="00EF376E">
      <w:pPr>
        <w:rPr>
          <w:sz w:val="20"/>
          <w:szCs w:val="20"/>
        </w:rPr>
      </w:pPr>
      <w:r w:rsidRPr="0016638E">
        <w:rPr>
          <w:sz w:val="20"/>
          <w:szCs w:val="20"/>
        </w:rPr>
        <w:t>Douglas,</w:t>
      </w:r>
      <w:r>
        <w:rPr>
          <w:sz w:val="20"/>
          <w:szCs w:val="20"/>
        </w:rPr>
        <w:t xml:space="preserve"> D., C.,</w:t>
      </w:r>
      <w:r w:rsidRPr="0016638E">
        <w:rPr>
          <w:sz w:val="20"/>
          <w:szCs w:val="20"/>
        </w:rPr>
        <w:t xml:space="preserve"> </w:t>
      </w:r>
      <w:r w:rsidRPr="0016638E">
        <w:rPr>
          <w:i/>
          <w:sz w:val="20"/>
          <w:szCs w:val="20"/>
        </w:rPr>
        <w:t>‘Rollo of Normandy’</w:t>
      </w:r>
      <w:r w:rsidRPr="0016638E">
        <w:rPr>
          <w:sz w:val="20"/>
          <w:szCs w:val="20"/>
        </w:rPr>
        <w:t>, The English Historical Review, vol.57, no.228 (Oct., 1942).</w:t>
      </w:r>
    </w:p>
    <w:p w:rsidR="00CB376D" w:rsidRPr="0016638E" w:rsidRDefault="00CB376D" w:rsidP="00EF376E">
      <w:pPr>
        <w:rPr>
          <w:sz w:val="20"/>
          <w:szCs w:val="20"/>
        </w:rPr>
      </w:pPr>
      <w:r w:rsidRPr="0016638E">
        <w:rPr>
          <w:sz w:val="20"/>
          <w:szCs w:val="20"/>
        </w:rPr>
        <w:t xml:space="preserve">Homer, </w:t>
      </w:r>
      <w:r w:rsidRPr="0016638E">
        <w:rPr>
          <w:i/>
          <w:sz w:val="20"/>
          <w:szCs w:val="20"/>
        </w:rPr>
        <w:t>The Odyssey</w:t>
      </w:r>
      <w:r w:rsidRPr="0016638E">
        <w:rPr>
          <w:sz w:val="20"/>
          <w:szCs w:val="20"/>
        </w:rPr>
        <w:t>, trans. A.T. Murray, revised G.E. Dimock, available at https://www-loebclassics com.ezproxy.uwtsd.ac.uk/view/homer-odyssey/1919/pb_LCL104.13.xml?mainRsKey=c9nH51&amp;result=3&amp;rskey=qQpSUC, accessed on [01/11/2018].</w:t>
      </w:r>
    </w:p>
    <w:p w:rsidR="00CB376D" w:rsidRPr="0016638E" w:rsidRDefault="00CB376D" w:rsidP="00EF376E">
      <w:pPr>
        <w:rPr>
          <w:sz w:val="20"/>
          <w:szCs w:val="20"/>
        </w:rPr>
      </w:pPr>
      <w:r w:rsidRPr="0016638E">
        <w:rPr>
          <w:sz w:val="20"/>
          <w:szCs w:val="20"/>
        </w:rPr>
        <w:t>Kane,</w:t>
      </w:r>
      <w:r>
        <w:rPr>
          <w:sz w:val="20"/>
          <w:szCs w:val="20"/>
        </w:rPr>
        <w:t xml:space="preserve"> N.,</w:t>
      </w:r>
      <w:r w:rsidRPr="0016638E">
        <w:rPr>
          <w:sz w:val="20"/>
          <w:szCs w:val="20"/>
        </w:rPr>
        <w:t xml:space="preserve"> </w:t>
      </w:r>
      <w:proofErr w:type="gramStart"/>
      <w:r w:rsidRPr="0016638E">
        <w:rPr>
          <w:i/>
          <w:sz w:val="20"/>
          <w:szCs w:val="20"/>
        </w:rPr>
        <w:t>The</w:t>
      </w:r>
      <w:proofErr w:type="gramEnd"/>
      <w:r w:rsidRPr="0016638E">
        <w:rPr>
          <w:i/>
          <w:sz w:val="20"/>
          <w:szCs w:val="20"/>
        </w:rPr>
        <w:t xml:space="preserve"> Vikings: The Story of a People</w:t>
      </w:r>
      <w:r w:rsidRPr="0016638E">
        <w:rPr>
          <w:sz w:val="20"/>
          <w:szCs w:val="20"/>
        </w:rPr>
        <w:t xml:space="preserve"> (Spangenhelm Publishing, 2015).</w:t>
      </w:r>
    </w:p>
    <w:p w:rsidR="00CB376D" w:rsidRPr="0016638E" w:rsidRDefault="00CB376D" w:rsidP="00EF376E">
      <w:pPr>
        <w:rPr>
          <w:sz w:val="20"/>
          <w:szCs w:val="20"/>
        </w:rPr>
      </w:pPr>
      <w:r w:rsidRPr="0016638E">
        <w:rPr>
          <w:sz w:val="20"/>
          <w:szCs w:val="20"/>
        </w:rPr>
        <w:t>Merriam-Webster, Panegyric, Merriam-Webster.com, Available from https://www.merriam-webster.com/dictionary/panegyric, Accessed on [26/10/2018].</w:t>
      </w:r>
    </w:p>
    <w:p w:rsidR="00CB376D" w:rsidRPr="0016638E" w:rsidRDefault="00CB376D" w:rsidP="00EF376E">
      <w:pPr>
        <w:rPr>
          <w:sz w:val="20"/>
          <w:szCs w:val="20"/>
        </w:rPr>
      </w:pPr>
      <w:r w:rsidRPr="0016638E">
        <w:rPr>
          <w:sz w:val="20"/>
          <w:szCs w:val="20"/>
        </w:rPr>
        <w:t>Thomas,</w:t>
      </w:r>
      <w:r>
        <w:rPr>
          <w:sz w:val="20"/>
          <w:szCs w:val="20"/>
        </w:rPr>
        <w:t xml:space="preserve"> H., M.,</w:t>
      </w:r>
      <w:r w:rsidRPr="0016638E">
        <w:rPr>
          <w:sz w:val="20"/>
          <w:szCs w:val="20"/>
        </w:rPr>
        <w:t xml:space="preserve"> </w:t>
      </w:r>
      <w:r w:rsidRPr="0016638E">
        <w:rPr>
          <w:i/>
          <w:sz w:val="20"/>
          <w:szCs w:val="20"/>
        </w:rPr>
        <w:t>The English and the Normans: Ethnic Hostility, Assimilation, and Identity 1066-c.1220</w:t>
      </w:r>
      <w:r w:rsidRPr="0016638E">
        <w:rPr>
          <w:sz w:val="20"/>
          <w:szCs w:val="20"/>
        </w:rPr>
        <w:t xml:space="preserve"> (Oxford University Press, 2003), available at http://www.oxfordscholarship.com.ezproxy.uwtsd.ac.uk/view/10.1093/acprof:oso/9780199251230.001.0001/acprof-9780199251230-chapter-3, accessed on [01/11/2018].</w:t>
      </w:r>
    </w:p>
    <w:sectPr w:rsidR="00CB376D" w:rsidRPr="0016638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388" w:rsidRDefault="00B37388" w:rsidP="0097285E">
      <w:pPr>
        <w:spacing w:after="0" w:line="240" w:lineRule="auto"/>
      </w:pPr>
      <w:r>
        <w:separator/>
      </w:r>
    </w:p>
  </w:endnote>
  <w:endnote w:type="continuationSeparator" w:id="0">
    <w:p w:rsidR="00B37388" w:rsidRDefault="00B37388" w:rsidP="00972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22EF" w:rsidRPr="005035B3" w:rsidRDefault="005035B3">
    <w:pPr>
      <w:pStyle w:val="Footer"/>
      <w:rPr>
        <w:sz w:val="16"/>
      </w:rPr>
    </w:pPr>
    <w:r w:rsidRPr="005035B3">
      <w:rPr>
        <w:sz w:val="16"/>
      </w:rPr>
      <w:t>1375 WORDS</w:t>
    </w:r>
  </w:p>
  <w:p w:rsidR="00856A2F" w:rsidRDefault="00856A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388" w:rsidRDefault="00B37388" w:rsidP="0097285E">
      <w:pPr>
        <w:spacing w:after="0" w:line="240" w:lineRule="auto"/>
      </w:pPr>
      <w:r>
        <w:separator/>
      </w:r>
    </w:p>
  </w:footnote>
  <w:footnote w:type="continuationSeparator" w:id="0">
    <w:p w:rsidR="00B37388" w:rsidRDefault="00B37388" w:rsidP="0097285E">
      <w:pPr>
        <w:spacing w:after="0" w:line="240" w:lineRule="auto"/>
      </w:pPr>
      <w:r>
        <w:continuationSeparator/>
      </w:r>
    </w:p>
  </w:footnote>
  <w:footnote w:id="1">
    <w:p w:rsidR="00584E7E" w:rsidRPr="00F62E64" w:rsidRDefault="00584E7E">
      <w:pPr>
        <w:pStyle w:val="FootnoteText"/>
        <w:rPr>
          <w:sz w:val="18"/>
          <w:szCs w:val="18"/>
        </w:rPr>
      </w:pPr>
      <w:r w:rsidRPr="00F62E64">
        <w:rPr>
          <w:rStyle w:val="FootnoteReference"/>
          <w:sz w:val="18"/>
          <w:szCs w:val="18"/>
        </w:rPr>
        <w:footnoteRef/>
      </w:r>
      <w:r w:rsidR="007113C1">
        <w:rPr>
          <w:sz w:val="18"/>
          <w:szCs w:val="18"/>
        </w:rPr>
        <w:t xml:space="preserve"> </w:t>
      </w:r>
      <w:r w:rsidRPr="00F62E64">
        <w:rPr>
          <w:sz w:val="18"/>
          <w:szCs w:val="18"/>
        </w:rPr>
        <w:t>D.C. Douglas, ‘</w:t>
      </w:r>
      <w:r w:rsidRPr="00F62E64">
        <w:rPr>
          <w:i/>
          <w:sz w:val="18"/>
          <w:szCs w:val="18"/>
        </w:rPr>
        <w:t>Rollo of Normandy’</w:t>
      </w:r>
      <w:r w:rsidRPr="00F62E64">
        <w:rPr>
          <w:sz w:val="18"/>
          <w:szCs w:val="18"/>
        </w:rPr>
        <w:t>, The English Historical Review, vol.57, no.228 (Oct., 1942) p.1.</w:t>
      </w:r>
    </w:p>
  </w:footnote>
  <w:footnote w:id="2">
    <w:p w:rsidR="00F62E64" w:rsidRDefault="00F62E64">
      <w:pPr>
        <w:pStyle w:val="FootnoteText"/>
      </w:pPr>
      <w:r w:rsidRPr="00F62E64">
        <w:rPr>
          <w:rStyle w:val="FootnoteReference"/>
          <w:sz w:val="18"/>
          <w:szCs w:val="18"/>
        </w:rPr>
        <w:footnoteRef/>
      </w:r>
      <w:r w:rsidRPr="00F62E64">
        <w:rPr>
          <w:sz w:val="18"/>
          <w:szCs w:val="18"/>
        </w:rPr>
        <w:t xml:space="preserve"> </w:t>
      </w:r>
      <w:r w:rsidRPr="004B763E">
        <w:rPr>
          <w:sz w:val="18"/>
        </w:rPr>
        <w:t xml:space="preserve">E. Albu, </w:t>
      </w:r>
      <w:proofErr w:type="gramStart"/>
      <w:r w:rsidRPr="004B763E">
        <w:rPr>
          <w:i/>
          <w:sz w:val="18"/>
        </w:rPr>
        <w:t>The</w:t>
      </w:r>
      <w:proofErr w:type="gramEnd"/>
      <w:r w:rsidRPr="004B763E">
        <w:rPr>
          <w:i/>
          <w:sz w:val="18"/>
        </w:rPr>
        <w:t xml:space="preserve"> Normans in their Histories </w:t>
      </w:r>
      <w:r w:rsidRPr="004B763E">
        <w:rPr>
          <w:sz w:val="18"/>
        </w:rPr>
        <w:t>(Woodbridge: The Boydell Press, 2001), p.8.</w:t>
      </w:r>
    </w:p>
  </w:footnote>
  <w:footnote w:id="3">
    <w:p w:rsidR="00092D1D" w:rsidRDefault="00092D1D">
      <w:pPr>
        <w:pStyle w:val="FootnoteText"/>
      </w:pPr>
      <w:r w:rsidRPr="00092D1D">
        <w:rPr>
          <w:rStyle w:val="FootnoteReference"/>
          <w:sz w:val="18"/>
        </w:rPr>
        <w:footnoteRef/>
      </w:r>
      <w:r w:rsidR="007113C1">
        <w:rPr>
          <w:sz w:val="18"/>
        </w:rPr>
        <w:t xml:space="preserve"> </w:t>
      </w:r>
      <w:r w:rsidRPr="003353A6">
        <w:rPr>
          <w:sz w:val="18"/>
        </w:rPr>
        <w:t xml:space="preserve">Dudo of St. Quentin, </w:t>
      </w:r>
      <w:r>
        <w:rPr>
          <w:i/>
          <w:sz w:val="18"/>
        </w:rPr>
        <w:t>History of the Norman Dukes</w:t>
      </w:r>
      <w:r>
        <w:rPr>
          <w:sz w:val="18"/>
        </w:rPr>
        <w:t>, provided in module reader.</w:t>
      </w:r>
    </w:p>
  </w:footnote>
  <w:footnote w:id="4">
    <w:p w:rsidR="007113C1" w:rsidRDefault="007113C1">
      <w:pPr>
        <w:pStyle w:val="FootnoteText"/>
      </w:pPr>
      <w:r w:rsidRPr="007113C1">
        <w:rPr>
          <w:rStyle w:val="FootnoteReference"/>
          <w:sz w:val="18"/>
        </w:rPr>
        <w:footnoteRef/>
      </w:r>
      <w:r>
        <w:rPr>
          <w:i/>
          <w:sz w:val="18"/>
        </w:rPr>
        <w:t xml:space="preserve"> </w:t>
      </w:r>
      <w:r>
        <w:rPr>
          <w:i/>
          <w:sz w:val="18"/>
        </w:rPr>
        <w:t>The Anchor Bible: Genesis</w:t>
      </w:r>
      <w:r>
        <w:rPr>
          <w:sz w:val="18"/>
        </w:rPr>
        <w:t xml:space="preserve">, intro. </w:t>
      </w:r>
      <w:proofErr w:type="gramStart"/>
      <w:r>
        <w:rPr>
          <w:sz w:val="18"/>
        </w:rPr>
        <w:t>and</w:t>
      </w:r>
      <w:proofErr w:type="gramEnd"/>
      <w:r>
        <w:rPr>
          <w:sz w:val="18"/>
        </w:rPr>
        <w:t xml:space="preserve"> trans. E.A. Speiser (New York: Doubleday and Company Inc., 1964), p.14.</w:t>
      </w:r>
    </w:p>
  </w:footnote>
  <w:footnote w:id="5">
    <w:p w:rsidR="007113C1" w:rsidRDefault="007113C1">
      <w:pPr>
        <w:pStyle w:val="FootnoteText"/>
      </w:pPr>
      <w:r w:rsidRPr="007113C1">
        <w:rPr>
          <w:rStyle w:val="FootnoteReference"/>
          <w:sz w:val="18"/>
        </w:rPr>
        <w:footnoteRef/>
      </w:r>
      <w:r w:rsidRPr="007113C1">
        <w:rPr>
          <w:sz w:val="18"/>
        </w:rPr>
        <w:t xml:space="preserve"> </w:t>
      </w:r>
      <w:r w:rsidRPr="00D112ED">
        <w:rPr>
          <w:sz w:val="18"/>
        </w:rPr>
        <w:t xml:space="preserve">N. Kane, </w:t>
      </w:r>
      <w:proofErr w:type="gramStart"/>
      <w:r w:rsidRPr="00D112ED">
        <w:rPr>
          <w:i/>
          <w:sz w:val="18"/>
        </w:rPr>
        <w:t>The</w:t>
      </w:r>
      <w:proofErr w:type="gramEnd"/>
      <w:r w:rsidRPr="00D112ED">
        <w:rPr>
          <w:i/>
          <w:sz w:val="18"/>
        </w:rPr>
        <w:t xml:space="preserve"> Vikings: The Story of a People</w:t>
      </w:r>
      <w:r w:rsidRPr="00D112ED">
        <w:rPr>
          <w:sz w:val="18"/>
        </w:rPr>
        <w:t xml:space="preserve"> (Spangenhelm Publishing, 2015).</w:t>
      </w:r>
    </w:p>
  </w:footnote>
  <w:footnote w:id="6">
    <w:p w:rsidR="000C026A" w:rsidRDefault="000C026A">
      <w:pPr>
        <w:pStyle w:val="FootnoteText"/>
      </w:pPr>
      <w:r w:rsidRPr="000C026A">
        <w:rPr>
          <w:rStyle w:val="FootnoteReference"/>
          <w:sz w:val="18"/>
        </w:rPr>
        <w:footnoteRef/>
      </w:r>
      <w:r w:rsidRPr="000C026A">
        <w:rPr>
          <w:sz w:val="18"/>
        </w:rPr>
        <w:t xml:space="preserve"> </w:t>
      </w:r>
      <w:r>
        <w:rPr>
          <w:i/>
          <w:sz w:val="18"/>
        </w:rPr>
        <w:t xml:space="preserve">The Anglo Saxon Chronicle: A Collaborative Editions, </w:t>
      </w:r>
      <w:r>
        <w:rPr>
          <w:sz w:val="18"/>
        </w:rPr>
        <w:t xml:space="preserve">trans. A.A. Somerville, from David Dumville and Simon Keynes, general eds., (Cambridge: D.S. Brewer, 1983-), vol.7; MS E, ed. Susan Irvine (Cambridge: D.S. Brewer, 2004), pp.41-45, in </w:t>
      </w:r>
      <w:r>
        <w:rPr>
          <w:i/>
          <w:sz w:val="18"/>
        </w:rPr>
        <w:t xml:space="preserve">The Viking Age: A Reader, </w:t>
      </w:r>
      <w:r>
        <w:rPr>
          <w:sz w:val="18"/>
        </w:rPr>
        <w:t>ed. A.A. Somerville and R.A. McDonald, 2</w:t>
      </w:r>
      <w:r w:rsidRPr="00C5279B">
        <w:rPr>
          <w:sz w:val="18"/>
          <w:vertAlign w:val="superscript"/>
        </w:rPr>
        <w:t>nd</w:t>
      </w:r>
      <w:r>
        <w:rPr>
          <w:sz w:val="18"/>
        </w:rPr>
        <w:t xml:space="preserve"> edn., (University of Toronto Press, 2014) pp.184-185.</w:t>
      </w:r>
    </w:p>
  </w:footnote>
  <w:footnote w:id="7">
    <w:p w:rsidR="00C61D80" w:rsidRDefault="00C61D80">
      <w:pPr>
        <w:pStyle w:val="FootnoteText"/>
      </w:pPr>
      <w:r w:rsidRPr="00C61D80">
        <w:rPr>
          <w:rStyle w:val="FootnoteReference"/>
          <w:sz w:val="18"/>
        </w:rPr>
        <w:footnoteRef/>
      </w:r>
      <w:r w:rsidRPr="00C61D80">
        <w:rPr>
          <w:sz w:val="18"/>
        </w:rPr>
        <w:t xml:space="preserve"> </w:t>
      </w:r>
      <w:r>
        <w:rPr>
          <w:sz w:val="18"/>
        </w:rPr>
        <w:t xml:space="preserve">D.C. Douglas, </w:t>
      </w:r>
      <w:r>
        <w:rPr>
          <w:i/>
          <w:sz w:val="18"/>
        </w:rPr>
        <w:t>Rollo of Normandy</w:t>
      </w:r>
      <w:r w:rsidR="00692DFA">
        <w:rPr>
          <w:sz w:val="18"/>
        </w:rPr>
        <w:t xml:space="preserve">, </w:t>
      </w:r>
      <w:r>
        <w:rPr>
          <w:sz w:val="18"/>
        </w:rPr>
        <w:t>p.434.</w:t>
      </w:r>
    </w:p>
  </w:footnote>
  <w:footnote w:id="8">
    <w:p w:rsidR="00837A7A" w:rsidRDefault="00837A7A">
      <w:pPr>
        <w:pStyle w:val="FootnoteText"/>
      </w:pPr>
      <w:r w:rsidRPr="00837A7A">
        <w:rPr>
          <w:rStyle w:val="FootnoteReference"/>
          <w:sz w:val="18"/>
        </w:rPr>
        <w:footnoteRef/>
      </w:r>
      <w:r w:rsidRPr="00837A7A">
        <w:rPr>
          <w:sz w:val="18"/>
        </w:rPr>
        <w:t xml:space="preserve"> </w:t>
      </w:r>
      <w:r>
        <w:rPr>
          <w:sz w:val="18"/>
        </w:rPr>
        <w:t xml:space="preserve">Wilbert, </w:t>
      </w:r>
      <w:r>
        <w:rPr>
          <w:i/>
          <w:sz w:val="18"/>
        </w:rPr>
        <w:t>The Life of Leo IX</w:t>
      </w:r>
      <w:r>
        <w:rPr>
          <w:sz w:val="18"/>
        </w:rPr>
        <w:t>, provided in module reader.</w:t>
      </w:r>
    </w:p>
  </w:footnote>
  <w:footnote w:id="9">
    <w:p w:rsidR="0086089A" w:rsidRPr="0086089A" w:rsidRDefault="0086089A">
      <w:pPr>
        <w:pStyle w:val="FootnoteText"/>
      </w:pPr>
      <w:r w:rsidRPr="0086089A">
        <w:rPr>
          <w:rStyle w:val="FootnoteReference"/>
          <w:sz w:val="18"/>
        </w:rPr>
        <w:footnoteRef/>
      </w:r>
      <w:r w:rsidRPr="0086089A">
        <w:rPr>
          <w:sz w:val="18"/>
        </w:rPr>
        <w:t xml:space="preserve"> </w:t>
      </w:r>
      <w:r>
        <w:rPr>
          <w:sz w:val="18"/>
        </w:rPr>
        <w:t xml:space="preserve">Homer, </w:t>
      </w:r>
      <w:r>
        <w:rPr>
          <w:i/>
          <w:sz w:val="18"/>
        </w:rPr>
        <w:t>Odyssey</w:t>
      </w:r>
      <w:r>
        <w:rPr>
          <w:sz w:val="18"/>
        </w:rPr>
        <w:t xml:space="preserve">, </w:t>
      </w:r>
      <w:r w:rsidRPr="0086089A">
        <w:rPr>
          <w:sz w:val="18"/>
        </w:rPr>
        <w:t>trans. A.T. Murray, revised G.E. Dimock, p.455</w:t>
      </w:r>
      <w:r>
        <w:rPr>
          <w:sz w:val="18"/>
        </w:rPr>
        <w:t>, available at https://www-loebclassics-com.ezproxy.uwtsd.ac.uk/viewer/homer-odyssey/1919/</w:t>
      </w:r>
      <w:r w:rsidRPr="0086089A">
        <w:rPr>
          <w:sz w:val="18"/>
        </w:rPr>
        <w:t>pb_LCL104.13.xml?mainRsKey=c9nH51&amp;result=3&amp;rskey=qQpSUC</w:t>
      </w:r>
      <w:r>
        <w:rPr>
          <w:sz w:val="18"/>
        </w:rPr>
        <w:t>, accessed on [01/11/2018].</w:t>
      </w:r>
    </w:p>
  </w:footnote>
  <w:footnote w:id="10">
    <w:p w:rsidR="001B3762" w:rsidRDefault="001B3762">
      <w:pPr>
        <w:pStyle w:val="FootnoteText"/>
      </w:pPr>
      <w:r w:rsidRPr="001B3762">
        <w:rPr>
          <w:rStyle w:val="FootnoteReference"/>
          <w:sz w:val="18"/>
        </w:rPr>
        <w:footnoteRef/>
      </w:r>
      <w:r w:rsidRPr="001B3762">
        <w:rPr>
          <w:sz w:val="18"/>
        </w:rPr>
        <w:t xml:space="preserve"> </w:t>
      </w:r>
      <w:r w:rsidRPr="00D144E8">
        <w:rPr>
          <w:sz w:val="18"/>
        </w:rPr>
        <w:t xml:space="preserve">H.M. Thomas, </w:t>
      </w:r>
      <w:r w:rsidRPr="00D144E8">
        <w:rPr>
          <w:i/>
          <w:sz w:val="18"/>
        </w:rPr>
        <w:t>The English and the Normans: Ethnic Hostility, Assimilation, and Identity 1066-c.1220</w:t>
      </w:r>
      <w:r w:rsidRPr="00D144E8">
        <w:rPr>
          <w:sz w:val="18"/>
        </w:rPr>
        <w:t xml:space="preserve"> (Oxford University Press, 2003), p.32,</w:t>
      </w:r>
      <w:r>
        <w:rPr>
          <w:sz w:val="18"/>
        </w:rPr>
        <w:t xml:space="preserve"> available at </w:t>
      </w:r>
      <w:r w:rsidRPr="001B3762">
        <w:rPr>
          <w:sz w:val="18"/>
        </w:rPr>
        <w:t>http://www.oxfordscholarship.com.ezproxy.uwtsd.ac.uk/view/10.1093/acprof:oso/9780199251230.001.0001/</w:t>
      </w:r>
      <w:r w:rsidRPr="001B3762">
        <w:t xml:space="preserve"> </w:t>
      </w:r>
      <w:r w:rsidRPr="001B3762">
        <w:rPr>
          <w:sz w:val="18"/>
        </w:rPr>
        <w:t>acprof-9780199251230-chapter-3, accessed on [01/11/2018].</w:t>
      </w:r>
    </w:p>
  </w:footnote>
  <w:footnote w:id="11">
    <w:p w:rsidR="004411D9" w:rsidRDefault="004411D9">
      <w:pPr>
        <w:pStyle w:val="FootnoteText"/>
      </w:pPr>
      <w:r w:rsidRPr="004411D9">
        <w:rPr>
          <w:rStyle w:val="FootnoteReference"/>
          <w:sz w:val="18"/>
        </w:rPr>
        <w:footnoteRef/>
      </w:r>
      <w:r w:rsidRPr="004411D9">
        <w:rPr>
          <w:sz w:val="18"/>
        </w:rPr>
        <w:t xml:space="preserve"> Merriam-Webster, Panegyric, Merriam-Webster.com, Available from https://www.merriam-webster.com/dictionary/panegyric, Accessed on [26/10/2018].</w:t>
      </w:r>
      <w:bookmarkStart w:id="0" w:name="_GoBack"/>
      <w:bookmarkEnd w:id="0"/>
    </w:p>
  </w:footnote>
  <w:footnote w:id="12">
    <w:p w:rsidR="009053D5" w:rsidRPr="009053D5" w:rsidRDefault="009053D5">
      <w:pPr>
        <w:pStyle w:val="FootnoteText"/>
      </w:pPr>
      <w:r w:rsidRPr="009053D5">
        <w:rPr>
          <w:rStyle w:val="FootnoteReference"/>
          <w:sz w:val="18"/>
        </w:rPr>
        <w:footnoteRef/>
      </w:r>
      <w:r w:rsidRPr="009053D5">
        <w:rPr>
          <w:sz w:val="18"/>
        </w:rPr>
        <w:t xml:space="preserve"> </w:t>
      </w:r>
      <w:r>
        <w:rPr>
          <w:sz w:val="18"/>
        </w:rPr>
        <w:t xml:space="preserve">See William of Jumieges, </w:t>
      </w:r>
      <w:r>
        <w:rPr>
          <w:i/>
          <w:sz w:val="18"/>
        </w:rPr>
        <w:t>Gesta Normannorum</w:t>
      </w:r>
      <w:r>
        <w:rPr>
          <w:sz w:val="18"/>
        </w:rPr>
        <w:t>, provided in module reader, for intertextuality and the repeated use of ‘wolf’ imagery to depict the Norman’s behaviour.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85E"/>
    <w:rsid w:val="00006349"/>
    <w:rsid w:val="00051FF1"/>
    <w:rsid w:val="00066517"/>
    <w:rsid w:val="00092D1D"/>
    <w:rsid w:val="00097A26"/>
    <w:rsid w:val="000B4811"/>
    <w:rsid w:val="000B58FB"/>
    <w:rsid w:val="000C026A"/>
    <w:rsid w:val="000E42E2"/>
    <w:rsid w:val="000F1B69"/>
    <w:rsid w:val="0011309D"/>
    <w:rsid w:val="0012588E"/>
    <w:rsid w:val="00193AC0"/>
    <w:rsid w:val="001B3762"/>
    <w:rsid w:val="001D4DCC"/>
    <w:rsid w:val="001E138C"/>
    <w:rsid w:val="00205086"/>
    <w:rsid w:val="002269EB"/>
    <w:rsid w:val="00227255"/>
    <w:rsid w:val="00245B09"/>
    <w:rsid w:val="00264DC0"/>
    <w:rsid w:val="002704CA"/>
    <w:rsid w:val="0027568B"/>
    <w:rsid w:val="00275DC7"/>
    <w:rsid w:val="00281D46"/>
    <w:rsid w:val="002822EF"/>
    <w:rsid w:val="002C0742"/>
    <w:rsid w:val="00301350"/>
    <w:rsid w:val="0033089D"/>
    <w:rsid w:val="003326BE"/>
    <w:rsid w:val="003365A3"/>
    <w:rsid w:val="00386CE6"/>
    <w:rsid w:val="003A20F3"/>
    <w:rsid w:val="003A6FF2"/>
    <w:rsid w:val="003C6327"/>
    <w:rsid w:val="00401F7A"/>
    <w:rsid w:val="0042622F"/>
    <w:rsid w:val="0043421A"/>
    <w:rsid w:val="004411D9"/>
    <w:rsid w:val="0044226B"/>
    <w:rsid w:val="00472A03"/>
    <w:rsid w:val="004B2163"/>
    <w:rsid w:val="004B336E"/>
    <w:rsid w:val="004E7F77"/>
    <w:rsid w:val="005035B3"/>
    <w:rsid w:val="0050498B"/>
    <w:rsid w:val="0050727C"/>
    <w:rsid w:val="00510BA6"/>
    <w:rsid w:val="0052429C"/>
    <w:rsid w:val="00527A7A"/>
    <w:rsid w:val="005330DC"/>
    <w:rsid w:val="0053566B"/>
    <w:rsid w:val="005552C8"/>
    <w:rsid w:val="00584E7E"/>
    <w:rsid w:val="00590527"/>
    <w:rsid w:val="00590846"/>
    <w:rsid w:val="00600527"/>
    <w:rsid w:val="00600860"/>
    <w:rsid w:val="00600ADF"/>
    <w:rsid w:val="006155CE"/>
    <w:rsid w:val="0063712B"/>
    <w:rsid w:val="00692DFA"/>
    <w:rsid w:val="00697D81"/>
    <w:rsid w:val="006B308F"/>
    <w:rsid w:val="006B5938"/>
    <w:rsid w:val="006F7D89"/>
    <w:rsid w:val="007113C1"/>
    <w:rsid w:val="007229CB"/>
    <w:rsid w:val="007803AE"/>
    <w:rsid w:val="00791846"/>
    <w:rsid w:val="007A057D"/>
    <w:rsid w:val="007E6726"/>
    <w:rsid w:val="007F1371"/>
    <w:rsid w:val="008015A6"/>
    <w:rsid w:val="0081690A"/>
    <w:rsid w:val="0083213E"/>
    <w:rsid w:val="00837A7A"/>
    <w:rsid w:val="00856A2F"/>
    <w:rsid w:val="0086089A"/>
    <w:rsid w:val="008664DC"/>
    <w:rsid w:val="00871B49"/>
    <w:rsid w:val="008C29E9"/>
    <w:rsid w:val="008F1D10"/>
    <w:rsid w:val="00901D18"/>
    <w:rsid w:val="009053D5"/>
    <w:rsid w:val="009074C3"/>
    <w:rsid w:val="00922164"/>
    <w:rsid w:val="00931827"/>
    <w:rsid w:val="009320A7"/>
    <w:rsid w:val="00933771"/>
    <w:rsid w:val="0097285E"/>
    <w:rsid w:val="00973412"/>
    <w:rsid w:val="009D3B26"/>
    <w:rsid w:val="00A07BD9"/>
    <w:rsid w:val="00A44EA9"/>
    <w:rsid w:val="00A71245"/>
    <w:rsid w:val="00AA6E22"/>
    <w:rsid w:val="00AE5387"/>
    <w:rsid w:val="00AE75B0"/>
    <w:rsid w:val="00B37388"/>
    <w:rsid w:val="00B54291"/>
    <w:rsid w:val="00B82E40"/>
    <w:rsid w:val="00B83ADC"/>
    <w:rsid w:val="00BF5045"/>
    <w:rsid w:val="00C1374C"/>
    <w:rsid w:val="00C167C5"/>
    <w:rsid w:val="00C17CD1"/>
    <w:rsid w:val="00C208BF"/>
    <w:rsid w:val="00C61D80"/>
    <w:rsid w:val="00C64AB4"/>
    <w:rsid w:val="00C75F05"/>
    <w:rsid w:val="00C922D5"/>
    <w:rsid w:val="00CA3C70"/>
    <w:rsid w:val="00CB376D"/>
    <w:rsid w:val="00CD235B"/>
    <w:rsid w:val="00D40FCB"/>
    <w:rsid w:val="00D62668"/>
    <w:rsid w:val="00D753B5"/>
    <w:rsid w:val="00D95F1C"/>
    <w:rsid w:val="00DA5CA1"/>
    <w:rsid w:val="00DF24B8"/>
    <w:rsid w:val="00E05B18"/>
    <w:rsid w:val="00E11017"/>
    <w:rsid w:val="00E61B2F"/>
    <w:rsid w:val="00E73690"/>
    <w:rsid w:val="00E873D2"/>
    <w:rsid w:val="00EA21EF"/>
    <w:rsid w:val="00EC3D1A"/>
    <w:rsid w:val="00ED0C4A"/>
    <w:rsid w:val="00EF376E"/>
    <w:rsid w:val="00EF5B65"/>
    <w:rsid w:val="00F30181"/>
    <w:rsid w:val="00F3775F"/>
    <w:rsid w:val="00F37A2D"/>
    <w:rsid w:val="00F62E64"/>
    <w:rsid w:val="00F653F3"/>
    <w:rsid w:val="00F736E9"/>
    <w:rsid w:val="00F82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4259CCF-F81F-4A4B-BB77-3D2D8A21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8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728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285E"/>
    <w:rPr>
      <w:sz w:val="20"/>
      <w:szCs w:val="20"/>
    </w:rPr>
  </w:style>
  <w:style w:type="character" w:styleId="FootnoteReference">
    <w:name w:val="footnote reference"/>
    <w:basedOn w:val="DefaultParagraphFont"/>
    <w:uiPriority w:val="99"/>
    <w:semiHidden/>
    <w:unhideWhenUsed/>
    <w:rsid w:val="0097285E"/>
    <w:rPr>
      <w:vertAlign w:val="superscript"/>
    </w:rPr>
  </w:style>
  <w:style w:type="paragraph" w:styleId="Header">
    <w:name w:val="header"/>
    <w:basedOn w:val="Normal"/>
    <w:link w:val="HeaderChar"/>
    <w:uiPriority w:val="99"/>
    <w:unhideWhenUsed/>
    <w:rsid w:val="00837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A7A"/>
  </w:style>
  <w:style w:type="paragraph" w:styleId="Footer">
    <w:name w:val="footer"/>
    <w:basedOn w:val="Normal"/>
    <w:link w:val="FooterChar"/>
    <w:uiPriority w:val="99"/>
    <w:unhideWhenUsed/>
    <w:rsid w:val="00837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A7A"/>
  </w:style>
  <w:style w:type="character" w:styleId="Hyperlink">
    <w:name w:val="Hyperlink"/>
    <w:basedOn w:val="DefaultParagraphFont"/>
    <w:uiPriority w:val="99"/>
    <w:unhideWhenUsed/>
    <w:rsid w:val="00860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65664-0A7C-493D-AA6B-1D30F1654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4</Pages>
  <Words>1527</Words>
  <Characters>8705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McGowan</dc:creator>
  <cp:keywords/>
  <dc:description/>
  <cp:lastModifiedBy>Phoebe McGowan</cp:lastModifiedBy>
  <cp:revision>190</cp:revision>
  <dcterms:created xsi:type="dcterms:W3CDTF">2018-11-01T21:08:00Z</dcterms:created>
  <dcterms:modified xsi:type="dcterms:W3CDTF">2018-11-02T18:34:00Z</dcterms:modified>
</cp:coreProperties>
</file>