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D9C665" w14:textId="77777777" w:rsidR="00EF0472" w:rsidRDefault="00EF0472" w:rsidP="00EF0472">
      <w:pPr>
        <w:jc w:val="center"/>
        <w:rPr>
          <w:b/>
          <w:bCs/>
          <w:sz w:val="52"/>
          <w:szCs w:val="52"/>
        </w:rPr>
      </w:pPr>
      <w:r>
        <w:rPr>
          <w:b/>
          <w:bCs/>
          <w:sz w:val="52"/>
          <w:szCs w:val="52"/>
        </w:rPr>
        <w:t>UNIVERSITY OF WALES</w:t>
      </w:r>
    </w:p>
    <w:p w14:paraId="709CF4DE" w14:textId="77777777" w:rsidR="00EF0472" w:rsidRDefault="00EF0472" w:rsidP="00EF0472">
      <w:pPr>
        <w:jc w:val="center"/>
        <w:rPr>
          <w:sz w:val="40"/>
          <w:szCs w:val="40"/>
        </w:rPr>
      </w:pPr>
      <w:r>
        <w:rPr>
          <w:sz w:val="40"/>
          <w:szCs w:val="40"/>
        </w:rPr>
        <w:t>TRINITY SAINT DAVID</w:t>
      </w:r>
    </w:p>
    <w:p w14:paraId="506AE33B" w14:textId="77777777" w:rsidR="00EF0472" w:rsidRDefault="00EF0472" w:rsidP="00EF0472">
      <w:pPr>
        <w:jc w:val="center"/>
        <w:rPr>
          <w:sz w:val="40"/>
          <w:szCs w:val="40"/>
        </w:rPr>
      </w:pPr>
    </w:p>
    <w:p w14:paraId="15B34C3E" w14:textId="77777777" w:rsidR="00EF0472" w:rsidRDefault="00EF0472" w:rsidP="00EF0472">
      <w:pPr>
        <w:rPr>
          <w:sz w:val="40"/>
          <w:szCs w:val="40"/>
        </w:rPr>
      </w:pPr>
    </w:p>
    <w:p w14:paraId="1A8098A7" w14:textId="77777777" w:rsidR="00EF0472" w:rsidRDefault="00EF0472" w:rsidP="00EF0472">
      <w:pPr>
        <w:jc w:val="center"/>
        <w:rPr>
          <w:sz w:val="40"/>
          <w:szCs w:val="40"/>
        </w:rPr>
      </w:pPr>
    </w:p>
    <w:p w14:paraId="526D0600" w14:textId="5AB93607" w:rsidR="00EF0472" w:rsidRDefault="00EF0472" w:rsidP="00EF0472">
      <w:pPr>
        <w:jc w:val="center"/>
        <w:rPr>
          <w:b/>
          <w:bCs/>
          <w:sz w:val="40"/>
          <w:szCs w:val="40"/>
        </w:rPr>
      </w:pPr>
      <w:r>
        <w:rPr>
          <w:b/>
          <w:bCs/>
          <w:sz w:val="40"/>
          <w:szCs w:val="40"/>
          <w:u w:val="single"/>
        </w:rPr>
        <w:t>MODULE:</w:t>
      </w:r>
      <w:r>
        <w:rPr>
          <w:b/>
          <w:bCs/>
          <w:sz w:val="40"/>
          <w:szCs w:val="40"/>
          <w:u w:val="single"/>
        </w:rPr>
        <w:t xml:space="preserve"> PERSONAL RESOURCING AND DEVELOPMENT BMIH5005</w:t>
      </w:r>
    </w:p>
    <w:p w14:paraId="3B8C04D8" w14:textId="23F9D35A" w:rsidR="00EF0472" w:rsidRPr="00EF0472" w:rsidRDefault="00EF0472" w:rsidP="00EF0472">
      <w:pPr>
        <w:jc w:val="center"/>
      </w:pPr>
      <w:r w:rsidRPr="00996F7C">
        <w:rPr>
          <w:b/>
          <w:bCs/>
        </w:rPr>
        <w:t xml:space="preserve">ASSIGNMENT </w:t>
      </w:r>
      <w:r>
        <w:rPr>
          <w:b/>
          <w:bCs/>
        </w:rPr>
        <w:t xml:space="preserve">2: </w:t>
      </w:r>
      <w:r w:rsidRPr="00EF0472">
        <w:rPr>
          <w:b/>
          <w:bCs/>
        </w:rPr>
        <w:t>RESEARCH PROJECT PROPOSAL</w:t>
      </w:r>
      <w:r>
        <w:rPr>
          <w:b/>
          <w:bCs/>
        </w:rPr>
        <w:t xml:space="preserve"> – </w:t>
      </w:r>
      <w:proofErr w:type="spellStart"/>
      <w:r>
        <w:t>Analyse</w:t>
      </w:r>
      <w:proofErr w:type="spellEnd"/>
      <w:r>
        <w:t xml:space="preserve"> the impacts of socio-economic force on employees’ performance management and monitoring a </w:t>
      </w:r>
      <w:proofErr w:type="gramStart"/>
      <w:r>
        <w:t xml:space="preserve">different work </w:t>
      </w:r>
      <w:r w:rsidR="009A49E2">
        <w:t>modes</w:t>
      </w:r>
      <w:proofErr w:type="gramEnd"/>
      <w:r w:rsidR="009A49E2">
        <w:t xml:space="preserve">: Hospitality HR’s perspective </w:t>
      </w:r>
    </w:p>
    <w:p w14:paraId="05A299F4" w14:textId="77777777" w:rsidR="00EF0472" w:rsidRDefault="00EF0472" w:rsidP="00EF0472"/>
    <w:p w14:paraId="49F8E40E" w14:textId="77777777" w:rsidR="00EF0472" w:rsidRDefault="00EF0472" w:rsidP="00EF0472"/>
    <w:p w14:paraId="6C51D2B0" w14:textId="77777777" w:rsidR="00EF0472" w:rsidRDefault="00EF0472" w:rsidP="00EF0472"/>
    <w:p w14:paraId="1A0C8F78" w14:textId="77777777" w:rsidR="00EF0472" w:rsidRDefault="00EF0472" w:rsidP="00EF0472">
      <w:pPr>
        <w:jc w:val="center"/>
      </w:pPr>
    </w:p>
    <w:p w14:paraId="6EE8A6DD" w14:textId="77777777" w:rsidR="00EF0472" w:rsidRDefault="00EF0472" w:rsidP="00EF0472">
      <w:pPr>
        <w:jc w:val="center"/>
      </w:pPr>
    </w:p>
    <w:p w14:paraId="6E5655EE" w14:textId="77777777" w:rsidR="00EF0472" w:rsidRDefault="00EF0472" w:rsidP="00EF0472">
      <w:pPr>
        <w:jc w:val="center"/>
      </w:pPr>
    </w:p>
    <w:p w14:paraId="012B902A" w14:textId="77777777" w:rsidR="00EF0472" w:rsidRDefault="00EF0472" w:rsidP="00EF0472">
      <w:pPr>
        <w:jc w:val="center"/>
      </w:pPr>
    </w:p>
    <w:p w14:paraId="7F4642BE" w14:textId="77777777" w:rsidR="00EF0472" w:rsidRDefault="00EF0472" w:rsidP="00EF0472"/>
    <w:p w14:paraId="457B68A9" w14:textId="49EBB528" w:rsidR="00EF0472" w:rsidRPr="0055610B" w:rsidRDefault="00EF0472" w:rsidP="00EF0472">
      <w:pPr>
        <w:rPr>
          <w:b/>
          <w:bCs/>
        </w:rPr>
      </w:pPr>
      <w:r w:rsidRPr="0055610B">
        <w:rPr>
          <w:b/>
          <w:bCs/>
        </w:rPr>
        <w:t xml:space="preserve"> </w:t>
      </w:r>
      <w:r w:rsidRPr="00A15EF4">
        <w:rPr>
          <w:b/>
          <w:bCs/>
        </w:rPr>
        <w:t>MODULE LEAD:</w:t>
      </w:r>
      <w:r w:rsidR="009A49E2">
        <w:rPr>
          <w:b/>
          <w:bCs/>
        </w:rPr>
        <w:t xml:space="preserve"> HELEN LEE</w:t>
      </w:r>
      <w:r w:rsidRPr="0055610B">
        <w:rPr>
          <w:b/>
          <w:bCs/>
        </w:rPr>
        <w:t xml:space="preserve">    </w:t>
      </w:r>
      <w:r>
        <w:rPr>
          <w:b/>
          <w:bCs/>
        </w:rPr>
        <w:t xml:space="preserve">    </w:t>
      </w:r>
      <w:r w:rsidR="009A49E2">
        <w:rPr>
          <w:b/>
          <w:bCs/>
        </w:rPr>
        <w:t xml:space="preserve">                                                          </w:t>
      </w:r>
      <w:r>
        <w:rPr>
          <w:b/>
          <w:bCs/>
        </w:rPr>
        <w:t xml:space="preserve">  </w:t>
      </w:r>
      <w:r w:rsidRPr="0055610B">
        <w:rPr>
          <w:b/>
          <w:bCs/>
        </w:rPr>
        <w:t>Student name: KALLE Clement DITO</w:t>
      </w:r>
      <w:r>
        <w:rPr>
          <w:b/>
          <w:bCs/>
        </w:rPr>
        <w:t>U</w:t>
      </w:r>
    </w:p>
    <w:p w14:paraId="4186D0CD" w14:textId="38642C88" w:rsidR="00EF0472" w:rsidRDefault="009A49E2" w:rsidP="0020072D">
      <w:pPr>
        <w:spacing w:line="360" w:lineRule="auto"/>
        <w:jc w:val="both"/>
        <w:rPr>
          <w:rFonts w:ascii="Arial" w:hAnsi="Arial" w:cs="Arial"/>
          <w:b/>
          <w:sz w:val="24"/>
          <w:szCs w:val="24"/>
        </w:rPr>
      </w:pPr>
      <w:r>
        <w:rPr>
          <w:b/>
          <w:bCs/>
        </w:rPr>
        <w:t xml:space="preserve">                                                                                                                                 </w:t>
      </w:r>
      <w:r w:rsidR="00EF0472" w:rsidRPr="0055610B">
        <w:rPr>
          <w:b/>
          <w:bCs/>
        </w:rPr>
        <w:t xml:space="preserve">Student Number: </w:t>
      </w:r>
      <w:hyperlink r:id="rId4" w:history="1">
        <w:r w:rsidR="00EF0472" w:rsidRPr="0055610B">
          <w:rPr>
            <w:rStyle w:val="Hyperlink"/>
            <w:b/>
            <w:bCs/>
          </w:rPr>
          <w:t>2029083</w:t>
        </w:r>
      </w:hyperlink>
    </w:p>
    <w:p w14:paraId="1C108817" w14:textId="77777777" w:rsidR="00EF0472" w:rsidRDefault="00EF0472" w:rsidP="0020072D">
      <w:pPr>
        <w:spacing w:line="360" w:lineRule="auto"/>
        <w:jc w:val="both"/>
        <w:rPr>
          <w:rFonts w:ascii="Arial" w:hAnsi="Arial" w:cs="Arial"/>
          <w:b/>
          <w:sz w:val="24"/>
          <w:szCs w:val="24"/>
        </w:rPr>
      </w:pPr>
    </w:p>
    <w:p w14:paraId="75BC6A28" w14:textId="77777777" w:rsidR="009A49E2" w:rsidRDefault="009A49E2" w:rsidP="0020072D">
      <w:pPr>
        <w:spacing w:line="360" w:lineRule="auto"/>
        <w:jc w:val="both"/>
        <w:rPr>
          <w:rFonts w:ascii="Arial" w:hAnsi="Arial" w:cs="Arial"/>
          <w:b/>
          <w:sz w:val="24"/>
          <w:szCs w:val="24"/>
        </w:rPr>
      </w:pPr>
    </w:p>
    <w:p w14:paraId="3AF0E40C" w14:textId="760D427B" w:rsidR="001E14B7" w:rsidRPr="0020072D" w:rsidRDefault="003A28E7" w:rsidP="0020072D">
      <w:pPr>
        <w:spacing w:line="360" w:lineRule="auto"/>
        <w:jc w:val="both"/>
        <w:rPr>
          <w:rFonts w:ascii="Arial" w:hAnsi="Arial" w:cs="Arial"/>
          <w:b/>
          <w:sz w:val="24"/>
          <w:szCs w:val="24"/>
        </w:rPr>
      </w:pPr>
      <w:r w:rsidRPr="0020072D">
        <w:rPr>
          <w:rFonts w:ascii="Arial" w:hAnsi="Arial" w:cs="Arial"/>
          <w:b/>
          <w:sz w:val="24"/>
          <w:szCs w:val="24"/>
        </w:rPr>
        <w:lastRenderedPageBreak/>
        <w:t xml:space="preserve">INTRODUCTION </w:t>
      </w:r>
    </w:p>
    <w:p w14:paraId="466972B5" w14:textId="77777777" w:rsidR="000924F5" w:rsidRPr="000924F5" w:rsidRDefault="000924F5" w:rsidP="0020072D">
      <w:pPr>
        <w:spacing w:after="0" w:line="360" w:lineRule="auto"/>
        <w:jc w:val="both"/>
        <w:rPr>
          <w:rFonts w:ascii="Arial" w:eastAsia="Times New Roman" w:hAnsi="Arial" w:cs="Arial"/>
          <w:sz w:val="24"/>
          <w:szCs w:val="24"/>
          <w:lang w:eastAsia="en-US"/>
        </w:rPr>
      </w:pPr>
      <w:r w:rsidRPr="000924F5">
        <w:rPr>
          <w:rFonts w:ascii="Arial" w:eastAsia="Times New Roman" w:hAnsi="Arial" w:cs="Arial"/>
          <w:sz w:val="24"/>
          <w:szCs w:val="24"/>
          <w:lang w:eastAsia="en-US"/>
        </w:rPr>
        <w:t>The influence of socioeconomic forces on the performance management and monitoring of Marriott International workers will be examined in this proposal. Marriott International is a globally recognized hospitality enterprise that has its roots in America and oversees a diverse portfolio of hotel brands and other hospitality establishments around the globe. With over 7,000 occupancies and buildings supplying well over a million accommodations and rooms, the brand has developed its dominant position in over 100 countries. According to Barretto and Maya (2022) this group of hotels is regarded as one of the best in the world for providing brands, services, comfort, and accommodations. It has also been leaving its mark on a very large scale.</w:t>
      </w:r>
    </w:p>
    <w:p w14:paraId="56625521" w14:textId="77777777" w:rsidR="000924F5" w:rsidRPr="0020072D" w:rsidRDefault="0020072D" w:rsidP="0020072D">
      <w:pPr>
        <w:spacing w:after="0" w:line="360" w:lineRule="auto"/>
        <w:jc w:val="both"/>
        <w:rPr>
          <w:rFonts w:ascii="Arial" w:eastAsia="Times New Roman" w:hAnsi="Arial" w:cs="Arial"/>
          <w:sz w:val="24"/>
          <w:szCs w:val="24"/>
          <w:lang w:eastAsia="en-US"/>
        </w:rPr>
      </w:pPr>
      <w:r w:rsidRPr="0020072D">
        <w:rPr>
          <w:rFonts w:ascii="Arial" w:hAnsi="Arial" w:cs="Arial"/>
          <w:sz w:val="24"/>
          <w:szCs w:val="24"/>
        </w:rPr>
        <w:t xml:space="preserve"> </w:t>
      </w:r>
      <w:r w:rsidR="000924F5" w:rsidRPr="0020072D">
        <w:rPr>
          <w:rFonts w:ascii="Arial" w:eastAsia="Times New Roman" w:hAnsi="Arial" w:cs="Arial"/>
          <w:sz w:val="24"/>
          <w:szCs w:val="24"/>
          <w:lang w:eastAsia="en-US"/>
        </w:rPr>
        <w:t>Marriott International is among the greatest companies and lodging establishments to work for, thanks to the founder's original vision. Their reputation for prioritizing people has brought them great acclaim and recognition throughout the globe. One aspect of this company's worldwide unique selling proposition is providing opportunities for people to grow, learn, and succeed (Barreto and Maya, 2022). The socioeconomic components of the PESTEL study will be described in the proposal. PESTLE is the abbreviation for Political, Economic, Socio-Cultural, Technological, Legal, and Environmental factors, which are the six categories of macroeconomic variables incorporated in the model (Asmoro, 2021).</w:t>
      </w:r>
    </w:p>
    <w:p w14:paraId="1568C8DA" w14:textId="77777777" w:rsidR="000924F5" w:rsidRPr="000924F5" w:rsidRDefault="000924F5" w:rsidP="0020072D">
      <w:pPr>
        <w:spacing w:after="0" w:line="360" w:lineRule="auto"/>
        <w:jc w:val="both"/>
        <w:rPr>
          <w:rFonts w:ascii="Arial" w:eastAsia="Times New Roman" w:hAnsi="Arial" w:cs="Arial"/>
          <w:sz w:val="24"/>
          <w:szCs w:val="24"/>
          <w:lang w:eastAsia="en-US"/>
        </w:rPr>
      </w:pPr>
      <w:r w:rsidRPr="000924F5">
        <w:rPr>
          <w:rFonts w:ascii="Arial" w:eastAsia="Times New Roman" w:hAnsi="Arial" w:cs="Arial"/>
          <w:sz w:val="24"/>
          <w:szCs w:val="24"/>
          <w:lang w:eastAsia="en-US"/>
        </w:rPr>
        <w:t xml:space="preserve">First of all, it enables managers to pinpoint the economic variables (possibilities vs. possible dangers) that need to be taken into account for the business's development but whose realization is still somewhat questionable. In order to better forecast the future and make the proper decisions now for the benefit of the future, the model may then start to conceptualize various scenarios based on these unknown factors. Moreover, observing the most current developments in the hotel sector. These trends include the rate of staff turnover, employee retention, and the latest developments in work modes, such as flexible scheduling, work from home options, and hybrid working arrangements. Employees who worked from home significantly extended their usual working hours at this time. Working later in the evening and early in the morning was mostly to blame for this. Simultaneously, output saw a little decline as determined by the primary performance indicator of the employer. Researchers calculate that these variables have resulted in a </w:t>
      </w:r>
      <w:r w:rsidRPr="000924F5">
        <w:rPr>
          <w:rFonts w:ascii="Arial" w:eastAsia="Times New Roman" w:hAnsi="Arial" w:cs="Arial"/>
          <w:sz w:val="24"/>
          <w:szCs w:val="24"/>
          <w:lang w:eastAsia="en-US"/>
        </w:rPr>
        <w:lastRenderedPageBreak/>
        <w:t>decline of 8-19% in average employee productivity per hour of labor. The impact on work hours and output are almost immediately seen while working from home. However, prior to Work from home being implemented at the start of the pandemic, the outcome measures remained unchanged (Gibbs, 2021).</w:t>
      </w:r>
    </w:p>
    <w:p w14:paraId="6FEE2251" w14:textId="77777777" w:rsidR="001E14B7" w:rsidRPr="0020072D" w:rsidRDefault="0020072D" w:rsidP="0020072D">
      <w:pPr>
        <w:spacing w:line="360" w:lineRule="auto"/>
        <w:jc w:val="both"/>
        <w:rPr>
          <w:rFonts w:ascii="Arial" w:hAnsi="Arial" w:cs="Arial"/>
          <w:b/>
          <w:sz w:val="24"/>
          <w:szCs w:val="24"/>
        </w:rPr>
      </w:pPr>
      <w:r w:rsidRPr="0020072D">
        <w:rPr>
          <w:rFonts w:ascii="Arial" w:hAnsi="Arial" w:cs="Arial"/>
          <w:b/>
          <w:sz w:val="24"/>
          <w:szCs w:val="24"/>
        </w:rPr>
        <w:t xml:space="preserve">LITERATURE REVIEW </w:t>
      </w:r>
    </w:p>
    <w:p w14:paraId="1DA77670" w14:textId="77777777" w:rsidR="000924F5" w:rsidRPr="000924F5" w:rsidRDefault="000924F5" w:rsidP="0020072D">
      <w:pPr>
        <w:spacing w:after="0" w:line="360" w:lineRule="auto"/>
        <w:jc w:val="both"/>
        <w:rPr>
          <w:rFonts w:ascii="Arial" w:eastAsia="Times New Roman" w:hAnsi="Arial" w:cs="Arial"/>
          <w:sz w:val="24"/>
          <w:szCs w:val="24"/>
          <w:lang w:eastAsia="en-US"/>
        </w:rPr>
      </w:pPr>
      <w:r w:rsidRPr="000924F5">
        <w:rPr>
          <w:rFonts w:ascii="Arial" w:eastAsia="Times New Roman" w:hAnsi="Arial" w:cs="Arial"/>
          <w:sz w:val="24"/>
          <w:szCs w:val="24"/>
          <w:lang w:eastAsia="en-US"/>
        </w:rPr>
        <w:t xml:space="preserve">The portfolio of Marriot International comprises facilities that are luxury, premium, select, and longer-stay, enabling the company to accommodate a wide range of client tastes and requirements. Marriott, Ritz-Carlton, Sheraton, Westin, Courtyard, Residence Inn, and </w:t>
      </w:r>
      <w:r w:rsidR="0020072D" w:rsidRPr="000924F5">
        <w:rPr>
          <w:rFonts w:ascii="Arial" w:eastAsia="Times New Roman" w:hAnsi="Arial" w:cs="Arial"/>
          <w:sz w:val="24"/>
          <w:szCs w:val="24"/>
          <w:lang w:eastAsia="en-US"/>
        </w:rPr>
        <w:t>aloft</w:t>
      </w:r>
      <w:r w:rsidRPr="000924F5">
        <w:rPr>
          <w:rFonts w:ascii="Arial" w:eastAsia="Times New Roman" w:hAnsi="Arial" w:cs="Arial"/>
          <w:sz w:val="24"/>
          <w:szCs w:val="24"/>
          <w:lang w:eastAsia="en-US"/>
        </w:rPr>
        <w:t xml:space="preserve"> are </w:t>
      </w:r>
      <w:proofErr w:type="gramStart"/>
      <w:r w:rsidRPr="000924F5">
        <w:rPr>
          <w:rFonts w:ascii="Arial" w:eastAsia="Times New Roman" w:hAnsi="Arial" w:cs="Arial"/>
          <w:sz w:val="24"/>
          <w:szCs w:val="24"/>
          <w:lang w:eastAsia="en-US"/>
        </w:rPr>
        <w:t>a some</w:t>
      </w:r>
      <w:proofErr w:type="gramEnd"/>
      <w:r w:rsidRPr="000924F5">
        <w:rPr>
          <w:rFonts w:ascii="Arial" w:eastAsia="Times New Roman" w:hAnsi="Arial" w:cs="Arial"/>
          <w:sz w:val="24"/>
          <w:szCs w:val="24"/>
          <w:lang w:eastAsia="en-US"/>
        </w:rPr>
        <w:t xml:space="preserve"> of their well-known brands (Marriot, 2024). Marriott's business strategy is mostly franchise-based, which allows it to grow quickly with little initial outlay of funds. Apart from its franchised establishments, Marriott also oversees a limited quantity of owned and leased hotels. PESTLE analysis will be used in this study to examine the Marriott International. One of the most popular models for evaluating the very changeable external business setting is the PESTLE Analysis, which is utilized as a situational analysis tool for business evaluation purposes (Gupta, 2013). During its operations, a business engages with its external environment, and it has no control over these external forces. The Political, Economic, Sociocultural, Technological, Legal, and Environmental (natural) elements that may have a larger or smaller influence on an organization are examined by the PESTLE Model. The business-government connection and the general political climate of a nation are often referred to as the Political Factors of the Environment. For the Hotel, a positive business-government connection is crucial. Inflation, interest rates, and unemployment are among the economic issues that are crucial to the hotel industry and constantly have an impact on the demand for </w:t>
      </w:r>
      <w:r w:rsidRPr="0020072D">
        <w:rPr>
          <w:rFonts w:ascii="Arial" w:eastAsia="Times New Roman" w:hAnsi="Arial" w:cs="Arial"/>
          <w:sz w:val="24"/>
          <w:szCs w:val="24"/>
          <w:lang w:eastAsia="en-US"/>
        </w:rPr>
        <w:t xml:space="preserve">hotel rooms within a nation. </w:t>
      </w:r>
      <w:r w:rsidRPr="000924F5">
        <w:rPr>
          <w:rFonts w:ascii="Arial" w:eastAsia="Times New Roman" w:hAnsi="Arial" w:cs="Arial"/>
          <w:sz w:val="24"/>
          <w:szCs w:val="24"/>
          <w:lang w:eastAsia="en-US"/>
        </w:rPr>
        <w:t>The norms, values, and demographics of the cultures in which the hotel organization works are among the socio-cultural elements that are significant to the hotel's external environment. Senior hotel managers should thoroughly study these socio-cultural factors since they reveal the kinds of goods and services as well as the kinds of behavior norms that societies are likely to respect and enjoy.</w:t>
      </w:r>
    </w:p>
    <w:p w14:paraId="3C7767A7" w14:textId="77777777" w:rsidR="000924F5" w:rsidRPr="000924F5" w:rsidRDefault="000924F5" w:rsidP="0020072D">
      <w:pPr>
        <w:spacing w:after="0" w:line="360" w:lineRule="auto"/>
        <w:jc w:val="both"/>
        <w:rPr>
          <w:rFonts w:ascii="Arial" w:eastAsia="Times New Roman" w:hAnsi="Arial" w:cs="Arial"/>
          <w:sz w:val="24"/>
          <w:szCs w:val="24"/>
          <w:lang w:eastAsia="en-US"/>
        </w:rPr>
      </w:pPr>
      <w:r w:rsidRPr="000924F5">
        <w:rPr>
          <w:rFonts w:ascii="Arial" w:eastAsia="Times New Roman" w:hAnsi="Arial" w:cs="Arial"/>
          <w:sz w:val="24"/>
          <w:szCs w:val="24"/>
          <w:lang w:eastAsia="en-US"/>
        </w:rPr>
        <w:t xml:space="preserve">The employee's socioeconomic circumstances are crucial because Gaining control of a market requires understanding a population's attributes, such as age distribution and demography, in order to predict its purchasing patterns. Furthermore, historical context </w:t>
      </w:r>
      <w:r w:rsidRPr="000924F5">
        <w:rPr>
          <w:rFonts w:ascii="Arial" w:eastAsia="Times New Roman" w:hAnsi="Arial" w:cs="Arial"/>
          <w:sz w:val="24"/>
          <w:szCs w:val="24"/>
          <w:lang w:eastAsia="en-US"/>
        </w:rPr>
        <w:lastRenderedPageBreak/>
        <w:t>roots and customs as well as religious and sociocultural influences, fashion, media, communication channels allow the business to hone its understanding of the unique requirements of the parties involved. This is relevant to Marriot International as having access to this personnel data would facilitate monitoring and performance management. Additionally, it will provide the organization with information on staff retention and turnover rates.</w:t>
      </w:r>
    </w:p>
    <w:p w14:paraId="4BD037A7" w14:textId="77777777" w:rsidR="000924F5" w:rsidRPr="000924F5" w:rsidRDefault="000924F5" w:rsidP="0020072D">
      <w:pPr>
        <w:spacing w:after="0" w:line="360" w:lineRule="auto"/>
        <w:jc w:val="both"/>
        <w:rPr>
          <w:rFonts w:ascii="Arial" w:eastAsia="Times New Roman" w:hAnsi="Arial" w:cs="Arial"/>
          <w:sz w:val="24"/>
          <w:szCs w:val="24"/>
          <w:lang w:eastAsia="en-US"/>
        </w:rPr>
      </w:pPr>
      <w:r w:rsidRPr="000924F5">
        <w:rPr>
          <w:rFonts w:ascii="Arial" w:eastAsia="Times New Roman" w:hAnsi="Arial" w:cs="Arial"/>
          <w:sz w:val="24"/>
          <w:szCs w:val="24"/>
          <w:lang w:eastAsia="en-US"/>
        </w:rPr>
        <w:t>The hospitality sector faces a variety of difficulties and conditions as the day goes on and new trends appear. Marriot International is likewise affected by similar trends, thus they are not an outlier in this regard. A few of these trends include the rate of staff turnover, employee retention, and, most recently, the emergence of new work modes like remote work. Work from home with a blended work schedule.</w:t>
      </w:r>
      <w:r w:rsidR="00B66195" w:rsidRPr="0020072D">
        <w:rPr>
          <w:rFonts w:ascii="Arial" w:eastAsia="Times New Roman" w:hAnsi="Arial" w:cs="Arial"/>
          <w:sz w:val="24"/>
          <w:szCs w:val="24"/>
          <w:lang w:eastAsia="en-US"/>
        </w:rPr>
        <w:t xml:space="preserve"> </w:t>
      </w:r>
      <w:r w:rsidRPr="000924F5">
        <w:rPr>
          <w:rFonts w:ascii="Arial" w:eastAsia="Times New Roman" w:hAnsi="Arial" w:cs="Arial"/>
          <w:sz w:val="24"/>
          <w:szCs w:val="24"/>
          <w:lang w:eastAsia="en-US"/>
        </w:rPr>
        <w:t>Along with cutting costs that aren't essential and raising employee enthusiasm and productivity, retaining people has become one of the most important factors in an organization's success (Aman-Ullah et al., 2020). On the other hand, it has been determined that one of the largest problems of the twenty-first century, especially in the hotel sector, is employee retention. Retention is an ongoing and always changing attempt to maintain its competent staff since the hotel business is constantly dealing with the challenge of transferring a workforce (Ohunakin et al., 2020). It is inferred that the hotel industry's social and environmental initiatives have a greater impact on modernizing HR initiatives, particularly with regard to staff retention.</w:t>
      </w:r>
    </w:p>
    <w:p w14:paraId="0DF3CE2C" w14:textId="77777777" w:rsidR="00561674" w:rsidRPr="00561674" w:rsidRDefault="0020072D" w:rsidP="0020072D">
      <w:pPr>
        <w:spacing w:after="0" w:line="360" w:lineRule="auto"/>
        <w:jc w:val="both"/>
        <w:rPr>
          <w:rFonts w:ascii="Arial" w:eastAsia="Times New Roman" w:hAnsi="Arial" w:cs="Arial"/>
          <w:sz w:val="24"/>
          <w:szCs w:val="24"/>
          <w:lang w:eastAsia="en-US"/>
        </w:rPr>
      </w:pPr>
      <w:r w:rsidRPr="0020072D">
        <w:rPr>
          <w:rFonts w:ascii="Arial" w:hAnsi="Arial" w:cs="Arial"/>
          <w:sz w:val="24"/>
          <w:szCs w:val="24"/>
        </w:rPr>
        <w:t xml:space="preserve"> </w:t>
      </w:r>
      <w:r w:rsidR="00561674" w:rsidRPr="0020072D">
        <w:rPr>
          <w:rFonts w:ascii="Arial" w:eastAsia="Times New Roman" w:hAnsi="Arial" w:cs="Arial"/>
          <w:sz w:val="24"/>
          <w:szCs w:val="24"/>
          <w:lang w:eastAsia="en-US"/>
        </w:rPr>
        <w:t xml:space="preserve">Marriot International understands the importance of human resource management and hires the best human resource managers available. This is because they know that organizations that do not prioritize their human resources processes risk losing their trained and skilled workforce, which results in double the cost to the company due to operational and financial inefficiencies (Ghani et al., 2022). In order to influence workers' entire experience inside a company, Marriott International engages in human resource management methods such as pay management, recruiting and selection, education and growth, performance assessment and management, and benefits administration. Employee retention is increased by human resources policies that foster professional development and progress. </w:t>
      </w:r>
      <w:r w:rsidR="00561674" w:rsidRPr="00561674">
        <w:rPr>
          <w:rFonts w:ascii="Arial" w:eastAsia="Times New Roman" w:hAnsi="Arial" w:cs="Arial"/>
          <w:sz w:val="24"/>
          <w:szCs w:val="24"/>
          <w:lang w:eastAsia="en-US"/>
        </w:rPr>
        <w:t xml:space="preserve">Effective HRM procedures additionally guarantee that workers have the necessary information, talents, and abilities in addition to motivating them. Additionally, it aids in lowering staff attrition, raising productivity, and enhancing </w:t>
      </w:r>
      <w:r w:rsidR="00561674" w:rsidRPr="00561674">
        <w:rPr>
          <w:rFonts w:ascii="Arial" w:eastAsia="Times New Roman" w:hAnsi="Arial" w:cs="Arial"/>
          <w:sz w:val="24"/>
          <w:szCs w:val="24"/>
          <w:lang w:eastAsia="en-US"/>
        </w:rPr>
        <w:lastRenderedPageBreak/>
        <w:t xml:space="preserve">work output, job happiness, and general organizational success (Ghani et al., 2022). </w:t>
      </w:r>
      <w:r w:rsidR="00B66195" w:rsidRPr="0020072D">
        <w:rPr>
          <w:rFonts w:ascii="Arial" w:eastAsia="Times New Roman" w:hAnsi="Arial" w:cs="Arial"/>
          <w:sz w:val="24"/>
          <w:szCs w:val="24"/>
          <w:lang w:eastAsia="en-US"/>
        </w:rPr>
        <w:t>Staff</w:t>
      </w:r>
      <w:r w:rsidR="00561674" w:rsidRPr="00561674">
        <w:rPr>
          <w:rFonts w:ascii="Arial" w:eastAsia="Times New Roman" w:hAnsi="Arial" w:cs="Arial"/>
          <w:sz w:val="24"/>
          <w:szCs w:val="24"/>
          <w:lang w:eastAsia="en-US"/>
        </w:rPr>
        <w:t xml:space="preserve"> retention has emerged as a global concern for the business, similar to the hotel sector where high staff turnover is a significant obstacle. The global turnover rate is rising. High turnover is seen to be a common cause of company failure, low motivation, and subpar performance within the company (Armstrong, 2020).</w:t>
      </w:r>
    </w:p>
    <w:p w14:paraId="5D3932EB" w14:textId="77777777" w:rsidR="001E14B7" w:rsidRPr="0020072D" w:rsidRDefault="00561674" w:rsidP="0020072D">
      <w:pPr>
        <w:spacing w:after="0" w:line="360" w:lineRule="auto"/>
        <w:jc w:val="both"/>
        <w:rPr>
          <w:rFonts w:ascii="Arial" w:eastAsia="Times New Roman" w:hAnsi="Arial" w:cs="Arial"/>
          <w:sz w:val="24"/>
          <w:szCs w:val="24"/>
          <w:lang w:eastAsia="en-US"/>
        </w:rPr>
      </w:pPr>
      <w:r w:rsidRPr="00561674">
        <w:rPr>
          <w:rFonts w:ascii="Arial" w:eastAsia="Times New Roman" w:hAnsi="Arial" w:cs="Arial"/>
          <w:sz w:val="24"/>
          <w:szCs w:val="24"/>
          <w:lang w:eastAsia="en-US"/>
        </w:rPr>
        <w:t xml:space="preserve">Marriot International recognizes that offering a high degree of career flexibility may help employees feel satisfied with their careers (Pitts et al., 2011), which in turn results in a high retention rate (Kuria et al., 2012). According to </w:t>
      </w:r>
      <w:proofErr w:type="spellStart"/>
      <w:r w:rsidRPr="00561674">
        <w:rPr>
          <w:rFonts w:ascii="Arial" w:eastAsia="Times New Roman" w:hAnsi="Arial" w:cs="Arial"/>
          <w:sz w:val="24"/>
          <w:szCs w:val="24"/>
          <w:lang w:eastAsia="en-US"/>
        </w:rPr>
        <w:t>Likitkar</w:t>
      </w:r>
      <w:proofErr w:type="spellEnd"/>
      <w:r w:rsidRPr="00561674">
        <w:rPr>
          <w:rFonts w:ascii="Arial" w:eastAsia="Times New Roman" w:hAnsi="Arial" w:cs="Arial"/>
          <w:sz w:val="24"/>
          <w:szCs w:val="24"/>
          <w:lang w:eastAsia="en-US"/>
        </w:rPr>
        <w:t xml:space="preserve"> and Verma (2017), funding training and career development initiatives is crucial for retaining employees. An organization like Marriot International has an obligation to make sure that its workers' skills and development are developing. As a target-driven industry, hospitality has extremely high levels of uncertainty and job instability at the entry level. Employee assistance from the human resources department is necessary for them to reach their targeted productivity levels.</w:t>
      </w:r>
      <w:r w:rsidRPr="0020072D">
        <w:rPr>
          <w:rFonts w:ascii="Arial" w:eastAsia="Times New Roman" w:hAnsi="Arial" w:cs="Arial"/>
          <w:sz w:val="24"/>
          <w:szCs w:val="24"/>
          <w:lang w:eastAsia="en-US"/>
        </w:rPr>
        <w:t xml:space="preserve"> The majority of businesses in the hospitality sector lack sustainable management initiatives and sufficient space to choose their best course for expansion and improvement. However, Marriot International makes sure that their staff members are appropriately motivated, engaged, and given opportunities for growth.</w:t>
      </w:r>
    </w:p>
    <w:p w14:paraId="76633F67" w14:textId="77777777" w:rsidR="00561674" w:rsidRPr="0020072D" w:rsidRDefault="00561674" w:rsidP="0020072D">
      <w:pPr>
        <w:spacing w:after="0" w:line="360" w:lineRule="auto"/>
        <w:jc w:val="both"/>
        <w:rPr>
          <w:rFonts w:ascii="Arial" w:eastAsia="Times New Roman" w:hAnsi="Arial" w:cs="Arial"/>
          <w:sz w:val="24"/>
          <w:szCs w:val="24"/>
          <w:lang w:eastAsia="en-US"/>
        </w:rPr>
      </w:pPr>
      <w:r w:rsidRPr="00561674">
        <w:rPr>
          <w:rFonts w:ascii="Arial" w:eastAsia="Times New Roman" w:hAnsi="Arial" w:cs="Arial"/>
          <w:sz w:val="24"/>
          <w:szCs w:val="24"/>
          <w:lang w:eastAsia="en-US"/>
        </w:rPr>
        <w:t>One new area that the hotel sector as a whole and Marriot International in particular are adjusting to is the work mode. Understanding what workers need in terms of schedule and location is critical because only workplaces that are employee-centered and exhibit organizational resilience will be able to endure, remain competitive, and maintain high levels of performance, productivity, and satisfaction in the long run (Asgari et al. 2022).</w:t>
      </w:r>
      <w:r w:rsidR="0020072D" w:rsidRPr="0020072D">
        <w:rPr>
          <w:rFonts w:ascii="Arial" w:hAnsi="Arial" w:cs="Arial"/>
          <w:sz w:val="24"/>
          <w:szCs w:val="24"/>
        </w:rPr>
        <w:t xml:space="preserve"> </w:t>
      </w:r>
      <w:r w:rsidRPr="0020072D">
        <w:rPr>
          <w:rFonts w:ascii="Arial" w:eastAsia="Times New Roman" w:hAnsi="Arial" w:cs="Arial"/>
          <w:sz w:val="24"/>
          <w:szCs w:val="24"/>
          <w:lang w:eastAsia="en-US"/>
        </w:rPr>
        <w:t xml:space="preserve">Work from home policies are uncommon for front desk staff, security guards, and even housekeepers in the hotel industry; nevertheless, Marriot International ensures that shift work is followed, with some staff working during the day and others at night. However, certain executive positions and marketing departments allow for working from home, the office, or a hybrid environment. According to Cook et al. (2020), a hybrid work arrangement blends traditional "in-office" labor with remote or telework done "out of the office." With this hybrid approach, workers may work remotely from any place including their homes, coffee shops, coworking spaces, or any other distant location outside of their employer's facilities regardless of whether they make use of ICTs. </w:t>
      </w:r>
    </w:p>
    <w:p w14:paraId="5884510C" w14:textId="77777777" w:rsidR="00561674" w:rsidRPr="00561674" w:rsidRDefault="00561674" w:rsidP="0020072D">
      <w:pPr>
        <w:spacing w:after="0" w:line="360" w:lineRule="auto"/>
        <w:jc w:val="both"/>
        <w:rPr>
          <w:rFonts w:ascii="Arial" w:eastAsia="Times New Roman" w:hAnsi="Arial" w:cs="Arial"/>
          <w:sz w:val="24"/>
          <w:szCs w:val="24"/>
          <w:lang w:eastAsia="en-US"/>
        </w:rPr>
      </w:pPr>
      <w:r w:rsidRPr="00561674">
        <w:rPr>
          <w:rFonts w:ascii="Arial" w:eastAsia="Times New Roman" w:hAnsi="Arial" w:cs="Arial"/>
          <w:sz w:val="24"/>
          <w:szCs w:val="24"/>
          <w:lang w:eastAsia="en-US"/>
        </w:rPr>
        <w:lastRenderedPageBreak/>
        <w:t>Halford (2005) asserts that hybrid labor modifies the characteristics of work, management, and organizational space in household, organizational, and cyberspace contexts. Combining work from home and office work might have advantages for both parties, but it can also result in a number of problems because of the different work environments. For example, these work patterns will make employee performance management and monitoring more challenging. The disadvantages of this work arrangement can include employee unavailability when needed, tardiness in completing duties, a lack of flexibility in problem-solving, and increased difficulties in managing employees' performance and availability. Employee overwork and reduced social connections have long-term consequences that become apparent (</w:t>
      </w:r>
      <w:proofErr w:type="spellStart"/>
      <w:r w:rsidRPr="00561674">
        <w:rPr>
          <w:rFonts w:ascii="Arial" w:eastAsia="Times New Roman" w:hAnsi="Arial" w:cs="Arial"/>
          <w:sz w:val="24"/>
          <w:szCs w:val="24"/>
          <w:lang w:eastAsia="en-US"/>
        </w:rPr>
        <w:t>Babapour</w:t>
      </w:r>
      <w:proofErr w:type="spellEnd"/>
      <w:r w:rsidRPr="00561674">
        <w:rPr>
          <w:rFonts w:ascii="Arial" w:eastAsia="Times New Roman" w:hAnsi="Arial" w:cs="Arial"/>
          <w:sz w:val="24"/>
          <w:szCs w:val="24"/>
          <w:lang w:eastAsia="en-US"/>
        </w:rPr>
        <w:t xml:space="preserve"> et al. 2022; </w:t>
      </w:r>
      <w:proofErr w:type="spellStart"/>
      <w:r w:rsidRPr="00561674">
        <w:rPr>
          <w:rFonts w:ascii="Arial" w:eastAsia="Times New Roman" w:hAnsi="Arial" w:cs="Arial"/>
          <w:sz w:val="24"/>
          <w:szCs w:val="24"/>
          <w:lang w:eastAsia="en-US"/>
        </w:rPr>
        <w:t>Srebalová</w:t>
      </w:r>
      <w:proofErr w:type="spellEnd"/>
      <w:r w:rsidRPr="00561674">
        <w:rPr>
          <w:rFonts w:ascii="Arial" w:eastAsia="Times New Roman" w:hAnsi="Arial" w:cs="Arial"/>
          <w:sz w:val="24"/>
          <w:szCs w:val="24"/>
          <w:lang w:eastAsia="en-US"/>
        </w:rPr>
        <w:t xml:space="preserve"> 2022). </w:t>
      </w:r>
    </w:p>
    <w:p w14:paraId="6726124C" w14:textId="77777777" w:rsidR="00561674" w:rsidRPr="00561674" w:rsidRDefault="00561674" w:rsidP="0020072D">
      <w:pPr>
        <w:spacing w:after="0" w:line="360" w:lineRule="auto"/>
        <w:jc w:val="both"/>
        <w:rPr>
          <w:rFonts w:ascii="Arial" w:eastAsia="Times New Roman" w:hAnsi="Arial" w:cs="Arial"/>
          <w:sz w:val="24"/>
          <w:szCs w:val="24"/>
          <w:lang w:eastAsia="en-US"/>
        </w:rPr>
      </w:pPr>
      <w:r w:rsidRPr="00561674">
        <w:rPr>
          <w:rFonts w:ascii="Arial" w:eastAsia="Times New Roman" w:hAnsi="Arial" w:cs="Arial"/>
          <w:sz w:val="24"/>
          <w:szCs w:val="24"/>
          <w:lang w:eastAsia="en-US"/>
        </w:rPr>
        <w:t xml:space="preserve">Employees may collaborate and meet while they are present in the workplace. Employee creativity, performance, and productivity may be favorably correlated with social contact and cooperation (Iqbal et al. 2021; </w:t>
      </w:r>
      <w:proofErr w:type="spellStart"/>
      <w:r w:rsidRPr="00561674">
        <w:rPr>
          <w:rFonts w:ascii="Arial" w:eastAsia="Times New Roman" w:hAnsi="Arial" w:cs="Arial"/>
          <w:sz w:val="24"/>
          <w:szCs w:val="24"/>
          <w:lang w:eastAsia="en-US"/>
        </w:rPr>
        <w:t>Cajková</w:t>
      </w:r>
      <w:proofErr w:type="spellEnd"/>
      <w:r w:rsidRPr="00561674">
        <w:rPr>
          <w:rFonts w:ascii="Arial" w:eastAsia="Times New Roman" w:hAnsi="Arial" w:cs="Arial"/>
          <w:sz w:val="24"/>
          <w:szCs w:val="24"/>
          <w:lang w:eastAsia="en-US"/>
        </w:rPr>
        <w:t xml:space="preserve"> et al. 2023). Govender et al. (2018) looked at the relationship between performance, satisfaction, and flexible work arrangements. The majority of employees, according to the statistics, are happy with their present work arrangements and level of flexibility, which may have an impact on their decision to remain with their current company. There is a significant positive association between job performance and work flexibility, and flexible work arrangements increase productivity by improving staff retention and job satisfaction.</w:t>
      </w:r>
    </w:p>
    <w:p w14:paraId="3A98DEC0" w14:textId="77777777" w:rsidR="00561674" w:rsidRPr="00561674" w:rsidRDefault="00561674" w:rsidP="0020072D">
      <w:pPr>
        <w:spacing w:after="0" w:line="360" w:lineRule="auto"/>
        <w:jc w:val="both"/>
        <w:rPr>
          <w:rFonts w:ascii="Arial" w:eastAsia="Times New Roman" w:hAnsi="Arial" w:cs="Arial"/>
          <w:sz w:val="24"/>
          <w:szCs w:val="24"/>
          <w:lang w:eastAsia="en-US"/>
        </w:rPr>
      </w:pPr>
      <w:r w:rsidRPr="00561674">
        <w:rPr>
          <w:rFonts w:ascii="Arial" w:eastAsia="Times New Roman" w:hAnsi="Arial" w:cs="Arial"/>
          <w:sz w:val="24"/>
          <w:szCs w:val="24"/>
          <w:lang w:eastAsia="en-US"/>
        </w:rPr>
        <w:t>Even though employees at Marriot International operate in a variety of ways, the hotel chain places a high value on worker monitoring. Employees who work from home or in a hybrid environment, for example, must still log in to their system in the morning to indicate that they are available for calls about the day's business. The hotel offers Internet subscriptions in order to prevent complaints from those who work from home about running out of data for their In</w:t>
      </w:r>
      <w:r w:rsidR="00B66195" w:rsidRPr="0020072D">
        <w:rPr>
          <w:rFonts w:ascii="Arial" w:eastAsia="Times New Roman" w:hAnsi="Arial" w:cs="Arial"/>
          <w:sz w:val="24"/>
          <w:szCs w:val="24"/>
          <w:lang w:eastAsia="en-US"/>
        </w:rPr>
        <w:t>ternet connection.</w:t>
      </w:r>
    </w:p>
    <w:p w14:paraId="15A6503B" w14:textId="77777777" w:rsidR="001E14B7" w:rsidRPr="0020072D" w:rsidRDefault="0020072D" w:rsidP="0020072D">
      <w:pPr>
        <w:spacing w:line="360" w:lineRule="auto"/>
        <w:jc w:val="both"/>
        <w:rPr>
          <w:rFonts w:ascii="Arial" w:hAnsi="Arial" w:cs="Arial"/>
          <w:b/>
          <w:sz w:val="24"/>
          <w:szCs w:val="24"/>
        </w:rPr>
      </w:pPr>
      <w:r w:rsidRPr="0020072D">
        <w:rPr>
          <w:rFonts w:ascii="Arial" w:hAnsi="Arial" w:cs="Arial"/>
          <w:b/>
          <w:sz w:val="24"/>
          <w:szCs w:val="24"/>
        </w:rPr>
        <w:t>EVALUATION AND CONCLUSION</w:t>
      </w:r>
    </w:p>
    <w:p w14:paraId="2860B12A" w14:textId="77777777" w:rsidR="00B66195" w:rsidRPr="00B66195" w:rsidRDefault="00B66195" w:rsidP="0020072D">
      <w:pPr>
        <w:spacing w:after="0" w:line="360" w:lineRule="auto"/>
        <w:jc w:val="both"/>
        <w:rPr>
          <w:rFonts w:ascii="Arial" w:eastAsia="Times New Roman" w:hAnsi="Arial" w:cs="Arial"/>
          <w:sz w:val="24"/>
          <w:szCs w:val="24"/>
          <w:lang w:eastAsia="en-US"/>
        </w:rPr>
      </w:pPr>
      <w:r w:rsidRPr="00B66195">
        <w:rPr>
          <w:rFonts w:ascii="Arial" w:eastAsia="Times New Roman" w:hAnsi="Arial" w:cs="Arial"/>
          <w:sz w:val="24"/>
          <w:szCs w:val="24"/>
          <w:lang w:eastAsia="en-US"/>
        </w:rPr>
        <w:t xml:space="preserve">The study examined how socioeconomic factors affected the performance management and oversight of Marriott International workers. Marriott International, the hotel brand that has been chosen, is a globally recognized hospitality corporation that has its roots in America and oversees a portfolio of hotel and other hospitality brands around the globe. </w:t>
      </w:r>
      <w:r w:rsidRPr="00B66195">
        <w:rPr>
          <w:rFonts w:ascii="Arial" w:eastAsia="Times New Roman" w:hAnsi="Arial" w:cs="Arial"/>
          <w:sz w:val="24"/>
          <w:szCs w:val="24"/>
          <w:lang w:eastAsia="en-US"/>
        </w:rPr>
        <w:lastRenderedPageBreak/>
        <w:t>The influence of socioeconomic factors (such as age and location), which are a component of PESTLE analysis, on employee performance management and monitoring was also examined in this study. One of the biggest issues facing the hospitality sector is the observation that these socioeconomic factors have an effect on staff retention and turnover rates.</w:t>
      </w:r>
      <w:r w:rsidRPr="0020072D">
        <w:rPr>
          <w:rFonts w:ascii="Arial" w:eastAsia="Times New Roman" w:hAnsi="Arial" w:cs="Arial"/>
          <w:sz w:val="24"/>
          <w:szCs w:val="24"/>
          <w:lang w:eastAsia="en-US"/>
        </w:rPr>
        <w:t xml:space="preserve"> </w:t>
      </w:r>
      <w:r w:rsidRPr="00B66195">
        <w:rPr>
          <w:rFonts w:ascii="Arial" w:eastAsia="Times New Roman" w:hAnsi="Arial" w:cs="Arial"/>
          <w:sz w:val="24"/>
          <w:szCs w:val="24"/>
          <w:lang w:eastAsia="en-US"/>
        </w:rPr>
        <w:t>Because the hospitality sector always faces the challenge of a changing workforce, retaining qualified employees is a continual and dynamic process. Marriot International used human resource management techniques, such as pay management, recruiting and selection, training and development, performance appraisal and management, and benefits administration, to address these retention issues and to influence employees' overall experience working for the company. By fostering employee development and advancement, HR strategies at Marriott International help to increase employee retention. The success rate and global reach of the hotel brand serve as evidence of this. The provision of flexible work arrangements is another area in which Marriot International is succeeding in promoting staff retention and lowering attrition. Employees at Marriott operate in hybrid work modes, work from home, work in shifts, and other arrangements.</w:t>
      </w:r>
    </w:p>
    <w:p w14:paraId="207967E9" w14:textId="77777777" w:rsidR="001E14B7" w:rsidRPr="0020072D" w:rsidRDefault="001E14B7" w:rsidP="0020072D">
      <w:pPr>
        <w:spacing w:line="360" w:lineRule="auto"/>
        <w:jc w:val="both"/>
        <w:rPr>
          <w:rFonts w:ascii="Arial" w:hAnsi="Arial" w:cs="Arial"/>
          <w:sz w:val="24"/>
          <w:szCs w:val="24"/>
        </w:rPr>
      </w:pPr>
    </w:p>
    <w:p w14:paraId="6C940C57" w14:textId="77777777" w:rsidR="001E14B7" w:rsidRPr="0020072D" w:rsidRDefault="001E14B7" w:rsidP="0020072D">
      <w:pPr>
        <w:spacing w:line="360" w:lineRule="auto"/>
        <w:jc w:val="both"/>
        <w:rPr>
          <w:rFonts w:ascii="Arial" w:hAnsi="Arial" w:cs="Arial"/>
          <w:sz w:val="24"/>
          <w:szCs w:val="24"/>
        </w:rPr>
      </w:pPr>
    </w:p>
    <w:p w14:paraId="06AA5660" w14:textId="77777777" w:rsidR="001E14B7" w:rsidRPr="0020072D" w:rsidRDefault="001E14B7" w:rsidP="0020072D">
      <w:pPr>
        <w:spacing w:line="360" w:lineRule="auto"/>
        <w:jc w:val="both"/>
        <w:rPr>
          <w:rFonts w:ascii="Arial" w:hAnsi="Arial" w:cs="Arial"/>
          <w:sz w:val="24"/>
          <w:szCs w:val="24"/>
        </w:rPr>
      </w:pPr>
    </w:p>
    <w:p w14:paraId="4FC06296" w14:textId="77777777" w:rsidR="001E14B7" w:rsidRPr="0020072D" w:rsidRDefault="001E14B7" w:rsidP="0020072D">
      <w:pPr>
        <w:spacing w:line="360" w:lineRule="auto"/>
        <w:jc w:val="both"/>
        <w:rPr>
          <w:rFonts w:ascii="Arial" w:hAnsi="Arial" w:cs="Arial"/>
          <w:sz w:val="24"/>
          <w:szCs w:val="24"/>
        </w:rPr>
      </w:pPr>
    </w:p>
    <w:p w14:paraId="2292F9CC" w14:textId="77777777" w:rsidR="003A28E7" w:rsidRPr="0020072D" w:rsidRDefault="003A28E7" w:rsidP="0020072D">
      <w:pPr>
        <w:spacing w:line="360" w:lineRule="auto"/>
        <w:jc w:val="both"/>
        <w:rPr>
          <w:rFonts w:ascii="Arial" w:hAnsi="Arial" w:cs="Arial"/>
          <w:sz w:val="24"/>
          <w:szCs w:val="24"/>
        </w:rPr>
      </w:pPr>
    </w:p>
    <w:p w14:paraId="7B85D0C3" w14:textId="77777777" w:rsidR="003A28E7" w:rsidRPr="0020072D" w:rsidRDefault="003A28E7" w:rsidP="0020072D">
      <w:pPr>
        <w:spacing w:line="360" w:lineRule="auto"/>
        <w:jc w:val="both"/>
        <w:rPr>
          <w:rFonts w:ascii="Arial" w:hAnsi="Arial" w:cs="Arial"/>
          <w:sz w:val="24"/>
          <w:szCs w:val="24"/>
        </w:rPr>
      </w:pPr>
    </w:p>
    <w:p w14:paraId="57A6B7E2" w14:textId="77777777" w:rsidR="003A28E7" w:rsidRPr="0020072D" w:rsidRDefault="003A28E7" w:rsidP="0020072D">
      <w:pPr>
        <w:spacing w:line="360" w:lineRule="auto"/>
        <w:jc w:val="both"/>
        <w:rPr>
          <w:rFonts w:ascii="Arial" w:hAnsi="Arial" w:cs="Arial"/>
          <w:sz w:val="24"/>
          <w:szCs w:val="24"/>
        </w:rPr>
      </w:pPr>
    </w:p>
    <w:p w14:paraId="31E93A6F" w14:textId="77777777" w:rsidR="003A28E7" w:rsidRPr="0020072D" w:rsidRDefault="003A28E7" w:rsidP="0020072D">
      <w:pPr>
        <w:spacing w:line="360" w:lineRule="auto"/>
        <w:jc w:val="both"/>
        <w:rPr>
          <w:rFonts w:ascii="Arial" w:hAnsi="Arial" w:cs="Arial"/>
          <w:sz w:val="24"/>
          <w:szCs w:val="24"/>
        </w:rPr>
      </w:pPr>
    </w:p>
    <w:p w14:paraId="5B738C4A" w14:textId="77777777" w:rsidR="001E14B7" w:rsidRPr="0020072D" w:rsidRDefault="0020072D" w:rsidP="0020072D">
      <w:pPr>
        <w:spacing w:line="360" w:lineRule="auto"/>
        <w:jc w:val="both"/>
        <w:rPr>
          <w:rFonts w:ascii="Arial" w:hAnsi="Arial" w:cs="Arial"/>
          <w:b/>
          <w:sz w:val="24"/>
          <w:szCs w:val="24"/>
        </w:rPr>
      </w:pPr>
      <w:r>
        <w:rPr>
          <w:rFonts w:ascii="Arial" w:hAnsi="Arial" w:cs="Arial"/>
          <w:b/>
          <w:sz w:val="24"/>
          <w:szCs w:val="24"/>
        </w:rPr>
        <w:br w:type="page"/>
      </w:r>
      <w:r w:rsidR="003A28E7" w:rsidRPr="0020072D">
        <w:rPr>
          <w:rFonts w:ascii="Arial" w:hAnsi="Arial" w:cs="Arial"/>
          <w:b/>
          <w:sz w:val="24"/>
          <w:szCs w:val="24"/>
        </w:rPr>
        <w:lastRenderedPageBreak/>
        <w:t xml:space="preserve">REFERENCES </w:t>
      </w:r>
    </w:p>
    <w:p w14:paraId="7AD9D629" w14:textId="77777777" w:rsidR="0020072D" w:rsidRPr="0020072D" w:rsidRDefault="0020072D" w:rsidP="00575AB6">
      <w:pPr>
        <w:spacing w:line="360" w:lineRule="auto"/>
        <w:jc w:val="both"/>
        <w:rPr>
          <w:rFonts w:ascii="Arial" w:hAnsi="Arial" w:cs="Arial"/>
          <w:sz w:val="24"/>
          <w:szCs w:val="24"/>
        </w:rPr>
      </w:pPr>
      <w:r w:rsidRPr="0020072D">
        <w:rPr>
          <w:rFonts w:ascii="Arial" w:hAnsi="Arial" w:cs="Arial"/>
          <w:sz w:val="24"/>
          <w:szCs w:val="24"/>
        </w:rPr>
        <w:t xml:space="preserve">Aman-Ullah, A., Aziz, A. and Ibrahim, H. (2020) ‘A Systematic Review of Employee Retention: What’s next in Pakistan?’ </w:t>
      </w:r>
      <w:r w:rsidRPr="0020072D">
        <w:rPr>
          <w:rFonts w:ascii="Arial" w:hAnsi="Arial" w:cs="Arial"/>
          <w:i/>
          <w:sz w:val="24"/>
          <w:szCs w:val="24"/>
        </w:rPr>
        <w:t>J. Contemp. Issues Thought</w:t>
      </w:r>
      <w:r w:rsidRPr="0020072D">
        <w:rPr>
          <w:rFonts w:ascii="Arial" w:hAnsi="Arial" w:cs="Arial"/>
          <w:sz w:val="24"/>
          <w:szCs w:val="24"/>
        </w:rPr>
        <w:t xml:space="preserve"> 10, pp. 36–45</w:t>
      </w:r>
    </w:p>
    <w:p w14:paraId="11F9D696" w14:textId="77777777" w:rsidR="0020072D" w:rsidRPr="0020072D" w:rsidRDefault="0020072D" w:rsidP="00575AB6">
      <w:pPr>
        <w:spacing w:line="360" w:lineRule="auto"/>
        <w:jc w:val="both"/>
        <w:rPr>
          <w:rFonts w:ascii="Arial" w:hAnsi="Arial" w:cs="Arial"/>
          <w:sz w:val="24"/>
          <w:szCs w:val="24"/>
        </w:rPr>
      </w:pPr>
      <w:r w:rsidRPr="0020072D">
        <w:rPr>
          <w:rFonts w:ascii="Arial" w:hAnsi="Arial" w:cs="Arial"/>
          <w:sz w:val="24"/>
          <w:szCs w:val="24"/>
        </w:rPr>
        <w:t xml:space="preserve">Armstrong, M. (2020) </w:t>
      </w:r>
      <w:r w:rsidRPr="0020072D">
        <w:rPr>
          <w:rFonts w:ascii="Arial" w:hAnsi="Arial" w:cs="Arial"/>
          <w:i/>
          <w:sz w:val="24"/>
          <w:szCs w:val="24"/>
        </w:rPr>
        <w:t>Human Resource Management Practice</w:t>
      </w:r>
      <w:r w:rsidRPr="0020072D">
        <w:rPr>
          <w:rFonts w:ascii="Arial" w:hAnsi="Arial" w:cs="Arial"/>
          <w:sz w:val="24"/>
          <w:szCs w:val="24"/>
        </w:rPr>
        <w:t>. London: Kogan Page Limited</w:t>
      </w:r>
    </w:p>
    <w:p w14:paraId="38A9FD5A" w14:textId="77777777" w:rsidR="0020072D" w:rsidRPr="0020072D" w:rsidRDefault="0020072D" w:rsidP="00575AB6">
      <w:pPr>
        <w:spacing w:line="360" w:lineRule="auto"/>
        <w:jc w:val="both"/>
        <w:rPr>
          <w:rFonts w:ascii="Arial" w:hAnsi="Arial" w:cs="Arial"/>
          <w:sz w:val="24"/>
          <w:szCs w:val="24"/>
        </w:rPr>
      </w:pPr>
      <w:r w:rsidRPr="0020072D">
        <w:rPr>
          <w:rFonts w:ascii="Arial" w:hAnsi="Arial" w:cs="Arial"/>
          <w:sz w:val="24"/>
          <w:szCs w:val="24"/>
        </w:rPr>
        <w:t xml:space="preserve">Asgari, H., Rajesh G. and Xia J. (2022) ‘Impacts of COVID-19 on Future Preferences toward Telework. Transportation Research Record’. </w:t>
      </w:r>
      <w:r w:rsidRPr="0020072D">
        <w:rPr>
          <w:rFonts w:ascii="Arial" w:hAnsi="Arial" w:cs="Arial"/>
          <w:i/>
          <w:sz w:val="24"/>
          <w:szCs w:val="24"/>
        </w:rPr>
        <w:t>Transportation Research Record</w:t>
      </w:r>
      <w:r w:rsidRPr="0020072D">
        <w:rPr>
          <w:rFonts w:ascii="Arial" w:hAnsi="Arial" w:cs="Arial"/>
          <w:sz w:val="24"/>
          <w:szCs w:val="24"/>
        </w:rPr>
        <w:t xml:space="preserve"> 2677, pp. 611–28.</w:t>
      </w:r>
    </w:p>
    <w:p w14:paraId="6C693CC2" w14:textId="77777777" w:rsidR="0020072D" w:rsidRPr="0020072D" w:rsidRDefault="0020072D" w:rsidP="00575AB6">
      <w:pPr>
        <w:spacing w:line="360" w:lineRule="auto"/>
        <w:jc w:val="both"/>
        <w:rPr>
          <w:rFonts w:ascii="Arial" w:hAnsi="Arial" w:cs="Arial"/>
          <w:sz w:val="24"/>
          <w:szCs w:val="24"/>
        </w:rPr>
      </w:pPr>
      <w:r w:rsidRPr="0020072D">
        <w:rPr>
          <w:rFonts w:ascii="Arial" w:hAnsi="Arial" w:cs="Arial"/>
          <w:sz w:val="24"/>
          <w:szCs w:val="24"/>
        </w:rPr>
        <w:t xml:space="preserve">Asmoro, A. Y. (2021). </w:t>
      </w:r>
      <w:r w:rsidRPr="0020072D">
        <w:rPr>
          <w:rFonts w:ascii="Arial" w:hAnsi="Arial" w:cs="Arial"/>
          <w:i/>
          <w:sz w:val="24"/>
          <w:szCs w:val="24"/>
        </w:rPr>
        <w:t xml:space="preserve">PESTLE Analysis </w:t>
      </w:r>
      <w:proofErr w:type="gramStart"/>
      <w:r w:rsidRPr="0020072D">
        <w:rPr>
          <w:rFonts w:ascii="Arial" w:hAnsi="Arial" w:cs="Arial"/>
          <w:i/>
          <w:sz w:val="24"/>
          <w:szCs w:val="24"/>
        </w:rPr>
        <w:t>In</w:t>
      </w:r>
      <w:proofErr w:type="gramEnd"/>
      <w:r w:rsidRPr="0020072D">
        <w:rPr>
          <w:rFonts w:ascii="Arial" w:hAnsi="Arial" w:cs="Arial"/>
          <w:i/>
          <w:sz w:val="24"/>
          <w:szCs w:val="24"/>
        </w:rPr>
        <w:t xml:space="preserve"> the Hospitality &amp; Tourism Industry</w:t>
      </w:r>
      <w:r w:rsidRPr="0020072D">
        <w:rPr>
          <w:rFonts w:ascii="Arial" w:hAnsi="Arial" w:cs="Arial"/>
          <w:sz w:val="24"/>
          <w:szCs w:val="24"/>
        </w:rPr>
        <w:t xml:space="preserve">. </w:t>
      </w:r>
      <w:proofErr w:type="spellStart"/>
      <w:r w:rsidRPr="0020072D">
        <w:rPr>
          <w:rFonts w:ascii="Arial" w:hAnsi="Arial" w:cs="Arial"/>
          <w:sz w:val="24"/>
          <w:szCs w:val="24"/>
        </w:rPr>
        <w:t>Kalbis</w:t>
      </w:r>
      <w:proofErr w:type="spellEnd"/>
      <w:r w:rsidRPr="0020072D">
        <w:rPr>
          <w:rFonts w:ascii="Arial" w:hAnsi="Arial" w:cs="Arial"/>
          <w:sz w:val="24"/>
          <w:szCs w:val="24"/>
        </w:rPr>
        <w:t xml:space="preserve"> Institute Jakarta - Webinar Series.</w:t>
      </w:r>
    </w:p>
    <w:p w14:paraId="1C4CE13B" w14:textId="77777777" w:rsidR="0020072D" w:rsidRPr="0020072D" w:rsidRDefault="0020072D" w:rsidP="00575AB6">
      <w:pPr>
        <w:spacing w:line="360" w:lineRule="auto"/>
        <w:jc w:val="both"/>
        <w:rPr>
          <w:rFonts w:ascii="Arial" w:hAnsi="Arial" w:cs="Arial"/>
          <w:sz w:val="24"/>
          <w:szCs w:val="24"/>
        </w:rPr>
      </w:pPr>
      <w:proofErr w:type="spellStart"/>
      <w:r w:rsidRPr="0020072D">
        <w:rPr>
          <w:rFonts w:ascii="Arial" w:hAnsi="Arial" w:cs="Arial"/>
          <w:sz w:val="24"/>
          <w:szCs w:val="24"/>
        </w:rPr>
        <w:t>Babapour</w:t>
      </w:r>
      <w:proofErr w:type="spellEnd"/>
      <w:r w:rsidRPr="0020072D">
        <w:rPr>
          <w:rFonts w:ascii="Arial" w:hAnsi="Arial" w:cs="Arial"/>
          <w:sz w:val="24"/>
          <w:szCs w:val="24"/>
        </w:rPr>
        <w:t xml:space="preserve">, C.M., Annemarie H. and Nina B.Y. (2022) ‘Post-Pandemic Office Work: Perceived Challenges and Opportunities for a Sustainable Work Environment’. </w:t>
      </w:r>
      <w:r w:rsidRPr="0020072D">
        <w:rPr>
          <w:rFonts w:ascii="Arial" w:hAnsi="Arial" w:cs="Arial"/>
          <w:i/>
          <w:sz w:val="24"/>
          <w:szCs w:val="24"/>
        </w:rPr>
        <w:t>Sustainability</w:t>
      </w:r>
      <w:r w:rsidRPr="0020072D">
        <w:rPr>
          <w:rFonts w:ascii="Arial" w:hAnsi="Arial" w:cs="Arial"/>
          <w:sz w:val="24"/>
          <w:szCs w:val="24"/>
        </w:rPr>
        <w:t xml:space="preserve"> 14, pp.294</w:t>
      </w:r>
    </w:p>
    <w:p w14:paraId="4C69468F" w14:textId="77777777" w:rsidR="0020072D" w:rsidRPr="0020072D" w:rsidRDefault="0020072D" w:rsidP="00575AB6">
      <w:pPr>
        <w:spacing w:line="360" w:lineRule="auto"/>
        <w:jc w:val="both"/>
        <w:rPr>
          <w:rFonts w:ascii="Arial" w:hAnsi="Arial" w:cs="Arial"/>
          <w:sz w:val="24"/>
          <w:szCs w:val="24"/>
        </w:rPr>
      </w:pPr>
      <w:r w:rsidRPr="0020072D">
        <w:rPr>
          <w:rFonts w:ascii="Arial" w:hAnsi="Arial" w:cs="Arial"/>
          <w:sz w:val="24"/>
          <w:szCs w:val="24"/>
        </w:rPr>
        <w:t xml:space="preserve">Barreto, N. and </w:t>
      </w:r>
      <w:proofErr w:type="spellStart"/>
      <w:r w:rsidRPr="0020072D">
        <w:rPr>
          <w:rFonts w:ascii="Arial" w:hAnsi="Arial" w:cs="Arial"/>
          <w:sz w:val="24"/>
          <w:szCs w:val="24"/>
        </w:rPr>
        <w:t>Mayya</w:t>
      </w:r>
      <w:proofErr w:type="spellEnd"/>
      <w:r w:rsidRPr="0020072D">
        <w:rPr>
          <w:rFonts w:ascii="Arial" w:hAnsi="Arial" w:cs="Arial"/>
          <w:sz w:val="24"/>
          <w:szCs w:val="24"/>
        </w:rPr>
        <w:t xml:space="preserve">, S., (2022) ‘SWOC Analysis of Marriott International- A Case Study’. </w:t>
      </w:r>
      <w:r w:rsidRPr="0020072D">
        <w:rPr>
          <w:rFonts w:ascii="Arial" w:hAnsi="Arial" w:cs="Arial"/>
          <w:i/>
          <w:sz w:val="24"/>
          <w:szCs w:val="24"/>
        </w:rPr>
        <w:t>International Journal of Case Studies in Business, IT, and Education (IJCSBE),</w:t>
      </w:r>
      <w:r w:rsidRPr="0020072D">
        <w:rPr>
          <w:rFonts w:ascii="Arial" w:hAnsi="Arial" w:cs="Arial"/>
          <w:sz w:val="24"/>
          <w:szCs w:val="24"/>
        </w:rPr>
        <w:t xml:space="preserve"> 6(2), PP. 877-889. DOI: </w:t>
      </w:r>
      <w:hyperlink r:id="rId5" w:history="1">
        <w:r w:rsidRPr="0020072D">
          <w:rPr>
            <w:rStyle w:val="Hyperlink"/>
            <w:rFonts w:ascii="Arial" w:hAnsi="Arial" w:cs="Arial"/>
            <w:sz w:val="24"/>
            <w:szCs w:val="24"/>
          </w:rPr>
          <w:t>https://doi.org/10.5281/zenodo.7509528</w:t>
        </w:r>
      </w:hyperlink>
    </w:p>
    <w:p w14:paraId="7DC4C9A4" w14:textId="77777777" w:rsidR="0020072D" w:rsidRPr="0020072D" w:rsidRDefault="0020072D" w:rsidP="00575AB6">
      <w:pPr>
        <w:spacing w:line="360" w:lineRule="auto"/>
        <w:jc w:val="both"/>
        <w:rPr>
          <w:rFonts w:ascii="Arial" w:hAnsi="Arial" w:cs="Arial"/>
          <w:sz w:val="24"/>
          <w:szCs w:val="24"/>
        </w:rPr>
      </w:pPr>
      <w:proofErr w:type="spellStart"/>
      <w:r w:rsidRPr="0020072D">
        <w:rPr>
          <w:rFonts w:ascii="Arial" w:hAnsi="Arial" w:cs="Arial"/>
          <w:sz w:val="24"/>
          <w:szCs w:val="24"/>
        </w:rPr>
        <w:t>Cajková</w:t>
      </w:r>
      <w:proofErr w:type="spellEnd"/>
      <w:r w:rsidRPr="0020072D">
        <w:rPr>
          <w:rFonts w:ascii="Arial" w:hAnsi="Arial" w:cs="Arial"/>
          <w:sz w:val="24"/>
          <w:szCs w:val="24"/>
        </w:rPr>
        <w:t xml:space="preserve">, A., Nadežda J., and Dušan M. (2023) ‘Knowledge management as a tool for increasing the efficiency of municipality management in Slovakia’. </w:t>
      </w:r>
      <w:r w:rsidRPr="0020072D">
        <w:rPr>
          <w:rFonts w:ascii="Arial" w:hAnsi="Arial" w:cs="Arial"/>
          <w:i/>
          <w:sz w:val="24"/>
          <w:szCs w:val="24"/>
        </w:rPr>
        <w:t>Knowledge Management Research and Practice</w:t>
      </w:r>
      <w:r w:rsidRPr="0020072D">
        <w:rPr>
          <w:rFonts w:ascii="Arial" w:hAnsi="Arial" w:cs="Arial"/>
          <w:sz w:val="24"/>
          <w:szCs w:val="24"/>
        </w:rPr>
        <w:t xml:space="preserve"> 21, pp. 292–302.</w:t>
      </w:r>
    </w:p>
    <w:p w14:paraId="017895CA" w14:textId="77777777" w:rsidR="0020072D" w:rsidRPr="0020072D" w:rsidRDefault="0020072D" w:rsidP="00575AB6">
      <w:pPr>
        <w:spacing w:line="360" w:lineRule="auto"/>
        <w:jc w:val="both"/>
        <w:rPr>
          <w:rFonts w:ascii="Arial" w:hAnsi="Arial" w:cs="Arial"/>
          <w:sz w:val="24"/>
          <w:szCs w:val="24"/>
        </w:rPr>
      </w:pPr>
      <w:r w:rsidRPr="0020072D">
        <w:rPr>
          <w:rFonts w:ascii="Arial" w:hAnsi="Arial" w:cs="Arial"/>
          <w:sz w:val="24"/>
          <w:szCs w:val="24"/>
        </w:rPr>
        <w:t xml:space="preserve">Cook, J., Yishay M., and Patricia S. (2020) ‘Three cases of hybridity in learning spaces: Towards a design for a Zone of Possibility’. </w:t>
      </w:r>
      <w:r w:rsidRPr="0020072D">
        <w:rPr>
          <w:rFonts w:ascii="Arial" w:hAnsi="Arial" w:cs="Arial"/>
          <w:i/>
          <w:sz w:val="24"/>
          <w:szCs w:val="24"/>
        </w:rPr>
        <w:t>British Journal of Educational Technology</w:t>
      </w:r>
      <w:r w:rsidRPr="0020072D">
        <w:rPr>
          <w:rFonts w:ascii="Arial" w:hAnsi="Arial" w:cs="Arial"/>
          <w:sz w:val="24"/>
          <w:szCs w:val="24"/>
        </w:rPr>
        <w:t xml:space="preserve"> 51, pp. 1155–1167</w:t>
      </w:r>
    </w:p>
    <w:p w14:paraId="0A170794" w14:textId="77777777" w:rsidR="0020072D" w:rsidRDefault="00DC716F" w:rsidP="00575AB6">
      <w:pPr>
        <w:spacing w:line="360" w:lineRule="auto"/>
        <w:jc w:val="both"/>
        <w:rPr>
          <w:rStyle w:val="Hyperlink"/>
          <w:rFonts w:ascii="Arial" w:hAnsi="Arial" w:cs="Arial"/>
          <w:sz w:val="24"/>
          <w:szCs w:val="24"/>
        </w:rPr>
      </w:pPr>
      <w:r>
        <w:rPr>
          <w:rFonts w:ascii="Arial" w:hAnsi="Arial" w:cs="Arial"/>
          <w:sz w:val="24"/>
          <w:szCs w:val="24"/>
        </w:rPr>
        <w:t>Ghani B., Memon K.R., Ullah, R., Khattak, A., Han, H., Ariza-</w:t>
      </w:r>
      <w:proofErr w:type="spellStart"/>
      <w:r>
        <w:rPr>
          <w:rFonts w:ascii="Arial" w:hAnsi="Arial" w:cs="Arial"/>
          <w:sz w:val="24"/>
          <w:szCs w:val="24"/>
        </w:rPr>
        <w:t>montes</w:t>
      </w:r>
      <w:proofErr w:type="spellEnd"/>
      <w:r>
        <w:rPr>
          <w:rFonts w:ascii="Arial" w:hAnsi="Arial" w:cs="Arial"/>
          <w:sz w:val="24"/>
          <w:szCs w:val="24"/>
        </w:rPr>
        <w:t>, A. and Araya-Castillo L.</w:t>
      </w:r>
      <w:r w:rsidR="0020072D" w:rsidRPr="0020072D">
        <w:rPr>
          <w:rFonts w:ascii="Arial" w:hAnsi="Arial" w:cs="Arial"/>
          <w:sz w:val="24"/>
          <w:szCs w:val="24"/>
        </w:rPr>
        <w:t xml:space="preserve"> (2022) ‘Challenges and Strategies for Employee Retention in the Hospitality Industry: A Review’. </w:t>
      </w:r>
      <w:r w:rsidR="0020072D" w:rsidRPr="0020072D">
        <w:rPr>
          <w:rFonts w:ascii="Arial" w:hAnsi="Arial" w:cs="Arial"/>
          <w:i/>
          <w:sz w:val="24"/>
          <w:szCs w:val="24"/>
        </w:rPr>
        <w:t xml:space="preserve">Sustainability. </w:t>
      </w:r>
      <w:r w:rsidR="0020072D" w:rsidRPr="0020072D">
        <w:rPr>
          <w:rFonts w:ascii="Arial" w:hAnsi="Arial" w:cs="Arial"/>
          <w:sz w:val="24"/>
          <w:szCs w:val="24"/>
        </w:rPr>
        <w:t xml:space="preserve">14(5), pp2885. </w:t>
      </w:r>
      <w:hyperlink r:id="rId6" w:history="1">
        <w:r w:rsidR="0020072D" w:rsidRPr="0020072D">
          <w:rPr>
            <w:rStyle w:val="Hyperlink"/>
            <w:rFonts w:ascii="Arial" w:hAnsi="Arial" w:cs="Arial"/>
            <w:sz w:val="24"/>
            <w:szCs w:val="24"/>
          </w:rPr>
          <w:t>https://doi.org/10.3390/su14052885</w:t>
        </w:r>
      </w:hyperlink>
    </w:p>
    <w:p w14:paraId="308A7E27" w14:textId="77777777" w:rsidR="0020072D" w:rsidRPr="0020072D" w:rsidRDefault="0020072D" w:rsidP="00575AB6">
      <w:pPr>
        <w:spacing w:line="360" w:lineRule="auto"/>
        <w:jc w:val="both"/>
        <w:rPr>
          <w:rFonts w:ascii="Arial" w:hAnsi="Arial" w:cs="Arial"/>
          <w:sz w:val="24"/>
          <w:szCs w:val="24"/>
        </w:rPr>
      </w:pPr>
      <w:r w:rsidRPr="0020072D">
        <w:rPr>
          <w:rFonts w:ascii="Arial" w:hAnsi="Arial" w:cs="Arial"/>
          <w:sz w:val="24"/>
          <w:szCs w:val="24"/>
        </w:rPr>
        <w:lastRenderedPageBreak/>
        <w:t xml:space="preserve">Gibbs M., Mengel F. and </w:t>
      </w:r>
      <w:proofErr w:type="spellStart"/>
      <w:r w:rsidRPr="0020072D">
        <w:rPr>
          <w:rFonts w:ascii="Arial" w:hAnsi="Arial" w:cs="Arial"/>
          <w:sz w:val="24"/>
          <w:szCs w:val="24"/>
        </w:rPr>
        <w:t>Siemroth</w:t>
      </w:r>
      <w:proofErr w:type="spellEnd"/>
      <w:r w:rsidRPr="0020072D">
        <w:rPr>
          <w:rFonts w:ascii="Arial" w:hAnsi="Arial" w:cs="Arial"/>
          <w:sz w:val="24"/>
          <w:szCs w:val="24"/>
        </w:rPr>
        <w:t xml:space="preserve"> C. (2021) ‘Work from home &amp; productivity: Evidence from personnel &amp; analytics data on IT professionals’. </w:t>
      </w:r>
      <w:r w:rsidRPr="0020072D">
        <w:rPr>
          <w:rFonts w:ascii="Arial" w:hAnsi="Arial" w:cs="Arial"/>
          <w:i/>
          <w:sz w:val="24"/>
          <w:szCs w:val="24"/>
        </w:rPr>
        <w:t>University of Chicago, Becker Friedman Institute for Economics Working Paper</w:t>
      </w:r>
      <w:r w:rsidRPr="0020072D">
        <w:rPr>
          <w:rFonts w:ascii="Arial" w:hAnsi="Arial" w:cs="Arial"/>
          <w:sz w:val="24"/>
          <w:szCs w:val="24"/>
        </w:rPr>
        <w:t>. 2021:2021–56</w:t>
      </w:r>
    </w:p>
    <w:p w14:paraId="4C1664CA" w14:textId="77777777" w:rsidR="0020072D" w:rsidRPr="0020072D" w:rsidRDefault="0020072D" w:rsidP="00575AB6">
      <w:pPr>
        <w:spacing w:line="360" w:lineRule="auto"/>
        <w:jc w:val="both"/>
        <w:rPr>
          <w:rFonts w:ascii="Arial" w:hAnsi="Arial" w:cs="Arial"/>
          <w:sz w:val="24"/>
          <w:szCs w:val="24"/>
        </w:rPr>
      </w:pPr>
      <w:r w:rsidRPr="0020072D">
        <w:rPr>
          <w:rFonts w:ascii="Arial" w:hAnsi="Arial" w:cs="Arial"/>
          <w:sz w:val="24"/>
          <w:szCs w:val="24"/>
        </w:rPr>
        <w:t xml:space="preserve">Govender, L., </w:t>
      </w:r>
      <w:proofErr w:type="spellStart"/>
      <w:r w:rsidRPr="0020072D">
        <w:rPr>
          <w:rFonts w:ascii="Arial" w:hAnsi="Arial" w:cs="Arial"/>
          <w:sz w:val="24"/>
          <w:szCs w:val="24"/>
        </w:rPr>
        <w:t>Migiro</w:t>
      </w:r>
      <w:proofErr w:type="spellEnd"/>
      <w:r w:rsidRPr="0020072D">
        <w:rPr>
          <w:rFonts w:ascii="Arial" w:hAnsi="Arial" w:cs="Arial"/>
          <w:sz w:val="24"/>
          <w:szCs w:val="24"/>
        </w:rPr>
        <w:t xml:space="preserve">, S.O. and </w:t>
      </w:r>
      <w:proofErr w:type="spellStart"/>
      <w:r w:rsidRPr="0020072D">
        <w:rPr>
          <w:rFonts w:ascii="Arial" w:hAnsi="Arial" w:cs="Arial"/>
          <w:sz w:val="24"/>
          <w:szCs w:val="24"/>
        </w:rPr>
        <w:t>Kyule</w:t>
      </w:r>
      <w:proofErr w:type="spellEnd"/>
      <w:r w:rsidRPr="0020072D">
        <w:rPr>
          <w:rFonts w:ascii="Arial" w:hAnsi="Arial" w:cs="Arial"/>
          <w:sz w:val="24"/>
          <w:szCs w:val="24"/>
        </w:rPr>
        <w:t xml:space="preserve">, A.K. (2018) ‘Flexible Work Arrangements, Job Satisfaction and Performance’. </w:t>
      </w:r>
      <w:r w:rsidRPr="0020072D">
        <w:rPr>
          <w:rFonts w:ascii="Arial" w:hAnsi="Arial" w:cs="Arial"/>
          <w:i/>
          <w:sz w:val="24"/>
          <w:szCs w:val="24"/>
        </w:rPr>
        <w:t xml:space="preserve">J. Econ. </w:t>
      </w:r>
      <w:proofErr w:type="spellStart"/>
      <w:r w:rsidRPr="0020072D">
        <w:rPr>
          <w:rFonts w:ascii="Arial" w:hAnsi="Arial" w:cs="Arial"/>
          <w:i/>
          <w:sz w:val="24"/>
          <w:szCs w:val="24"/>
        </w:rPr>
        <w:t>Behav</w:t>
      </w:r>
      <w:proofErr w:type="spellEnd"/>
      <w:r w:rsidRPr="0020072D">
        <w:rPr>
          <w:rFonts w:ascii="Arial" w:hAnsi="Arial" w:cs="Arial"/>
          <w:i/>
          <w:sz w:val="24"/>
          <w:szCs w:val="24"/>
        </w:rPr>
        <w:t>. Stud.</w:t>
      </w:r>
      <w:r w:rsidRPr="0020072D">
        <w:rPr>
          <w:rFonts w:ascii="Arial" w:hAnsi="Arial" w:cs="Arial"/>
          <w:sz w:val="24"/>
          <w:szCs w:val="24"/>
        </w:rPr>
        <w:t xml:space="preserve">  10, pp. 268–277</w:t>
      </w:r>
    </w:p>
    <w:p w14:paraId="12256793" w14:textId="77777777" w:rsidR="0020072D" w:rsidRPr="0020072D" w:rsidRDefault="0020072D" w:rsidP="00575AB6">
      <w:pPr>
        <w:spacing w:line="360" w:lineRule="auto"/>
        <w:jc w:val="both"/>
        <w:rPr>
          <w:rFonts w:ascii="Arial" w:hAnsi="Arial" w:cs="Arial"/>
          <w:sz w:val="24"/>
          <w:szCs w:val="24"/>
        </w:rPr>
      </w:pPr>
      <w:r w:rsidRPr="0020072D">
        <w:rPr>
          <w:rFonts w:ascii="Arial" w:hAnsi="Arial" w:cs="Arial"/>
          <w:sz w:val="24"/>
          <w:szCs w:val="24"/>
        </w:rPr>
        <w:t xml:space="preserve">Gupta, A. (2013) ‘Environment &amp; PEST Analysis: An Approach to External Business Environment’. </w:t>
      </w:r>
      <w:r w:rsidRPr="0020072D">
        <w:rPr>
          <w:rFonts w:ascii="Arial" w:hAnsi="Arial" w:cs="Arial"/>
          <w:i/>
          <w:sz w:val="24"/>
          <w:szCs w:val="24"/>
        </w:rPr>
        <w:t>International Journal of Modern Social Sciences</w:t>
      </w:r>
      <w:r w:rsidRPr="0020072D">
        <w:rPr>
          <w:rFonts w:ascii="Arial" w:hAnsi="Arial" w:cs="Arial"/>
          <w:sz w:val="24"/>
          <w:szCs w:val="24"/>
        </w:rPr>
        <w:t>, 2, pp. 34-43.</w:t>
      </w:r>
    </w:p>
    <w:p w14:paraId="40032774" w14:textId="77777777" w:rsidR="0020072D" w:rsidRPr="0020072D" w:rsidRDefault="0020072D" w:rsidP="00575AB6">
      <w:pPr>
        <w:spacing w:line="360" w:lineRule="auto"/>
        <w:jc w:val="both"/>
        <w:rPr>
          <w:rFonts w:ascii="Arial" w:hAnsi="Arial" w:cs="Arial"/>
          <w:sz w:val="24"/>
          <w:szCs w:val="24"/>
        </w:rPr>
      </w:pPr>
      <w:r w:rsidRPr="0020072D">
        <w:rPr>
          <w:rFonts w:ascii="Arial" w:hAnsi="Arial" w:cs="Arial"/>
          <w:sz w:val="24"/>
          <w:szCs w:val="24"/>
        </w:rPr>
        <w:t>Halford, S. (2005) ‘Hybrid workspace: Re-</w:t>
      </w:r>
      <w:proofErr w:type="spellStart"/>
      <w:r w:rsidRPr="0020072D">
        <w:rPr>
          <w:rFonts w:ascii="Arial" w:hAnsi="Arial" w:cs="Arial"/>
          <w:sz w:val="24"/>
          <w:szCs w:val="24"/>
        </w:rPr>
        <w:t>spatialisations</w:t>
      </w:r>
      <w:proofErr w:type="spellEnd"/>
      <w:r w:rsidRPr="0020072D">
        <w:rPr>
          <w:rFonts w:ascii="Arial" w:hAnsi="Arial" w:cs="Arial"/>
          <w:sz w:val="24"/>
          <w:szCs w:val="24"/>
        </w:rPr>
        <w:t xml:space="preserve"> of work, </w:t>
      </w:r>
      <w:proofErr w:type="spellStart"/>
      <w:r w:rsidRPr="0020072D">
        <w:rPr>
          <w:rFonts w:ascii="Arial" w:hAnsi="Arial" w:cs="Arial"/>
          <w:sz w:val="24"/>
          <w:szCs w:val="24"/>
        </w:rPr>
        <w:t>organisation</w:t>
      </w:r>
      <w:proofErr w:type="spellEnd"/>
      <w:r w:rsidRPr="0020072D">
        <w:rPr>
          <w:rFonts w:ascii="Arial" w:hAnsi="Arial" w:cs="Arial"/>
          <w:sz w:val="24"/>
          <w:szCs w:val="24"/>
        </w:rPr>
        <w:t xml:space="preserve"> and management’. </w:t>
      </w:r>
      <w:r w:rsidRPr="0020072D">
        <w:rPr>
          <w:rFonts w:ascii="Arial" w:hAnsi="Arial" w:cs="Arial"/>
          <w:i/>
          <w:sz w:val="24"/>
          <w:szCs w:val="24"/>
        </w:rPr>
        <w:t xml:space="preserve">New Technology, Work and Employment </w:t>
      </w:r>
      <w:r w:rsidRPr="0020072D">
        <w:rPr>
          <w:rFonts w:ascii="Arial" w:hAnsi="Arial" w:cs="Arial"/>
          <w:sz w:val="24"/>
          <w:szCs w:val="24"/>
        </w:rPr>
        <w:t>20, pp. 19–33.</w:t>
      </w:r>
    </w:p>
    <w:p w14:paraId="540D57B2" w14:textId="77777777" w:rsidR="0020072D" w:rsidRDefault="00DC716F" w:rsidP="00575AB6">
      <w:pPr>
        <w:spacing w:line="360" w:lineRule="auto"/>
        <w:jc w:val="both"/>
        <w:rPr>
          <w:rFonts w:ascii="Arial" w:hAnsi="Arial" w:cs="Arial"/>
          <w:sz w:val="24"/>
          <w:szCs w:val="24"/>
        </w:rPr>
      </w:pPr>
      <w:r>
        <w:rPr>
          <w:rFonts w:ascii="Arial" w:hAnsi="Arial" w:cs="Arial"/>
          <w:sz w:val="24"/>
          <w:szCs w:val="24"/>
        </w:rPr>
        <w:t>Iqbal, K., Muhammad, J., Farooq, K. and Sergey, Y.B.</w:t>
      </w:r>
      <w:r w:rsidR="0020072D" w:rsidRPr="0020072D">
        <w:rPr>
          <w:rFonts w:ascii="Arial" w:hAnsi="Arial" w:cs="Arial"/>
          <w:i/>
          <w:sz w:val="24"/>
          <w:szCs w:val="24"/>
        </w:rPr>
        <w:t xml:space="preserve"> </w:t>
      </w:r>
      <w:r w:rsidR="0020072D" w:rsidRPr="0020072D">
        <w:rPr>
          <w:rFonts w:ascii="Arial" w:hAnsi="Arial" w:cs="Arial"/>
          <w:sz w:val="24"/>
          <w:szCs w:val="24"/>
        </w:rPr>
        <w:t xml:space="preserve">(2021) ‘Hybrid Workplace: The Future of Work. In Handbook of Research on Future Opportunities for Technology Management Education’. </w:t>
      </w:r>
      <w:r w:rsidR="0020072D" w:rsidRPr="0020072D">
        <w:rPr>
          <w:rFonts w:ascii="Arial" w:hAnsi="Arial" w:cs="Arial"/>
          <w:i/>
          <w:sz w:val="24"/>
          <w:szCs w:val="24"/>
        </w:rPr>
        <w:t>Hershey: IGI Global</w:t>
      </w:r>
      <w:r w:rsidR="0020072D" w:rsidRPr="0020072D">
        <w:rPr>
          <w:rFonts w:ascii="Arial" w:hAnsi="Arial" w:cs="Arial"/>
          <w:sz w:val="24"/>
          <w:szCs w:val="24"/>
        </w:rPr>
        <w:t>, pp. 28–48</w:t>
      </w:r>
    </w:p>
    <w:p w14:paraId="1EEA173E" w14:textId="77777777" w:rsidR="0020072D" w:rsidRPr="0020072D" w:rsidRDefault="0020072D" w:rsidP="00575AB6">
      <w:pPr>
        <w:spacing w:line="360" w:lineRule="auto"/>
        <w:jc w:val="both"/>
        <w:rPr>
          <w:rFonts w:ascii="Arial" w:hAnsi="Arial" w:cs="Arial"/>
          <w:sz w:val="24"/>
          <w:szCs w:val="24"/>
        </w:rPr>
      </w:pPr>
      <w:r w:rsidRPr="0020072D">
        <w:rPr>
          <w:rFonts w:ascii="Arial" w:hAnsi="Arial" w:cs="Arial"/>
          <w:sz w:val="24"/>
          <w:szCs w:val="24"/>
        </w:rPr>
        <w:t xml:space="preserve">Kuria, S., </w:t>
      </w:r>
      <w:proofErr w:type="spellStart"/>
      <w:r w:rsidRPr="0020072D">
        <w:rPr>
          <w:rFonts w:ascii="Arial" w:hAnsi="Arial" w:cs="Arial"/>
          <w:sz w:val="24"/>
          <w:szCs w:val="24"/>
        </w:rPr>
        <w:t>Ondigi</w:t>
      </w:r>
      <w:proofErr w:type="spellEnd"/>
      <w:r w:rsidRPr="0020072D">
        <w:rPr>
          <w:rFonts w:ascii="Arial" w:hAnsi="Arial" w:cs="Arial"/>
          <w:sz w:val="24"/>
          <w:szCs w:val="24"/>
        </w:rPr>
        <w:t xml:space="preserve">, A. and </w:t>
      </w:r>
      <w:proofErr w:type="spellStart"/>
      <w:r w:rsidRPr="0020072D">
        <w:rPr>
          <w:rFonts w:ascii="Arial" w:hAnsi="Arial" w:cs="Arial"/>
          <w:sz w:val="24"/>
          <w:szCs w:val="24"/>
        </w:rPr>
        <w:t>Wanderi</w:t>
      </w:r>
      <w:proofErr w:type="spellEnd"/>
      <w:r w:rsidRPr="0020072D">
        <w:rPr>
          <w:rFonts w:ascii="Arial" w:hAnsi="Arial" w:cs="Arial"/>
          <w:sz w:val="24"/>
          <w:szCs w:val="24"/>
        </w:rPr>
        <w:t xml:space="preserve">, P.M. (2012) ‘Assessment of causes of labor turnover in three and five star—Rated hotels in Kenya’. </w:t>
      </w:r>
      <w:r w:rsidRPr="0020072D">
        <w:rPr>
          <w:rFonts w:ascii="Arial" w:hAnsi="Arial" w:cs="Arial"/>
          <w:i/>
          <w:sz w:val="24"/>
          <w:szCs w:val="24"/>
        </w:rPr>
        <w:t>Int. J. Bus. Soc. Sci.</w:t>
      </w:r>
      <w:r w:rsidRPr="0020072D">
        <w:rPr>
          <w:rFonts w:ascii="Arial" w:hAnsi="Arial" w:cs="Arial"/>
          <w:sz w:val="24"/>
          <w:szCs w:val="24"/>
        </w:rPr>
        <w:t xml:space="preserve"> 3, pp. 311–317</w:t>
      </w:r>
    </w:p>
    <w:p w14:paraId="158A5541" w14:textId="77777777" w:rsidR="0020072D" w:rsidRPr="0020072D" w:rsidRDefault="0020072D" w:rsidP="00575AB6">
      <w:pPr>
        <w:spacing w:line="360" w:lineRule="auto"/>
        <w:jc w:val="both"/>
        <w:rPr>
          <w:rFonts w:ascii="Arial" w:hAnsi="Arial" w:cs="Arial"/>
          <w:sz w:val="24"/>
          <w:szCs w:val="24"/>
        </w:rPr>
      </w:pPr>
      <w:proofErr w:type="spellStart"/>
      <w:r w:rsidRPr="0020072D">
        <w:rPr>
          <w:rFonts w:ascii="Arial" w:hAnsi="Arial" w:cs="Arial"/>
          <w:sz w:val="24"/>
          <w:szCs w:val="24"/>
        </w:rPr>
        <w:t>Likhitkar</w:t>
      </w:r>
      <w:proofErr w:type="spellEnd"/>
      <w:r w:rsidRPr="0020072D">
        <w:rPr>
          <w:rFonts w:ascii="Arial" w:hAnsi="Arial" w:cs="Arial"/>
          <w:sz w:val="24"/>
          <w:szCs w:val="24"/>
        </w:rPr>
        <w:t xml:space="preserve">, P. and Verma, P. (2017) ‘Impact of green HRM practices on organization sustainability and employee retention’. </w:t>
      </w:r>
      <w:r w:rsidRPr="0020072D">
        <w:rPr>
          <w:rFonts w:ascii="Arial" w:hAnsi="Arial" w:cs="Arial"/>
          <w:i/>
          <w:sz w:val="24"/>
          <w:szCs w:val="24"/>
        </w:rPr>
        <w:t xml:space="preserve">Int. J. </w:t>
      </w:r>
      <w:proofErr w:type="spellStart"/>
      <w:r w:rsidRPr="0020072D">
        <w:rPr>
          <w:rFonts w:ascii="Arial" w:hAnsi="Arial" w:cs="Arial"/>
          <w:i/>
          <w:sz w:val="24"/>
          <w:szCs w:val="24"/>
        </w:rPr>
        <w:t>Innov</w:t>
      </w:r>
      <w:proofErr w:type="spellEnd"/>
      <w:r w:rsidRPr="0020072D">
        <w:rPr>
          <w:rFonts w:ascii="Arial" w:hAnsi="Arial" w:cs="Arial"/>
          <w:i/>
          <w:sz w:val="24"/>
          <w:szCs w:val="24"/>
        </w:rPr>
        <w:t xml:space="preserve">. Res. </w:t>
      </w:r>
      <w:proofErr w:type="spellStart"/>
      <w:r w:rsidRPr="0020072D">
        <w:rPr>
          <w:rFonts w:ascii="Arial" w:hAnsi="Arial" w:cs="Arial"/>
          <w:i/>
          <w:sz w:val="24"/>
          <w:szCs w:val="24"/>
        </w:rPr>
        <w:t>Multidiscip</w:t>
      </w:r>
      <w:proofErr w:type="spellEnd"/>
      <w:r w:rsidRPr="0020072D">
        <w:rPr>
          <w:rFonts w:ascii="Arial" w:hAnsi="Arial" w:cs="Arial"/>
          <w:i/>
          <w:sz w:val="24"/>
          <w:szCs w:val="24"/>
        </w:rPr>
        <w:t>. Field</w:t>
      </w:r>
      <w:r w:rsidRPr="0020072D">
        <w:rPr>
          <w:rFonts w:ascii="Arial" w:hAnsi="Arial" w:cs="Arial"/>
          <w:sz w:val="24"/>
          <w:szCs w:val="24"/>
        </w:rPr>
        <w:t xml:space="preserve"> 3, pp. 152–157</w:t>
      </w:r>
    </w:p>
    <w:p w14:paraId="76F56D23" w14:textId="77777777" w:rsidR="0020072D" w:rsidRPr="0020072D" w:rsidRDefault="0020072D" w:rsidP="00575AB6">
      <w:pPr>
        <w:spacing w:line="360" w:lineRule="auto"/>
        <w:jc w:val="both"/>
        <w:rPr>
          <w:rFonts w:ascii="Arial" w:hAnsi="Arial" w:cs="Arial"/>
          <w:sz w:val="24"/>
          <w:szCs w:val="24"/>
        </w:rPr>
      </w:pPr>
      <w:r w:rsidRPr="0020072D">
        <w:rPr>
          <w:rFonts w:ascii="Arial" w:hAnsi="Arial" w:cs="Arial"/>
          <w:sz w:val="24"/>
          <w:szCs w:val="24"/>
        </w:rPr>
        <w:t xml:space="preserve">Marriot, (2024). </w:t>
      </w:r>
      <w:r w:rsidRPr="0020072D">
        <w:rPr>
          <w:rFonts w:ascii="Arial" w:hAnsi="Arial" w:cs="Arial"/>
          <w:i/>
          <w:sz w:val="24"/>
          <w:szCs w:val="24"/>
        </w:rPr>
        <w:t>Our brands.</w:t>
      </w:r>
      <w:r w:rsidRPr="0020072D">
        <w:rPr>
          <w:rFonts w:ascii="Arial" w:hAnsi="Arial" w:cs="Arial"/>
          <w:sz w:val="24"/>
          <w:szCs w:val="24"/>
        </w:rPr>
        <w:t xml:space="preserve"> Available at: </w:t>
      </w:r>
      <w:hyperlink r:id="rId7" w:history="1">
        <w:r w:rsidRPr="0020072D">
          <w:rPr>
            <w:rStyle w:val="Hyperlink"/>
            <w:rFonts w:ascii="Arial" w:hAnsi="Arial" w:cs="Arial"/>
            <w:sz w:val="24"/>
            <w:szCs w:val="24"/>
          </w:rPr>
          <w:t>https://www.marriott.com/default.mi</w:t>
        </w:r>
      </w:hyperlink>
      <w:r w:rsidRPr="0020072D">
        <w:rPr>
          <w:rFonts w:ascii="Arial" w:hAnsi="Arial" w:cs="Arial"/>
          <w:sz w:val="24"/>
          <w:szCs w:val="24"/>
        </w:rPr>
        <w:t xml:space="preserve"> (Accessed: 10 May 2024).</w:t>
      </w:r>
    </w:p>
    <w:p w14:paraId="4068BF57" w14:textId="77777777" w:rsidR="0020072D" w:rsidRDefault="00DC716F" w:rsidP="00575AB6">
      <w:pPr>
        <w:spacing w:line="360" w:lineRule="auto"/>
        <w:jc w:val="both"/>
        <w:rPr>
          <w:rFonts w:ascii="Arial" w:hAnsi="Arial" w:cs="Arial"/>
          <w:sz w:val="24"/>
          <w:szCs w:val="24"/>
        </w:rPr>
      </w:pPr>
      <w:proofErr w:type="spellStart"/>
      <w:r>
        <w:rPr>
          <w:rFonts w:ascii="Arial" w:hAnsi="Arial" w:cs="Arial"/>
          <w:sz w:val="24"/>
          <w:szCs w:val="24"/>
        </w:rPr>
        <w:t>Ohunakin</w:t>
      </w:r>
      <w:proofErr w:type="spellEnd"/>
      <w:r>
        <w:rPr>
          <w:rFonts w:ascii="Arial" w:hAnsi="Arial" w:cs="Arial"/>
          <w:sz w:val="24"/>
          <w:szCs w:val="24"/>
        </w:rPr>
        <w:t xml:space="preserve">, F., Adeniji, A.A., </w:t>
      </w:r>
      <w:proofErr w:type="spellStart"/>
      <w:r>
        <w:rPr>
          <w:rFonts w:ascii="Arial" w:hAnsi="Arial" w:cs="Arial"/>
          <w:sz w:val="24"/>
          <w:szCs w:val="24"/>
        </w:rPr>
        <w:t>Ogunlusi</w:t>
      </w:r>
      <w:proofErr w:type="spellEnd"/>
      <w:r>
        <w:rPr>
          <w:rFonts w:ascii="Arial" w:hAnsi="Arial" w:cs="Arial"/>
          <w:sz w:val="24"/>
          <w:szCs w:val="24"/>
        </w:rPr>
        <w:t xml:space="preserve">, G., </w:t>
      </w:r>
      <w:proofErr w:type="spellStart"/>
      <w:r>
        <w:rPr>
          <w:rFonts w:ascii="Arial" w:hAnsi="Arial" w:cs="Arial"/>
          <w:sz w:val="24"/>
          <w:szCs w:val="24"/>
        </w:rPr>
        <w:t>Igbandumhe</w:t>
      </w:r>
      <w:proofErr w:type="spellEnd"/>
      <w:r>
        <w:rPr>
          <w:rFonts w:ascii="Arial" w:hAnsi="Arial" w:cs="Arial"/>
          <w:sz w:val="24"/>
          <w:szCs w:val="24"/>
        </w:rPr>
        <w:t xml:space="preserve">, F. and </w:t>
      </w:r>
      <w:proofErr w:type="spellStart"/>
      <w:r>
        <w:rPr>
          <w:rFonts w:ascii="Arial" w:hAnsi="Arial" w:cs="Arial"/>
          <w:sz w:val="24"/>
          <w:szCs w:val="24"/>
        </w:rPr>
        <w:t>Sodeinde</w:t>
      </w:r>
      <w:proofErr w:type="spellEnd"/>
      <w:r>
        <w:rPr>
          <w:rFonts w:ascii="Arial" w:hAnsi="Arial" w:cs="Arial"/>
          <w:sz w:val="24"/>
          <w:szCs w:val="24"/>
        </w:rPr>
        <w:t xml:space="preserve">, A.G. </w:t>
      </w:r>
      <w:r w:rsidR="0020072D" w:rsidRPr="0020072D">
        <w:rPr>
          <w:rFonts w:ascii="Arial" w:hAnsi="Arial" w:cs="Arial"/>
          <w:sz w:val="24"/>
          <w:szCs w:val="24"/>
        </w:rPr>
        <w:t xml:space="preserve">(2020) ‘Talent retention strategies and employees’ </w:t>
      </w:r>
      <w:proofErr w:type="spellStart"/>
      <w:r w:rsidR="0020072D" w:rsidRPr="0020072D">
        <w:rPr>
          <w:rFonts w:ascii="Arial" w:hAnsi="Arial" w:cs="Arial"/>
          <w:sz w:val="24"/>
          <w:szCs w:val="24"/>
        </w:rPr>
        <w:t>behavioural</w:t>
      </w:r>
      <w:proofErr w:type="spellEnd"/>
      <w:r w:rsidR="0020072D" w:rsidRPr="0020072D">
        <w:rPr>
          <w:rFonts w:ascii="Arial" w:hAnsi="Arial" w:cs="Arial"/>
          <w:sz w:val="24"/>
          <w:szCs w:val="24"/>
        </w:rPr>
        <w:t xml:space="preserve"> outcomes: Empirical evidence from hospitality industry’. </w:t>
      </w:r>
      <w:r w:rsidR="0020072D" w:rsidRPr="0020072D">
        <w:rPr>
          <w:rFonts w:ascii="Arial" w:hAnsi="Arial" w:cs="Arial"/>
          <w:i/>
          <w:sz w:val="24"/>
          <w:szCs w:val="24"/>
        </w:rPr>
        <w:t xml:space="preserve">Bus. Theory </w:t>
      </w:r>
      <w:proofErr w:type="spellStart"/>
      <w:r w:rsidR="0020072D" w:rsidRPr="0020072D">
        <w:rPr>
          <w:rFonts w:ascii="Arial" w:hAnsi="Arial" w:cs="Arial"/>
          <w:i/>
          <w:sz w:val="24"/>
          <w:szCs w:val="24"/>
        </w:rPr>
        <w:t>Pract</w:t>
      </w:r>
      <w:proofErr w:type="spellEnd"/>
      <w:r w:rsidR="0020072D" w:rsidRPr="0020072D">
        <w:rPr>
          <w:rFonts w:ascii="Arial" w:hAnsi="Arial" w:cs="Arial"/>
          <w:sz w:val="24"/>
          <w:szCs w:val="24"/>
        </w:rPr>
        <w:t>. 21, pp. 192–199.</w:t>
      </w:r>
    </w:p>
    <w:p w14:paraId="0D814E8A" w14:textId="77777777" w:rsidR="0020072D" w:rsidRPr="0020072D" w:rsidRDefault="0020072D" w:rsidP="00575AB6">
      <w:pPr>
        <w:spacing w:line="360" w:lineRule="auto"/>
        <w:jc w:val="both"/>
        <w:rPr>
          <w:rFonts w:ascii="Arial" w:hAnsi="Arial" w:cs="Arial"/>
          <w:sz w:val="24"/>
          <w:szCs w:val="24"/>
        </w:rPr>
      </w:pPr>
      <w:r w:rsidRPr="0020072D">
        <w:rPr>
          <w:rFonts w:ascii="Arial" w:hAnsi="Arial" w:cs="Arial"/>
          <w:sz w:val="24"/>
          <w:szCs w:val="24"/>
        </w:rPr>
        <w:t xml:space="preserve">Pitts, D., Marvel, J. and Fernandez, S. (2011) ‘So hard to say goodbye? Turnover intention among US federal employees’. </w:t>
      </w:r>
      <w:r w:rsidRPr="0020072D">
        <w:rPr>
          <w:rFonts w:ascii="Arial" w:hAnsi="Arial" w:cs="Arial"/>
          <w:i/>
          <w:sz w:val="24"/>
          <w:szCs w:val="24"/>
        </w:rPr>
        <w:t>Public Adm. Rev.</w:t>
      </w:r>
      <w:r w:rsidRPr="0020072D">
        <w:rPr>
          <w:rFonts w:ascii="Arial" w:hAnsi="Arial" w:cs="Arial"/>
          <w:sz w:val="24"/>
          <w:szCs w:val="24"/>
        </w:rPr>
        <w:t xml:space="preserve"> 71, pp. 751–760.</w:t>
      </w:r>
    </w:p>
    <w:p w14:paraId="34AEC71F" w14:textId="77777777" w:rsidR="001E14B7" w:rsidRPr="0020072D" w:rsidRDefault="0020072D" w:rsidP="00575AB6">
      <w:pPr>
        <w:spacing w:line="360" w:lineRule="auto"/>
        <w:jc w:val="both"/>
        <w:rPr>
          <w:rFonts w:ascii="Arial" w:hAnsi="Arial" w:cs="Arial"/>
          <w:sz w:val="24"/>
          <w:szCs w:val="24"/>
        </w:rPr>
      </w:pPr>
      <w:proofErr w:type="spellStart"/>
      <w:r w:rsidRPr="0020072D">
        <w:rPr>
          <w:rFonts w:ascii="Arial" w:hAnsi="Arial" w:cs="Arial"/>
          <w:sz w:val="24"/>
          <w:szCs w:val="24"/>
        </w:rPr>
        <w:t>Srebalová</w:t>
      </w:r>
      <w:proofErr w:type="spellEnd"/>
      <w:r w:rsidRPr="0020072D">
        <w:rPr>
          <w:rFonts w:ascii="Arial" w:hAnsi="Arial" w:cs="Arial"/>
          <w:sz w:val="24"/>
          <w:szCs w:val="24"/>
        </w:rPr>
        <w:t xml:space="preserve">, M. (2022) ‘Effective Public Administration as a Tool for Building Smart Cities: The Experience of the Slovak Republic’. </w:t>
      </w:r>
      <w:r w:rsidRPr="0020072D">
        <w:rPr>
          <w:rFonts w:ascii="Arial" w:hAnsi="Arial" w:cs="Arial"/>
          <w:i/>
          <w:sz w:val="24"/>
          <w:szCs w:val="24"/>
        </w:rPr>
        <w:t xml:space="preserve">Laws </w:t>
      </w:r>
      <w:r w:rsidRPr="0020072D">
        <w:rPr>
          <w:rFonts w:ascii="Arial" w:hAnsi="Arial" w:cs="Arial"/>
          <w:sz w:val="24"/>
          <w:szCs w:val="24"/>
        </w:rPr>
        <w:t>11, pp. 67</w:t>
      </w:r>
    </w:p>
    <w:sectPr w:rsidR="001E14B7" w:rsidRPr="002007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4B7"/>
    <w:rsid w:val="000924F5"/>
    <w:rsid w:val="001E14B7"/>
    <w:rsid w:val="0020072D"/>
    <w:rsid w:val="002F40FC"/>
    <w:rsid w:val="003A28E7"/>
    <w:rsid w:val="003F04B8"/>
    <w:rsid w:val="0049433E"/>
    <w:rsid w:val="00561674"/>
    <w:rsid w:val="00575AB6"/>
    <w:rsid w:val="0058714C"/>
    <w:rsid w:val="009A49E2"/>
    <w:rsid w:val="00B66195"/>
    <w:rsid w:val="00DC716F"/>
    <w:rsid w:val="00EF04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D518B9F"/>
  <w15:docId w15:val="{0036B065-B42A-4C3B-8375-84DB07C04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71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532229">
      <w:bodyDiv w:val="1"/>
      <w:marLeft w:val="0"/>
      <w:marRight w:val="0"/>
      <w:marTop w:val="0"/>
      <w:marBottom w:val="0"/>
      <w:divBdr>
        <w:top w:val="none" w:sz="0" w:space="0" w:color="auto"/>
        <w:left w:val="none" w:sz="0" w:space="0" w:color="auto"/>
        <w:bottom w:val="none" w:sz="0" w:space="0" w:color="auto"/>
        <w:right w:val="none" w:sz="0" w:space="0" w:color="auto"/>
      </w:divBdr>
    </w:div>
    <w:div w:id="186873512">
      <w:bodyDiv w:val="1"/>
      <w:marLeft w:val="0"/>
      <w:marRight w:val="0"/>
      <w:marTop w:val="0"/>
      <w:marBottom w:val="0"/>
      <w:divBdr>
        <w:top w:val="none" w:sz="0" w:space="0" w:color="auto"/>
        <w:left w:val="none" w:sz="0" w:space="0" w:color="auto"/>
        <w:bottom w:val="none" w:sz="0" w:space="0" w:color="auto"/>
        <w:right w:val="none" w:sz="0" w:space="0" w:color="auto"/>
      </w:divBdr>
    </w:div>
    <w:div w:id="426773791">
      <w:bodyDiv w:val="1"/>
      <w:marLeft w:val="0"/>
      <w:marRight w:val="0"/>
      <w:marTop w:val="0"/>
      <w:marBottom w:val="0"/>
      <w:divBdr>
        <w:top w:val="none" w:sz="0" w:space="0" w:color="auto"/>
        <w:left w:val="none" w:sz="0" w:space="0" w:color="auto"/>
        <w:bottom w:val="none" w:sz="0" w:space="0" w:color="auto"/>
        <w:right w:val="none" w:sz="0" w:space="0" w:color="auto"/>
      </w:divBdr>
    </w:div>
    <w:div w:id="485510133">
      <w:bodyDiv w:val="1"/>
      <w:marLeft w:val="0"/>
      <w:marRight w:val="0"/>
      <w:marTop w:val="0"/>
      <w:marBottom w:val="0"/>
      <w:divBdr>
        <w:top w:val="none" w:sz="0" w:space="0" w:color="auto"/>
        <w:left w:val="none" w:sz="0" w:space="0" w:color="auto"/>
        <w:bottom w:val="none" w:sz="0" w:space="0" w:color="auto"/>
        <w:right w:val="none" w:sz="0" w:space="0" w:color="auto"/>
      </w:divBdr>
    </w:div>
    <w:div w:id="667758453">
      <w:bodyDiv w:val="1"/>
      <w:marLeft w:val="0"/>
      <w:marRight w:val="0"/>
      <w:marTop w:val="0"/>
      <w:marBottom w:val="0"/>
      <w:divBdr>
        <w:top w:val="none" w:sz="0" w:space="0" w:color="auto"/>
        <w:left w:val="none" w:sz="0" w:space="0" w:color="auto"/>
        <w:bottom w:val="none" w:sz="0" w:space="0" w:color="auto"/>
        <w:right w:val="none" w:sz="0" w:space="0" w:color="auto"/>
      </w:divBdr>
    </w:div>
    <w:div w:id="720980456">
      <w:bodyDiv w:val="1"/>
      <w:marLeft w:val="0"/>
      <w:marRight w:val="0"/>
      <w:marTop w:val="0"/>
      <w:marBottom w:val="0"/>
      <w:divBdr>
        <w:top w:val="none" w:sz="0" w:space="0" w:color="auto"/>
        <w:left w:val="none" w:sz="0" w:space="0" w:color="auto"/>
        <w:bottom w:val="none" w:sz="0" w:space="0" w:color="auto"/>
        <w:right w:val="none" w:sz="0" w:space="0" w:color="auto"/>
      </w:divBdr>
    </w:div>
    <w:div w:id="828712407">
      <w:bodyDiv w:val="1"/>
      <w:marLeft w:val="0"/>
      <w:marRight w:val="0"/>
      <w:marTop w:val="0"/>
      <w:marBottom w:val="0"/>
      <w:divBdr>
        <w:top w:val="none" w:sz="0" w:space="0" w:color="auto"/>
        <w:left w:val="none" w:sz="0" w:space="0" w:color="auto"/>
        <w:bottom w:val="none" w:sz="0" w:space="0" w:color="auto"/>
        <w:right w:val="none" w:sz="0" w:space="0" w:color="auto"/>
      </w:divBdr>
    </w:div>
    <w:div w:id="898177166">
      <w:bodyDiv w:val="1"/>
      <w:marLeft w:val="0"/>
      <w:marRight w:val="0"/>
      <w:marTop w:val="0"/>
      <w:marBottom w:val="0"/>
      <w:divBdr>
        <w:top w:val="none" w:sz="0" w:space="0" w:color="auto"/>
        <w:left w:val="none" w:sz="0" w:space="0" w:color="auto"/>
        <w:bottom w:val="none" w:sz="0" w:space="0" w:color="auto"/>
        <w:right w:val="none" w:sz="0" w:space="0" w:color="auto"/>
      </w:divBdr>
    </w:div>
    <w:div w:id="979309821">
      <w:bodyDiv w:val="1"/>
      <w:marLeft w:val="0"/>
      <w:marRight w:val="0"/>
      <w:marTop w:val="0"/>
      <w:marBottom w:val="0"/>
      <w:divBdr>
        <w:top w:val="none" w:sz="0" w:space="0" w:color="auto"/>
        <w:left w:val="none" w:sz="0" w:space="0" w:color="auto"/>
        <w:bottom w:val="none" w:sz="0" w:space="0" w:color="auto"/>
        <w:right w:val="none" w:sz="0" w:space="0" w:color="auto"/>
      </w:divBdr>
    </w:div>
    <w:div w:id="1112819056">
      <w:bodyDiv w:val="1"/>
      <w:marLeft w:val="0"/>
      <w:marRight w:val="0"/>
      <w:marTop w:val="0"/>
      <w:marBottom w:val="0"/>
      <w:divBdr>
        <w:top w:val="none" w:sz="0" w:space="0" w:color="auto"/>
        <w:left w:val="none" w:sz="0" w:space="0" w:color="auto"/>
        <w:bottom w:val="none" w:sz="0" w:space="0" w:color="auto"/>
        <w:right w:val="none" w:sz="0" w:space="0" w:color="auto"/>
      </w:divBdr>
    </w:div>
    <w:div w:id="1152023298">
      <w:bodyDiv w:val="1"/>
      <w:marLeft w:val="0"/>
      <w:marRight w:val="0"/>
      <w:marTop w:val="0"/>
      <w:marBottom w:val="0"/>
      <w:divBdr>
        <w:top w:val="none" w:sz="0" w:space="0" w:color="auto"/>
        <w:left w:val="none" w:sz="0" w:space="0" w:color="auto"/>
        <w:bottom w:val="none" w:sz="0" w:space="0" w:color="auto"/>
        <w:right w:val="none" w:sz="0" w:space="0" w:color="auto"/>
      </w:divBdr>
    </w:div>
    <w:div w:id="1217089638">
      <w:bodyDiv w:val="1"/>
      <w:marLeft w:val="0"/>
      <w:marRight w:val="0"/>
      <w:marTop w:val="0"/>
      <w:marBottom w:val="0"/>
      <w:divBdr>
        <w:top w:val="none" w:sz="0" w:space="0" w:color="auto"/>
        <w:left w:val="none" w:sz="0" w:space="0" w:color="auto"/>
        <w:bottom w:val="none" w:sz="0" w:space="0" w:color="auto"/>
        <w:right w:val="none" w:sz="0" w:space="0" w:color="auto"/>
      </w:divBdr>
    </w:div>
    <w:div w:id="1308048415">
      <w:bodyDiv w:val="1"/>
      <w:marLeft w:val="0"/>
      <w:marRight w:val="0"/>
      <w:marTop w:val="0"/>
      <w:marBottom w:val="0"/>
      <w:divBdr>
        <w:top w:val="none" w:sz="0" w:space="0" w:color="auto"/>
        <w:left w:val="none" w:sz="0" w:space="0" w:color="auto"/>
        <w:bottom w:val="none" w:sz="0" w:space="0" w:color="auto"/>
        <w:right w:val="none" w:sz="0" w:space="0" w:color="auto"/>
      </w:divBdr>
    </w:div>
    <w:div w:id="1365403261">
      <w:bodyDiv w:val="1"/>
      <w:marLeft w:val="0"/>
      <w:marRight w:val="0"/>
      <w:marTop w:val="0"/>
      <w:marBottom w:val="0"/>
      <w:divBdr>
        <w:top w:val="none" w:sz="0" w:space="0" w:color="auto"/>
        <w:left w:val="none" w:sz="0" w:space="0" w:color="auto"/>
        <w:bottom w:val="none" w:sz="0" w:space="0" w:color="auto"/>
        <w:right w:val="none" w:sz="0" w:space="0" w:color="auto"/>
      </w:divBdr>
    </w:div>
    <w:div w:id="1714574520">
      <w:bodyDiv w:val="1"/>
      <w:marLeft w:val="0"/>
      <w:marRight w:val="0"/>
      <w:marTop w:val="0"/>
      <w:marBottom w:val="0"/>
      <w:divBdr>
        <w:top w:val="none" w:sz="0" w:space="0" w:color="auto"/>
        <w:left w:val="none" w:sz="0" w:space="0" w:color="auto"/>
        <w:bottom w:val="none" w:sz="0" w:space="0" w:color="auto"/>
        <w:right w:val="none" w:sz="0" w:space="0" w:color="auto"/>
      </w:divBdr>
    </w:div>
    <w:div w:id="1754813094">
      <w:bodyDiv w:val="1"/>
      <w:marLeft w:val="0"/>
      <w:marRight w:val="0"/>
      <w:marTop w:val="0"/>
      <w:marBottom w:val="0"/>
      <w:divBdr>
        <w:top w:val="none" w:sz="0" w:space="0" w:color="auto"/>
        <w:left w:val="none" w:sz="0" w:space="0" w:color="auto"/>
        <w:bottom w:val="none" w:sz="0" w:space="0" w:color="auto"/>
        <w:right w:val="none" w:sz="0" w:space="0" w:color="auto"/>
      </w:divBdr>
    </w:div>
    <w:div w:id="1763987198">
      <w:bodyDiv w:val="1"/>
      <w:marLeft w:val="0"/>
      <w:marRight w:val="0"/>
      <w:marTop w:val="0"/>
      <w:marBottom w:val="0"/>
      <w:divBdr>
        <w:top w:val="none" w:sz="0" w:space="0" w:color="auto"/>
        <w:left w:val="none" w:sz="0" w:space="0" w:color="auto"/>
        <w:bottom w:val="none" w:sz="0" w:space="0" w:color="auto"/>
        <w:right w:val="none" w:sz="0" w:space="0" w:color="auto"/>
      </w:divBdr>
    </w:div>
    <w:div w:id="1992754868">
      <w:bodyDiv w:val="1"/>
      <w:marLeft w:val="0"/>
      <w:marRight w:val="0"/>
      <w:marTop w:val="0"/>
      <w:marBottom w:val="0"/>
      <w:divBdr>
        <w:top w:val="none" w:sz="0" w:space="0" w:color="auto"/>
        <w:left w:val="none" w:sz="0" w:space="0" w:color="auto"/>
        <w:bottom w:val="none" w:sz="0" w:space="0" w:color="auto"/>
        <w:right w:val="none" w:sz="0" w:space="0" w:color="auto"/>
      </w:divBdr>
    </w:div>
    <w:div w:id="2016493955">
      <w:bodyDiv w:val="1"/>
      <w:marLeft w:val="0"/>
      <w:marRight w:val="0"/>
      <w:marTop w:val="0"/>
      <w:marBottom w:val="0"/>
      <w:divBdr>
        <w:top w:val="none" w:sz="0" w:space="0" w:color="auto"/>
        <w:left w:val="none" w:sz="0" w:space="0" w:color="auto"/>
        <w:bottom w:val="none" w:sz="0" w:space="0" w:color="auto"/>
        <w:right w:val="none" w:sz="0" w:space="0" w:color="auto"/>
      </w:divBdr>
    </w:div>
    <w:div w:id="2022928838">
      <w:bodyDiv w:val="1"/>
      <w:marLeft w:val="0"/>
      <w:marRight w:val="0"/>
      <w:marTop w:val="0"/>
      <w:marBottom w:val="0"/>
      <w:divBdr>
        <w:top w:val="none" w:sz="0" w:space="0" w:color="auto"/>
        <w:left w:val="none" w:sz="0" w:space="0" w:color="auto"/>
        <w:bottom w:val="none" w:sz="0" w:space="0" w:color="auto"/>
        <w:right w:val="none" w:sz="0" w:space="0" w:color="auto"/>
      </w:divBdr>
    </w:div>
    <w:div w:id="2086802632">
      <w:bodyDiv w:val="1"/>
      <w:marLeft w:val="0"/>
      <w:marRight w:val="0"/>
      <w:marTop w:val="0"/>
      <w:marBottom w:val="0"/>
      <w:divBdr>
        <w:top w:val="none" w:sz="0" w:space="0" w:color="auto"/>
        <w:left w:val="none" w:sz="0" w:space="0" w:color="auto"/>
        <w:bottom w:val="none" w:sz="0" w:space="0" w:color="auto"/>
        <w:right w:val="none" w:sz="0" w:space="0" w:color="auto"/>
      </w:divBdr>
    </w:div>
    <w:div w:id="2097048897">
      <w:bodyDiv w:val="1"/>
      <w:marLeft w:val="0"/>
      <w:marRight w:val="0"/>
      <w:marTop w:val="0"/>
      <w:marBottom w:val="0"/>
      <w:divBdr>
        <w:top w:val="none" w:sz="0" w:space="0" w:color="auto"/>
        <w:left w:val="none" w:sz="0" w:space="0" w:color="auto"/>
        <w:bottom w:val="none" w:sz="0" w:space="0" w:color="auto"/>
        <w:right w:val="none" w:sz="0" w:space="0" w:color="auto"/>
      </w:divBdr>
    </w:div>
    <w:div w:id="21386460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arriott.com/default.m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90/su14052885" TargetMode="External"/><Relationship Id="rId5" Type="http://schemas.openxmlformats.org/officeDocument/2006/relationships/hyperlink" Target="https://doi.org/10.5281/zenodo.7509528" TargetMode="External"/><Relationship Id="rId4" Type="http://schemas.openxmlformats.org/officeDocument/2006/relationships/hyperlink" Target="mailto:20293083@student.uwtsd.ac.uk"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9</Pages>
  <Words>2747</Words>
  <Characters>15661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TK-E101GC</dc:creator>
  <cp:lastModifiedBy>Kalle Ditou</cp:lastModifiedBy>
  <cp:revision>4</cp:revision>
  <dcterms:created xsi:type="dcterms:W3CDTF">2024-05-16T06:14:00Z</dcterms:created>
  <dcterms:modified xsi:type="dcterms:W3CDTF">2024-05-19T16:39:00Z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8f50f0c8ac6e46fa8eb62e992ae75ad6</vt:lpwstr>
  </property>
</Properties>
</file>