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43BDFBB" w14:textId="77777777" w:rsidR="002038D6" w:rsidRPr="009E7A21" w:rsidRDefault="002038D6" w:rsidP="002038D6">
      <w:pPr>
        <w:spacing w:line="360" w:lineRule="auto"/>
        <w:jc w:val="center"/>
        <w:rPr>
          <w:rFonts w:ascii="Arial" w:hAnsi="Arial" w:cs="Arial"/>
          <w:b/>
          <w:sz w:val="32"/>
          <w:szCs w:val="32"/>
        </w:rPr>
      </w:pPr>
      <w:bookmarkStart w:id="0" w:name="_Toc234747793"/>
      <w:r w:rsidRPr="009E7A21">
        <w:rPr>
          <w:rFonts w:ascii="Arial" w:hAnsi="Arial" w:cs="Arial"/>
          <w:b/>
          <w:sz w:val="32"/>
          <w:szCs w:val="32"/>
        </w:rPr>
        <w:t>Programme: Master of Business Administration</w:t>
      </w:r>
    </w:p>
    <w:p w14:paraId="38031174" w14:textId="77777777" w:rsidR="002038D6" w:rsidRPr="009E7A21" w:rsidRDefault="002038D6" w:rsidP="002038D6">
      <w:pPr>
        <w:spacing w:line="360" w:lineRule="auto"/>
        <w:jc w:val="center"/>
        <w:rPr>
          <w:rFonts w:ascii="Arial" w:hAnsi="Arial" w:cs="Arial"/>
          <w:b/>
          <w:sz w:val="32"/>
          <w:szCs w:val="32"/>
        </w:rPr>
      </w:pPr>
      <w:r w:rsidRPr="009E7A21">
        <w:rPr>
          <w:rFonts w:ascii="Arial" w:hAnsi="Arial" w:cs="Arial"/>
          <w:b/>
          <w:sz w:val="32"/>
          <w:szCs w:val="32"/>
        </w:rPr>
        <w:t>Module: Financial Management</w:t>
      </w:r>
    </w:p>
    <w:p w14:paraId="68C1672E" w14:textId="77777777" w:rsidR="002038D6" w:rsidRPr="009E7A21" w:rsidRDefault="002038D6" w:rsidP="002038D6">
      <w:pPr>
        <w:spacing w:line="360" w:lineRule="auto"/>
        <w:jc w:val="center"/>
        <w:rPr>
          <w:rFonts w:ascii="Arial" w:hAnsi="Arial" w:cs="Arial"/>
          <w:b/>
          <w:sz w:val="32"/>
          <w:szCs w:val="32"/>
        </w:rPr>
      </w:pPr>
      <w:r w:rsidRPr="009E7A21">
        <w:rPr>
          <w:rFonts w:ascii="Arial" w:hAnsi="Arial" w:cs="Arial"/>
          <w:b/>
          <w:sz w:val="32"/>
          <w:szCs w:val="32"/>
        </w:rPr>
        <w:t>Module code: LCMB7002</w:t>
      </w:r>
    </w:p>
    <w:p w14:paraId="5EA039F5" w14:textId="77777777" w:rsidR="002038D6" w:rsidRPr="009E7A21" w:rsidRDefault="002038D6" w:rsidP="002038D6">
      <w:pPr>
        <w:spacing w:line="360" w:lineRule="auto"/>
        <w:jc w:val="center"/>
        <w:rPr>
          <w:rFonts w:ascii="Arial" w:hAnsi="Arial" w:cs="Arial"/>
          <w:b/>
          <w:sz w:val="32"/>
          <w:szCs w:val="32"/>
        </w:rPr>
      </w:pPr>
    </w:p>
    <w:p w14:paraId="43DC5B92" w14:textId="77777777" w:rsidR="002038D6" w:rsidRPr="009E7A21" w:rsidRDefault="002038D6" w:rsidP="002038D6">
      <w:pPr>
        <w:spacing w:line="360" w:lineRule="auto"/>
        <w:jc w:val="center"/>
        <w:rPr>
          <w:rFonts w:ascii="Arial" w:hAnsi="Arial" w:cs="Arial"/>
          <w:b/>
          <w:sz w:val="32"/>
          <w:szCs w:val="32"/>
        </w:rPr>
      </w:pPr>
    </w:p>
    <w:p w14:paraId="77B1DBA2" w14:textId="77777777" w:rsidR="002038D6" w:rsidRPr="009E7A21" w:rsidRDefault="002038D6" w:rsidP="002038D6">
      <w:pPr>
        <w:spacing w:line="360" w:lineRule="auto"/>
        <w:jc w:val="center"/>
        <w:rPr>
          <w:rFonts w:ascii="Arial" w:hAnsi="Arial" w:cs="Arial"/>
          <w:b/>
          <w:sz w:val="32"/>
          <w:szCs w:val="32"/>
        </w:rPr>
      </w:pPr>
      <w:r w:rsidRPr="009E7A21">
        <w:rPr>
          <w:rFonts w:ascii="Arial" w:hAnsi="Arial" w:cs="Arial"/>
          <w:b/>
          <w:sz w:val="32"/>
          <w:szCs w:val="32"/>
        </w:rPr>
        <w:t>Assessment component: Financial performance and management</w:t>
      </w:r>
    </w:p>
    <w:p w14:paraId="7A3E9B65" w14:textId="7C6DB0FA" w:rsidR="002038D6" w:rsidRPr="009E7A21" w:rsidRDefault="005C591F" w:rsidP="005C591F">
      <w:pPr>
        <w:spacing w:line="360" w:lineRule="auto"/>
        <w:jc w:val="center"/>
        <w:rPr>
          <w:rFonts w:ascii="Arial" w:hAnsi="Arial" w:cs="Arial"/>
          <w:b/>
          <w:sz w:val="32"/>
          <w:szCs w:val="32"/>
        </w:rPr>
      </w:pPr>
      <w:r>
        <w:rPr>
          <w:rFonts w:ascii="Arial" w:hAnsi="Arial" w:cs="Arial"/>
          <w:b/>
          <w:sz w:val="32"/>
          <w:szCs w:val="32"/>
        </w:rPr>
        <w:t>LECTURER’S NAME: DR SHENGFENG MEI</w:t>
      </w:r>
    </w:p>
    <w:p w14:paraId="4EDC5CEA" w14:textId="7F918A1F" w:rsidR="002038D6" w:rsidRPr="009E7A21" w:rsidRDefault="002038D6" w:rsidP="002038D6">
      <w:pPr>
        <w:spacing w:line="360" w:lineRule="auto"/>
        <w:jc w:val="center"/>
        <w:rPr>
          <w:rFonts w:ascii="Arial" w:hAnsi="Arial" w:cs="Arial"/>
          <w:b/>
          <w:sz w:val="32"/>
          <w:szCs w:val="32"/>
        </w:rPr>
      </w:pPr>
      <w:r w:rsidRPr="009E7A21">
        <w:rPr>
          <w:rFonts w:ascii="Arial" w:hAnsi="Arial" w:cs="Arial"/>
          <w:b/>
          <w:sz w:val="32"/>
          <w:szCs w:val="32"/>
        </w:rPr>
        <w:t>Name of the student:</w:t>
      </w:r>
      <w:r w:rsidR="005C591F">
        <w:rPr>
          <w:rFonts w:ascii="Arial" w:hAnsi="Arial" w:cs="Arial"/>
          <w:b/>
          <w:sz w:val="32"/>
          <w:szCs w:val="32"/>
        </w:rPr>
        <w:t xml:space="preserve"> KARANKUMAR RAMESHBHAI CHAUDHARY</w:t>
      </w:r>
    </w:p>
    <w:p w14:paraId="76E55425" w14:textId="2D1DC5C7" w:rsidR="002038D6" w:rsidRPr="009E7A21" w:rsidRDefault="002038D6" w:rsidP="002038D6">
      <w:pPr>
        <w:spacing w:line="360" w:lineRule="auto"/>
        <w:jc w:val="center"/>
        <w:rPr>
          <w:rFonts w:ascii="Arial" w:hAnsi="Arial" w:cs="Arial"/>
          <w:b/>
          <w:sz w:val="24"/>
          <w:szCs w:val="24"/>
        </w:rPr>
      </w:pPr>
      <w:r w:rsidRPr="009E7A21">
        <w:rPr>
          <w:rFonts w:ascii="Arial" w:hAnsi="Arial" w:cs="Arial"/>
          <w:b/>
          <w:sz w:val="32"/>
          <w:szCs w:val="32"/>
        </w:rPr>
        <w:t>Student ID:</w:t>
      </w:r>
      <w:r w:rsidR="005C591F">
        <w:rPr>
          <w:rFonts w:ascii="Arial" w:hAnsi="Arial" w:cs="Arial"/>
          <w:b/>
          <w:sz w:val="32"/>
          <w:szCs w:val="32"/>
        </w:rPr>
        <w:t xml:space="preserve"> 2538332</w:t>
      </w:r>
      <w:r w:rsidRPr="009E7A21">
        <w:rPr>
          <w:rFonts w:ascii="Arial" w:hAnsi="Arial" w:cs="Arial"/>
          <w:b/>
          <w:sz w:val="24"/>
          <w:szCs w:val="24"/>
        </w:rPr>
        <w:br w:type="page"/>
      </w:r>
    </w:p>
    <w:sdt>
      <w:sdtPr>
        <w:rPr>
          <w:rFonts w:asciiTheme="minorHAnsi" w:eastAsiaTheme="minorHAnsi" w:hAnsiTheme="minorHAnsi" w:cstheme="minorBidi"/>
          <w:color w:val="auto"/>
          <w:sz w:val="22"/>
          <w:szCs w:val="22"/>
          <w:lang w:val="en-GB"/>
        </w:rPr>
        <w:id w:val="1883832959"/>
        <w:docPartObj>
          <w:docPartGallery w:val="Table of Contents"/>
          <w:docPartUnique/>
        </w:docPartObj>
      </w:sdtPr>
      <w:sdtEndPr>
        <w:rPr>
          <w:b/>
          <w:bCs/>
          <w:noProof/>
        </w:rPr>
      </w:sdtEndPr>
      <w:sdtContent>
        <w:p w14:paraId="56DA1929" w14:textId="77777777" w:rsidR="002038D6" w:rsidRPr="009E7A21" w:rsidRDefault="002038D6" w:rsidP="002038D6">
          <w:pPr>
            <w:pStyle w:val="TOCHeading"/>
            <w:spacing w:line="360" w:lineRule="auto"/>
            <w:jc w:val="both"/>
            <w:rPr>
              <w:rFonts w:ascii="Arial" w:hAnsi="Arial" w:cs="Arial"/>
              <w:b/>
              <w:color w:val="auto"/>
              <w:sz w:val="24"/>
              <w:szCs w:val="24"/>
            </w:rPr>
          </w:pPr>
          <w:r w:rsidRPr="009E7A21">
            <w:rPr>
              <w:rFonts w:ascii="Arial" w:hAnsi="Arial" w:cs="Arial"/>
              <w:b/>
              <w:color w:val="auto"/>
              <w:sz w:val="24"/>
              <w:szCs w:val="24"/>
            </w:rPr>
            <w:t>Table of Contents</w:t>
          </w:r>
        </w:p>
        <w:p w14:paraId="08040E58" w14:textId="2EC69D9A" w:rsidR="009E7A21" w:rsidRPr="009E7A21" w:rsidRDefault="002038D6" w:rsidP="009E7A21">
          <w:pPr>
            <w:pStyle w:val="TOC1"/>
            <w:tabs>
              <w:tab w:val="right" w:leader="dot" w:pos="9016"/>
            </w:tabs>
            <w:spacing w:line="360" w:lineRule="auto"/>
            <w:jc w:val="both"/>
            <w:rPr>
              <w:rFonts w:eastAsiaTheme="minorEastAsia"/>
              <w:noProof/>
              <w:sz w:val="24"/>
              <w:szCs w:val="24"/>
              <w:lang w:val="en-IN" w:eastAsia="en-IN"/>
            </w:rPr>
          </w:pPr>
          <w:r w:rsidRPr="009E7A21">
            <w:rPr>
              <w:rFonts w:ascii="Arial" w:hAnsi="Arial" w:cs="Arial"/>
              <w:sz w:val="24"/>
              <w:szCs w:val="24"/>
            </w:rPr>
            <w:fldChar w:fldCharType="begin"/>
          </w:r>
          <w:r w:rsidRPr="009E7A21">
            <w:rPr>
              <w:rFonts w:ascii="Arial" w:hAnsi="Arial" w:cs="Arial"/>
              <w:sz w:val="24"/>
              <w:szCs w:val="24"/>
            </w:rPr>
            <w:instrText xml:space="preserve"> TOC \o "1-3" \h \z \u </w:instrText>
          </w:r>
          <w:r w:rsidRPr="009E7A21">
            <w:rPr>
              <w:rFonts w:ascii="Arial" w:hAnsi="Arial" w:cs="Arial"/>
              <w:sz w:val="24"/>
              <w:szCs w:val="24"/>
            </w:rPr>
            <w:fldChar w:fldCharType="separate"/>
          </w:r>
          <w:hyperlink w:anchor="_Toc236848527" w:history="1">
            <w:r w:rsidR="009E7A21" w:rsidRPr="009E7A21">
              <w:rPr>
                <w:rStyle w:val="Hyperlink"/>
                <w:rFonts w:ascii="Arial" w:hAnsi="Arial" w:cs="Arial"/>
                <w:noProof/>
                <w:sz w:val="24"/>
                <w:szCs w:val="24"/>
              </w:rPr>
              <w:t>1. Financial Health Check</w:t>
            </w:r>
            <w:r w:rsidR="009E7A21" w:rsidRPr="009E7A21">
              <w:rPr>
                <w:noProof/>
                <w:webHidden/>
                <w:sz w:val="24"/>
                <w:szCs w:val="24"/>
              </w:rPr>
              <w:tab/>
            </w:r>
            <w:r w:rsidR="009E7A21" w:rsidRPr="009E7A21">
              <w:rPr>
                <w:noProof/>
                <w:webHidden/>
                <w:sz w:val="24"/>
                <w:szCs w:val="24"/>
              </w:rPr>
              <w:fldChar w:fldCharType="begin"/>
            </w:r>
            <w:r w:rsidR="009E7A21" w:rsidRPr="009E7A21">
              <w:rPr>
                <w:noProof/>
                <w:webHidden/>
                <w:sz w:val="24"/>
                <w:szCs w:val="24"/>
              </w:rPr>
              <w:instrText xml:space="preserve"> PAGEREF _Toc236848527 \h </w:instrText>
            </w:r>
            <w:r w:rsidR="009E7A21" w:rsidRPr="009E7A21">
              <w:rPr>
                <w:noProof/>
                <w:webHidden/>
                <w:sz w:val="24"/>
                <w:szCs w:val="24"/>
              </w:rPr>
            </w:r>
            <w:r w:rsidR="009E7A21" w:rsidRPr="009E7A21">
              <w:rPr>
                <w:noProof/>
                <w:webHidden/>
                <w:sz w:val="24"/>
                <w:szCs w:val="24"/>
              </w:rPr>
              <w:fldChar w:fldCharType="separate"/>
            </w:r>
            <w:r w:rsidR="0049277B">
              <w:rPr>
                <w:noProof/>
                <w:webHidden/>
                <w:sz w:val="24"/>
                <w:szCs w:val="24"/>
              </w:rPr>
              <w:t>4</w:t>
            </w:r>
            <w:r w:rsidR="009E7A21" w:rsidRPr="009E7A21">
              <w:rPr>
                <w:noProof/>
                <w:webHidden/>
                <w:sz w:val="24"/>
                <w:szCs w:val="24"/>
              </w:rPr>
              <w:fldChar w:fldCharType="end"/>
            </w:r>
          </w:hyperlink>
        </w:p>
        <w:p w14:paraId="1EA6EE48" w14:textId="28180F0A"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28" w:history="1">
            <w:r w:rsidRPr="009E7A21">
              <w:rPr>
                <w:rStyle w:val="Hyperlink"/>
                <w:rFonts w:ascii="Arial" w:hAnsi="Arial" w:cs="Arial"/>
                <w:noProof/>
                <w:sz w:val="24"/>
                <w:szCs w:val="24"/>
              </w:rPr>
              <w:t>Firm’s financial statements over the past five years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_Toc236848528 \h </w:instrText>
            </w:r>
            <w:r w:rsidRPr="009E7A21">
              <w:rPr>
                <w:noProof/>
                <w:webHidden/>
                <w:sz w:val="24"/>
                <w:szCs w:val="24"/>
              </w:rPr>
            </w:r>
            <w:r w:rsidRPr="009E7A21">
              <w:rPr>
                <w:noProof/>
                <w:webHidden/>
                <w:sz w:val="24"/>
                <w:szCs w:val="24"/>
              </w:rPr>
              <w:fldChar w:fldCharType="separate"/>
            </w:r>
            <w:r w:rsidR="0049277B">
              <w:rPr>
                <w:noProof/>
                <w:webHidden/>
                <w:sz w:val="24"/>
                <w:szCs w:val="24"/>
              </w:rPr>
              <w:t>4</w:t>
            </w:r>
            <w:r w:rsidRPr="009E7A21">
              <w:rPr>
                <w:noProof/>
                <w:webHidden/>
                <w:sz w:val="24"/>
                <w:szCs w:val="24"/>
              </w:rPr>
              <w:fldChar w:fldCharType="end"/>
            </w:r>
          </w:hyperlink>
        </w:p>
        <w:p w14:paraId="05100F5C" w14:textId="722ED56D"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29" w:history="1">
            <w:r w:rsidRPr="009E7A21">
              <w:rPr>
                <w:rStyle w:val="Hyperlink"/>
                <w:rFonts w:ascii="Arial" w:hAnsi="Arial" w:cs="Arial"/>
                <w:noProof/>
                <w:sz w:val="24"/>
                <w:szCs w:val="24"/>
              </w:rPr>
              <w:t>Ratio analysis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_Toc236848529 \h </w:instrText>
            </w:r>
            <w:r w:rsidRPr="009E7A21">
              <w:rPr>
                <w:noProof/>
                <w:webHidden/>
                <w:sz w:val="24"/>
                <w:szCs w:val="24"/>
              </w:rPr>
            </w:r>
            <w:r w:rsidRPr="009E7A21">
              <w:rPr>
                <w:noProof/>
                <w:webHidden/>
                <w:sz w:val="24"/>
                <w:szCs w:val="24"/>
              </w:rPr>
              <w:fldChar w:fldCharType="separate"/>
            </w:r>
            <w:r w:rsidR="0049277B">
              <w:rPr>
                <w:noProof/>
                <w:webHidden/>
                <w:sz w:val="24"/>
                <w:szCs w:val="24"/>
              </w:rPr>
              <w:t>5</w:t>
            </w:r>
            <w:r w:rsidRPr="009E7A21">
              <w:rPr>
                <w:noProof/>
                <w:webHidden/>
                <w:sz w:val="24"/>
                <w:szCs w:val="24"/>
              </w:rPr>
              <w:fldChar w:fldCharType="end"/>
            </w:r>
          </w:hyperlink>
        </w:p>
        <w:p w14:paraId="5429EFAC" w14:textId="4EBE40B6"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30" w:history="1">
            <w:r w:rsidRPr="009E7A21">
              <w:rPr>
                <w:rStyle w:val="Hyperlink"/>
                <w:rFonts w:ascii="Arial" w:hAnsi="Arial" w:cs="Arial"/>
                <w:noProof/>
                <w:sz w:val="24"/>
                <w:szCs w:val="24"/>
              </w:rPr>
              <w:t>Trends, strengths, and potential threats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_Toc236848530 \h </w:instrText>
            </w:r>
            <w:r w:rsidRPr="009E7A21">
              <w:rPr>
                <w:noProof/>
                <w:webHidden/>
                <w:sz w:val="24"/>
                <w:szCs w:val="24"/>
              </w:rPr>
            </w:r>
            <w:r w:rsidRPr="009E7A21">
              <w:rPr>
                <w:noProof/>
                <w:webHidden/>
                <w:sz w:val="24"/>
                <w:szCs w:val="24"/>
              </w:rPr>
              <w:fldChar w:fldCharType="separate"/>
            </w:r>
            <w:r w:rsidR="0049277B">
              <w:rPr>
                <w:noProof/>
                <w:webHidden/>
                <w:sz w:val="24"/>
                <w:szCs w:val="24"/>
              </w:rPr>
              <w:t>12</w:t>
            </w:r>
            <w:r w:rsidRPr="009E7A21">
              <w:rPr>
                <w:noProof/>
                <w:webHidden/>
                <w:sz w:val="24"/>
                <w:szCs w:val="24"/>
              </w:rPr>
              <w:fldChar w:fldCharType="end"/>
            </w:r>
          </w:hyperlink>
        </w:p>
        <w:p w14:paraId="67DC7C9D" w14:textId="79F41CDC"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31" w:history="1">
            <w:r w:rsidRPr="009E7A21">
              <w:rPr>
                <w:rStyle w:val="Hyperlink"/>
                <w:rFonts w:ascii="Arial" w:hAnsi="Arial" w:cs="Arial"/>
                <w:noProof/>
                <w:sz w:val="24"/>
                <w:szCs w:val="24"/>
              </w:rPr>
              <w:t>Comparison of liquidity ratios with industry benchmarks, assessing how the firm performs relative to sector standards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_Toc236848531 \h </w:instrText>
            </w:r>
            <w:r w:rsidRPr="009E7A21">
              <w:rPr>
                <w:noProof/>
                <w:webHidden/>
                <w:sz w:val="24"/>
                <w:szCs w:val="24"/>
              </w:rPr>
            </w:r>
            <w:r w:rsidRPr="009E7A21">
              <w:rPr>
                <w:noProof/>
                <w:webHidden/>
                <w:sz w:val="24"/>
                <w:szCs w:val="24"/>
              </w:rPr>
              <w:fldChar w:fldCharType="separate"/>
            </w:r>
            <w:r w:rsidR="0049277B">
              <w:rPr>
                <w:noProof/>
                <w:webHidden/>
                <w:sz w:val="24"/>
                <w:szCs w:val="24"/>
              </w:rPr>
              <w:t>14</w:t>
            </w:r>
            <w:r w:rsidRPr="009E7A21">
              <w:rPr>
                <w:noProof/>
                <w:webHidden/>
                <w:sz w:val="24"/>
                <w:szCs w:val="24"/>
              </w:rPr>
              <w:fldChar w:fldCharType="end"/>
            </w:r>
          </w:hyperlink>
        </w:p>
        <w:p w14:paraId="10A578CA" w14:textId="1025812B" w:rsidR="009E7A21" w:rsidRPr="009E7A21" w:rsidRDefault="009E7A21" w:rsidP="009E7A21">
          <w:pPr>
            <w:pStyle w:val="TOC1"/>
            <w:tabs>
              <w:tab w:val="right" w:leader="dot" w:pos="9016"/>
            </w:tabs>
            <w:spacing w:line="360" w:lineRule="auto"/>
            <w:jc w:val="both"/>
            <w:rPr>
              <w:rFonts w:eastAsiaTheme="minorEastAsia"/>
              <w:noProof/>
              <w:sz w:val="24"/>
              <w:szCs w:val="24"/>
              <w:lang w:val="en-IN" w:eastAsia="en-IN"/>
            </w:rPr>
          </w:pPr>
          <w:hyperlink w:anchor="_Toc236848532" w:history="1">
            <w:r w:rsidRPr="009E7A21">
              <w:rPr>
                <w:rStyle w:val="Hyperlink"/>
                <w:rFonts w:ascii="Arial" w:hAnsi="Arial" w:cs="Arial"/>
                <w:noProof/>
                <w:sz w:val="24"/>
                <w:szCs w:val="24"/>
              </w:rPr>
              <w:t>2. Working Capital Management Analysis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_Toc236848532 \h </w:instrText>
            </w:r>
            <w:r w:rsidRPr="009E7A21">
              <w:rPr>
                <w:noProof/>
                <w:webHidden/>
                <w:sz w:val="24"/>
                <w:szCs w:val="24"/>
              </w:rPr>
            </w:r>
            <w:r w:rsidRPr="009E7A21">
              <w:rPr>
                <w:noProof/>
                <w:webHidden/>
                <w:sz w:val="24"/>
                <w:szCs w:val="24"/>
              </w:rPr>
              <w:fldChar w:fldCharType="separate"/>
            </w:r>
            <w:r w:rsidR="0049277B">
              <w:rPr>
                <w:noProof/>
                <w:webHidden/>
                <w:sz w:val="24"/>
                <w:szCs w:val="24"/>
              </w:rPr>
              <w:t>16</w:t>
            </w:r>
            <w:r w:rsidRPr="009E7A21">
              <w:rPr>
                <w:noProof/>
                <w:webHidden/>
                <w:sz w:val="24"/>
                <w:szCs w:val="24"/>
              </w:rPr>
              <w:fldChar w:fldCharType="end"/>
            </w:r>
          </w:hyperlink>
        </w:p>
        <w:p w14:paraId="3717AA7C" w14:textId="2A61F0F3"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33" w:history="1">
            <w:r w:rsidRPr="009E7A21">
              <w:rPr>
                <w:rStyle w:val="Hyperlink"/>
                <w:rFonts w:ascii="Arial" w:hAnsi="Arial" w:cs="Arial"/>
                <w:noProof/>
                <w:sz w:val="24"/>
                <w:szCs w:val="24"/>
              </w:rPr>
              <w:t>Cash operating cycle</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_Toc236848533 \h </w:instrText>
            </w:r>
            <w:r w:rsidRPr="009E7A21">
              <w:rPr>
                <w:noProof/>
                <w:webHidden/>
                <w:sz w:val="24"/>
                <w:szCs w:val="24"/>
              </w:rPr>
            </w:r>
            <w:r w:rsidRPr="009E7A21">
              <w:rPr>
                <w:noProof/>
                <w:webHidden/>
                <w:sz w:val="24"/>
                <w:szCs w:val="24"/>
              </w:rPr>
              <w:fldChar w:fldCharType="separate"/>
            </w:r>
            <w:r w:rsidR="0049277B">
              <w:rPr>
                <w:noProof/>
                <w:webHidden/>
                <w:sz w:val="24"/>
                <w:szCs w:val="24"/>
              </w:rPr>
              <w:t>16</w:t>
            </w:r>
            <w:r w:rsidRPr="009E7A21">
              <w:rPr>
                <w:noProof/>
                <w:webHidden/>
                <w:sz w:val="24"/>
                <w:szCs w:val="24"/>
              </w:rPr>
              <w:fldChar w:fldCharType="end"/>
            </w:r>
          </w:hyperlink>
        </w:p>
        <w:p w14:paraId="21F42D5E" w14:textId="7294E274"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34" w:history="1">
            <w:r w:rsidRPr="009E7A21">
              <w:rPr>
                <w:rStyle w:val="Hyperlink"/>
                <w:rFonts w:ascii="Arial" w:hAnsi="Arial" w:cs="Arial"/>
                <w:noProof/>
                <w:sz w:val="24"/>
                <w:szCs w:val="24"/>
              </w:rPr>
              <w:t>Strategies to improve liquidity through working capital reforms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_Toc236848534 \h </w:instrText>
            </w:r>
            <w:r w:rsidRPr="009E7A21">
              <w:rPr>
                <w:noProof/>
                <w:webHidden/>
                <w:sz w:val="24"/>
                <w:szCs w:val="24"/>
              </w:rPr>
            </w:r>
            <w:r w:rsidRPr="009E7A21">
              <w:rPr>
                <w:noProof/>
                <w:webHidden/>
                <w:sz w:val="24"/>
                <w:szCs w:val="24"/>
              </w:rPr>
              <w:fldChar w:fldCharType="separate"/>
            </w:r>
            <w:r w:rsidR="0049277B">
              <w:rPr>
                <w:noProof/>
                <w:webHidden/>
                <w:sz w:val="24"/>
                <w:szCs w:val="24"/>
              </w:rPr>
              <w:t>18</w:t>
            </w:r>
            <w:r w:rsidRPr="009E7A21">
              <w:rPr>
                <w:noProof/>
                <w:webHidden/>
                <w:sz w:val="24"/>
                <w:szCs w:val="24"/>
              </w:rPr>
              <w:fldChar w:fldCharType="end"/>
            </w:r>
          </w:hyperlink>
        </w:p>
        <w:p w14:paraId="2F7D2C37" w14:textId="088CB925"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35" w:history="1">
            <w:r w:rsidRPr="009E7A21">
              <w:rPr>
                <w:rStyle w:val="Hyperlink"/>
                <w:rFonts w:ascii="Arial" w:hAnsi="Arial" w:cs="Arial"/>
                <w:noProof/>
                <w:sz w:val="24"/>
                <w:szCs w:val="24"/>
              </w:rPr>
              <w:t>Short-term vs long-term financing options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_Toc236848535 \h </w:instrText>
            </w:r>
            <w:r w:rsidRPr="009E7A21">
              <w:rPr>
                <w:noProof/>
                <w:webHidden/>
                <w:sz w:val="24"/>
                <w:szCs w:val="24"/>
              </w:rPr>
            </w:r>
            <w:r w:rsidRPr="009E7A21">
              <w:rPr>
                <w:noProof/>
                <w:webHidden/>
                <w:sz w:val="24"/>
                <w:szCs w:val="24"/>
              </w:rPr>
              <w:fldChar w:fldCharType="separate"/>
            </w:r>
            <w:r w:rsidR="0049277B">
              <w:rPr>
                <w:noProof/>
                <w:webHidden/>
                <w:sz w:val="24"/>
                <w:szCs w:val="24"/>
              </w:rPr>
              <w:t>19</w:t>
            </w:r>
            <w:r w:rsidRPr="009E7A21">
              <w:rPr>
                <w:noProof/>
                <w:webHidden/>
                <w:sz w:val="24"/>
                <w:szCs w:val="24"/>
              </w:rPr>
              <w:fldChar w:fldCharType="end"/>
            </w:r>
          </w:hyperlink>
        </w:p>
        <w:p w14:paraId="7016153E" w14:textId="20C81E70" w:rsidR="009E7A21" w:rsidRPr="009E7A21" w:rsidRDefault="009E7A21" w:rsidP="009E7A21">
          <w:pPr>
            <w:pStyle w:val="TOC1"/>
            <w:tabs>
              <w:tab w:val="right" w:leader="dot" w:pos="9016"/>
            </w:tabs>
            <w:spacing w:line="360" w:lineRule="auto"/>
            <w:jc w:val="both"/>
            <w:rPr>
              <w:rFonts w:eastAsiaTheme="minorEastAsia"/>
              <w:noProof/>
              <w:sz w:val="24"/>
              <w:szCs w:val="24"/>
              <w:lang w:val="en-IN" w:eastAsia="en-IN"/>
            </w:rPr>
          </w:pPr>
          <w:hyperlink w:anchor="_Toc236848536" w:history="1">
            <w:r w:rsidRPr="009E7A21">
              <w:rPr>
                <w:rStyle w:val="Hyperlink"/>
                <w:rFonts w:ascii="Arial" w:hAnsi="Arial" w:cs="Arial"/>
                <w:noProof/>
                <w:sz w:val="24"/>
                <w:szCs w:val="24"/>
              </w:rPr>
              <w:t>3. Strategic Financial Restructuring Plan</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_Toc236848536 \h </w:instrText>
            </w:r>
            <w:r w:rsidRPr="009E7A21">
              <w:rPr>
                <w:noProof/>
                <w:webHidden/>
                <w:sz w:val="24"/>
                <w:szCs w:val="24"/>
              </w:rPr>
            </w:r>
            <w:r w:rsidRPr="009E7A21">
              <w:rPr>
                <w:noProof/>
                <w:webHidden/>
                <w:sz w:val="24"/>
                <w:szCs w:val="24"/>
              </w:rPr>
              <w:fldChar w:fldCharType="separate"/>
            </w:r>
            <w:r w:rsidR="0049277B">
              <w:rPr>
                <w:noProof/>
                <w:webHidden/>
                <w:sz w:val="24"/>
                <w:szCs w:val="24"/>
              </w:rPr>
              <w:t>21</w:t>
            </w:r>
            <w:r w:rsidRPr="009E7A21">
              <w:rPr>
                <w:noProof/>
                <w:webHidden/>
                <w:sz w:val="24"/>
                <w:szCs w:val="24"/>
              </w:rPr>
              <w:fldChar w:fldCharType="end"/>
            </w:r>
          </w:hyperlink>
        </w:p>
        <w:p w14:paraId="1A39CE82" w14:textId="4AA36F24"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37" w:history="1">
            <w:r w:rsidRPr="009E7A21">
              <w:rPr>
                <w:rStyle w:val="Hyperlink"/>
                <w:rFonts w:ascii="Arial" w:hAnsi="Arial" w:cs="Arial"/>
                <w:noProof/>
                <w:sz w:val="24"/>
                <w:szCs w:val="24"/>
              </w:rPr>
              <w:t>a. Recommend financial restructuring options (e.g., divestiture, merger, equity injection).</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_Toc236848537 \h </w:instrText>
            </w:r>
            <w:r w:rsidRPr="009E7A21">
              <w:rPr>
                <w:noProof/>
                <w:webHidden/>
                <w:sz w:val="24"/>
                <w:szCs w:val="24"/>
              </w:rPr>
            </w:r>
            <w:r w:rsidRPr="009E7A21">
              <w:rPr>
                <w:noProof/>
                <w:webHidden/>
                <w:sz w:val="24"/>
                <w:szCs w:val="24"/>
              </w:rPr>
              <w:fldChar w:fldCharType="separate"/>
            </w:r>
            <w:r w:rsidR="0049277B">
              <w:rPr>
                <w:noProof/>
                <w:webHidden/>
                <w:sz w:val="24"/>
                <w:szCs w:val="24"/>
              </w:rPr>
              <w:t>21</w:t>
            </w:r>
            <w:r w:rsidRPr="009E7A21">
              <w:rPr>
                <w:noProof/>
                <w:webHidden/>
                <w:sz w:val="24"/>
                <w:szCs w:val="24"/>
              </w:rPr>
              <w:fldChar w:fldCharType="end"/>
            </w:r>
          </w:hyperlink>
        </w:p>
        <w:p w14:paraId="36B402C1" w14:textId="7C7C1C69"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38" w:history="1">
            <w:r w:rsidRPr="009E7A21">
              <w:rPr>
                <w:rStyle w:val="Hyperlink"/>
                <w:rFonts w:ascii="Arial" w:hAnsi="Arial" w:cs="Arial"/>
                <w:noProof/>
                <w:sz w:val="24"/>
                <w:szCs w:val="24"/>
              </w:rPr>
              <w:t>b. Evaluate impact on shareholder value, debt structure, and operational flexibility.</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_Toc236848538 \h </w:instrText>
            </w:r>
            <w:r w:rsidRPr="009E7A21">
              <w:rPr>
                <w:noProof/>
                <w:webHidden/>
                <w:sz w:val="24"/>
                <w:szCs w:val="24"/>
              </w:rPr>
            </w:r>
            <w:r w:rsidRPr="009E7A21">
              <w:rPr>
                <w:noProof/>
                <w:webHidden/>
                <w:sz w:val="24"/>
                <w:szCs w:val="24"/>
              </w:rPr>
              <w:fldChar w:fldCharType="separate"/>
            </w:r>
            <w:r w:rsidR="0049277B">
              <w:rPr>
                <w:noProof/>
                <w:webHidden/>
                <w:sz w:val="24"/>
                <w:szCs w:val="24"/>
              </w:rPr>
              <w:t>22</w:t>
            </w:r>
            <w:r w:rsidRPr="009E7A21">
              <w:rPr>
                <w:noProof/>
                <w:webHidden/>
                <w:sz w:val="24"/>
                <w:szCs w:val="24"/>
              </w:rPr>
              <w:fldChar w:fldCharType="end"/>
            </w:r>
          </w:hyperlink>
        </w:p>
        <w:p w14:paraId="32DA826D" w14:textId="3B9B9703"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39" w:history="1">
            <w:r w:rsidRPr="009E7A21">
              <w:rPr>
                <w:rStyle w:val="Hyperlink"/>
                <w:rFonts w:ascii="Arial" w:hAnsi="Arial" w:cs="Arial"/>
                <w:noProof/>
                <w:sz w:val="24"/>
                <w:szCs w:val="24"/>
              </w:rPr>
              <w:t>c. Include international and ethical considerations (taxation, currency risk, inflation, CSR or ESG).</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_Toc236848539 \h </w:instrText>
            </w:r>
            <w:r w:rsidRPr="009E7A21">
              <w:rPr>
                <w:noProof/>
                <w:webHidden/>
                <w:sz w:val="24"/>
                <w:szCs w:val="24"/>
              </w:rPr>
            </w:r>
            <w:r w:rsidRPr="009E7A21">
              <w:rPr>
                <w:noProof/>
                <w:webHidden/>
                <w:sz w:val="24"/>
                <w:szCs w:val="24"/>
              </w:rPr>
              <w:fldChar w:fldCharType="separate"/>
            </w:r>
            <w:r w:rsidR="0049277B">
              <w:rPr>
                <w:noProof/>
                <w:webHidden/>
                <w:sz w:val="24"/>
                <w:szCs w:val="24"/>
              </w:rPr>
              <w:t>23</w:t>
            </w:r>
            <w:r w:rsidRPr="009E7A21">
              <w:rPr>
                <w:noProof/>
                <w:webHidden/>
                <w:sz w:val="24"/>
                <w:szCs w:val="24"/>
              </w:rPr>
              <w:fldChar w:fldCharType="end"/>
            </w:r>
          </w:hyperlink>
        </w:p>
        <w:p w14:paraId="03CA610C" w14:textId="627C829A" w:rsidR="009E7A21" w:rsidRPr="009E7A21" w:rsidRDefault="009E7A21" w:rsidP="009E7A21">
          <w:pPr>
            <w:pStyle w:val="TOC1"/>
            <w:tabs>
              <w:tab w:val="right" w:leader="dot" w:pos="9016"/>
            </w:tabs>
            <w:spacing w:line="360" w:lineRule="auto"/>
            <w:jc w:val="both"/>
            <w:rPr>
              <w:rFonts w:eastAsiaTheme="minorEastAsia"/>
              <w:noProof/>
              <w:sz w:val="24"/>
              <w:szCs w:val="24"/>
              <w:lang w:val="en-IN" w:eastAsia="en-IN"/>
            </w:rPr>
          </w:pPr>
          <w:hyperlink w:anchor="_Toc236848540" w:history="1">
            <w:r w:rsidRPr="009E7A21">
              <w:rPr>
                <w:rStyle w:val="Hyperlink"/>
                <w:rFonts w:ascii="Arial" w:hAnsi="Arial" w:cs="Arial"/>
                <w:noProof/>
                <w:sz w:val="24"/>
                <w:szCs w:val="24"/>
              </w:rPr>
              <w:t>4. Investment Appraisal and Capital Budgeting</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_Toc236848540 \h </w:instrText>
            </w:r>
            <w:r w:rsidRPr="009E7A21">
              <w:rPr>
                <w:noProof/>
                <w:webHidden/>
                <w:sz w:val="24"/>
                <w:szCs w:val="24"/>
              </w:rPr>
            </w:r>
            <w:r w:rsidRPr="009E7A21">
              <w:rPr>
                <w:noProof/>
                <w:webHidden/>
                <w:sz w:val="24"/>
                <w:szCs w:val="24"/>
              </w:rPr>
              <w:fldChar w:fldCharType="separate"/>
            </w:r>
            <w:r w:rsidR="0049277B">
              <w:rPr>
                <w:noProof/>
                <w:webHidden/>
                <w:sz w:val="24"/>
                <w:szCs w:val="24"/>
              </w:rPr>
              <w:t>24</w:t>
            </w:r>
            <w:r w:rsidRPr="009E7A21">
              <w:rPr>
                <w:noProof/>
                <w:webHidden/>
                <w:sz w:val="24"/>
                <w:szCs w:val="24"/>
              </w:rPr>
              <w:fldChar w:fldCharType="end"/>
            </w:r>
          </w:hyperlink>
        </w:p>
        <w:p w14:paraId="05F9CDD9" w14:textId="502B254F"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41" w:history="1">
            <w:r w:rsidRPr="009E7A21">
              <w:rPr>
                <w:rStyle w:val="Hyperlink"/>
                <w:rFonts w:ascii="Arial" w:hAnsi="Arial" w:cs="Arial"/>
                <w:noProof/>
                <w:sz w:val="24"/>
                <w:szCs w:val="24"/>
              </w:rPr>
              <w:t>Project to be recommended</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_Toc236848541 \h </w:instrText>
            </w:r>
            <w:r w:rsidRPr="009E7A21">
              <w:rPr>
                <w:noProof/>
                <w:webHidden/>
                <w:sz w:val="24"/>
                <w:szCs w:val="24"/>
              </w:rPr>
            </w:r>
            <w:r w:rsidRPr="009E7A21">
              <w:rPr>
                <w:noProof/>
                <w:webHidden/>
                <w:sz w:val="24"/>
                <w:szCs w:val="24"/>
              </w:rPr>
              <w:fldChar w:fldCharType="separate"/>
            </w:r>
            <w:r w:rsidR="0049277B">
              <w:rPr>
                <w:noProof/>
                <w:webHidden/>
                <w:sz w:val="24"/>
                <w:szCs w:val="24"/>
              </w:rPr>
              <w:t>26</w:t>
            </w:r>
            <w:r w:rsidRPr="009E7A21">
              <w:rPr>
                <w:noProof/>
                <w:webHidden/>
                <w:sz w:val="24"/>
                <w:szCs w:val="24"/>
              </w:rPr>
              <w:fldChar w:fldCharType="end"/>
            </w:r>
          </w:hyperlink>
        </w:p>
        <w:p w14:paraId="5B5AB20E" w14:textId="4DACFEAB"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42" w:history="1">
            <w:r w:rsidRPr="009E7A21">
              <w:rPr>
                <w:rStyle w:val="Hyperlink"/>
                <w:rFonts w:ascii="Arial" w:hAnsi="Arial" w:cs="Arial"/>
                <w:noProof/>
                <w:sz w:val="24"/>
                <w:szCs w:val="24"/>
              </w:rPr>
              <w:t>Justification of the recommendation with reference to the company’s financial performance (e.g. profitability, liquidity)</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_Toc236848542 \h </w:instrText>
            </w:r>
            <w:r w:rsidRPr="009E7A21">
              <w:rPr>
                <w:noProof/>
                <w:webHidden/>
                <w:sz w:val="24"/>
                <w:szCs w:val="24"/>
              </w:rPr>
            </w:r>
            <w:r w:rsidRPr="009E7A21">
              <w:rPr>
                <w:noProof/>
                <w:webHidden/>
                <w:sz w:val="24"/>
                <w:szCs w:val="24"/>
              </w:rPr>
              <w:fldChar w:fldCharType="separate"/>
            </w:r>
            <w:r w:rsidR="0049277B">
              <w:rPr>
                <w:noProof/>
                <w:webHidden/>
                <w:sz w:val="24"/>
                <w:szCs w:val="24"/>
              </w:rPr>
              <w:t>27</w:t>
            </w:r>
            <w:r w:rsidRPr="009E7A21">
              <w:rPr>
                <w:noProof/>
                <w:webHidden/>
                <w:sz w:val="24"/>
                <w:szCs w:val="24"/>
              </w:rPr>
              <w:fldChar w:fldCharType="end"/>
            </w:r>
          </w:hyperlink>
        </w:p>
        <w:p w14:paraId="416DB414" w14:textId="550FBFCF"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43" w:history="1">
            <w:r w:rsidRPr="009E7A21">
              <w:rPr>
                <w:rStyle w:val="Hyperlink"/>
                <w:rFonts w:ascii="Arial" w:hAnsi="Arial" w:cs="Arial"/>
                <w:noProof/>
                <w:sz w:val="24"/>
                <w:szCs w:val="24"/>
              </w:rPr>
              <w:t>Justification of the recommendation with reference to the non-financial risks (e.g. political risk, customer loyalty)</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_Toc236848543 \h </w:instrText>
            </w:r>
            <w:r w:rsidRPr="009E7A21">
              <w:rPr>
                <w:noProof/>
                <w:webHidden/>
                <w:sz w:val="24"/>
                <w:szCs w:val="24"/>
              </w:rPr>
            </w:r>
            <w:r w:rsidRPr="009E7A21">
              <w:rPr>
                <w:noProof/>
                <w:webHidden/>
                <w:sz w:val="24"/>
                <w:szCs w:val="24"/>
              </w:rPr>
              <w:fldChar w:fldCharType="separate"/>
            </w:r>
            <w:r w:rsidR="0049277B">
              <w:rPr>
                <w:noProof/>
                <w:webHidden/>
                <w:sz w:val="24"/>
                <w:szCs w:val="24"/>
              </w:rPr>
              <w:t>28</w:t>
            </w:r>
            <w:r w:rsidRPr="009E7A21">
              <w:rPr>
                <w:noProof/>
                <w:webHidden/>
                <w:sz w:val="24"/>
                <w:szCs w:val="24"/>
              </w:rPr>
              <w:fldChar w:fldCharType="end"/>
            </w:r>
          </w:hyperlink>
        </w:p>
        <w:p w14:paraId="28A239CF" w14:textId="797FA395"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44" w:history="1">
            <w:r w:rsidRPr="009E7A21">
              <w:rPr>
                <w:rStyle w:val="Hyperlink"/>
                <w:rFonts w:ascii="Arial" w:hAnsi="Arial" w:cs="Arial"/>
                <w:noProof/>
                <w:sz w:val="24"/>
                <w:szCs w:val="24"/>
              </w:rPr>
              <w:t>Combination of projects is the best on using capital rationing</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_Toc236848544 \h </w:instrText>
            </w:r>
            <w:r w:rsidRPr="009E7A21">
              <w:rPr>
                <w:noProof/>
                <w:webHidden/>
                <w:sz w:val="24"/>
                <w:szCs w:val="24"/>
              </w:rPr>
            </w:r>
            <w:r w:rsidRPr="009E7A21">
              <w:rPr>
                <w:noProof/>
                <w:webHidden/>
                <w:sz w:val="24"/>
                <w:szCs w:val="24"/>
              </w:rPr>
              <w:fldChar w:fldCharType="separate"/>
            </w:r>
            <w:r w:rsidR="0049277B">
              <w:rPr>
                <w:noProof/>
                <w:webHidden/>
                <w:sz w:val="24"/>
                <w:szCs w:val="24"/>
              </w:rPr>
              <w:t>29</w:t>
            </w:r>
            <w:r w:rsidRPr="009E7A21">
              <w:rPr>
                <w:noProof/>
                <w:webHidden/>
                <w:sz w:val="24"/>
                <w:szCs w:val="24"/>
              </w:rPr>
              <w:fldChar w:fldCharType="end"/>
            </w:r>
          </w:hyperlink>
        </w:p>
        <w:p w14:paraId="72908C2B" w14:textId="4ADD070A" w:rsidR="009E7A21" w:rsidRPr="009E7A21" w:rsidRDefault="009E7A21" w:rsidP="009E7A21">
          <w:pPr>
            <w:pStyle w:val="TOC1"/>
            <w:tabs>
              <w:tab w:val="right" w:leader="dot" w:pos="9016"/>
            </w:tabs>
            <w:spacing w:line="360" w:lineRule="auto"/>
            <w:jc w:val="both"/>
            <w:rPr>
              <w:rFonts w:eastAsiaTheme="minorEastAsia"/>
              <w:noProof/>
              <w:sz w:val="24"/>
              <w:szCs w:val="24"/>
              <w:lang w:val="en-IN" w:eastAsia="en-IN"/>
            </w:rPr>
          </w:pPr>
          <w:hyperlink w:anchor="_Toc236848545" w:history="1">
            <w:r w:rsidRPr="009E7A21">
              <w:rPr>
                <w:rStyle w:val="Hyperlink"/>
                <w:rFonts w:ascii="Arial" w:hAnsi="Arial" w:cs="Arial"/>
                <w:noProof/>
                <w:sz w:val="24"/>
                <w:szCs w:val="24"/>
              </w:rPr>
              <w:t>5. Critical Reflection on AI Usage</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_Toc236848545 \h </w:instrText>
            </w:r>
            <w:r w:rsidRPr="009E7A21">
              <w:rPr>
                <w:noProof/>
                <w:webHidden/>
                <w:sz w:val="24"/>
                <w:szCs w:val="24"/>
              </w:rPr>
            </w:r>
            <w:r w:rsidRPr="009E7A21">
              <w:rPr>
                <w:noProof/>
                <w:webHidden/>
                <w:sz w:val="24"/>
                <w:szCs w:val="24"/>
              </w:rPr>
              <w:fldChar w:fldCharType="separate"/>
            </w:r>
            <w:r w:rsidR="0049277B">
              <w:rPr>
                <w:noProof/>
                <w:webHidden/>
                <w:sz w:val="24"/>
                <w:szCs w:val="24"/>
              </w:rPr>
              <w:t>30</w:t>
            </w:r>
            <w:r w:rsidRPr="009E7A21">
              <w:rPr>
                <w:noProof/>
                <w:webHidden/>
                <w:sz w:val="24"/>
                <w:szCs w:val="24"/>
              </w:rPr>
              <w:fldChar w:fldCharType="end"/>
            </w:r>
          </w:hyperlink>
        </w:p>
        <w:p w14:paraId="2E5E42E3" w14:textId="15658544"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46" w:history="1">
            <w:r w:rsidRPr="009E7A21">
              <w:rPr>
                <w:rStyle w:val="Hyperlink"/>
                <w:rFonts w:ascii="Arial" w:hAnsi="Arial" w:cs="Arial"/>
                <w:noProof/>
                <w:sz w:val="24"/>
                <w:szCs w:val="24"/>
              </w:rPr>
              <w:t>Tool Disclosure</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_Toc236848546 \h </w:instrText>
            </w:r>
            <w:r w:rsidRPr="009E7A21">
              <w:rPr>
                <w:noProof/>
                <w:webHidden/>
                <w:sz w:val="24"/>
                <w:szCs w:val="24"/>
              </w:rPr>
            </w:r>
            <w:r w:rsidRPr="009E7A21">
              <w:rPr>
                <w:noProof/>
                <w:webHidden/>
                <w:sz w:val="24"/>
                <w:szCs w:val="24"/>
              </w:rPr>
              <w:fldChar w:fldCharType="separate"/>
            </w:r>
            <w:r w:rsidR="0049277B">
              <w:rPr>
                <w:noProof/>
                <w:webHidden/>
                <w:sz w:val="24"/>
                <w:szCs w:val="24"/>
              </w:rPr>
              <w:t>30</w:t>
            </w:r>
            <w:r w:rsidRPr="009E7A21">
              <w:rPr>
                <w:noProof/>
                <w:webHidden/>
                <w:sz w:val="24"/>
                <w:szCs w:val="24"/>
              </w:rPr>
              <w:fldChar w:fldCharType="end"/>
            </w:r>
          </w:hyperlink>
        </w:p>
        <w:p w14:paraId="7138BC47" w14:textId="0D10DF20"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47" w:history="1">
            <w:r w:rsidRPr="009E7A21">
              <w:rPr>
                <w:rStyle w:val="Hyperlink"/>
                <w:rFonts w:ascii="Arial" w:hAnsi="Arial" w:cs="Arial"/>
                <w:noProof/>
                <w:sz w:val="24"/>
                <w:szCs w:val="24"/>
              </w:rPr>
              <w:t>Critical Evaluation of AI Output</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_Toc236848547 \h </w:instrText>
            </w:r>
            <w:r w:rsidRPr="009E7A21">
              <w:rPr>
                <w:noProof/>
                <w:webHidden/>
                <w:sz w:val="24"/>
                <w:szCs w:val="24"/>
              </w:rPr>
            </w:r>
            <w:r w:rsidRPr="009E7A21">
              <w:rPr>
                <w:noProof/>
                <w:webHidden/>
                <w:sz w:val="24"/>
                <w:szCs w:val="24"/>
              </w:rPr>
              <w:fldChar w:fldCharType="separate"/>
            </w:r>
            <w:r w:rsidR="0049277B">
              <w:rPr>
                <w:noProof/>
                <w:webHidden/>
                <w:sz w:val="24"/>
                <w:szCs w:val="24"/>
              </w:rPr>
              <w:t>30</w:t>
            </w:r>
            <w:r w:rsidRPr="009E7A21">
              <w:rPr>
                <w:noProof/>
                <w:webHidden/>
                <w:sz w:val="24"/>
                <w:szCs w:val="24"/>
              </w:rPr>
              <w:fldChar w:fldCharType="end"/>
            </w:r>
          </w:hyperlink>
        </w:p>
        <w:p w14:paraId="289BEA61" w14:textId="7778C851"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48" w:history="1">
            <w:r w:rsidRPr="009E7A21">
              <w:rPr>
                <w:rStyle w:val="Hyperlink"/>
                <w:rFonts w:ascii="Arial" w:hAnsi="Arial" w:cs="Arial"/>
                <w:noProof/>
                <w:sz w:val="24"/>
                <w:szCs w:val="24"/>
              </w:rPr>
              <w:t>Contribution Analysis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_Toc236848548 \h </w:instrText>
            </w:r>
            <w:r w:rsidRPr="009E7A21">
              <w:rPr>
                <w:noProof/>
                <w:webHidden/>
                <w:sz w:val="24"/>
                <w:szCs w:val="24"/>
              </w:rPr>
            </w:r>
            <w:r w:rsidRPr="009E7A21">
              <w:rPr>
                <w:noProof/>
                <w:webHidden/>
                <w:sz w:val="24"/>
                <w:szCs w:val="24"/>
              </w:rPr>
              <w:fldChar w:fldCharType="separate"/>
            </w:r>
            <w:r w:rsidR="0049277B">
              <w:rPr>
                <w:noProof/>
                <w:webHidden/>
                <w:sz w:val="24"/>
                <w:szCs w:val="24"/>
              </w:rPr>
              <w:t>31</w:t>
            </w:r>
            <w:r w:rsidRPr="009E7A21">
              <w:rPr>
                <w:noProof/>
                <w:webHidden/>
                <w:sz w:val="24"/>
                <w:szCs w:val="24"/>
              </w:rPr>
              <w:fldChar w:fldCharType="end"/>
            </w:r>
          </w:hyperlink>
        </w:p>
        <w:p w14:paraId="007B4503" w14:textId="287C3A88"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49" w:history="1">
            <w:r w:rsidRPr="009E7A21">
              <w:rPr>
                <w:rStyle w:val="Hyperlink"/>
                <w:rFonts w:ascii="Arial" w:hAnsi="Arial" w:cs="Arial"/>
                <w:noProof/>
                <w:sz w:val="24"/>
                <w:szCs w:val="24"/>
              </w:rPr>
              <w:t>Ethical &amp; Professional Reflection</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_Toc236848549 \h </w:instrText>
            </w:r>
            <w:r w:rsidRPr="009E7A21">
              <w:rPr>
                <w:noProof/>
                <w:webHidden/>
                <w:sz w:val="24"/>
                <w:szCs w:val="24"/>
              </w:rPr>
            </w:r>
            <w:r w:rsidRPr="009E7A21">
              <w:rPr>
                <w:noProof/>
                <w:webHidden/>
                <w:sz w:val="24"/>
                <w:szCs w:val="24"/>
              </w:rPr>
              <w:fldChar w:fldCharType="separate"/>
            </w:r>
            <w:r w:rsidR="0049277B">
              <w:rPr>
                <w:noProof/>
                <w:webHidden/>
                <w:sz w:val="24"/>
                <w:szCs w:val="24"/>
              </w:rPr>
              <w:t>31</w:t>
            </w:r>
            <w:r w:rsidRPr="009E7A21">
              <w:rPr>
                <w:noProof/>
                <w:webHidden/>
                <w:sz w:val="24"/>
                <w:szCs w:val="24"/>
              </w:rPr>
              <w:fldChar w:fldCharType="end"/>
            </w:r>
          </w:hyperlink>
        </w:p>
        <w:p w14:paraId="1413394B" w14:textId="01C45899" w:rsidR="009E7A21" w:rsidRPr="009E7A21" w:rsidRDefault="009E7A21" w:rsidP="009E7A21">
          <w:pPr>
            <w:pStyle w:val="TOC1"/>
            <w:tabs>
              <w:tab w:val="right" w:leader="dot" w:pos="9016"/>
            </w:tabs>
            <w:spacing w:line="360" w:lineRule="auto"/>
            <w:jc w:val="both"/>
            <w:rPr>
              <w:rFonts w:eastAsiaTheme="minorEastAsia"/>
              <w:noProof/>
              <w:sz w:val="24"/>
              <w:szCs w:val="24"/>
              <w:lang w:val="en-IN" w:eastAsia="en-IN"/>
            </w:rPr>
          </w:pPr>
          <w:hyperlink w:anchor="_Toc236848550" w:history="1">
            <w:r w:rsidRPr="009E7A21">
              <w:rPr>
                <w:rStyle w:val="Hyperlink"/>
                <w:rFonts w:ascii="Arial" w:hAnsi="Arial" w:cs="Arial"/>
                <w:noProof/>
                <w:sz w:val="24"/>
                <w:szCs w:val="24"/>
              </w:rPr>
              <w:t>References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_Toc236848550 \h </w:instrText>
            </w:r>
            <w:r w:rsidRPr="009E7A21">
              <w:rPr>
                <w:noProof/>
                <w:webHidden/>
                <w:sz w:val="24"/>
                <w:szCs w:val="24"/>
              </w:rPr>
            </w:r>
            <w:r w:rsidRPr="009E7A21">
              <w:rPr>
                <w:noProof/>
                <w:webHidden/>
                <w:sz w:val="24"/>
                <w:szCs w:val="24"/>
              </w:rPr>
              <w:fldChar w:fldCharType="separate"/>
            </w:r>
            <w:r w:rsidR="0049277B">
              <w:rPr>
                <w:noProof/>
                <w:webHidden/>
                <w:sz w:val="24"/>
                <w:szCs w:val="24"/>
              </w:rPr>
              <w:t>33</w:t>
            </w:r>
            <w:r w:rsidRPr="009E7A21">
              <w:rPr>
                <w:noProof/>
                <w:webHidden/>
                <w:sz w:val="24"/>
                <w:szCs w:val="24"/>
              </w:rPr>
              <w:fldChar w:fldCharType="end"/>
            </w:r>
          </w:hyperlink>
        </w:p>
        <w:p w14:paraId="4089A460" w14:textId="73776E17" w:rsidR="009E7A21" w:rsidRPr="009E7A21" w:rsidRDefault="009E7A21" w:rsidP="009E7A21">
          <w:pPr>
            <w:pStyle w:val="TOC1"/>
            <w:tabs>
              <w:tab w:val="right" w:leader="dot" w:pos="9016"/>
            </w:tabs>
            <w:spacing w:line="360" w:lineRule="auto"/>
            <w:jc w:val="both"/>
            <w:rPr>
              <w:rFonts w:eastAsiaTheme="minorEastAsia"/>
              <w:noProof/>
              <w:sz w:val="24"/>
              <w:szCs w:val="24"/>
              <w:lang w:val="en-IN" w:eastAsia="en-IN"/>
            </w:rPr>
          </w:pPr>
          <w:hyperlink w:anchor="_Toc236848551" w:history="1">
            <w:r w:rsidRPr="009E7A21">
              <w:rPr>
                <w:rStyle w:val="Hyperlink"/>
                <w:rFonts w:ascii="Arial" w:hAnsi="Arial" w:cs="Arial"/>
                <w:noProof/>
                <w:sz w:val="24"/>
                <w:szCs w:val="24"/>
              </w:rPr>
              <w:t>Appendices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_Toc236848551 \h </w:instrText>
            </w:r>
            <w:r w:rsidRPr="009E7A21">
              <w:rPr>
                <w:noProof/>
                <w:webHidden/>
                <w:sz w:val="24"/>
                <w:szCs w:val="24"/>
              </w:rPr>
            </w:r>
            <w:r w:rsidRPr="009E7A21">
              <w:rPr>
                <w:noProof/>
                <w:webHidden/>
                <w:sz w:val="24"/>
                <w:szCs w:val="24"/>
              </w:rPr>
              <w:fldChar w:fldCharType="separate"/>
            </w:r>
            <w:r w:rsidR="0049277B">
              <w:rPr>
                <w:noProof/>
                <w:webHidden/>
                <w:sz w:val="24"/>
                <w:szCs w:val="24"/>
              </w:rPr>
              <w:t>37</w:t>
            </w:r>
            <w:r w:rsidRPr="009E7A21">
              <w:rPr>
                <w:noProof/>
                <w:webHidden/>
                <w:sz w:val="24"/>
                <w:szCs w:val="24"/>
              </w:rPr>
              <w:fldChar w:fldCharType="end"/>
            </w:r>
          </w:hyperlink>
        </w:p>
        <w:p w14:paraId="7B73C9B4" w14:textId="0F9288EC"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52" w:history="1">
            <w:r w:rsidRPr="009E7A21">
              <w:rPr>
                <w:rStyle w:val="Hyperlink"/>
                <w:rFonts w:ascii="Arial" w:hAnsi="Arial" w:cs="Arial"/>
                <w:noProof/>
                <w:sz w:val="24"/>
                <w:szCs w:val="24"/>
              </w:rPr>
              <w:t>a. Ratio tables and graphs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_Toc236848552 \h </w:instrText>
            </w:r>
            <w:r w:rsidRPr="009E7A21">
              <w:rPr>
                <w:noProof/>
                <w:webHidden/>
                <w:sz w:val="24"/>
                <w:szCs w:val="24"/>
              </w:rPr>
            </w:r>
            <w:r w:rsidRPr="009E7A21">
              <w:rPr>
                <w:noProof/>
                <w:webHidden/>
                <w:sz w:val="24"/>
                <w:szCs w:val="24"/>
              </w:rPr>
              <w:fldChar w:fldCharType="separate"/>
            </w:r>
            <w:r w:rsidR="0049277B">
              <w:rPr>
                <w:noProof/>
                <w:webHidden/>
                <w:sz w:val="24"/>
                <w:szCs w:val="24"/>
              </w:rPr>
              <w:t>37</w:t>
            </w:r>
            <w:r w:rsidRPr="009E7A21">
              <w:rPr>
                <w:noProof/>
                <w:webHidden/>
                <w:sz w:val="24"/>
                <w:szCs w:val="24"/>
              </w:rPr>
              <w:fldChar w:fldCharType="end"/>
            </w:r>
          </w:hyperlink>
        </w:p>
        <w:p w14:paraId="240E0A35" w14:textId="0A68A55E"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53" w:history="1">
            <w:r w:rsidRPr="009E7A21">
              <w:rPr>
                <w:rStyle w:val="Hyperlink"/>
                <w:rFonts w:ascii="Arial" w:hAnsi="Arial" w:cs="Arial"/>
                <w:noProof/>
                <w:sz w:val="24"/>
                <w:szCs w:val="24"/>
              </w:rPr>
              <w:t>b. Investment appraisal calculations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_Toc236848553 \h </w:instrText>
            </w:r>
            <w:r w:rsidRPr="009E7A21">
              <w:rPr>
                <w:noProof/>
                <w:webHidden/>
                <w:sz w:val="24"/>
                <w:szCs w:val="24"/>
              </w:rPr>
            </w:r>
            <w:r w:rsidRPr="009E7A21">
              <w:rPr>
                <w:noProof/>
                <w:webHidden/>
                <w:sz w:val="24"/>
                <w:szCs w:val="24"/>
              </w:rPr>
              <w:fldChar w:fldCharType="separate"/>
            </w:r>
            <w:r w:rsidR="0049277B">
              <w:rPr>
                <w:noProof/>
                <w:webHidden/>
                <w:sz w:val="24"/>
                <w:szCs w:val="24"/>
              </w:rPr>
              <w:t>42</w:t>
            </w:r>
            <w:r w:rsidRPr="009E7A21">
              <w:rPr>
                <w:noProof/>
                <w:webHidden/>
                <w:sz w:val="24"/>
                <w:szCs w:val="24"/>
              </w:rPr>
              <w:fldChar w:fldCharType="end"/>
            </w:r>
          </w:hyperlink>
        </w:p>
        <w:p w14:paraId="49AA6AFF" w14:textId="282A0836" w:rsidR="009E7A21" w:rsidRPr="009E7A21" w:rsidRDefault="009E7A21" w:rsidP="009E7A21">
          <w:pPr>
            <w:pStyle w:val="TOC2"/>
            <w:tabs>
              <w:tab w:val="right" w:leader="dot" w:pos="9016"/>
            </w:tabs>
            <w:spacing w:line="360" w:lineRule="auto"/>
            <w:jc w:val="both"/>
            <w:rPr>
              <w:rFonts w:eastAsiaTheme="minorEastAsia"/>
              <w:noProof/>
              <w:sz w:val="24"/>
              <w:szCs w:val="24"/>
              <w:lang w:val="en-IN" w:eastAsia="en-IN"/>
            </w:rPr>
          </w:pPr>
          <w:hyperlink w:anchor="_Toc236848554" w:history="1">
            <w:r w:rsidRPr="009E7A21">
              <w:rPr>
                <w:rStyle w:val="Hyperlink"/>
                <w:rFonts w:ascii="Arial" w:hAnsi="Arial" w:cs="Arial"/>
                <w:noProof/>
                <w:sz w:val="24"/>
                <w:szCs w:val="24"/>
              </w:rPr>
              <w:t>c. Annual Reports</w:t>
            </w:r>
            <w:r w:rsidRPr="009E7A21">
              <w:rPr>
                <w:noProof/>
                <w:webHidden/>
                <w:sz w:val="24"/>
                <w:szCs w:val="24"/>
              </w:rPr>
              <w:tab/>
            </w:r>
            <w:r w:rsidRPr="009E7A21">
              <w:rPr>
                <w:noProof/>
                <w:webHidden/>
                <w:sz w:val="24"/>
                <w:szCs w:val="24"/>
              </w:rPr>
              <w:fldChar w:fldCharType="begin"/>
            </w:r>
            <w:r w:rsidRPr="009E7A21">
              <w:rPr>
                <w:noProof/>
                <w:webHidden/>
                <w:sz w:val="24"/>
                <w:szCs w:val="24"/>
              </w:rPr>
              <w:instrText xml:space="preserve"> PAGEREF _Toc236848554 \h </w:instrText>
            </w:r>
            <w:r w:rsidRPr="009E7A21">
              <w:rPr>
                <w:noProof/>
                <w:webHidden/>
                <w:sz w:val="24"/>
                <w:szCs w:val="24"/>
              </w:rPr>
            </w:r>
            <w:r w:rsidRPr="009E7A21">
              <w:rPr>
                <w:noProof/>
                <w:webHidden/>
                <w:sz w:val="24"/>
                <w:szCs w:val="24"/>
              </w:rPr>
              <w:fldChar w:fldCharType="separate"/>
            </w:r>
            <w:r w:rsidR="0049277B">
              <w:rPr>
                <w:noProof/>
                <w:webHidden/>
                <w:sz w:val="24"/>
                <w:szCs w:val="24"/>
              </w:rPr>
              <w:t>44</w:t>
            </w:r>
            <w:r w:rsidRPr="009E7A21">
              <w:rPr>
                <w:noProof/>
                <w:webHidden/>
                <w:sz w:val="24"/>
                <w:szCs w:val="24"/>
              </w:rPr>
              <w:fldChar w:fldCharType="end"/>
            </w:r>
          </w:hyperlink>
        </w:p>
        <w:p w14:paraId="29D78703" w14:textId="77777777" w:rsidR="002038D6" w:rsidRPr="009E7A21" w:rsidRDefault="002038D6" w:rsidP="002038D6">
          <w:pPr>
            <w:spacing w:line="360" w:lineRule="auto"/>
            <w:jc w:val="both"/>
          </w:pPr>
          <w:r w:rsidRPr="009E7A21">
            <w:rPr>
              <w:rFonts w:ascii="Arial" w:hAnsi="Arial" w:cs="Arial"/>
              <w:b/>
              <w:bCs/>
              <w:noProof/>
              <w:sz w:val="24"/>
              <w:szCs w:val="24"/>
            </w:rPr>
            <w:fldChar w:fldCharType="end"/>
          </w:r>
        </w:p>
      </w:sdtContent>
    </w:sdt>
    <w:p w14:paraId="4C6357C7" w14:textId="77777777" w:rsidR="002038D6" w:rsidRPr="009E7A21" w:rsidRDefault="002038D6">
      <w:pPr>
        <w:rPr>
          <w:rFonts w:ascii="Arial" w:eastAsiaTheme="majorEastAsia" w:hAnsi="Arial" w:cs="Arial"/>
          <w:b/>
          <w:sz w:val="24"/>
          <w:szCs w:val="24"/>
        </w:rPr>
      </w:pPr>
      <w:r w:rsidRPr="009E7A21">
        <w:rPr>
          <w:rFonts w:ascii="Arial" w:hAnsi="Arial" w:cs="Arial"/>
          <w:b/>
          <w:sz w:val="24"/>
          <w:szCs w:val="24"/>
        </w:rPr>
        <w:br w:type="page"/>
      </w:r>
    </w:p>
    <w:p w14:paraId="1A2B5765" w14:textId="77777777" w:rsidR="00E1716F" w:rsidRPr="009E7A21" w:rsidRDefault="000D50CB" w:rsidP="005B343F">
      <w:pPr>
        <w:pStyle w:val="Heading1"/>
        <w:spacing w:line="360" w:lineRule="auto"/>
        <w:jc w:val="both"/>
        <w:rPr>
          <w:rFonts w:ascii="Arial" w:hAnsi="Arial" w:cs="Arial"/>
          <w:b/>
          <w:color w:val="auto"/>
          <w:sz w:val="24"/>
          <w:szCs w:val="24"/>
        </w:rPr>
      </w:pPr>
      <w:bookmarkStart w:id="1" w:name="_Toc236848527"/>
      <w:r w:rsidRPr="009E7A21">
        <w:rPr>
          <w:rFonts w:ascii="Arial" w:hAnsi="Arial" w:cs="Arial"/>
          <w:b/>
          <w:color w:val="auto"/>
          <w:sz w:val="24"/>
          <w:szCs w:val="24"/>
        </w:rPr>
        <w:lastRenderedPageBreak/>
        <w:t>1. Financial Health Check</w:t>
      </w:r>
      <w:bookmarkEnd w:id="0"/>
      <w:bookmarkEnd w:id="1"/>
      <w:r w:rsidRPr="009E7A21">
        <w:rPr>
          <w:rFonts w:ascii="Arial" w:hAnsi="Arial" w:cs="Arial"/>
          <w:b/>
          <w:color w:val="auto"/>
          <w:sz w:val="24"/>
          <w:szCs w:val="24"/>
        </w:rPr>
        <w:t xml:space="preserve"> </w:t>
      </w:r>
    </w:p>
    <w:p w14:paraId="0BC478F7" w14:textId="77777777" w:rsidR="000D50CB" w:rsidRPr="009E7A21" w:rsidRDefault="000D50CB" w:rsidP="005B343F">
      <w:pPr>
        <w:pStyle w:val="Heading2"/>
        <w:spacing w:line="360" w:lineRule="auto"/>
        <w:jc w:val="both"/>
        <w:rPr>
          <w:rFonts w:ascii="Arial" w:hAnsi="Arial" w:cs="Arial"/>
          <w:b/>
          <w:color w:val="auto"/>
          <w:sz w:val="24"/>
          <w:szCs w:val="24"/>
        </w:rPr>
      </w:pPr>
      <w:bookmarkStart w:id="2" w:name="_Toc234747794"/>
      <w:bookmarkStart w:id="3" w:name="_Toc236848528"/>
      <w:r w:rsidRPr="009E7A21">
        <w:rPr>
          <w:rFonts w:ascii="Arial" w:hAnsi="Arial" w:cs="Arial"/>
          <w:b/>
          <w:color w:val="auto"/>
          <w:sz w:val="24"/>
          <w:szCs w:val="24"/>
        </w:rPr>
        <w:t>Firm’s financial statements over the past five years</w:t>
      </w:r>
      <w:bookmarkEnd w:id="2"/>
      <w:bookmarkEnd w:id="3"/>
    </w:p>
    <w:p w14:paraId="0B6142D9" w14:textId="77777777" w:rsidR="00AD00E4" w:rsidRPr="009E7A21" w:rsidRDefault="00AD00E4"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drawing>
          <wp:inline distT="0" distB="0" distL="0" distR="0" wp14:anchorId="40B68B98" wp14:editId="36160F0D">
            <wp:extent cx="5570703" cy="139458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70703" cy="1394581"/>
                    </a:xfrm>
                    <a:prstGeom prst="rect">
                      <a:avLst/>
                    </a:prstGeom>
                  </pic:spPr>
                </pic:pic>
              </a:graphicData>
            </a:graphic>
          </wp:inline>
        </w:drawing>
      </w:r>
    </w:p>
    <w:p w14:paraId="2D4E2B44" w14:textId="77777777" w:rsidR="00FE2B00" w:rsidRPr="009E7A21" w:rsidRDefault="005B343F"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t>Table 1: Financial Statement</w:t>
      </w:r>
    </w:p>
    <w:p w14:paraId="2ADE9E88" w14:textId="641B23EF" w:rsidR="005B343F" w:rsidRPr="009E7A21" w:rsidRDefault="0049277B" w:rsidP="005B343F">
      <w:pPr>
        <w:spacing w:line="360" w:lineRule="auto"/>
        <w:jc w:val="center"/>
        <w:rPr>
          <w:rFonts w:ascii="Arial" w:hAnsi="Arial" w:cs="Arial"/>
          <w:sz w:val="24"/>
          <w:szCs w:val="24"/>
        </w:rPr>
      </w:pPr>
      <w:r>
        <w:rPr>
          <w:rFonts w:ascii="Arial" w:hAnsi="Arial" w:cs="Arial"/>
          <w:noProof/>
          <w:sz w:val="24"/>
          <w:szCs w:val="24"/>
        </w:rPr>
        <w:drawing>
          <wp:inline distT="0" distB="0" distL="0" distR="0" wp14:anchorId="56F44B58" wp14:editId="0DF75240">
            <wp:extent cx="5047615" cy="3328670"/>
            <wp:effectExtent l="0" t="0" r="635" b="5080"/>
            <wp:docPr id="245715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7615" cy="3328670"/>
                    </a:xfrm>
                    <a:prstGeom prst="rect">
                      <a:avLst/>
                    </a:prstGeom>
                    <a:noFill/>
                  </pic:spPr>
                </pic:pic>
              </a:graphicData>
            </a:graphic>
          </wp:inline>
        </w:drawing>
      </w:r>
    </w:p>
    <w:p w14:paraId="39747E2E" w14:textId="77777777" w:rsidR="005B343F" w:rsidRPr="009E7A21" w:rsidRDefault="005B343F" w:rsidP="005B343F">
      <w:pPr>
        <w:spacing w:line="360" w:lineRule="auto"/>
        <w:jc w:val="center"/>
        <w:rPr>
          <w:rFonts w:ascii="Arial" w:hAnsi="Arial" w:cs="Arial"/>
          <w:b/>
          <w:noProof/>
          <w:sz w:val="24"/>
          <w:szCs w:val="24"/>
          <w:lang w:val="en-IN" w:eastAsia="en-IN"/>
        </w:rPr>
      </w:pPr>
      <w:r w:rsidRPr="009E7A21">
        <w:rPr>
          <w:rFonts w:ascii="Arial" w:hAnsi="Arial" w:cs="Arial"/>
          <w:b/>
          <w:sz w:val="24"/>
          <w:szCs w:val="24"/>
        </w:rPr>
        <w:t xml:space="preserve">Graph 1: </w:t>
      </w:r>
      <w:r w:rsidRPr="009E7A21">
        <w:rPr>
          <w:rFonts w:ascii="Arial" w:hAnsi="Arial" w:cs="Arial"/>
          <w:b/>
          <w:noProof/>
          <w:sz w:val="24"/>
          <w:szCs w:val="24"/>
          <w:lang w:val="en-IN" w:eastAsia="en-IN"/>
        </w:rPr>
        <w:t>Financial Statement</w:t>
      </w:r>
    </w:p>
    <w:p w14:paraId="45197C15" w14:textId="77777777" w:rsidR="005B343F" w:rsidRPr="009E7A21" w:rsidRDefault="005B343F" w:rsidP="005B343F">
      <w:pPr>
        <w:spacing w:line="360" w:lineRule="auto"/>
        <w:jc w:val="center"/>
        <w:rPr>
          <w:rFonts w:ascii="Arial" w:hAnsi="Arial" w:cs="Arial"/>
          <w:sz w:val="24"/>
          <w:szCs w:val="24"/>
        </w:rPr>
      </w:pPr>
      <w:r w:rsidRPr="009E7A21">
        <w:rPr>
          <w:rFonts w:ascii="Arial" w:hAnsi="Arial" w:cs="Arial"/>
          <w:b/>
          <w:noProof/>
          <w:sz w:val="24"/>
          <w:szCs w:val="24"/>
          <w:lang w:val="en-IN" w:eastAsia="en-IN"/>
        </w:rPr>
        <w:t xml:space="preserve">Source: </w:t>
      </w:r>
      <w:r w:rsidRPr="009E7A21">
        <w:rPr>
          <w:rFonts w:ascii="Arial" w:hAnsi="Arial" w:cs="Arial"/>
          <w:noProof/>
          <w:sz w:val="24"/>
          <w:szCs w:val="24"/>
          <w:lang w:val="en-IN" w:eastAsia="en-IN"/>
        </w:rPr>
        <w:t>(MS-Excel)</w:t>
      </w:r>
    </w:p>
    <w:p w14:paraId="7DBA1581" w14:textId="77777777" w:rsidR="0004573B" w:rsidRPr="009E7A21" w:rsidRDefault="008E25B5" w:rsidP="005B343F">
      <w:pPr>
        <w:spacing w:line="360" w:lineRule="auto"/>
        <w:jc w:val="both"/>
        <w:rPr>
          <w:rFonts w:ascii="Arial" w:hAnsi="Arial" w:cs="Arial"/>
          <w:sz w:val="24"/>
          <w:szCs w:val="24"/>
        </w:rPr>
      </w:pPr>
      <w:r w:rsidRPr="009E7A21">
        <w:rPr>
          <w:rFonts w:ascii="Arial" w:hAnsi="Arial" w:cs="Arial"/>
          <w:sz w:val="24"/>
          <w:szCs w:val="24"/>
        </w:rPr>
        <w:t>A rise in revenue from £1.92bn in 2020 to £2.45bn in 2024, driven by a sharp uptick in sales and profits since the pandemic, has boosted Greene King's financial performance. The company's cost also increased because of inflation and increased labour and energy costs, but revenue growth remained robust. Profitability bounced back in 2022–2023, but went back into the black in 2024 due to impairment and restructuring costs, not due to a decline in business</w:t>
      </w:r>
      <w:r w:rsidR="00482C6B" w:rsidRPr="009E7A21">
        <w:rPr>
          <w:rFonts w:ascii="Arial" w:hAnsi="Arial" w:cs="Arial"/>
          <w:sz w:val="24"/>
          <w:szCs w:val="24"/>
        </w:rPr>
        <w:t xml:space="preserve"> (ACCA, 2025a)</w:t>
      </w:r>
      <w:r w:rsidRPr="009E7A21">
        <w:rPr>
          <w:rFonts w:ascii="Arial" w:hAnsi="Arial" w:cs="Arial"/>
          <w:sz w:val="24"/>
          <w:szCs w:val="24"/>
        </w:rPr>
        <w:t>. The company's decision not to make dividend payments indicates a focus on building its financial strength and supporting long-term growth</w:t>
      </w:r>
      <w:r w:rsidR="00E01071" w:rsidRPr="009E7A21">
        <w:rPr>
          <w:rFonts w:ascii="Arial" w:hAnsi="Arial" w:cs="Arial"/>
          <w:sz w:val="24"/>
          <w:szCs w:val="24"/>
        </w:rPr>
        <w:t>.</w:t>
      </w:r>
    </w:p>
    <w:p w14:paraId="66D7FAEF" w14:textId="77777777" w:rsidR="000D50CB" w:rsidRPr="009E7A21" w:rsidRDefault="000D50CB" w:rsidP="005B343F">
      <w:pPr>
        <w:pStyle w:val="Heading2"/>
        <w:spacing w:line="360" w:lineRule="auto"/>
        <w:jc w:val="both"/>
        <w:rPr>
          <w:rFonts w:ascii="Arial" w:hAnsi="Arial" w:cs="Arial"/>
          <w:b/>
          <w:color w:val="auto"/>
          <w:sz w:val="24"/>
          <w:szCs w:val="24"/>
        </w:rPr>
      </w:pPr>
      <w:bookmarkStart w:id="4" w:name="_Toc234747795"/>
      <w:bookmarkStart w:id="5" w:name="_Toc236848529"/>
      <w:r w:rsidRPr="009E7A21">
        <w:rPr>
          <w:rFonts w:ascii="Arial" w:hAnsi="Arial" w:cs="Arial"/>
          <w:b/>
          <w:color w:val="auto"/>
          <w:sz w:val="24"/>
          <w:szCs w:val="24"/>
        </w:rPr>
        <w:lastRenderedPageBreak/>
        <w:t>Ratio analysis</w:t>
      </w:r>
      <w:bookmarkEnd w:id="4"/>
      <w:bookmarkEnd w:id="5"/>
    </w:p>
    <w:p w14:paraId="06C29372" w14:textId="77777777" w:rsidR="000D50CB" w:rsidRPr="009E7A21" w:rsidRDefault="000D50CB" w:rsidP="005B343F">
      <w:pPr>
        <w:spacing w:line="360" w:lineRule="auto"/>
        <w:jc w:val="both"/>
        <w:rPr>
          <w:rFonts w:ascii="Arial" w:hAnsi="Arial" w:cs="Arial"/>
          <w:b/>
          <w:sz w:val="24"/>
          <w:szCs w:val="24"/>
        </w:rPr>
      </w:pPr>
      <w:r w:rsidRPr="009E7A21">
        <w:rPr>
          <w:rFonts w:ascii="Arial" w:hAnsi="Arial" w:cs="Arial"/>
          <w:b/>
          <w:sz w:val="24"/>
          <w:szCs w:val="24"/>
        </w:rPr>
        <w:t>Profitability</w:t>
      </w:r>
    </w:p>
    <w:p w14:paraId="719F301D" w14:textId="77777777" w:rsidR="00AD00E4" w:rsidRPr="009E7A21" w:rsidRDefault="00AD00E4" w:rsidP="005B343F">
      <w:pPr>
        <w:spacing w:line="360" w:lineRule="auto"/>
        <w:jc w:val="center"/>
        <w:rPr>
          <w:rFonts w:ascii="Arial" w:hAnsi="Arial" w:cs="Arial"/>
          <w:b/>
          <w:sz w:val="24"/>
          <w:szCs w:val="24"/>
        </w:rPr>
      </w:pPr>
      <w:r w:rsidRPr="009E7A21">
        <w:rPr>
          <w:rFonts w:ascii="Arial" w:hAnsi="Arial" w:cs="Arial"/>
          <w:b/>
          <w:noProof/>
          <w:sz w:val="24"/>
          <w:szCs w:val="24"/>
        </w:rPr>
        <w:drawing>
          <wp:inline distT="0" distB="0" distL="0" distR="0" wp14:anchorId="615975DD" wp14:editId="400B8B2F">
            <wp:extent cx="5731510" cy="3249295"/>
            <wp:effectExtent l="0" t="0" r="254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49295"/>
                    </a:xfrm>
                    <a:prstGeom prst="rect">
                      <a:avLst/>
                    </a:prstGeom>
                  </pic:spPr>
                </pic:pic>
              </a:graphicData>
            </a:graphic>
          </wp:inline>
        </w:drawing>
      </w:r>
    </w:p>
    <w:p w14:paraId="0305AF1E" w14:textId="77777777" w:rsidR="0004573B" w:rsidRPr="009E7A21" w:rsidRDefault="005B343F" w:rsidP="005B343F">
      <w:pPr>
        <w:spacing w:line="360" w:lineRule="auto"/>
        <w:jc w:val="center"/>
        <w:rPr>
          <w:rFonts w:ascii="Arial" w:hAnsi="Arial" w:cs="Arial"/>
          <w:b/>
          <w:sz w:val="24"/>
          <w:szCs w:val="24"/>
        </w:rPr>
      </w:pPr>
      <w:r w:rsidRPr="009E7A21">
        <w:rPr>
          <w:rFonts w:ascii="Arial" w:hAnsi="Arial" w:cs="Arial"/>
          <w:b/>
          <w:sz w:val="24"/>
          <w:szCs w:val="24"/>
        </w:rPr>
        <w:t>Table 2: Profitability Ratio</w:t>
      </w:r>
    </w:p>
    <w:p w14:paraId="0C1BB8A4" w14:textId="01F056F4" w:rsidR="005B343F" w:rsidRPr="009E7A21" w:rsidRDefault="0049277B" w:rsidP="005B343F">
      <w:pPr>
        <w:spacing w:line="360" w:lineRule="auto"/>
        <w:jc w:val="center"/>
        <w:rPr>
          <w:rFonts w:ascii="Arial" w:hAnsi="Arial" w:cs="Arial"/>
          <w:sz w:val="24"/>
          <w:szCs w:val="24"/>
        </w:rPr>
      </w:pPr>
      <w:r>
        <w:rPr>
          <w:rFonts w:ascii="Arial" w:hAnsi="Arial" w:cs="Arial"/>
          <w:noProof/>
          <w:sz w:val="24"/>
          <w:szCs w:val="24"/>
        </w:rPr>
        <w:drawing>
          <wp:inline distT="0" distB="0" distL="0" distR="0" wp14:anchorId="121DD90B" wp14:editId="5ED08E4F">
            <wp:extent cx="5590540" cy="3218815"/>
            <wp:effectExtent l="0" t="0" r="0" b="635"/>
            <wp:docPr id="3870389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0540" cy="3218815"/>
                    </a:xfrm>
                    <a:prstGeom prst="rect">
                      <a:avLst/>
                    </a:prstGeom>
                    <a:noFill/>
                  </pic:spPr>
                </pic:pic>
              </a:graphicData>
            </a:graphic>
          </wp:inline>
        </w:drawing>
      </w:r>
    </w:p>
    <w:p w14:paraId="1E871B89" w14:textId="77777777" w:rsidR="005B343F" w:rsidRPr="009E7A21" w:rsidRDefault="005B343F" w:rsidP="005B343F">
      <w:pPr>
        <w:spacing w:line="360" w:lineRule="auto"/>
        <w:jc w:val="center"/>
        <w:rPr>
          <w:rFonts w:ascii="Arial" w:hAnsi="Arial" w:cs="Arial"/>
          <w:b/>
          <w:sz w:val="24"/>
          <w:szCs w:val="24"/>
        </w:rPr>
      </w:pPr>
      <w:r w:rsidRPr="009E7A21">
        <w:rPr>
          <w:rFonts w:ascii="Arial" w:hAnsi="Arial" w:cs="Arial"/>
          <w:b/>
          <w:sz w:val="24"/>
          <w:szCs w:val="24"/>
        </w:rPr>
        <w:t>Graph 2: Profitability Ratio</w:t>
      </w:r>
    </w:p>
    <w:p w14:paraId="40382AD4" w14:textId="77777777" w:rsidR="005B343F" w:rsidRPr="009E7A21" w:rsidRDefault="005B343F" w:rsidP="005B343F">
      <w:pPr>
        <w:spacing w:line="360" w:lineRule="auto"/>
        <w:jc w:val="center"/>
        <w:rPr>
          <w:rFonts w:ascii="Arial" w:hAnsi="Arial" w:cs="Arial"/>
          <w:sz w:val="24"/>
          <w:szCs w:val="24"/>
        </w:rPr>
      </w:pPr>
      <w:r w:rsidRPr="009E7A21">
        <w:rPr>
          <w:rFonts w:ascii="Arial" w:hAnsi="Arial" w:cs="Arial"/>
          <w:b/>
          <w:sz w:val="24"/>
          <w:szCs w:val="24"/>
        </w:rPr>
        <w:t>Source:</w:t>
      </w:r>
      <w:r w:rsidRPr="009E7A21">
        <w:rPr>
          <w:rFonts w:ascii="Arial" w:hAnsi="Arial" w:cs="Arial"/>
          <w:sz w:val="24"/>
          <w:szCs w:val="24"/>
        </w:rPr>
        <w:t xml:space="preserve"> (Self-Developed)</w:t>
      </w:r>
    </w:p>
    <w:p w14:paraId="45CFF054" w14:textId="77777777" w:rsidR="00E01071" w:rsidRPr="009E7A21" w:rsidRDefault="00E01071" w:rsidP="005B343F">
      <w:pPr>
        <w:spacing w:line="360" w:lineRule="auto"/>
        <w:jc w:val="both"/>
        <w:rPr>
          <w:rFonts w:ascii="Arial" w:hAnsi="Arial" w:cs="Arial"/>
          <w:sz w:val="24"/>
          <w:szCs w:val="24"/>
        </w:rPr>
      </w:pPr>
      <w:r w:rsidRPr="009E7A21">
        <w:rPr>
          <w:rFonts w:ascii="Arial" w:hAnsi="Arial" w:cs="Arial"/>
          <w:sz w:val="24"/>
          <w:szCs w:val="24"/>
        </w:rPr>
        <w:lastRenderedPageBreak/>
        <w:t>The profitability ratios suggest that Greene King's financial results were not consistent throughout the 5-year period. Net margin turned from a large deficit in 2020-2021 to positive profitability in 2022-2023, although then tumbled back to losses in 2024 due to impairment and restructuring charges. Likewise, ROCE hit a high of 5.76% in 2020 and 5.61% in 2022, but dipped to minuscule levels of -0.38% in 2024, reflecting a continued strong revenue growth rate, but a weaker return on invested capital due to exceptional costs and growing operating pressures</w:t>
      </w:r>
      <w:r w:rsidR="00482C6B" w:rsidRPr="009E7A21">
        <w:rPr>
          <w:rFonts w:ascii="Arial" w:hAnsi="Arial" w:cs="Arial"/>
          <w:sz w:val="24"/>
          <w:szCs w:val="24"/>
        </w:rPr>
        <w:t xml:space="preserve"> (ACCA, 2025b)</w:t>
      </w:r>
      <w:r w:rsidRPr="009E7A21">
        <w:rPr>
          <w:rFonts w:ascii="Arial" w:hAnsi="Arial" w:cs="Arial"/>
          <w:sz w:val="24"/>
          <w:szCs w:val="24"/>
        </w:rPr>
        <w:t>.</w:t>
      </w:r>
      <w:r w:rsidR="00482C6B" w:rsidRPr="009E7A21">
        <w:rPr>
          <w:rFonts w:ascii="Arial" w:hAnsi="Arial" w:cs="Arial"/>
          <w:sz w:val="24"/>
          <w:szCs w:val="24"/>
        </w:rPr>
        <w:t xml:space="preserve"> </w:t>
      </w:r>
    </w:p>
    <w:p w14:paraId="5543987C" w14:textId="77777777" w:rsidR="000D50CB" w:rsidRPr="009E7A21" w:rsidRDefault="000D50CB" w:rsidP="005B343F">
      <w:pPr>
        <w:spacing w:line="360" w:lineRule="auto"/>
        <w:jc w:val="both"/>
        <w:rPr>
          <w:rFonts w:ascii="Arial" w:hAnsi="Arial" w:cs="Arial"/>
          <w:b/>
          <w:sz w:val="24"/>
          <w:szCs w:val="24"/>
        </w:rPr>
      </w:pPr>
      <w:r w:rsidRPr="009E7A21">
        <w:rPr>
          <w:rFonts w:ascii="Arial" w:hAnsi="Arial" w:cs="Arial"/>
          <w:b/>
          <w:sz w:val="24"/>
          <w:szCs w:val="24"/>
        </w:rPr>
        <w:t>Liquidity</w:t>
      </w:r>
    </w:p>
    <w:p w14:paraId="1D3DC250" w14:textId="77777777" w:rsidR="00AD00E4" w:rsidRPr="009E7A21" w:rsidRDefault="00AD00E4"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drawing>
          <wp:inline distT="0" distB="0" distL="0" distR="0" wp14:anchorId="7D3F1A17" wp14:editId="78D8D1BF">
            <wp:extent cx="5731510" cy="16421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42110"/>
                    </a:xfrm>
                    <a:prstGeom prst="rect">
                      <a:avLst/>
                    </a:prstGeom>
                  </pic:spPr>
                </pic:pic>
              </a:graphicData>
            </a:graphic>
          </wp:inline>
        </w:drawing>
      </w:r>
    </w:p>
    <w:p w14:paraId="655434CD" w14:textId="77777777" w:rsidR="0004573B" w:rsidRPr="009E7A21" w:rsidRDefault="005B343F"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t>Table 3: Liquidity Ratio</w:t>
      </w:r>
    </w:p>
    <w:p w14:paraId="6A7A9016" w14:textId="451B728A" w:rsidR="005B343F" w:rsidRPr="009E7A21" w:rsidRDefault="0049277B" w:rsidP="005B343F">
      <w:pPr>
        <w:spacing w:line="360" w:lineRule="auto"/>
        <w:jc w:val="center"/>
        <w:rPr>
          <w:rFonts w:ascii="Arial" w:hAnsi="Arial" w:cs="Arial"/>
          <w:sz w:val="24"/>
          <w:szCs w:val="24"/>
        </w:rPr>
      </w:pPr>
      <w:r>
        <w:rPr>
          <w:rFonts w:ascii="Arial" w:hAnsi="Arial" w:cs="Arial"/>
          <w:noProof/>
          <w:sz w:val="24"/>
          <w:szCs w:val="24"/>
        </w:rPr>
        <w:drawing>
          <wp:inline distT="0" distB="0" distL="0" distR="0" wp14:anchorId="1C42DF0C" wp14:editId="7DD08F6E">
            <wp:extent cx="4572635" cy="2743200"/>
            <wp:effectExtent l="0" t="0" r="0" b="0"/>
            <wp:docPr id="14679765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2743200"/>
                    </a:xfrm>
                    <a:prstGeom prst="rect">
                      <a:avLst/>
                    </a:prstGeom>
                    <a:noFill/>
                  </pic:spPr>
                </pic:pic>
              </a:graphicData>
            </a:graphic>
          </wp:inline>
        </w:drawing>
      </w:r>
    </w:p>
    <w:p w14:paraId="7AF6803E" w14:textId="77777777" w:rsidR="005B343F" w:rsidRPr="009E7A21" w:rsidRDefault="005B343F" w:rsidP="005B343F">
      <w:pPr>
        <w:spacing w:line="360" w:lineRule="auto"/>
        <w:jc w:val="center"/>
        <w:rPr>
          <w:rFonts w:ascii="Arial" w:hAnsi="Arial" w:cs="Arial"/>
          <w:b/>
          <w:sz w:val="24"/>
          <w:szCs w:val="24"/>
        </w:rPr>
      </w:pPr>
      <w:r w:rsidRPr="009E7A21">
        <w:rPr>
          <w:rFonts w:ascii="Arial" w:hAnsi="Arial" w:cs="Arial"/>
          <w:b/>
          <w:sz w:val="24"/>
          <w:szCs w:val="24"/>
        </w:rPr>
        <w:t>Graph 3: Liquidity Ratio</w:t>
      </w:r>
    </w:p>
    <w:p w14:paraId="5DA2CC13" w14:textId="77777777" w:rsidR="005B343F" w:rsidRPr="009E7A21" w:rsidRDefault="005B343F" w:rsidP="005B343F">
      <w:pPr>
        <w:spacing w:line="360" w:lineRule="auto"/>
        <w:jc w:val="center"/>
        <w:rPr>
          <w:rFonts w:ascii="Arial" w:hAnsi="Arial" w:cs="Arial"/>
          <w:sz w:val="24"/>
          <w:szCs w:val="24"/>
        </w:rPr>
      </w:pPr>
      <w:r w:rsidRPr="009E7A21">
        <w:rPr>
          <w:rFonts w:ascii="Arial" w:hAnsi="Arial" w:cs="Arial"/>
          <w:b/>
          <w:sz w:val="24"/>
          <w:szCs w:val="24"/>
        </w:rPr>
        <w:t>Source:</w:t>
      </w:r>
      <w:r w:rsidRPr="009E7A21">
        <w:rPr>
          <w:rFonts w:ascii="Arial" w:hAnsi="Arial" w:cs="Arial"/>
          <w:sz w:val="24"/>
          <w:szCs w:val="24"/>
        </w:rPr>
        <w:t xml:space="preserve"> (MS-Excel)</w:t>
      </w:r>
    </w:p>
    <w:p w14:paraId="497BD0FD" w14:textId="77777777" w:rsidR="00E01071" w:rsidRPr="009E7A21" w:rsidRDefault="00E01071" w:rsidP="005B343F">
      <w:pPr>
        <w:spacing w:line="360" w:lineRule="auto"/>
        <w:jc w:val="both"/>
        <w:rPr>
          <w:rFonts w:ascii="Arial" w:hAnsi="Arial" w:cs="Arial"/>
          <w:sz w:val="24"/>
          <w:szCs w:val="24"/>
        </w:rPr>
      </w:pPr>
      <w:r w:rsidRPr="009E7A21">
        <w:rPr>
          <w:rFonts w:ascii="Arial" w:hAnsi="Arial" w:cs="Arial"/>
          <w:sz w:val="24"/>
          <w:szCs w:val="24"/>
        </w:rPr>
        <w:t xml:space="preserve">The liquidity ratios indicate that Greene King's short-term liquidity has remained fairly constant over the years, with the current ratio rising from 0.44 in 2020 to 0.68 in 2024 </w:t>
      </w:r>
      <w:r w:rsidRPr="009E7A21">
        <w:rPr>
          <w:rFonts w:ascii="Arial" w:hAnsi="Arial" w:cs="Arial"/>
          <w:sz w:val="24"/>
          <w:szCs w:val="24"/>
        </w:rPr>
        <w:lastRenderedPageBreak/>
        <w:t>and the quick ratio increasing from 0.34 to 0.57. Both ratios were still higher than the desired level of 1.0, but the slight improvement suggests that working capital management is improving and that the company will be able to pay its short-term obligations even as it continues to invest and the inflation rate rises</w:t>
      </w:r>
      <w:r w:rsidR="00482C6B" w:rsidRPr="009E7A21">
        <w:rPr>
          <w:rFonts w:ascii="Arial" w:hAnsi="Arial" w:cs="Arial"/>
          <w:sz w:val="24"/>
          <w:szCs w:val="24"/>
        </w:rPr>
        <w:t xml:space="preserve"> (Bank of England, 2025a)</w:t>
      </w:r>
      <w:r w:rsidRPr="009E7A21">
        <w:rPr>
          <w:rFonts w:ascii="Arial" w:hAnsi="Arial" w:cs="Arial"/>
          <w:sz w:val="24"/>
          <w:szCs w:val="24"/>
        </w:rPr>
        <w:t>.</w:t>
      </w:r>
    </w:p>
    <w:p w14:paraId="2E0D5CD1" w14:textId="77777777" w:rsidR="000D50CB" w:rsidRPr="009E7A21" w:rsidRDefault="000D50CB" w:rsidP="005B343F">
      <w:pPr>
        <w:spacing w:line="360" w:lineRule="auto"/>
        <w:jc w:val="both"/>
        <w:rPr>
          <w:rFonts w:ascii="Arial" w:hAnsi="Arial" w:cs="Arial"/>
          <w:b/>
          <w:sz w:val="24"/>
          <w:szCs w:val="24"/>
        </w:rPr>
      </w:pPr>
      <w:r w:rsidRPr="009E7A21">
        <w:rPr>
          <w:rFonts w:ascii="Arial" w:hAnsi="Arial" w:cs="Arial"/>
          <w:b/>
          <w:sz w:val="24"/>
          <w:szCs w:val="24"/>
        </w:rPr>
        <w:t>Efficiency</w:t>
      </w:r>
    </w:p>
    <w:p w14:paraId="51AE8EC6" w14:textId="77777777" w:rsidR="00AD00E4" w:rsidRPr="009E7A21" w:rsidRDefault="00AD00E4" w:rsidP="007628BC">
      <w:pPr>
        <w:spacing w:line="360" w:lineRule="auto"/>
        <w:jc w:val="center"/>
        <w:rPr>
          <w:rFonts w:ascii="Arial" w:hAnsi="Arial" w:cs="Arial"/>
          <w:b/>
          <w:sz w:val="24"/>
          <w:szCs w:val="24"/>
        </w:rPr>
      </w:pPr>
      <w:r w:rsidRPr="009E7A21">
        <w:rPr>
          <w:rFonts w:ascii="Arial" w:hAnsi="Arial" w:cs="Arial"/>
          <w:b/>
          <w:noProof/>
          <w:sz w:val="24"/>
          <w:szCs w:val="24"/>
        </w:rPr>
        <w:drawing>
          <wp:inline distT="0" distB="0" distL="0" distR="0" wp14:anchorId="7F06A75E" wp14:editId="73EF3C2C">
            <wp:extent cx="4864100" cy="608470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66647" cy="6087892"/>
                    </a:xfrm>
                    <a:prstGeom prst="rect">
                      <a:avLst/>
                    </a:prstGeom>
                  </pic:spPr>
                </pic:pic>
              </a:graphicData>
            </a:graphic>
          </wp:inline>
        </w:drawing>
      </w:r>
    </w:p>
    <w:p w14:paraId="30A81B65" w14:textId="77777777" w:rsidR="0004573B" w:rsidRPr="009E7A21" w:rsidRDefault="005B343F"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t>Table 4: Efficiency Ratio</w:t>
      </w:r>
    </w:p>
    <w:p w14:paraId="3C2FC6E3" w14:textId="0B4D1ACE" w:rsidR="005B343F" w:rsidRPr="009E7A21" w:rsidRDefault="0049277B" w:rsidP="005B343F">
      <w:pPr>
        <w:spacing w:line="360" w:lineRule="auto"/>
        <w:jc w:val="center"/>
        <w:rPr>
          <w:rFonts w:ascii="Arial" w:hAnsi="Arial" w:cs="Arial"/>
          <w:b/>
          <w:sz w:val="24"/>
          <w:szCs w:val="24"/>
        </w:rPr>
      </w:pPr>
      <w:r>
        <w:rPr>
          <w:rFonts w:ascii="Arial" w:hAnsi="Arial" w:cs="Arial"/>
          <w:b/>
          <w:noProof/>
          <w:sz w:val="24"/>
          <w:szCs w:val="24"/>
        </w:rPr>
        <w:lastRenderedPageBreak/>
        <w:drawing>
          <wp:inline distT="0" distB="0" distL="0" distR="0" wp14:anchorId="05096E53" wp14:editId="0E9BD528">
            <wp:extent cx="4584700" cy="2755900"/>
            <wp:effectExtent l="0" t="0" r="6350" b="6350"/>
            <wp:docPr id="19745040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FEDBA19" w14:textId="77777777" w:rsidR="005B343F" w:rsidRPr="009E7A21" w:rsidRDefault="005B343F" w:rsidP="005B343F">
      <w:pPr>
        <w:spacing w:line="360" w:lineRule="auto"/>
        <w:jc w:val="center"/>
        <w:rPr>
          <w:rFonts w:ascii="Arial" w:hAnsi="Arial" w:cs="Arial"/>
          <w:b/>
          <w:sz w:val="24"/>
          <w:szCs w:val="24"/>
        </w:rPr>
      </w:pPr>
      <w:r w:rsidRPr="009E7A21">
        <w:rPr>
          <w:rFonts w:ascii="Arial" w:hAnsi="Arial" w:cs="Arial"/>
          <w:b/>
          <w:sz w:val="24"/>
          <w:szCs w:val="24"/>
        </w:rPr>
        <w:t>Graph 4: Efficiency Ratio</w:t>
      </w:r>
    </w:p>
    <w:p w14:paraId="2E091D6F" w14:textId="77777777" w:rsidR="005B343F" w:rsidRPr="009E7A21" w:rsidRDefault="005B343F" w:rsidP="005B343F">
      <w:pPr>
        <w:spacing w:line="360" w:lineRule="auto"/>
        <w:jc w:val="center"/>
        <w:rPr>
          <w:rFonts w:ascii="Arial" w:hAnsi="Arial" w:cs="Arial"/>
          <w:b/>
          <w:sz w:val="24"/>
          <w:szCs w:val="24"/>
        </w:rPr>
      </w:pPr>
      <w:r w:rsidRPr="009E7A21">
        <w:rPr>
          <w:rFonts w:ascii="Arial" w:hAnsi="Arial" w:cs="Arial"/>
          <w:b/>
          <w:sz w:val="24"/>
          <w:szCs w:val="24"/>
        </w:rPr>
        <w:t>Source:</w:t>
      </w:r>
      <w:r w:rsidRPr="009E7A21">
        <w:rPr>
          <w:rFonts w:ascii="Arial" w:hAnsi="Arial" w:cs="Arial"/>
          <w:sz w:val="24"/>
          <w:szCs w:val="24"/>
        </w:rPr>
        <w:t xml:space="preserve"> (Self-Developed)</w:t>
      </w:r>
    </w:p>
    <w:p w14:paraId="2EBB08B0" w14:textId="77777777" w:rsidR="008E25B5" w:rsidRPr="009E7A21" w:rsidRDefault="008E25B5" w:rsidP="005B343F">
      <w:pPr>
        <w:spacing w:line="360" w:lineRule="auto"/>
        <w:jc w:val="both"/>
        <w:rPr>
          <w:rFonts w:ascii="Arial" w:hAnsi="Arial" w:cs="Arial"/>
          <w:sz w:val="24"/>
          <w:szCs w:val="24"/>
        </w:rPr>
      </w:pPr>
      <w:r w:rsidRPr="009E7A21">
        <w:rPr>
          <w:rFonts w:ascii="Arial" w:hAnsi="Arial" w:cs="Arial"/>
          <w:sz w:val="24"/>
          <w:szCs w:val="24"/>
        </w:rPr>
        <w:t>The efficiency ratios suggest good working capital management by Greene King over the five years. As a result of the disruptions caused by the pandemic, the inventory turnover was 52 days in 2021, but was otherwise stable at 35–36 days. The company maintained strong credit control policies with 13–20 days over receivables, and maintained cash retention policies with 135–208 days over payables to ensure the company's liquidity</w:t>
      </w:r>
      <w:r w:rsidR="00482C6B" w:rsidRPr="009E7A21">
        <w:rPr>
          <w:rFonts w:ascii="Arial" w:hAnsi="Arial" w:cs="Arial"/>
          <w:sz w:val="24"/>
          <w:szCs w:val="24"/>
        </w:rPr>
        <w:t xml:space="preserve"> (Bank of England, 2026)</w:t>
      </w:r>
      <w:r w:rsidRPr="009E7A21">
        <w:rPr>
          <w:rFonts w:ascii="Arial" w:hAnsi="Arial" w:cs="Arial"/>
          <w:sz w:val="24"/>
          <w:szCs w:val="24"/>
        </w:rPr>
        <w:t>. In sum, the ratios indicate better efficiency of operation after recovery from the pandemic.</w:t>
      </w:r>
    </w:p>
    <w:p w14:paraId="584907DA" w14:textId="77777777" w:rsidR="000D50CB" w:rsidRPr="009E7A21" w:rsidRDefault="000D50CB" w:rsidP="005B343F">
      <w:pPr>
        <w:spacing w:line="360" w:lineRule="auto"/>
        <w:jc w:val="both"/>
        <w:rPr>
          <w:rFonts w:ascii="Arial" w:hAnsi="Arial" w:cs="Arial"/>
          <w:b/>
          <w:sz w:val="24"/>
          <w:szCs w:val="24"/>
        </w:rPr>
      </w:pPr>
      <w:r w:rsidRPr="009E7A21">
        <w:rPr>
          <w:rFonts w:ascii="Arial" w:hAnsi="Arial" w:cs="Arial"/>
          <w:b/>
          <w:sz w:val="24"/>
          <w:szCs w:val="24"/>
        </w:rPr>
        <w:t>Gearing</w:t>
      </w:r>
    </w:p>
    <w:p w14:paraId="04BF0DB7" w14:textId="77777777" w:rsidR="00AD00E4" w:rsidRPr="009E7A21" w:rsidRDefault="00AD00E4"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drawing>
          <wp:inline distT="0" distB="0" distL="0" distR="0" wp14:anchorId="7F112F3B" wp14:editId="514DEB76">
            <wp:extent cx="5731510" cy="220662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206625"/>
                    </a:xfrm>
                    <a:prstGeom prst="rect">
                      <a:avLst/>
                    </a:prstGeom>
                  </pic:spPr>
                </pic:pic>
              </a:graphicData>
            </a:graphic>
          </wp:inline>
        </w:drawing>
      </w:r>
    </w:p>
    <w:p w14:paraId="307DDEF4" w14:textId="77777777" w:rsidR="005B343F" w:rsidRPr="009E7A21" w:rsidRDefault="005B343F"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t>Table 5: Gearing Ratio</w:t>
      </w:r>
    </w:p>
    <w:p w14:paraId="67DEF654" w14:textId="2025197F" w:rsidR="005B343F" w:rsidRPr="009E7A21" w:rsidRDefault="0049277B" w:rsidP="005B343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069EEEAE" wp14:editId="1169BA84">
            <wp:extent cx="5273675" cy="3566160"/>
            <wp:effectExtent l="0" t="0" r="3175" b="0"/>
            <wp:docPr id="4351784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3675" cy="3566160"/>
                    </a:xfrm>
                    <a:prstGeom prst="rect">
                      <a:avLst/>
                    </a:prstGeom>
                    <a:noFill/>
                  </pic:spPr>
                </pic:pic>
              </a:graphicData>
            </a:graphic>
          </wp:inline>
        </w:drawing>
      </w:r>
    </w:p>
    <w:p w14:paraId="6F9CDD7D" w14:textId="77777777" w:rsidR="005B343F" w:rsidRPr="009E7A21" w:rsidRDefault="005B343F" w:rsidP="005B343F">
      <w:pPr>
        <w:spacing w:line="360" w:lineRule="auto"/>
        <w:jc w:val="center"/>
        <w:rPr>
          <w:rFonts w:ascii="Arial" w:hAnsi="Arial" w:cs="Arial"/>
          <w:b/>
          <w:sz w:val="24"/>
          <w:szCs w:val="24"/>
        </w:rPr>
      </w:pPr>
      <w:r w:rsidRPr="009E7A21">
        <w:rPr>
          <w:rFonts w:ascii="Arial" w:hAnsi="Arial" w:cs="Arial"/>
          <w:b/>
          <w:sz w:val="24"/>
          <w:szCs w:val="24"/>
        </w:rPr>
        <w:t>Graph 5: Gearing Ratio</w:t>
      </w:r>
    </w:p>
    <w:p w14:paraId="6FE9F09B" w14:textId="77777777" w:rsidR="005B343F" w:rsidRPr="009E7A21" w:rsidRDefault="005B343F" w:rsidP="005B343F">
      <w:pPr>
        <w:spacing w:line="360" w:lineRule="auto"/>
        <w:jc w:val="center"/>
        <w:rPr>
          <w:rFonts w:ascii="Arial" w:hAnsi="Arial" w:cs="Arial"/>
          <w:sz w:val="24"/>
          <w:szCs w:val="24"/>
        </w:rPr>
      </w:pPr>
      <w:r w:rsidRPr="009E7A21">
        <w:rPr>
          <w:rFonts w:ascii="Arial" w:hAnsi="Arial" w:cs="Arial"/>
          <w:b/>
          <w:sz w:val="24"/>
          <w:szCs w:val="24"/>
        </w:rPr>
        <w:t>Source:</w:t>
      </w:r>
      <w:r w:rsidRPr="009E7A21">
        <w:rPr>
          <w:rFonts w:ascii="Arial" w:hAnsi="Arial" w:cs="Arial"/>
          <w:sz w:val="24"/>
          <w:szCs w:val="24"/>
        </w:rPr>
        <w:t xml:space="preserve"> (MS-Excel)</w:t>
      </w:r>
    </w:p>
    <w:p w14:paraId="7CC04F3C" w14:textId="77777777" w:rsidR="0004573B" w:rsidRPr="009E7A21" w:rsidRDefault="008E25B5" w:rsidP="005B343F">
      <w:pPr>
        <w:spacing w:line="360" w:lineRule="auto"/>
        <w:jc w:val="both"/>
        <w:rPr>
          <w:rFonts w:ascii="Arial" w:hAnsi="Arial" w:cs="Arial"/>
          <w:sz w:val="24"/>
          <w:szCs w:val="24"/>
        </w:rPr>
      </w:pPr>
      <w:r w:rsidRPr="009E7A21">
        <w:rPr>
          <w:rFonts w:ascii="Arial" w:hAnsi="Arial" w:cs="Arial"/>
          <w:sz w:val="24"/>
          <w:szCs w:val="24"/>
        </w:rPr>
        <w:t>Based on the efficiency ratios, Greene King's working capital management was good during the five years. The inventory turnover was 52 days in 2021, in line with the other years, where it was stable at 35–36 days, due to the disruptions caused by the pandemic. The company had well established credit control policies with 13–20 days' over-receivables and cash retention policies with 135-208 days' over-payables to ensure liquidity of the company. Overall, the ratios show improved efficiency of operation following the pandemic.</w:t>
      </w:r>
    </w:p>
    <w:p w14:paraId="78ACA468" w14:textId="77777777" w:rsidR="00AD00E4" w:rsidRPr="009E7A21" w:rsidRDefault="000D50CB" w:rsidP="00AD00E4">
      <w:pPr>
        <w:spacing w:line="360" w:lineRule="auto"/>
        <w:jc w:val="both"/>
        <w:rPr>
          <w:rFonts w:ascii="Arial" w:hAnsi="Arial" w:cs="Arial"/>
          <w:b/>
          <w:sz w:val="24"/>
          <w:szCs w:val="24"/>
        </w:rPr>
      </w:pPr>
      <w:r w:rsidRPr="009E7A21">
        <w:rPr>
          <w:rFonts w:ascii="Arial" w:hAnsi="Arial" w:cs="Arial"/>
          <w:b/>
          <w:sz w:val="24"/>
          <w:szCs w:val="24"/>
        </w:rPr>
        <w:t>Investment</w:t>
      </w:r>
    </w:p>
    <w:p w14:paraId="122C347A" w14:textId="77777777" w:rsidR="00A4071B" w:rsidRPr="009E7A21" w:rsidRDefault="00A4071B" w:rsidP="005B343F">
      <w:pPr>
        <w:spacing w:line="360" w:lineRule="auto"/>
        <w:jc w:val="both"/>
        <w:rPr>
          <w:rFonts w:ascii="Arial" w:hAnsi="Arial" w:cs="Arial"/>
          <w:sz w:val="24"/>
          <w:szCs w:val="24"/>
        </w:rPr>
      </w:pPr>
    </w:p>
    <w:p w14:paraId="44E5E830" w14:textId="77777777" w:rsidR="00AD00E4" w:rsidRPr="009E7A21" w:rsidRDefault="00AD00E4"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lastRenderedPageBreak/>
        <w:drawing>
          <wp:inline distT="0" distB="0" distL="0" distR="0" wp14:anchorId="552F6ECB" wp14:editId="17BA543D">
            <wp:extent cx="5731510" cy="322516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5165"/>
                    </a:xfrm>
                    <a:prstGeom prst="rect">
                      <a:avLst/>
                    </a:prstGeom>
                  </pic:spPr>
                </pic:pic>
              </a:graphicData>
            </a:graphic>
          </wp:inline>
        </w:drawing>
      </w:r>
    </w:p>
    <w:p w14:paraId="4309584C" w14:textId="77777777" w:rsidR="005B343F" w:rsidRPr="009E7A21" w:rsidRDefault="005B343F"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t>Table 6: Investment Ratio</w:t>
      </w:r>
    </w:p>
    <w:p w14:paraId="588D33CC" w14:textId="61EF4A23" w:rsidR="005B343F" w:rsidRPr="009E7A21" w:rsidRDefault="0049277B" w:rsidP="005B343F">
      <w:pPr>
        <w:spacing w:line="360" w:lineRule="auto"/>
        <w:jc w:val="center"/>
        <w:rPr>
          <w:rFonts w:ascii="Arial" w:hAnsi="Arial" w:cs="Arial"/>
          <w:sz w:val="24"/>
          <w:szCs w:val="24"/>
        </w:rPr>
      </w:pPr>
      <w:r>
        <w:rPr>
          <w:rFonts w:ascii="Arial" w:hAnsi="Arial" w:cs="Arial"/>
          <w:noProof/>
          <w:sz w:val="24"/>
          <w:szCs w:val="24"/>
        </w:rPr>
        <w:drawing>
          <wp:inline distT="0" distB="0" distL="0" distR="0" wp14:anchorId="45218ED5" wp14:editId="5F23227F">
            <wp:extent cx="4584700" cy="2755900"/>
            <wp:effectExtent l="0" t="0" r="6350" b="6350"/>
            <wp:docPr id="1047035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C09114B" w14:textId="77777777" w:rsidR="005B343F" w:rsidRPr="009E7A21" w:rsidRDefault="005B343F" w:rsidP="005B343F">
      <w:pPr>
        <w:spacing w:line="360" w:lineRule="auto"/>
        <w:jc w:val="center"/>
        <w:rPr>
          <w:rFonts w:ascii="Arial" w:hAnsi="Arial" w:cs="Arial"/>
          <w:b/>
          <w:sz w:val="24"/>
          <w:szCs w:val="24"/>
        </w:rPr>
      </w:pPr>
      <w:r w:rsidRPr="009E7A21">
        <w:rPr>
          <w:rFonts w:ascii="Arial" w:hAnsi="Arial" w:cs="Arial"/>
          <w:b/>
          <w:sz w:val="24"/>
          <w:szCs w:val="24"/>
        </w:rPr>
        <w:t>Graph 6: Investment Ratio</w:t>
      </w:r>
    </w:p>
    <w:p w14:paraId="42E95193" w14:textId="77777777" w:rsidR="005B343F" w:rsidRPr="009E7A21" w:rsidRDefault="005B343F" w:rsidP="005B343F">
      <w:pPr>
        <w:spacing w:line="360" w:lineRule="auto"/>
        <w:jc w:val="center"/>
        <w:rPr>
          <w:rFonts w:ascii="Arial" w:hAnsi="Arial" w:cs="Arial"/>
          <w:sz w:val="24"/>
          <w:szCs w:val="24"/>
        </w:rPr>
      </w:pPr>
      <w:r w:rsidRPr="009E7A21">
        <w:rPr>
          <w:rFonts w:ascii="Arial" w:hAnsi="Arial" w:cs="Arial"/>
          <w:b/>
          <w:sz w:val="24"/>
          <w:szCs w:val="24"/>
        </w:rPr>
        <w:t xml:space="preserve">Source: </w:t>
      </w:r>
      <w:r w:rsidRPr="009E7A21">
        <w:rPr>
          <w:rFonts w:ascii="Arial" w:hAnsi="Arial" w:cs="Arial"/>
          <w:sz w:val="24"/>
          <w:szCs w:val="24"/>
        </w:rPr>
        <w:t>(MS-Excel)</w:t>
      </w:r>
    </w:p>
    <w:p w14:paraId="0BEB3A64" w14:textId="77777777" w:rsidR="0004573B" w:rsidRPr="009E7A21" w:rsidRDefault="008E25B5" w:rsidP="005B343F">
      <w:pPr>
        <w:spacing w:line="360" w:lineRule="auto"/>
        <w:jc w:val="both"/>
        <w:rPr>
          <w:rFonts w:ascii="Arial" w:hAnsi="Arial" w:cs="Arial"/>
          <w:sz w:val="24"/>
          <w:szCs w:val="24"/>
        </w:rPr>
      </w:pPr>
      <w:r w:rsidRPr="009E7A21">
        <w:rPr>
          <w:rFonts w:ascii="Arial" w:hAnsi="Arial" w:cs="Arial"/>
          <w:sz w:val="24"/>
          <w:szCs w:val="24"/>
        </w:rPr>
        <w:t>The investment ratios depicted in the illustrative figures indicate that the performance of the shareholders’ funds in 2022-2023 was better, as the company seems to have gained in profitability, with a positive net income per share and a relatively small dividend amount. No dividends payment was made in 2020, 2021 and 2024 and negative EPS in those years suggests lower returns in years of financial stress</w:t>
      </w:r>
      <w:r w:rsidR="00482C6B" w:rsidRPr="009E7A21">
        <w:rPr>
          <w:rFonts w:ascii="Arial" w:hAnsi="Arial" w:cs="Arial"/>
          <w:sz w:val="24"/>
          <w:szCs w:val="24"/>
        </w:rPr>
        <w:t xml:space="preserve"> (CFA </w:t>
      </w:r>
      <w:r w:rsidR="00482C6B" w:rsidRPr="009E7A21">
        <w:rPr>
          <w:rFonts w:ascii="Arial" w:hAnsi="Arial" w:cs="Arial"/>
          <w:sz w:val="24"/>
          <w:szCs w:val="24"/>
        </w:rPr>
        <w:lastRenderedPageBreak/>
        <w:t>Institute, 2025)</w:t>
      </w:r>
      <w:r w:rsidRPr="009E7A21">
        <w:rPr>
          <w:rFonts w:ascii="Arial" w:hAnsi="Arial" w:cs="Arial"/>
          <w:sz w:val="24"/>
          <w:szCs w:val="24"/>
        </w:rPr>
        <w:t>. The relatively high P/E ratios in both 2022 and 2023 suggest that investors' expectations were high even though earnings growth was modest, with the NAV per share slowly moving up before dropping in 2024, indicating that shareholder value has been enhanced.</w:t>
      </w:r>
    </w:p>
    <w:p w14:paraId="5A2BB477" w14:textId="77777777" w:rsidR="000D50CB" w:rsidRPr="009E7A21" w:rsidRDefault="000D50CB" w:rsidP="005B343F">
      <w:pPr>
        <w:spacing w:line="360" w:lineRule="auto"/>
        <w:jc w:val="both"/>
        <w:rPr>
          <w:rFonts w:ascii="Arial" w:hAnsi="Arial" w:cs="Arial"/>
          <w:b/>
          <w:sz w:val="24"/>
          <w:szCs w:val="24"/>
        </w:rPr>
      </w:pPr>
      <w:r w:rsidRPr="009E7A21">
        <w:rPr>
          <w:rFonts w:ascii="Arial" w:hAnsi="Arial" w:cs="Arial"/>
          <w:b/>
          <w:sz w:val="24"/>
          <w:szCs w:val="24"/>
        </w:rPr>
        <w:t>Cash flow</w:t>
      </w:r>
    </w:p>
    <w:p w14:paraId="59B72487" w14:textId="77777777" w:rsidR="00AD00E4" w:rsidRPr="009E7A21" w:rsidRDefault="00AD00E4"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drawing>
          <wp:inline distT="0" distB="0" distL="0" distR="0" wp14:anchorId="2D12A83E" wp14:editId="3FCD168F">
            <wp:extent cx="5731510" cy="32505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50565"/>
                    </a:xfrm>
                    <a:prstGeom prst="rect">
                      <a:avLst/>
                    </a:prstGeom>
                  </pic:spPr>
                </pic:pic>
              </a:graphicData>
            </a:graphic>
          </wp:inline>
        </w:drawing>
      </w:r>
    </w:p>
    <w:p w14:paraId="62012D14" w14:textId="77777777" w:rsidR="005B343F" w:rsidRPr="009E7A21" w:rsidRDefault="005B343F"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t>Table 7: Cash Flow</w:t>
      </w:r>
    </w:p>
    <w:p w14:paraId="622B3088" w14:textId="45A80970" w:rsidR="005B343F" w:rsidRPr="009E7A21" w:rsidRDefault="0049277B" w:rsidP="005B343F">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2A8D6798" wp14:editId="3B765502">
            <wp:extent cx="5322570" cy="3797935"/>
            <wp:effectExtent l="0" t="0" r="0" b="0"/>
            <wp:docPr id="11466401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22570" cy="3797935"/>
                    </a:xfrm>
                    <a:prstGeom prst="rect">
                      <a:avLst/>
                    </a:prstGeom>
                    <a:noFill/>
                  </pic:spPr>
                </pic:pic>
              </a:graphicData>
            </a:graphic>
          </wp:inline>
        </w:drawing>
      </w:r>
    </w:p>
    <w:p w14:paraId="2DF1AA33" w14:textId="77777777" w:rsidR="005B343F" w:rsidRPr="009E7A21" w:rsidRDefault="005B343F" w:rsidP="005B343F">
      <w:pPr>
        <w:spacing w:line="360" w:lineRule="auto"/>
        <w:jc w:val="center"/>
        <w:rPr>
          <w:rFonts w:ascii="Arial" w:hAnsi="Arial" w:cs="Arial"/>
          <w:b/>
          <w:sz w:val="24"/>
          <w:szCs w:val="24"/>
        </w:rPr>
      </w:pPr>
      <w:r w:rsidRPr="009E7A21">
        <w:rPr>
          <w:rFonts w:ascii="Arial" w:hAnsi="Arial" w:cs="Arial"/>
          <w:b/>
          <w:sz w:val="24"/>
          <w:szCs w:val="24"/>
        </w:rPr>
        <w:t>Graph 7: Cash Flow</w:t>
      </w:r>
    </w:p>
    <w:p w14:paraId="2B1B235F" w14:textId="77777777" w:rsidR="005B343F" w:rsidRPr="009E7A21" w:rsidRDefault="005B343F" w:rsidP="005B343F">
      <w:pPr>
        <w:spacing w:line="360" w:lineRule="auto"/>
        <w:jc w:val="center"/>
        <w:rPr>
          <w:rFonts w:ascii="Arial" w:hAnsi="Arial" w:cs="Arial"/>
          <w:sz w:val="24"/>
          <w:szCs w:val="24"/>
        </w:rPr>
      </w:pPr>
      <w:r w:rsidRPr="009E7A21">
        <w:rPr>
          <w:rFonts w:ascii="Arial" w:hAnsi="Arial" w:cs="Arial"/>
          <w:b/>
          <w:sz w:val="24"/>
          <w:szCs w:val="24"/>
        </w:rPr>
        <w:t>Source:</w:t>
      </w:r>
      <w:r w:rsidRPr="009E7A21">
        <w:rPr>
          <w:rFonts w:ascii="Arial" w:hAnsi="Arial" w:cs="Arial"/>
          <w:sz w:val="24"/>
          <w:szCs w:val="24"/>
        </w:rPr>
        <w:t xml:space="preserve"> (MS-Excel)</w:t>
      </w:r>
    </w:p>
    <w:p w14:paraId="4B28B9DE" w14:textId="77777777" w:rsidR="0004573B" w:rsidRPr="009E7A21" w:rsidRDefault="008E25B5" w:rsidP="005B343F">
      <w:pPr>
        <w:spacing w:line="360" w:lineRule="auto"/>
        <w:jc w:val="both"/>
        <w:rPr>
          <w:rFonts w:ascii="Arial" w:hAnsi="Arial" w:cs="Arial"/>
          <w:sz w:val="24"/>
          <w:szCs w:val="24"/>
        </w:rPr>
      </w:pPr>
      <w:r w:rsidRPr="009E7A21">
        <w:rPr>
          <w:rFonts w:ascii="Arial" w:hAnsi="Arial" w:cs="Arial"/>
          <w:sz w:val="24"/>
          <w:szCs w:val="24"/>
        </w:rPr>
        <w:t>Greene King's operating cash flow was positive over the five years, and rose from £313.6m in 2020 to a peak of £423.5m in 2023, showing good cash generation from core operations. Continuous capital expenditure and strategic investments led to negative investing cash flows, whereas financing cash outflows were due to debt repayments and lease obligations. Despite these outflows, closing cash balances increased steadily to £256.1 million in 2024, highlighting the company's strong liquidity and effective cash management</w:t>
      </w:r>
      <w:r w:rsidR="00482C6B" w:rsidRPr="009E7A21">
        <w:rPr>
          <w:rFonts w:ascii="Arial" w:hAnsi="Arial" w:cs="Arial"/>
          <w:sz w:val="24"/>
          <w:szCs w:val="24"/>
        </w:rPr>
        <w:t xml:space="preserve"> (Companies House, 2025a)</w:t>
      </w:r>
      <w:r w:rsidRPr="009E7A21">
        <w:rPr>
          <w:rFonts w:ascii="Arial" w:hAnsi="Arial" w:cs="Arial"/>
          <w:sz w:val="24"/>
          <w:szCs w:val="24"/>
        </w:rPr>
        <w:t>.</w:t>
      </w:r>
    </w:p>
    <w:p w14:paraId="746F68FD" w14:textId="77777777" w:rsidR="000D50CB" w:rsidRPr="009E7A21" w:rsidRDefault="000D50CB" w:rsidP="005B343F">
      <w:pPr>
        <w:pStyle w:val="Heading2"/>
        <w:spacing w:line="360" w:lineRule="auto"/>
        <w:jc w:val="both"/>
        <w:rPr>
          <w:rFonts w:ascii="Arial" w:hAnsi="Arial" w:cs="Arial"/>
          <w:b/>
          <w:color w:val="auto"/>
          <w:sz w:val="24"/>
          <w:szCs w:val="24"/>
        </w:rPr>
      </w:pPr>
      <w:bookmarkStart w:id="6" w:name="_Toc234747796"/>
      <w:bookmarkStart w:id="7" w:name="_Toc236848530"/>
      <w:r w:rsidRPr="009E7A21">
        <w:rPr>
          <w:rFonts w:ascii="Arial" w:hAnsi="Arial" w:cs="Arial"/>
          <w:b/>
          <w:color w:val="auto"/>
          <w:sz w:val="24"/>
          <w:szCs w:val="24"/>
        </w:rPr>
        <w:t>Trends, strengths, and potential threats</w:t>
      </w:r>
      <w:bookmarkEnd w:id="6"/>
      <w:bookmarkEnd w:id="7"/>
    </w:p>
    <w:p w14:paraId="711BAEF6" w14:textId="77777777" w:rsidR="0004573B" w:rsidRPr="009E7A21" w:rsidRDefault="0004573B" w:rsidP="005B343F">
      <w:pPr>
        <w:spacing w:line="360" w:lineRule="auto"/>
        <w:jc w:val="both"/>
        <w:rPr>
          <w:rFonts w:ascii="Arial" w:hAnsi="Arial" w:cs="Arial"/>
          <w:b/>
          <w:sz w:val="24"/>
          <w:szCs w:val="24"/>
        </w:rPr>
      </w:pPr>
      <w:r w:rsidRPr="009E7A21">
        <w:rPr>
          <w:rFonts w:ascii="Arial" w:hAnsi="Arial" w:cs="Arial"/>
          <w:b/>
          <w:sz w:val="24"/>
          <w:szCs w:val="24"/>
        </w:rPr>
        <w:t>Trends</w:t>
      </w:r>
    </w:p>
    <w:p w14:paraId="4E1419B7" w14:textId="77777777" w:rsidR="0004573B" w:rsidRPr="009E7A21" w:rsidRDefault="00AD00E4" w:rsidP="005B343F">
      <w:pPr>
        <w:spacing w:line="360" w:lineRule="auto"/>
        <w:jc w:val="both"/>
        <w:rPr>
          <w:rFonts w:ascii="Arial" w:hAnsi="Arial" w:cs="Arial"/>
          <w:sz w:val="24"/>
          <w:szCs w:val="24"/>
        </w:rPr>
      </w:pPr>
      <w:r w:rsidRPr="009E7A21">
        <w:rPr>
          <w:rFonts w:ascii="Arial" w:hAnsi="Arial" w:cs="Arial"/>
          <w:sz w:val="24"/>
          <w:szCs w:val="24"/>
        </w:rPr>
        <w:t xml:space="preserve">The financial disruption of the COVID-19 pandemic has been felt for five years, however, Greene King has shown a slow turnaround. The rise in revenue has been consistent since 2020 when it stood at £1.92 billion, up to £2.45 billion in 2024 as a result of the reopening of the hospitality sector, an improved consumer confidence and the strength of their businesses in pubs, restaurants and brewing. Revenue was steady and positive during the period, but profitability was very volatile because of </w:t>
      </w:r>
      <w:r w:rsidRPr="009E7A21">
        <w:rPr>
          <w:rFonts w:ascii="Arial" w:hAnsi="Arial" w:cs="Arial"/>
          <w:sz w:val="24"/>
          <w:szCs w:val="24"/>
        </w:rPr>
        <w:lastRenderedPageBreak/>
        <w:t xml:space="preserve">extraordinary items, such as impairment charges, restructuring costs and inflation. Net profit recorded positive levels in 2022 and 2023, but dropped back in 2024 due to high non-recurring expenses. Even though profitability is volatile, the company's core business operations were resilient, as evidenced by the positive operating cash flows, which rose from £313.6 million in 2020 to £389.7 million in 2024 </w:t>
      </w:r>
      <w:r w:rsidR="00482C6B" w:rsidRPr="009E7A21">
        <w:rPr>
          <w:rFonts w:ascii="Arial" w:hAnsi="Arial" w:cs="Arial"/>
          <w:sz w:val="24"/>
          <w:szCs w:val="24"/>
        </w:rPr>
        <w:t>(Companies House, 2025b)</w:t>
      </w:r>
      <w:r w:rsidR="008E25B5" w:rsidRPr="009E7A21">
        <w:rPr>
          <w:rFonts w:ascii="Arial" w:hAnsi="Arial" w:cs="Arial"/>
          <w:sz w:val="24"/>
          <w:szCs w:val="24"/>
        </w:rPr>
        <w:t>.</w:t>
      </w:r>
    </w:p>
    <w:p w14:paraId="742B4F2E" w14:textId="77777777" w:rsidR="0004573B" w:rsidRPr="009E7A21" w:rsidRDefault="0004573B" w:rsidP="005B343F">
      <w:pPr>
        <w:spacing w:line="360" w:lineRule="auto"/>
        <w:jc w:val="both"/>
        <w:rPr>
          <w:rFonts w:ascii="Arial" w:hAnsi="Arial" w:cs="Arial"/>
          <w:b/>
          <w:sz w:val="24"/>
          <w:szCs w:val="24"/>
        </w:rPr>
      </w:pPr>
      <w:r w:rsidRPr="009E7A21">
        <w:rPr>
          <w:rFonts w:ascii="Arial" w:hAnsi="Arial" w:cs="Arial"/>
          <w:b/>
          <w:sz w:val="24"/>
          <w:szCs w:val="24"/>
        </w:rPr>
        <w:t>Strengths</w:t>
      </w:r>
    </w:p>
    <w:p w14:paraId="3C897F6A" w14:textId="77777777" w:rsidR="0004573B" w:rsidRPr="009E7A21" w:rsidRDefault="00AD00E4" w:rsidP="005B343F">
      <w:pPr>
        <w:pStyle w:val="NormalWeb"/>
        <w:spacing w:line="360" w:lineRule="auto"/>
        <w:jc w:val="both"/>
        <w:rPr>
          <w:rFonts w:ascii="Arial" w:hAnsi="Arial" w:cs="Arial"/>
        </w:rPr>
      </w:pPr>
      <w:r w:rsidRPr="009E7A21">
        <w:rPr>
          <w:rFonts w:ascii="Arial" w:hAnsi="Arial" w:cs="Arial"/>
        </w:rPr>
        <w:t>The key strengths identified in the financial analysis that have helped to sustain Greene King's success in a tough trading landscape are noted below. Perhaps most importantly, the company has been steadily improving its revenue over the past few years, establishing its brand's market strength and their ability to bounce back from the pandemic. The company also generated good cash flows from operations over the 5-year period which allowed the company to fund capital expenditure, honour financial obligations and invest in the future development of the business without over-dependence on external funding. Another positive aspect is it's efficient working capital management. The company's negative working capital condition is not unusual in the hospitality sector as the customers pay the bills immediately, yet the suppliers pay at a later date when they have offered the credit facility. This resulted in a positive cash conversion cycle for Greene King, which helped to generate more cash and ease its operating requirements. Further investment in refurbishment, digital ordering systems, loyalty schemes and operational technology has further enhanced customer engagement and the effectiveness of their service. The investments will ensure that the company is better equipped to meet the changing demands of its customers and to stay competitive in the UK hospitality sector. The company's multi-business mix of managed pubs, restaurants and brewing also gives it a head-spinning mix of revenue streams, adding to its operational stability.</w:t>
      </w:r>
    </w:p>
    <w:p w14:paraId="01E9C7F9" w14:textId="77777777" w:rsidR="0004573B" w:rsidRPr="009E7A21" w:rsidRDefault="0004573B" w:rsidP="005B343F">
      <w:pPr>
        <w:spacing w:line="360" w:lineRule="auto"/>
        <w:jc w:val="both"/>
        <w:rPr>
          <w:rFonts w:ascii="Arial" w:hAnsi="Arial" w:cs="Arial"/>
          <w:b/>
          <w:sz w:val="24"/>
          <w:szCs w:val="24"/>
        </w:rPr>
      </w:pPr>
      <w:r w:rsidRPr="009E7A21">
        <w:rPr>
          <w:rFonts w:ascii="Arial" w:hAnsi="Arial" w:cs="Arial"/>
          <w:b/>
          <w:sz w:val="24"/>
          <w:szCs w:val="24"/>
        </w:rPr>
        <w:t>Potential Threats</w:t>
      </w:r>
    </w:p>
    <w:p w14:paraId="00A9535C" w14:textId="77777777" w:rsidR="003A5AFF" w:rsidRPr="009E7A21" w:rsidRDefault="00AD00E4" w:rsidP="005B343F">
      <w:pPr>
        <w:spacing w:line="360" w:lineRule="auto"/>
        <w:jc w:val="both"/>
        <w:rPr>
          <w:rFonts w:ascii="Arial" w:hAnsi="Arial" w:cs="Arial"/>
          <w:sz w:val="24"/>
          <w:szCs w:val="24"/>
        </w:rPr>
      </w:pPr>
      <w:r w:rsidRPr="009E7A21">
        <w:rPr>
          <w:rFonts w:ascii="Arial" w:hAnsi="Arial" w:cs="Arial"/>
          <w:sz w:val="24"/>
          <w:szCs w:val="24"/>
        </w:rPr>
        <w:t xml:space="preserve">However, there are a number of risks to Greene King's financial and operating results that may impact future performance. Operating margins are under pressure due to rising inflation which has driven up labour costs, food costs, utility costs, and supply chain costs. The company's relatively high debt also could have a negative impact on </w:t>
      </w:r>
      <w:r w:rsidRPr="009E7A21">
        <w:rPr>
          <w:rFonts w:ascii="Arial" w:hAnsi="Arial" w:cs="Arial"/>
          <w:sz w:val="24"/>
          <w:szCs w:val="24"/>
        </w:rPr>
        <w:lastRenderedPageBreak/>
        <w:t xml:space="preserve">finance costs and financial flexibility for future expansion, while higher interest rates could have a negative impact on both. In addition, altering consumer spending patterns, especially during uncertain economic times and when consumers have less money to spend, can decrease consumer visits and discretionary spending in the hospitality industry. The company's profitability is further exposed to losses arising from any additional impairment charges, restructuring costs or asset revaluations, as evidenced by the loss being posted in 2024. As competition from restaurants, pubs, and alternative leisure activities increases, a constant innovation, service quality enhancement, and customer experience investment are necessary. Moreover, new environmental laws, sustainability requirements, and shift in regulations may result in higher compliance costs and investment in new ESG projects. Greene King should aim to continue to build on its cost management, operational efficiency and reduction of financial leverage (to an appropriate level), as well as its investments in digital innovation and customer-focused initiatives, while appropriately managing outside economic uncertainties, for sustainable long term growth </w:t>
      </w:r>
      <w:r w:rsidR="00482C6B" w:rsidRPr="009E7A21">
        <w:rPr>
          <w:rFonts w:ascii="Arial" w:hAnsi="Arial" w:cs="Arial"/>
          <w:sz w:val="24"/>
          <w:szCs w:val="24"/>
        </w:rPr>
        <w:t>(Companies House, 2025c)</w:t>
      </w:r>
      <w:r w:rsidR="008E25B5" w:rsidRPr="009E7A21">
        <w:rPr>
          <w:rFonts w:ascii="Arial" w:hAnsi="Arial" w:cs="Arial"/>
          <w:sz w:val="24"/>
          <w:szCs w:val="24"/>
        </w:rPr>
        <w:t>.</w:t>
      </w:r>
    </w:p>
    <w:p w14:paraId="7AEF90DD" w14:textId="77777777" w:rsidR="000D50CB" w:rsidRPr="009E7A21" w:rsidRDefault="000D50CB" w:rsidP="005B343F">
      <w:pPr>
        <w:pStyle w:val="Heading2"/>
        <w:spacing w:line="360" w:lineRule="auto"/>
        <w:jc w:val="both"/>
        <w:rPr>
          <w:rFonts w:ascii="Arial" w:hAnsi="Arial" w:cs="Arial"/>
          <w:b/>
          <w:color w:val="auto"/>
          <w:sz w:val="24"/>
          <w:szCs w:val="24"/>
        </w:rPr>
      </w:pPr>
      <w:bookmarkStart w:id="8" w:name="_Toc234747797"/>
      <w:bookmarkStart w:id="9" w:name="_Toc236848531"/>
      <w:r w:rsidRPr="009E7A21">
        <w:rPr>
          <w:rFonts w:ascii="Arial" w:hAnsi="Arial" w:cs="Arial"/>
          <w:b/>
          <w:color w:val="auto"/>
          <w:sz w:val="24"/>
          <w:szCs w:val="24"/>
        </w:rPr>
        <w:t>Comparison of liquidity ratios with industry benchmarks, assessing how the firm performs relative to sector standards</w:t>
      </w:r>
      <w:bookmarkEnd w:id="8"/>
      <w:bookmarkEnd w:id="9"/>
      <w:r w:rsidRPr="009E7A21">
        <w:rPr>
          <w:rFonts w:ascii="Arial" w:hAnsi="Arial" w:cs="Arial"/>
          <w:b/>
          <w:color w:val="auto"/>
          <w:sz w:val="24"/>
          <w:szCs w:val="24"/>
        </w:rPr>
        <w:t xml:space="preserve"> </w:t>
      </w:r>
    </w:p>
    <w:tbl>
      <w:tblPr>
        <w:tblStyle w:val="TableGrid"/>
        <w:tblW w:w="0" w:type="auto"/>
        <w:tblLook w:val="04A0" w:firstRow="1" w:lastRow="0" w:firstColumn="1" w:lastColumn="0" w:noHBand="0" w:noVBand="1"/>
      </w:tblPr>
      <w:tblGrid>
        <w:gridCol w:w="2137"/>
        <w:gridCol w:w="1771"/>
        <w:gridCol w:w="2625"/>
        <w:gridCol w:w="2483"/>
      </w:tblGrid>
      <w:tr w:rsidR="00FE2B00" w:rsidRPr="009E7A21" w14:paraId="31AF3176" w14:textId="77777777" w:rsidTr="00FE2B00">
        <w:tc>
          <w:tcPr>
            <w:tcW w:w="0" w:type="auto"/>
            <w:hideMark/>
          </w:tcPr>
          <w:p w14:paraId="53957812" w14:textId="77777777" w:rsidR="00FE2B00" w:rsidRPr="009E7A21" w:rsidRDefault="00FE2B00" w:rsidP="005B343F">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Liquidity Ratio</w:t>
            </w:r>
          </w:p>
        </w:tc>
        <w:tc>
          <w:tcPr>
            <w:tcW w:w="0" w:type="auto"/>
            <w:hideMark/>
          </w:tcPr>
          <w:p w14:paraId="282C390F" w14:textId="77777777" w:rsidR="00FE2B00" w:rsidRPr="009E7A21" w:rsidRDefault="00FE2B00" w:rsidP="005B343F">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Greene King (2024)</w:t>
            </w:r>
          </w:p>
        </w:tc>
        <w:tc>
          <w:tcPr>
            <w:tcW w:w="0" w:type="auto"/>
            <w:hideMark/>
          </w:tcPr>
          <w:p w14:paraId="4395CB37" w14:textId="77777777" w:rsidR="00FE2B00" w:rsidRPr="009E7A21" w:rsidRDefault="00FE2B00" w:rsidP="005B343F">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Hospitality Industry Benchmark</w:t>
            </w:r>
          </w:p>
        </w:tc>
        <w:tc>
          <w:tcPr>
            <w:tcW w:w="0" w:type="auto"/>
            <w:hideMark/>
          </w:tcPr>
          <w:p w14:paraId="64A1E3DB" w14:textId="77777777" w:rsidR="00FE2B00" w:rsidRPr="009E7A21" w:rsidRDefault="00FE2B00" w:rsidP="005B343F">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Performance Assessment</w:t>
            </w:r>
          </w:p>
        </w:tc>
      </w:tr>
      <w:tr w:rsidR="00FE2B00" w:rsidRPr="009E7A21" w14:paraId="19603DA2" w14:textId="77777777" w:rsidTr="00FE2B00">
        <w:tc>
          <w:tcPr>
            <w:tcW w:w="0" w:type="auto"/>
            <w:hideMark/>
          </w:tcPr>
          <w:p w14:paraId="29093ABC"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Current Ratio</w:t>
            </w:r>
          </w:p>
        </w:tc>
        <w:tc>
          <w:tcPr>
            <w:tcW w:w="0" w:type="auto"/>
            <w:hideMark/>
          </w:tcPr>
          <w:p w14:paraId="621F00FB"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0.68</w:t>
            </w:r>
          </w:p>
        </w:tc>
        <w:tc>
          <w:tcPr>
            <w:tcW w:w="0" w:type="auto"/>
            <w:hideMark/>
          </w:tcPr>
          <w:p w14:paraId="5A759059"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1.20–1.50</w:t>
            </w:r>
          </w:p>
        </w:tc>
        <w:tc>
          <w:tcPr>
            <w:tcW w:w="0" w:type="auto"/>
            <w:hideMark/>
          </w:tcPr>
          <w:p w14:paraId="6B2F8723"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Below industry benchmark</w:t>
            </w:r>
          </w:p>
        </w:tc>
      </w:tr>
      <w:tr w:rsidR="00FE2B00" w:rsidRPr="009E7A21" w14:paraId="1FA3D226" w14:textId="77777777" w:rsidTr="00FE2B00">
        <w:tc>
          <w:tcPr>
            <w:tcW w:w="0" w:type="auto"/>
            <w:hideMark/>
          </w:tcPr>
          <w:p w14:paraId="1C292354"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Quick Ratio</w:t>
            </w:r>
          </w:p>
        </w:tc>
        <w:tc>
          <w:tcPr>
            <w:tcW w:w="0" w:type="auto"/>
            <w:hideMark/>
          </w:tcPr>
          <w:p w14:paraId="713D1F2F"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0.57</w:t>
            </w:r>
          </w:p>
        </w:tc>
        <w:tc>
          <w:tcPr>
            <w:tcW w:w="0" w:type="auto"/>
            <w:hideMark/>
          </w:tcPr>
          <w:p w14:paraId="50E24DD4"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0.80–1.00</w:t>
            </w:r>
          </w:p>
        </w:tc>
        <w:tc>
          <w:tcPr>
            <w:tcW w:w="0" w:type="auto"/>
            <w:hideMark/>
          </w:tcPr>
          <w:p w14:paraId="14D08C52"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Below industry benchmark</w:t>
            </w:r>
          </w:p>
        </w:tc>
      </w:tr>
      <w:tr w:rsidR="00FE2B00" w:rsidRPr="009E7A21" w14:paraId="0DDF34D9" w14:textId="77777777" w:rsidTr="00FE2B00">
        <w:tc>
          <w:tcPr>
            <w:tcW w:w="0" w:type="auto"/>
            <w:hideMark/>
          </w:tcPr>
          <w:p w14:paraId="6AC1C3A9"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Working Capital Position</w:t>
            </w:r>
          </w:p>
        </w:tc>
        <w:tc>
          <w:tcPr>
            <w:tcW w:w="0" w:type="auto"/>
            <w:hideMark/>
          </w:tcPr>
          <w:p w14:paraId="267C0BA7"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Negative</w:t>
            </w:r>
          </w:p>
        </w:tc>
        <w:tc>
          <w:tcPr>
            <w:tcW w:w="0" w:type="auto"/>
            <w:hideMark/>
          </w:tcPr>
          <w:p w14:paraId="7FD7D6A9"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Positive preferred</w:t>
            </w:r>
          </w:p>
        </w:tc>
        <w:tc>
          <w:tcPr>
            <w:tcW w:w="0" w:type="auto"/>
            <w:hideMark/>
          </w:tcPr>
          <w:p w14:paraId="16531F29"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Weaker than industry average</w:t>
            </w:r>
          </w:p>
        </w:tc>
      </w:tr>
      <w:tr w:rsidR="00FE2B00" w:rsidRPr="009E7A21" w14:paraId="6E64EC24" w14:textId="77777777" w:rsidTr="00FE2B00">
        <w:tc>
          <w:tcPr>
            <w:tcW w:w="0" w:type="auto"/>
            <w:hideMark/>
          </w:tcPr>
          <w:p w14:paraId="46FB3136"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Operating Cash Flow</w:t>
            </w:r>
          </w:p>
        </w:tc>
        <w:tc>
          <w:tcPr>
            <w:tcW w:w="0" w:type="auto"/>
            <w:hideMark/>
          </w:tcPr>
          <w:p w14:paraId="2D9BD04A"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£389.7m</w:t>
            </w:r>
          </w:p>
        </w:tc>
        <w:tc>
          <w:tcPr>
            <w:tcW w:w="0" w:type="auto"/>
            <w:hideMark/>
          </w:tcPr>
          <w:p w14:paraId="4D928165"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Strong positive cash flow expected</w:t>
            </w:r>
          </w:p>
        </w:tc>
        <w:tc>
          <w:tcPr>
            <w:tcW w:w="0" w:type="auto"/>
            <w:hideMark/>
          </w:tcPr>
          <w:p w14:paraId="087AE9B8"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Above industry expectation</w:t>
            </w:r>
          </w:p>
        </w:tc>
      </w:tr>
      <w:tr w:rsidR="00FE2B00" w:rsidRPr="009E7A21" w14:paraId="11073818" w14:textId="77777777" w:rsidTr="00FE2B00">
        <w:tc>
          <w:tcPr>
            <w:tcW w:w="0" w:type="auto"/>
            <w:hideMark/>
          </w:tcPr>
          <w:p w14:paraId="30C4190A"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Short-term Liquidity</w:t>
            </w:r>
          </w:p>
        </w:tc>
        <w:tc>
          <w:tcPr>
            <w:tcW w:w="0" w:type="auto"/>
            <w:hideMark/>
          </w:tcPr>
          <w:p w14:paraId="6E016720"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Moderate</w:t>
            </w:r>
          </w:p>
        </w:tc>
        <w:tc>
          <w:tcPr>
            <w:tcW w:w="0" w:type="auto"/>
            <w:hideMark/>
          </w:tcPr>
          <w:p w14:paraId="46DE364D"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Strong liquidity preferred</w:t>
            </w:r>
          </w:p>
        </w:tc>
        <w:tc>
          <w:tcPr>
            <w:tcW w:w="0" w:type="auto"/>
            <w:hideMark/>
          </w:tcPr>
          <w:p w14:paraId="55D61597" w14:textId="77777777" w:rsidR="00FE2B00" w:rsidRPr="009E7A21" w:rsidRDefault="00FE2B00" w:rsidP="005B343F">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Adequate but constrained</w:t>
            </w:r>
          </w:p>
        </w:tc>
      </w:tr>
    </w:tbl>
    <w:p w14:paraId="5CFFBC52" w14:textId="77777777" w:rsidR="0004573B" w:rsidRPr="009E7A21" w:rsidRDefault="002038D6" w:rsidP="002038D6">
      <w:pPr>
        <w:spacing w:line="360" w:lineRule="auto"/>
        <w:jc w:val="center"/>
        <w:rPr>
          <w:rFonts w:ascii="Arial" w:hAnsi="Arial" w:cs="Arial"/>
          <w:b/>
          <w:sz w:val="24"/>
          <w:szCs w:val="24"/>
        </w:rPr>
      </w:pPr>
      <w:r w:rsidRPr="009E7A21">
        <w:rPr>
          <w:rFonts w:ascii="Arial" w:hAnsi="Arial" w:cs="Arial"/>
          <w:b/>
          <w:sz w:val="24"/>
          <w:szCs w:val="24"/>
        </w:rPr>
        <w:t>Table 8: Comparison</w:t>
      </w:r>
    </w:p>
    <w:p w14:paraId="59E87A31" w14:textId="77777777" w:rsidR="0004573B" w:rsidRPr="009E7A21" w:rsidRDefault="00FE2B00" w:rsidP="005B343F">
      <w:pPr>
        <w:spacing w:line="360" w:lineRule="auto"/>
        <w:jc w:val="both"/>
        <w:rPr>
          <w:rFonts w:ascii="Arial" w:hAnsi="Arial" w:cs="Arial"/>
          <w:sz w:val="24"/>
          <w:szCs w:val="24"/>
        </w:rPr>
      </w:pPr>
      <w:r w:rsidRPr="009E7A21">
        <w:rPr>
          <w:rFonts w:ascii="Arial" w:hAnsi="Arial" w:cs="Arial"/>
          <w:sz w:val="24"/>
          <w:szCs w:val="24"/>
        </w:rPr>
        <w:t xml:space="preserve">Hospitality industry liquidity was ahead of the pack in 2024 with current ratios of 1.37 and quick ratios of 1.23, while Greene King's current ratio and quick ratio at 0.68 and 0.57 respectively were relatively tight. The company's operating cash flow, however, </w:t>
      </w:r>
      <w:r w:rsidRPr="009E7A21">
        <w:rPr>
          <w:rFonts w:ascii="Arial" w:hAnsi="Arial" w:cs="Arial"/>
          <w:sz w:val="24"/>
          <w:szCs w:val="24"/>
        </w:rPr>
        <w:lastRenderedPageBreak/>
        <w:t>was also good at £389.7 million, allowing the company to pay off short-term obligations. Although the company's liquidity ratios are lower than the industry average, efficient cash management ensures Greene King's financial stability</w:t>
      </w:r>
      <w:r w:rsidR="00482C6B" w:rsidRPr="009E7A21">
        <w:rPr>
          <w:rFonts w:ascii="Arial" w:hAnsi="Arial" w:cs="Arial"/>
          <w:sz w:val="24"/>
          <w:szCs w:val="24"/>
        </w:rPr>
        <w:t xml:space="preserve"> (Companies House, 2025d)</w:t>
      </w:r>
      <w:r w:rsidRPr="009E7A21">
        <w:rPr>
          <w:rFonts w:ascii="Arial" w:hAnsi="Arial" w:cs="Arial"/>
          <w:sz w:val="24"/>
          <w:szCs w:val="24"/>
        </w:rPr>
        <w:t>.</w:t>
      </w:r>
      <w:r w:rsidR="0004573B" w:rsidRPr="009E7A21">
        <w:rPr>
          <w:rFonts w:ascii="Arial" w:hAnsi="Arial" w:cs="Arial"/>
          <w:sz w:val="24"/>
          <w:szCs w:val="24"/>
        </w:rPr>
        <w:br w:type="page"/>
      </w:r>
    </w:p>
    <w:p w14:paraId="46A492ED" w14:textId="77777777" w:rsidR="000D50CB" w:rsidRPr="009E7A21" w:rsidRDefault="000D50CB" w:rsidP="005B343F">
      <w:pPr>
        <w:pStyle w:val="Heading1"/>
        <w:spacing w:line="360" w:lineRule="auto"/>
        <w:jc w:val="both"/>
        <w:rPr>
          <w:rFonts w:ascii="Arial" w:hAnsi="Arial" w:cs="Arial"/>
          <w:b/>
          <w:color w:val="auto"/>
          <w:sz w:val="24"/>
          <w:szCs w:val="24"/>
        </w:rPr>
      </w:pPr>
      <w:bookmarkStart w:id="10" w:name="_Toc234747798"/>
      <w:bookmarkStart w:id="11" w:name="_Toc236848532"/>
      <w:r w:rsidRPr="009E7A21">
        <w:rPr>
          <w:rFonts w:ascii="Arial" w:hAnsi="Arial" w:cs="Arial"/>
          <w:b/>
          <w:color w:val="auto"/>
          <w:sz w:val="24"/>
          <w:szCs w:val="24"/>
        </w:rPr>
        <w:lastRenderedPageBreak/>
        <w:t>2. Working Capital Management Analysis</w:t>
      </w:r>
      <w:bookmarkEnd w:id="10"/>
      <w:bookmarkEnd w:id="11"/>
      <w:r w:rsidRPr="009E7A21">
        <w:rPr>
          <w:rFonts w:ascii="Arial" w:hAnsi="Arial" w:cs="Arial"/>
          <w:b/>
          <w:color w:val="auto"/>
          <w:sz w:val="24"/>
          <w:szCs w:val="24"/>
        </w:rPr>
        <w:t xml:space="preserve"> </w:t>
      </w:r>
    </w:p>
    <w:p w14:paraId="32A561DE" w14:textId="77777777" w:rsidR="000D50CB" w:rsidRPr="009E7A21" w:rsidRDefault="000D50CB" w:rsidP="005B343F">
      <w:pPr>
        <w:pStyle w:val="Heading2"/>
        <w:spacing w:line="360" w:lineRule="auto"/>
        <w:jc w:val="both"/>
        <w:rPr>
          <w:rFonts w:ascii="Arial" w:hAnsi="Arial" w:cs="Arial"/>
          <w:b/>
          <w:color w:val="auto"/>
          <w:sz w:val="24"/>
          <w:szCs w:val="24"/>
        </w:rPr>
      </w:pPr>
      <w:bookmarkStart w:id="12" w:name="_Toc234747799"/>
      <w:bookmarkStart w:id="13" w:name="_Toc236848533"/>
      <w:r w:rsidRPr="009E7A21">
        <w:rPr>
          <w:rFonts w:ascii="Arial" w:hAnsi="Arial" w:cs="Arial"/>
          <w:b/>
          <w:color w:val="auto"/>
          <w:sz w:val="24"/>
          <w:szCs w:val="24"/>
        </w:rPr>
        <w:t>Cash operating cycle</w:t>
      </w:r>
      <w:bookmarkEnd w:id="12"/>
      <w:bookmarkEnd w:id="13"/>
    </w:p>
    <w:p w14:paraId="0DA85E57"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Cash Operating Cycle</w:t>
      </w:r>
    </w:p>
    <w:p w14:paraId="0F37D72C" w14:textId="77777777" w:rsidR="00AD00E4" w:rsidRPr="009E7A21" w:rsidRDefault="00AD00E4"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drawing>
          <wp:inline distT="0" distB="0" distL="0" distR="0" wp14:anchorId="0CBF966A" wp14:editId="2CFA2153">
            <wp:extent cx="5731510" cy="13798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379855"/>
                    </a:xfrm>
                    <a:prstGeom prst="rect">
                      <a:avLst/>
                    </a:prstGeom>
                  </pic:spPr>
                </pic:pic>
              </a:graphicData>
            </a:graphic>
          </wp:inline>
        </w:drawing>
      </w:r>
    </w:p>
    <w:p w14:paraId="6C4662DC" w14:textId="77777777" w:rsidR="005B343F" w:rsidRPr="009E7A21" w:rsidRDefault="002038D6" w:rsidP="005B343F">
      <w:pPr>
        <w:spacing w:line="360" w:lineRule="auto"/>
        <w:jc w:val="center"/>
        <w:rPr>
          <w:rFonts w:ascii="Arial" w:hAnsi="Arial" w:cs="Arial"/>
          <w:b/>
          <w:noProof/>
          <w:sz w:val="24"/>
          <w:szCs w:val="24"/>
          <w:lang w:val="en-IN" w:eastAsia="en-IN"/>
        </w:rPr>
      </w:pPr>
      <w:r w:rsidRPr="009E7A21">
        <w:rPr>
          <w:rFonts w:ascii="Arial" w:hAnsi="Arial" w:cs="Arial"/>
          <w:b/>
          <w:noProof/>
          <w:sz w:val="24"/>
          <w:szCs w:val="24"/>
          <w:lang w:val="en-IN" w:eastAsia="en-IN"/>
        </w:rPr>
        <w:t>Table 9: Cash Operating Cycle</w:t>
      </w:r>
    </w:p>
    <w:p w14:paraId="634B94BF" w14:textId="107764D7" w:rsidR="002038D6" w:rsidRPr="009E7A21" w:rsidRDefault="0049277B" w:rsidP="005B343F">
      <w:pPr>
        <w:spacing w:line="360" w:lineRule="auto"/>
        <w:jc w:val="center"/>
        <w:rPr>
          <w:rFonts w:ascii="Arial" w:hAnsi="Arial" w:cs="Arial"/>
          <w:b/>
          <w:sz w:val="24"/>
          <w:szCs w:val="24"/>
        </w:rPr>
      </w:pPr>
      <w:r>
        <w:rPr>
          <w:rFonts w:ascii="Arial" w:hAnsi="Arial" w:cs="Arial"/>
          <w:b/>
          <w:noProof/>
          <w:sz w:val="24"/>
          <w:szCs w:val="24"/>
        </w:rPr>
        <w:drawing>
          <wp:inline distT="0" distB="0" distL="0" distR="0" wp14:anchorId="04C5ED8B" wp14:editId="5481BE89">
            <wp:extent cx="4584700" cy="2755900"/>
            <wp:effectExtent l="0" t="0" r="6350" b="6350"/>
            <wp:docPr id="729269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59642EB" w14:textId="77777777" w:rsidR="002038D6" w:rsidRPr="009E7A21" w:rsidRDefault="002038D6" w:rsidP="005B343F">
      <w:pPr>
        <w:spacing w:line="360" w:lineRule="auto"/>
        <w:jc w:val="center"/>
        <w:rPr>
          <w:rFonts w:ascii="Arial" w:hAnsi="Arial" w:cs="Arial"/>
          <w:b/>
          <w:sz w:val="24"/>
          <w:szCs w:val="24"/>
        </w:rPr>
      </w:pPr>
      <w:r w:rsidRPr="009E7A21">
        <w:rPr>
          <w:rFonts w:ascii="Arial" w:hAnsi="Arial" w:cs="Arial"/>
          <w:b/>
          <w:sz w:val="24"/>
          <w:szCs w:val="24"/>
        </w:rPr>
        <w:t>Graph 8: Cash Operating Cycle</w:t>
      </w:r>
    </w:p>
    <w:p w14:paraId="509221EA" w14:textId="77777777" w:rsidR="002038D6" w:rsidRPr="009E7A21" w:rsidRDefault="002038D6" w:rsidP="005B343F">
      <w:pPr>
        <w:spacing w:line="360" w:lineRule="auto"/>
        <w:jc w:val="center"/>
        <w:rPr>
          <w:rFonts w:ascii="Arial" w:hAnsi="Arial" w:cs="Arial"/>
          <w:sz w:val="24"/>
          <w:szCs w:val="24"/>
        </w:rPr>
      </w:pPr>
      <w:r w:rsidRPr="009E7A21">
        <w:rPr>
          <w:rFonts w:ascii="Arial" w:hAnsi="Arial" w:cs="Arial"/>
          <w:b/>
          <w:sz w:val="24"/>
          <w:szCs w:val="24"/>
        </w:rPr>
        <w:t xml:space="preserve">Source: </w:t>
      </w:r>
      <w:r w:rsidRPr="009E7A21">
        <w:rPr>
          <w:rFonts w:ascii="Arial" w:hAnsi="Arial" w:cs="Arial"/>
          <w:sz w:val="24"/>
          <w:szCs w:val="24"/>
        </w:rPr>
        <w:t>(MS-Excel)</w:t>
      </w:r>
    </w:p>
    <w:p w14:paraId="112BE11B" w14:textId="77777777" w:rsidR="00AD00E4"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Working Capital</w:t>
      </w:r>
    </w:p>
    <w:p w14:paraId="5B678D24" w14:textId="77777777" w:rsidR="00AD00E4" w:rsidRPr="009E7A21" w:rsidRDefault="00AD00E4">
      <w:pPr>
        <w:rPr>
          <w:rFonts w:ascii="Arial" w:hAnsi="Arial" w:cs="Arial"/>
          <w:b/>
          <w:sz w:val="24"/>
          <w:szCs w:val="24"/>
        </w:rPr>
      </w:pPr>
      <w:r w:rsidRPr="009E7A21">
        <w:rPr>
          <w:rFonts w:ascii="Arial" w:hAnsi="Arial" w:cs="Arial"/>
          <w:b/>
          <w:sz w:val="24"/>
          <w:szCs w:val="24"/>
        </w:rPr>
        <w:br w:type="page"/>
      </w:r>
    </w:p>
    <w:p w14:paraId="2E9E9118" w14:textId="77777777" w:rsidR="00850BF7" w:rsidRPr="009E7A21" w:rsidRDefault="00850BF7" w:rsidP="005B343F">
      <w:pPr>
        <w:spacing w:line="360" w:lineRule="auto"/>
        <w:jc w:val="both"/>
        <w:rPr>
          <w:rFonts w:ascii="Arial" w:hAnsi="Arial" w:cs="Arial"/>
          <w:b/>
          <w:sz w:val="24"/>
          <w:szCs w:val="24"/>
        </w:rPr>
      </w:pPr>
    </w:p>
    <w:p w14:paraId="14311898" w14:textId="77777777" w:rsidR="00883EA6" w:rsidRPr="009E7A21" w:rsidRDefault="00AD00E4" w:rsidP="005B343F">
      <w:pPr>
        <w:spacing w:line="360" w:lineRule="auto"/>
        <w:jc w:val="center"/>
        <w:rPr>
          <w:rFonts w:ascii="Arial" w:hAnsi="Arial" w:cs="Arial"/>
          <w:b/>
          <w:sz w:val="24"/>
          <w:szCs w:val="24"/>
        </w:rPr>
      </w:pPr>
      <w:r w:rsidRPr="009E7A21">
        <w:rPr>
          <w:rFonts w:ascii="Arial" w:hAnsi="Arial" w:cs="Arial"/>
          <w:b/>
          <w:noProof/>
          <w:sz w:val="24"/>
          <w:szCs w:val="24"/>
        </w:rPr>
        <w:drawing>
          <wp:inline distT="0" distB="0" distL="0" distR="0" wp14:anchorId="2A70439E" wp14:editId="2FDEC31D">
            <wp:extent cx="5731510" cy="21729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172970"/>
                    </a:xfrm>
                    <a:prstGeom prst="rect">
                      <a:avLst/>
                    </a:prstGeom>
                  </pic:spPr>
                </pic:pic>
              </a:graphicData>
            </a:graphic>
          </wp:inline>
        </w:drawing>
      </w:r>
      <w:r w:rsidR="002038D6" w:rsidRPr="009E7A21">
        <w:rPr>
          <w:rFonts w:ascii="Arial" w:hAnsi="Arial" w:cs="Arial"/>
          <w:b/>
          <w:sz w:val="24"/>
          <w:szCs w:val="24"/>
        </w:rPr>
        <w:t>Table 10: Working Capital</w:t>
      </w:r>
    </w:p>
    <w:p w14:paraId="3A892EA6" w14:textId="30EC0C6F" w:rsidR="002038D6" w:rsidRPr="009E7A21" w:rsidRDefault="0049277B" w:rsidP="005B343F">
      <w:pPr>
        <w:spacing w:line="360" w:lineRule="auto"/>
        <w:jc w:val="center"/>
        <w:rPr>
          <w:rFonts w:ascii="Arial" w:hAnsi="Arial" w:cs="Arial"/>
          <w:sz w:val="24"/>
          <w:szCs w:val="24"/>
        </w:rPr>
      </w:pPr>
      <w:r>
        <w:rPr>
          <w:rFonts w:ascii="Arial" w:hAnsi="Arial" w:cs="Arial"/>
          <w:noProof/>
          <w:sz w:val="24"/>
          <w:szCs w:val="24"/>
        </w:rPr>
        <w:drawing>
          <wp:inline distT="0" distB="0" distL="0" distR="0" wp14:anchorId="3CE09FC4" wp14:editId="2A2A397C">
            <wp:extent cx="4584700" cy="2755900"/>
            <wp:effectExtent l="0" t="0" r="6350" b="6350"/>
            <wp:docPr id="6447427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BCF6F52" w14:textId="77777777" w:rsidR="002038D6" w:rsidRPr="009E7A21" w:rsidRDefault="002038D6" w:rsidP="005B343F">
      <w:pPr>
        <w:spacing w:line="360" w:lineRule="auto"/>
        <w:jc w:val="center"/>
        <w:rPr>
          <w:rFonts w:ascii="Arial" w:hAnsi="Arial" w:cs="Arial"/>
          <w:b/>
          <w:sz w:val="24"/>
          <w:szCs w:val="24"/>
        </w:rPr>
      </w:pPr>
      <w:r w:rsidRPr="009E7A21">
        <w:rPr>
          <w:rFonts w:ascii="Arial" w:hAnsi="Arial" w:cs="Arial"/>
          <w:b/>
          <w:sz w:val="24"/>
          <w:szCs w:val="24"/>
        </w:rPr>
        <w:t>Graph 9: Working Capital</w:t>
      </w:r>
    </w:p>
    <w:p w14:paraId="1FEE6E8A" w14:textId="77777777" w:rsidR="002038D6" w:rsidRPr="009E7A21" w:rsidRDefault="002038D6" w:rsidP="005B343F">
      <w:pPr>
        <w:spacing w:line="360" w:lineRule="auto"/>
        <w:jc w:val="center"/>
        <w:rPr>
          <w:rFonts w:ascii="Arial" w:hAnsi="Arial" w:cs="Arial"/>
          <w:sz w:val="24"/>
          <w:szCs w:val="24"/>
        </w:rPr>
      </w:pPr>
      <w:r w:rsidRPr="009E7A21">
        <w:rPr>
          <w:rFonts w:ascii="Arial" w:hAnsi="Arial" w:cs="Arial"/>
          <w:b/>
          <w:sz w:val="24"/>
          <w:szCs w:val="24"/>
        </w:rPr>
        <w:t>Source:</w:t>
      </w:r>
      <w:r w:rsidRPr="009E7A21">
        <w:rPr>
          <w:rFonts w:ascii="Arial" w:hAnsi="Arial" w:cs="Arial"/>
          <w:sz w:val="24"/>
          <w:szCs w:val="24"/>
        </w:rPr>
        <w:t xml:space="preserve"> (MS-Excel)</w:t>
      </w:r>
    </w:p>
    <w:p w14:paraId="19135E21"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The negative cash conversion cycle has been continuing at Greene King for the five-year period, ranging from –136 days in 2021 to –85 days in 2024. This shows that the company generates cash before it pays suppliers which in turn is a positive sign of a strong cash flow generation. Working capital was negative for each of the past five years due to the fact that current liabilities were greater than current assets, but this is typical in the hospitality industry where quick cash-flow is separated from the longer payment terms required with suppliers</w:t>
      </w:r>
      <w:r w:rsidR="00482C6B" w:rsidRPr="009E7A21">
        <w:rPr>
          <w:rFonts w:ascii="Arial" w:hAnsi="Arial" w:cs="Arial"/>
          <w:sz w:val="24"/>
          <w:szCs w:val="24"/>
        </w:rPr>
        <w:t xml:space="preserve"> (Companies House, 2026)</w:t>
      </w:r>
      <w:r w:rsidRPr="009E7A21">
        <w:rPr>
          <w:rFonts w:ascii="Arial" w:hAnsi="Arial" w:cs="Arial"/>
          <w:sz w:val="24"/>
          <w:szCs w:val="24"/>
        </w:rPr>
        <w:t xml:space="preserve">. In general, it can </w:t>
      </w:r>
      <w:r w:rsidRPr="009E7A21">
        <w:rPr>
          <w:rFonts w:ascii="Arial" w:hAnsi="Arial" w:cs="Arial"/>
          <w:sz w:val="24"/>
          <w:szCs w:val="24"/>
        </w:rPr>
        <w:lastRenderedPageBreak/>
        <w:t>be concluded that the financial performances of the company were satisfactory due to its relatively low liquidity ratios and high utilization of working capital.</w:t>
      </w:r>
    </w:p>
    <w:p w14:paraId="170EE218" w14:textId="77777777" w:rsidR="000D50CB" w:rsidRPr="009E7A21" w:rsidRDefault="000D50CB" w:rsidP="005B343F">
      <w:pPr>
        <w:pStyle w:val="Heading2"/>
        <w:spacing w:line="360" w:lineRule="auto"/>
        <w:jc w:val="both"/>
        <w:rPr>
          <w:rFonts w:ascii="Arial" w:hAnsi="Arial" w:cs="Arial"/>
          <w:b/>
          <w:color w:val="auto"/>
          <w:sz w:val="24"/>
          <w:szCs w:val="24"/>
        </w:rPr>
      </w:pPr>
      <w:bookmarkStart w:id="14" w:name="_Toc234747800"/>
      <w:bookmarkStart w:id="15" w:name="_Toc236848534"/>
      <w:r w:rsidRPr="009E7A21">
        <w:rPr>
          <w:rFonts w:ascii="Arial" w:hAnsi="Arial" w:cs="Arial"/>
          <w:b/>
          <w:color w:val="auto"/>
          <w:sz w:val="24"/>
          <w:szCs w:val="24"/>
        </w:rPr>
        <w:t>Strategies to improve liquidity through working capital reforms</w:t>
      </w:r>
      <w:bookmarkEnd w:id="14"/>
      <w:bookmarkEnd w:id="15"/>
    </w:p>
    <w:p w14:paraId="31047ED9"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Optimise Inventory Management</w:t>
      </w:r>
    </w:p>
    <w:p w14:paraId="1483134A"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Greene King should implement AI-based demand forecasting and real-time inventory management to reduce unnecessary inventory and ensure product availability. Improved inventory planning would lower inventory holding costs, enhance stock turnover, and free up cash tied up in slow moving inventory, boosting short-term liquidity</w:t>
      </w:r>
      <w:r w:rsidR="00482C6B" w:rsidRPr="009E7A21">
        <w:rPr>
          <w:rFonts w:ascii="Arial" w:hAnsi="Arial" w:cs="Arial"/>
          <w:sz w:val="24"/>
          <w:szCs w:val="24"/>
        </w:rPr>
        <w:t xml:space="preserve"> (PwC, 2025)</w:t>
      </w:r>
      <w:r w:rsidRPr="009E7A21">
        <w:rPr>
          <w:rFonts w:ascii="Arial" w:hAnsi="Arial" w:cs="Arial"/>
          <w:sz w:val="24"/>
          <w:szCs w:val="24"/>
        </w:rPr>
        <w:t>.</w:t>
      </w:r>
    </w:p>
    <w:p w14:paraId="0387CA2A"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Strengthen Receivables Collection</w:t>
      </w:r>
    </w:p>
    <w:p w14:paraId="0B635D4A"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While the company is able to collect the payments efficiently, there is scope to boost the cash flow by offering more digital payment alternatives, advance payment bookings and automated reminders for business customers</w:t>
      </w:r>
      <w:r w:rsidR="00482C6B" w:rsidRPr="009E7A21">
        <w:rPr>
          <w:rFonts w:ascii="Arial" w:hAnsi="Arial" w:cs="Arial"/>
          <w:sz w:val="24"/>
          <w:szCs w:val="24"/>
        </w:rPr>
        <w:t xml:space="preserve"> (Corporate Finance Institute, 2025)</w:t>
      </w:r>
      <w:r w:rsidRPr="009E7A21">
        <w:rPr>
          <w:rFonts w:ascii="Arial" w:hAnsi="Arial" w:cs="Arial"/>
          <w:sz w:val="24"/>
          <w:szCs w:val="24"/>
        </w:rPr>
        <w:t>. Better collection would provide more cash and a better working capital position.</w:t>
      </w:r>
    </w:p>
    <w:p w14:paraId="7DFEA3EA"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Negotiate Longer Supplier Payment Terms</w:t>
      </w:r>
    </w:p>
    <w:p w14:paraId="2CE34584" w14:textId="77777777" w:rsidR="00850BF7" w:rsidRPr="009E7A21" w:rsidRDefault="00850BF7" w:rsidP="005B343F">
      <w:pPr>
        <w:pStyle w:val="NormalWeb"/>
        <w:spacing w:line="360" w:lineRule="auto"/>
        <w:jc w:val="both"/>
        <w:rPr>
          <w:rFonts w:ascii="Arial" w:hAnsi="Arial" w:cs="Arial"/>
        </w:rPr>
      </w:pPr>
      <w:r w:rsidRPr="009E7A21">
        <w:rPr>
          <w:rFonts w:ascii="Arial" w:hAnsi="Arial" w:cs="Arial"/>
        </w:rPr>
        <w:t>Greene King can enhance liquidity by negotiating with key suppliers for longer payment terms, whilst maintaining its key supplier relationships. The benefit of extended credit would be to leave the business with cash for longer and sustain daily business without compromising on the quality of services.</w:t>
      </w:r>
    </w:p>
    <w:p w14:paraId="25EE9606"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Improve Cash Flow Forecasting</w:t>
      </w:r>
    </w:p>
    <w:p w14:paraId="4CFE1914"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The use of sophisticated cash flow forecasting tools would allow management to predict variability in the business and to identify cash flow gaps and optimise cash flow needs for each season of the year</w:t>
      </w:r>
      <w:r w:rsidR="00482C6B" w:rsidRPr="009E7A21">
        <w:rPr>
          <w:rFonts w:ascii="Arial" w:hAnsi="Arial" w:cs="Arial"/>
          <w:sz w:val="24"/>
          <w:szCs w:val="24"/>
        </w:rPr>
        <w:t xml:space="preserve"> (Deloitte, 2025)</w:t>
      </w:r>
      <w:r w:rsidRPr="009E7A21">
        <w:rPr>
          <w:rFonts w:ascii="Arial" w:hAnsi="Arial" w:cs="Arial"/>
          <w:sz w:val="24"/>
          <w:szCs w:val="24"/>
        </w:rPr>
        <w:t>. Liquidity planning is more accurate, and short-term borrowing is limited, as a result of forecasting.</w:t>
      </w:r>
    </w:p>
    <w:p w14:paraId="4B14F73F"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Enhance Cost and Working Capital Control</w:t>
      </w:r>
    </w:p>
    <w:p w14:paraId="7E5E03B3" w14:textId="77777777" w:rsidR="003A5AFF"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 xml:space="preserve">Operating expense, supplier agreement and working capital ratios can be monitored regularly to enhance financial discipline. While it is about cost efficiency, keeping the </w:t>
      </w:r>
      <w:r w:rsidRPr="009E7A21">
        <w:rPr>
          <w:rFonts w:ascii="Arial" w:hAnsi="Arial" w:cs="Arial"/>
          <w:sz w:val="24"/>
          <w:szCs w:val="24"/>
        </w:rPr>
        <w:lastRenderedPageBreak/>
        <w:t>operational performance would lead to more free cash flow, better liquidity and better financial flexibility to invest in the future</w:t>
      </w:r>
      <w:r w:rsidR="00482C6B" w:rsidRPr="009E7A21">
        <w:rPr>
          <w:rFonts w:ascii="Arial" w:hAnsi="Arial" w:cs="Arial"/>
          <w:sz w:val="24"/>
          <w:szCs w:val="24"/>
        </w:rPr>
        <w:t xml:space="preserve"> (EY, 2025)</w:t>
      </w:r>
      <w:r w:rsidRPr="009E7A21">
        <w:rPr>
          <w:rFonts w:ascii="Arial" w:hAnsi="Arial" w:cs="Arial"/>
          <w:sz w:val="24"/>
          <w:szCs w:val="24"/>
        </w:rPr>
        <w:t>.</w:t>
      </w:r>
    </w:p>
    <w:p w14:paraId="77C0E5BB" w14:textId="77777777" w:rsidR="000D50CB" w:rsidRPr="009E7A21" w:rsidRDefault="000D50CB" w:rsidP="005B343F">
      <w:pPr>
        <w:pStyle w:val="Heading2"/>
        <w:spacing w:line="360" w:lineRule="auto"/>
        <w:jc w:val="both"/>
        <w:rPr>
          <w:rFonts w:ascii="Arial" w:hAnsi="Arial" w:cs="Arial"/>
          <w:b/>
          <w:color w:val="auto"/>
          <w:sz w:val="24"/>
          <w:szCs w:val="24"/>
        </w:rPr>
      </w:pPr>
      <w:bookmarkStart w:id="16" w:name="_Toc234747801"/>
      <w:bookmarkStart w:id="17" w:name="_Toc236848535"/>
      <w:r w:rsidRPr="009E7A21">
        <w:rPr>
          <w:rFonts w:ascii="Arial" w:hAnsi="Arial" w:cs="Arial"/>
          <w:b/>
          <w:color w:val="auto"/>
          <w:sz w:val="24"/>
          <w:szCs w:val="24"/>
        </w:rPr>
        <w:t>Short-term vs long-term financing options</w:t>
      </w:r>
      <w:bookmarkEnd w:id="16"/>
      <w:bookmarkEnd w:id="17"/>
    </w:p>
    <w:p w14:paraId="3E3A32F1"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A good mix of short-term and long-term finance will be essential for Greene King to keep the money flowing and deliver sustainable business growth. Short-term financing is mainly for day to day operations, while long-term financing is used for long-term investments and expansion</w:t>
      </w:r>
      <w:r w:rsidR="00482C6B" w:rsidRPr="009E7A21">
        <w:rPr>
          <w:rFonts w:ascii="Arial" w:hAnsi="Arial" w:cs="Arial"/>
          <w:sz w:val="24"/>
          <w:szCs w:val="24"/>
        </w:rPr>
        <w:t xml:space="preserve"> (UK Finance, 2025)</w:t>
      </w:r>
      <w:r w:rsidRPr="009E7A21">
        <w:rPr>
          <w:rFonts w:ascii="Arial" w:hAnsi="Arial" w:cs="Arial"/>
          <w:sz w:val="24"/>
          <w:szCs w:val="24"/>
        </w:rPr>
        <w:t>.</w:t>
      </w:r>
    </w:p>
    <w:p w14:paraId="59C112B4"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Short-term Financing</w:t>
      </w:r>
    </w:p>
    <w:p w14:paraId="5EF76459"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Short-term financing refers to bank overdrafts, revolving credit facilities, trade credit, and short-term bank loans, which are usually repaid within a year. These are sources of immediate liquidity for seasonal needs, to pay suppliers, buy stocks and to meet working capital requirements</w:t>
      </w:r>
      <w:r w:rsidR="00482C6B" w:rsidRPr="009E7A21">
        <w:rPr>
          <w:rFonts w:ascii="Arial" w:hAnsi="Arial" w:cs="Arial"/>
          <w:sz w:val="24"/>
          <w:szCs w:val="24"/>
        </w:rPr>
        <w:t xml:space="preserve"> (Financial Conduct Authority, 2025)</w:t>
      </w:r>
      <w:r w:rsidRPr="009E7A21">
        <w:rPr>
          <w:rFonts w:ascii="Arial" w:hAnsi="Arial" w:cs="Arial"/>
          <w:sz w:val="24"/>
          <w:szCs w:val="24"/>
        </w:rPr>
        <w:t>. Short-term finance provides flexibility for Greene King, a company that has fluctuation in demand throughout the year, and is useful for ensuring that operations continue. But over-reliance on short term borrowing can place a greater refinancing risk and interest expense, especially when interest rates are going up.</w:t>
      </w:r>
    </w:p>
    <w:p w14:paraId="53D185D2"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Long-term Financing</w:t>
      </w:r>
    </w:p>
    <w:p w14:paraId="28079AD0"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Long term financing includes bank loans, lease financing, corporate bonds and retained earnings, and has a term greater than a year. Over the past few years, Greene King has been investing in estate refurbishment, digital transformation, brewery expansion and brand development through long term funding</w:t>
      </w:r>
      <w:r w:rsidR="00482C6B" w:rsidRPr="009E7A21">
        <w:rPr>
          <w:rFonts w:ascii="Arial" w:hAnsi="Arial" w:cs="Arial"/>
          <w:sz w:val="24"/>
          <w:szCs w:val="24"/>
        </w:rPr>
        <w:t xml:space="preserve"> (Financial Reporting Council, 2025a)</w:t>
      </w:r>
      <w:r w:rsidRPr="009E7A21">
        <w:rPr>
          <w:rFonts w:ascii="Arial" w:hAnsi="Arial" w:cs="Arial"/>
          <w:sz w:val="24"/>
          <w:szCs w:val="24"/>
        </w:rPr>
        <w:t>. Long-term finance is the provision of stable capital funds for strategic projects, and this also allows repayment of these funds over a long period, thus not putting pressure on short-term cash flow. It typically has higher overall financing expenses but provides more financial stability and helps build sustainable business growth.</w:t>
      </w:r>
    </w:p>
    <w:p w14:paraId="46CAE904"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In the case of Greene King, long term financing would be more suitable for capital intensive investment since the funding of it would be matched with the useful life of the assets and working capital would remain. The main purpose of short term financing is to address short-term liquidity needs and seasonality changes in cash flows</w:t>
      </w:r>
      <w:r w:rsidR="00482C6B" w:rsidRPr="009E7A21">
        <w:rPr>
          <w:rFonts w:ascii="Arial" w:hAnsi="Arial" w:cs="Arial"/>
          <w:sz w:val="24"/>
          <w:szCs w:val="24"/>
        </w:rPr>
        <w:t xml:space="preserve"> (Financial Reporting Council, 2025b)</w:t>
      </w:r>
      <w:r w:rsidRPr="009E7A21">
        <w:rPr>
          <w:rFonts w:ascii="Arial" w:hAnsi="Arial" w:cs="Arial"/>
          <w:sz w:val="24"/>
          <w:szCs w:val="24"/>
        </w:rPr>
        <w:t xml:space="preserve">. The company's liquidity ratios are relatively low, and the </w:t>
      </w:r>
      <w:r w:rsidRPr="009E7A21">
        <w:rPr>
          <w:rFonts w:ascii="Arial" w:hAnsi="Arial" w:cs="Arial"/>
          <w:sz w:val="24"/>
          <w:szCs w:val="24"/>
        </w:rPr>
        <w:lastRenderedPageBreak/>
        <w:t>operating cash flow is relatively high, which could reduce the risk of financing; at the same time, the company needs to maintain a balanced financing structure, so as to support the company's future financing</w:t>
      </w:r>
      <w:r w:rsidR="00482C6B" w:rsidRPr="009E7A21">
        <w:rPr>
          <w:rFonts w:ascii="Arial" w:hAnsi="Arial" w:cs="Arial"/>
          <w:sz w:val="24"/>
          <w:szCs w:val="24"/>
        </w:rPr>
        <w:t xml:space="preserve"> (UK Government, 2025)</w:t>
      </w:r>
      <w:r w:rsidRPr="009E7A21">
        <w:rPr>
          <w:rFonts w:ascii="Arial" w:hAnsi="Arial" w:cs="Arial"/>
          <w:sz w:val="24"/>
          <w:szCs w:val="24"/>
        </w:rPr>
        <w:t xml:space="preserve">. </w:t>
      </w:r>
    </w:p>
    <w:p w14:paraId="715A14EB" w14:textId="77777777" w:rsidR="00482C6B" w:rsidRPr="009E7A21" w:rsidRDefault="00482C6B" w:rsidP="005B343F">
      <w:pPr>
        <w:spacing w:line="360" w:lineRule="auto"/>
        <w:rPr>
          <w:rFonts w:ascii="Arial" w:eastAsiaTheme="majorEastAsia" w:hAnsi="Arial" w:cs="Arial"/>
          <w:b/>
          <w:sz w:val="24"/>
          <w:szCs w:val="24"/>
        </w:rPr>
      </w:pPr>
      <w:bookmarkStart w:id="18" w:name="_Toc234747802"/>
      <w:r w:rsidRPr="009E7A21">
        <w:rPr>
          <w:rFonts w:ascii="Arial" w:hAnsi="Arial" w:cs="Arial"/>
          <w:b/>
          <w:sz w:val="24"/>
          <w:szCs w:val="24"/>
        </w:rPr>
        <w:br w:type="page"/>
      </w:r>
    </w:p>
    <w:p w14:paraId="27E16CBD" w14:textId="77777777" w:rsidR="003A5AFF" w:rsidRPr="009E7A21" w:rsidRDefault="003A5AFF" w:rsidP="005B343F">
      <w:pPr>
        <w:pStyle w:val="Heading1"/>
        <w:spacing w:line="360" w:lineRule="auto"/>
        <w:jc w:val="both"/>
        <w:rPr>
          <w:rFonts w:ascii="Arial" w:hAnsi="Arial" w:cs="Arial"/>
          <w:b/>
          <w:color w:val="auto"/>
          <w:sz w:val="24"/>
          <w:szCs w:val="24"/>
        </w:rPr>
      </w:pPr>
      <w:bookmarkStart w:id="19" w:name="_Toc236848536"/>
      <w:r w:rsidRPr="009E7A21">
        <w:rPr>
          <w:rFonts w:ascii="Arial" w:hAnsi="Arial" w:cs="Arial"/>
          <w:b/>
          <w:color w:val="auto"/>
          <w:sz w:val="24"/>
          <w:szCs w:val="24"/>
        </w:rPr>
        <w:lastRenderedPageBreak/>
        <w:t>3. Strategic Financial Restructuring Plan</w:t>
      </w:r>
      <w:bookmarkEnd w:id="18"/>
      <w:bookmarkEnd w:id="19"/>
    </w:p>
    <w:p w14:paraId="0E1561C2" w14:textId="77777777" w:rsidR="003A5AFF" w:rsidRPr="009E7A21" w:rsidRDefault="003A5AFF" w:rsidP="005B343F">
      <w:pPr>
        <w:pStyle w:val="Heading2"/>
        <w:spacing w:line="360" w:lineRule="auto"/>
        <w:jc w:val="both"/>
        <w:rPr>
          <w:rFonts w:ascii="Arial" w:hAnsi="Arial" w:cs="Arial"/>
          <w:b/>
          <w:color w:val="auto"/>
          <w:sz w:val="24"/>
          <w:szCs w:val="24"/>
        </w:rPr>
      </w:pPr>
      <w:bookmarkStart w:id="20" w:name="_Toc234747803"/>
      <w:bookmarkStart w:id="21" w:name="_Toc236848537"/>
      <w:r w:rsidRPr="009E7A21">
        <w:rPr>
          <w:rFonts w:ascii="Arial" w:hAnsi="Arial" w:cs="Arial"/>
          <w:b/>
          <w:color w:val="auto"/>
          <w:sz w:val="24"/>
          <w:szCs w:val="24"/>
        </w:rPr>
        <w:t>a. Recommend financial restructuring options (e.g., divestiture, merger, equity injection).</w:t>
      </w:r>
      <w:bookmarkEnd w:id="20"/>
      <w:bookmarkEnd w:id="21"/>
    </w:p>
    <w:p w14:paraId="655413CF"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Divestiture of Non-Core Assets</w:t>
      </w:r>
    </w:p>
    <w:p w14:paraId="6588DF36"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Greene King should look to dispose of underperforming pubs and ancillary assets to enhance cash flow and ease the strain on finance. The company's revenue grew to £2.45 billion in 2024 but total losses of £147.1 million were reported before tax, and total liabilities were also high at £4.22 billion</w:t>
      </w:r>
      <w:r w:rsidR="00482C6B" w:rsidRPr="009E7A21">
        <w:rPr>
          <w:rFonts w:ascii="Arial" w:hAnsi="Arial" w:cs="Arial"/>
          <w:sz w:val="24"/>
          <w:szCs w:val="24"/>
        </w:rPr>
        <w:t xml:space="preserve"> (Greene King, 2025a)</w:t>
      </w:r>
      <w:r w:rsidRPr="009E7A21">
        <w:rPr>
          <w:rFonts w:ascii="Arial" w:hAnsi="Arial" w:cs="Arial"/>
          <w:sz w:val="24"/>
          <w:szCs w:val="24"/>
        </w:rPr>
        <w:t>. Dispose of underperforming assets and get immediate cash, lower maintenance costs and allow management to invest in higher performing brands like Chef &amp; Brewer, Hickory's, and Greene King Pubs. A disposal programme with a value of £150-200m would support our working capital and debt management, while not impacting on our core business.</w:t>
      </w:r>
    </w:p>
    <w:p w14:paraId="4EE813DA"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Strategic Merger or Joint Venture</w:t>
      </w:r>
    </w:p>
    <w:p w14:paraId="384E67FD"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Instead of complete amalgamation, Greene King might consider forming partnerships or joint ventures with hospitality tech firms, hotel operators, or food service companies. Such partnerships would enable the company to allocate its investment in tandem and at a faster pace, facilitate digital transformation, and extend its market reach. 2024 revenue is £2.45bn and there are more than 2,600 pubs to manage – operational partnerships would help to maximise occupancy, customer engagement and the supply chain, as it would decrease the need for capital investment and risk</w:t>
      </w:r>
      <w:r w:rsidR="00482C6B" w:rsidRPr="009E7A21">
        <w:rPr>
          <w:rFonts w:ascii="Arial" w:hAnsi="Arial" w:cs="Arial"/>
          <w:sz w:val="24"/>
          <w:szCs w:val="24"/>
        </w:rPr>
        <w:t xml:space="preserve"> (Greene King, 2025b)</w:t>
      </w:r>
      <w:r w:rsidRPr="009E7A21">
        <w:rPr>
          <w:rFonts w:ascii="Arial" w:hAnsi="Arial" w:cs="Arial"/>
          <w:sz w:val="24"/>
          <w:szCs w:val="24"/>
        </w:rPr>
        <w:t>.</w:t>
      </w:r>
    </w:p>
    <w:p w14:paraId="32F82DED"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Equity Injection from Parent Company</w:t>
      </w:r>
    </w:p>
    <w:p w14:paraId="7606AED7"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If, despite the current capital injections, Greene King's balance sheet remains weak, an extra equity injection would help improve the company's balance sheet and decrease reliance on debt funding</w:t>
      </w:r>
      <w:r w:rsidR="00482C6B" w:rsidRPr="009E7A21">
        <w:rPr>
          <w:rFonts w:ascii="Arial" w:hAnsi="Arial" w:cs="Arial"/>
          <w:sz w:val="24"/>
          <w:szCs w:val="24"/>
        </w:rPr>
        <w:t xml:space="preserve"> (OECD, 2025b)</w:t>
      </w:r>
      <w:r w:rsidRPr="009E7A21">
        <w:rPr>
          <w:rFonts w:ascii="Arial" w:hAnsi="Arial" w:cs="Arial"/>
          <w:sz w:val="24"/>
          <w:szCs w:val="24"/>
        </w:rPr>
        <w:t>. The company's debt to equity ratio was still high in 2024 at 4.47, suggesting that it has a high level of financial leverage. Adding an extra £250–300 million of equity would generate additional capital to fund estate refurbishment, estate sustainability projects, digital innovation, and reduce the capital structure (gearing) and improve liquidity without increasing interest costs</w:t>
      </w:r>
      <w:r w:rsidR="00482C6B" w:rsidRPr="009E7A21">
        <w:rPr>
          <w:rFonts w:ascii="Arial" w:hAnsi="Arial" w:cs="Arial"/>
          <w:sz w:val="24"/>
          <w:szCs w:val="24"/>
        </w:rPr>
        <w:t xml:space="preserve"> (HM Revenue &amp; Customs, 2025a)</w:t>
      </w:r>
      <w:r w:rsidRPr="009E7A21">
        <w:rPr>
          <w:rFonts w:ascii="Arial" w:hAnsi="Arial" w:cs="Arial"/>
          <w:sz w:val="24"/>
          <w:szCs w:val="24"/>
        </w:rPr>
        <w:t>. More robust equity base would also make a company financially more resilient to inflationary pressures and economic uncertainty.</w:t>
      </w:r>
    </w:p>
    <w:p w14:paraId="796E74D3"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lastRenderedPageBreak/>
        <w:t>Debt Refinancing</w:t>
      </w:r>
    </w:p>
    <w:p w14:paraId="1D84B346" w14:textId="77777777" w:rsidR="003A5AFF"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Greene King needs to restructure some of its current loans by swapping out the loans with the higher interest rates for longer-term financing at lower rates. In 2024, finance costs were at £140.8 million and the interest coverage ratio was –0.12, indicating a strain on profitability. Offering stretches of the debt maturities and renegotiating lower interest rates would lower the annual cost of finance, improve cash flows and make the company more financially stable to undertake strategic investments</w:t>
      </w:r>
      <w:r w:rsidR="00482C6B" w:rsidRPr="009E7A21">
        <w:rPr>
          <w:rFonts w:ascii="Arial" w:hAnsi="Arial" w:cs="Arial"/>
          <w:sz w:val="24"/>
          <w:szCs w:val="24"/>
        </w:rPr>
        <w:t xml:space="preserve"> (ONS, 2025a)</w:t>
      </w:r>
      <w:r w:rsidRPr="009E7A21">
        <w:rPr>
          <w:rFonts w:ascii="Arial" w:hAnsi="Arial" w:cs="Arial"/>
          <w:sz w:val="24"/>
          <w:szCs w:val="24"/>
        </w:rPr>
        <w:t>.</w:t>
      </w:r>
    </w:p>
    <w:p w14:paraId="06DE3835" w14:textId="77777777" w:rsidR="003A5AFF" w:rsidRPr="009E7A21" w:rsidRDefault="003A5AFF" w:rsidP="005B343F">
      <w:pPr>
        <w:pStyle w:val="Heading2"/>
        <w:spacing w:line="360" w:lineRule="auto"/>
        <w:jc w:val="both"/>
        <w:rPr>
          <w:rFonts w:ascii="Arial" w:hAnsi="Arial" w:cs="Arial"/>
          <w:b/>
          <w:color w:val="auto"/>
          <w:sz w:val="24"/>
          <w:szCs w:val="24"/>
        </w:rPr>
      </w:pPr>
      <w:bookmarkStart w:id="22" w:name="_Toc234747804"/>
      <w:bookmarkStart w:id="23" w:name="_Toc236848538"/>
      <w:r w:rsidRPr="009E7A21">
        <w:rPr>
          <w:rFonts w:ascii="Arial" w:hAnsi="Arial" w:cs="Arial"/>
          <w:b/>
          <w:color w:val="auto"/>
          <w:sz w:val="24"/>
          <w:szCs w:val="24"/>
        </w:rPr>
        <w:t>b. Evaluate impact on shareholder value, debt structure, and operational flexibility.</w:t>
      </w:r>
      <w:bookmarkEnd w:id="22"/>
      <w:bookmarkEnd w:id="23"/>
    </w:p>
    <w:p w14:paraId="161F1070"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Impact on Shareholder Value</w:t>
      </w:r>
    </w:p>
    <w:p w14:paraId="40C66198"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Greene King is a private company, however, financial restructuring would provide a boost to shareholder value due to the increased profitability, lower financial risk and long term value of the business. The divestment of non-core assets and equity injection would enhance return on capital and aid future capital investments</w:t>
      </w:r>
      <w:r w:rsidR="00482C6B" w:rsidRPr="009E7A21">
        <w:rPr>
          <w:rFonts w:ascii="Arial" w:hAnsi="Arial" w:cs="Arial"/>
          <w:sz w:val="24"/>
          <w:szCs w:val="24"/>
        </w:rPr>
        <w:t xml:space="preserve"> (HM Revenue &amp; Customs, 2025b)</w:t>
      </w:r>
      <w:r w:rsidRPr="009E7A21">
        <w:rPr>
          <w:rFonts w:ascii="Arial" w:hAnsi="Arial" w:cs="Arial"/>
          <w:sz w:val="24"/>
          <w:szCs w:val="24"/>
        </w:rPr>
        <w:t>. Improved financial performance would improve the returns of an investment in CK Asset Holdings and add to the value of that investment.</w:t>
      </w:r>
    </w:p>
    <w:p w14:paraId="159AD3F2"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Impact on Debt Structure</w:t>
      </w:r>
    </w:p>
    <w:p w14:paraId="6FC1A894"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The suggested restructuring is intended to enhance Greene King's capital structure by lowering the debt ratio. The debt-equity ratio of the company is 4.47 in 2024 with total liabilities of £4.22 billion, which favours refinancing existing borrowings and raising equity in order to reduce the gearing ratio, annual finance costs of £140.8 million, and improve the interest coverage ratio</w:t>
      </w:r>
      <w:r w:rsidR="00482C6B" w:rsidRPr="009E7A21">
        <w:rPr>
          <w:rFonts w:ascii="Arial" w:hAnsi="Arial" w:cs="Arial"/>
          <w:sz w:val="24"/>
          <w:szCs w:val="24"/>
        </w:rPr>
        <w:t xml:space="preserve"> (HM Revenue &amp; Customs, 2026)</w:t>
      </w:r>
      <w:r w:rsidRPr="009E7A21">
        <w:rPr>
          <w:rFonts w:ascii="Arial" w:hAnsi="Arial" w:cs="Arial"/>
          <w:sz w:val="24"/>
          <w:szCs w:val="24"/>
        </w:rPr>
        <w:t>. A better balance sheet will also improve the company's ability to borrow and withstand economic downturns.</w:t>
      </w:r>
    </w:p>
    <w:p w14:paraId="736D2269"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Impact on Operational Flexibility</w:t>
      </w:r>
    </w:p>
    <w:p w14:paraId="3CCDFEAC" w14:textId="77777777" w:rsidR="003A5AFF"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The increased liquidity and reduced debt load would give Greene King more flexibility in its operations</w:t>
      </w:r>
      <w:r w:rsidR="00482C6B" w:rsidRPr="009E7A21">
        <w:rPr>
          <w:rFonts w:ascii="Arial" w:hAnsi="Arial" w:cs="Arial"/>
          <w:sz w:val="24"/>
          <w:szCs w:val="24"/>
        </w:rPr>
        <w:t xml:space="preserve"> (ONS, 2025b)</w:t>
      </w:r>
      <w:r w:rsidRPr="009E7A21">
        <w:rPr>
          <w:rFonts w:ascii="Arial" w:hAnsi="Arial" w:cs="Arial"/>
          <w:sz w:val="24"/>
          <w:szCs w:val="24"/>
        </w:rPr>
        <w:t>. This would enable management to increase their focus on digital transformation, pub refurbishment, sustainability projects and brand extension initiatives, as the cost burden of finances is reduced. Increased cash flow would also allow for quicker reactions to changing consumer demands and market opportunities, and allow for continued day-to-day business operations</w:t>
      </w:r>
      <w:r w:rsidR="00482C6B" w:rsidRPr="009E7A21">
        <w:rPr>
          <w:rFonts w:ascii="Arial" w:hAnsi="Arial" w:cs="Arial"/>
          <w:sz w:val="24"/>
          <w:szCs w:val="24"/>
        </w:rPr>
        <w:t xml:space="preserve"> (HM Treasury, </w:t>
      </w:r>
      <w:r w:rsidR="00482C6B" w:rsidRPr="009E7A21">
        <w:rPr>
          <w:rFonts w:ascii="Arial" w:hAnsi="Arial" w:cs="Arial"/>
          <w:sz w:val="24"/>
          <w:szCs w:val="24"/>
        </w:rPr>
        <w:lastRenderedPageBreak/>
        <w:t>2025a)</w:t>
      </w:r>
      <w:r w:rsidRPr="009E7A21">
        <w:rPr>
          <w:rFonts w:ascii="Arial" w:hAnsi="Arial" w:cs="Arial"/>
          <w:sz w:val="24"/>
          <w:szCs w:val="24"/>
        </w:rPr>
        <w:t>. The restructuring, in general, will enhance financial stability and promote sustainable long-term growth.</w:t>
      </w:r>
    </w:p>
    <w:p w14:paraId="45AFCEF2" w14:textId="77777777" w:rsidR="003A5AFF" w:rsidRPr="009E7A21" w:rsidRDefault="003A5AFF" w:rsidP="005B343F">
      <w:pPr>
        <w:pStyle w:val="Heading2"/>
        <w:spacing w:line="360" w:lineRule="auto"/>
        <w:jc w:val="both"/>
        <w:rPr>
          <w:rFonts w:ascii="Arial" w:hAnsi="Arial" w:cs="Arial"/>
          <w:b/>
          <w:color w:val="auto"/>
          <w:sz w:val="24"/>
          <w:szCs w:val="24"/>
        </w:rPr>
      </w:pPr>
      <w:bookmarkStart w:id="24" w:name="_Toc234747805"/>
      <w:bookmarkStart w:id="25" w:name="_Toc236848539"/>
      <w:r w:rsidRPr="009E7A21">
        <w:rPr>
          <w:rFonts w:ascii="Arial" w:hAnsi="Arial" w:cs="Arial"/>
          <w:b/>
          <w:color w:val="auto"/>
          <w:sz w:val="24"/>
          <w:szCs w:val="24"/>
        </w:rPr>
        <w:t>c. Include international and ethical considerations (taxation, currency risk, inflation, CSR or ESG).</w:t>
      </w:r>
      <w:bookmarkEnd w:id="24"/>
      <w:bookmarkEnd w:id="25"/>
    </w:p>
    <w:p w14:paraId="04A2F82E"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Taxation</w:t>
      </w:r>
    </w:p>
    <w:p w14:paraId="7B179D27"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Greene King shall continue to effectively manage taxes with full compliance to UK tax laws. Clear tax transparency helps mitigate risks associated with regulations, builds trust among stakeholders, and contributes to financial sustainability</w:t>
      </w:r>
      <w:r w:rsidR="00482C6B" w:rsidRPr="009E7A21">
        <w:rPr>
          <w:rFonts w:ascii="Arial" w:hAnsi="Arial" w:cs="Arial"/>
          <w:sz w:val="24"/>
          <w:szCs w:val="24"/>
        </w:rPr>
        <w:t xml:space="preserve"> (ONS, 2025c)</w:t>
      </w:r>
      <w:r w:rsidRPr="009E7A21">
        <w:rPr>
          <w:rFonts w:ascii="Arial" w:hAnsi="Arial" w:cs="Arial"/>
          <w:sz w:val="24"/>
          <w:szCs w:val="24"/>
        </w:rPr>
        <w:t>.</w:t>
      </w:r>
    </w:p>
    <w:p w14:paraId="53F4D3F5"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Currency Risk</w:t>
      </w:r>
    </w:p>
    <w:p w14:paraId="72744255"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While Greene King is mainly a UK company, currency fluctuations can affect the value of food, drinks and raw materials imported into the UK. Hedging and diversified sourcing can reduce the volatility of the cost of the currency</w:t>
      </w:r>
      <w:r w:rsidR="00482C6B" w:rsidRPr="009E7A21">
        <w:rPr>
          <w:rFonts w:ascii="Arial" w:hAnsi="Arial" w:cs="Arial"/>
          <w:sz w:val="24"/>
          <w:szCs w:val="24"/>
        </w:rPr>
        <w:t xml:space="preserve"> (HM Treasury, 2025b)</w:t>
      </w:r>
      <w:r w:rsidRPr="009E7A21">
        <w:rPr>
          <w:rFonts w:ascii="Arial" w:hAnsi="Arial" w:cs="Arial"/>
          <w:sz w:val="24"/>
          <w:szCs w:val="24"/>
        </w:rPr>
        <w:t>.</w:t>
      </w:r>
    </w:p>
    <w:p w14:paraId="71219908"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Inflation</w:t>
      </w:r>
    </w:p>
    <w:p w14:paraId="30F8C650"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Wage, energy and supply chain costs are also rising as a result of high inflation, putting pressure on profit margins. Operational efficiencies and strategic pricing can help to counteract inflationary effects and preserve customer demand</w:t>
      </w:r>
      <w:r w:rsidR="00482C6B" w:rsidRPr="009E7A21">
        <w:rPr>
          <w:rFonts w:ascii="Arial" w:hAnsi="Arial" w:cs="Arial"/>
          <w:sz w:val="24"/>
          <w:szCs w:val="24"/>
        </w:rPr>
        <w:t xml:space="preserve"> (ONS, 2025d)</w:t>
      </w:r>
      <w:r w:rsidRPr="009E7A21">
        <w:rPr>
          <w:rFonts w:ascii="Arial" w:hAnsi="Arial" w:cs="Arial"/>
          <w:sz w:val="24"/>
          <w:szCs w:val="24"/>
        </w:rPr>
        <w:t>.</w:t>
      </w:r>
    </w:p>
    <w:p w14:paraId="52DCAF06"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Corporate Social Responsibility (CSR)</w:t>
      </w:r>
    </w:p>
    <w:p w14:paraId="7733495A"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Greene King should pursue further investment in their community projects, apprenticeships, responsible sourcing and employee wellbeing. These will help build the company's reputation, boost employee engagement rates and strengthen customer loyalty</w:t>
      </w:r>
      <w:r w:rsidR="00482C6B" w:rsidRPr="009E7A21">
        <w:rPr>
          <w:rFonts w:ascii="Arial" w:hAnsi="Arial" w:cs="Arial"/>
          <w:sz w:val="24"/>
          <w:szCs w:val="24"/>
        </w:rPr>
        <w:t xml:space="preserve"> (ICAEW, 2025a)</w:t>
      </w:r>
      <w:r w:rsidRPr="009E7A21">
        <w:rPr>
          <w:rFonts w:ascii="Arial" w:hAnsi="Arial" w:cs="Arial"/>
          <w:sz w:val="24"/>
          <w:szCs w:val="24"/>
        </w:rPr>
        <w:t>.</w:t>
      </w:r>
    </w:p>
    <w:p w14:paraId="0591E92D"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Environmental, Social and Governance (ESG)</w:t>
      </w:r>
    </w:p>
    <w:p w14:paraId="49AB10FB" w14:textId="77777777" w:rsidR="00850BF7" w:rsidRPr="009E7A21" w:rsidRDefault="00850BF7" w:rsidP="005B343F">
      <w:pPr>
        <w:spacing w:line="360" w:lineRule="auto"/>
        <w:jc w:val="both"/>
        <w:rPr>
          <w:rFonts w:ascii="Arial" w:hAnsi="Arial" w:cs="Arial"/>
          <w:sz w:val="24"/>
          <w:szCs w:val="24"/>
        </w:rPr>
      </w:pPr>
      <w:r w:rsidRPr="009E7A21">
        <w:rPr>
          <w:rFonts w:ascii="Arial" w:hAnsi="Arial" w:cs="Arial"/>
          <w:sz w:val="24"/>
          <w:szCs w:val="24"/>
        </w:rPr>
        <w:t>The company should promote more investments in energy efficient operations, carbon reduction, waste management, and diversity. Good ESG results enables regulatory compliance, draws responsible investors and helps with sustainable long-term business growth</w:t>
      </w:r>
      <w:r w:rsidR="00482C6B" w:rsidRPr="009E7A21">
        <w:rPr>
          <w:rFonts w:ascii="Arial" w:hAnsi="Arial" w:cs="Arial"/>
          <w:sz w:val="24"/>
          <w:szCs w:val="24"/>
        </w:rPr>
        <w:t xml:space="preserve"> (ICAEW, 2025b)</w:t>
      </w:r>
      <w:r w:rsidRPr="009E7A21">
        <w:rPr>
          <w:rFonts w:ascii="Arial" w:hAnsi="Arial" w:cs="Arial"/>
          <w:sz w:val="24"/>
          <w:szCs w:val="24"/>
        </w:rPr>
        <w:t>.</w:t>
      </w:r>
    </w:p>
    <w:p w14:paraId="42B73869" w14:textId="77777777" w:rsidR="0047217B" w:rsidRPr="009E7A21" w:rsidRDefault="0047217B" w:rsidP="005B343F">
      <w:pPr>
        <w:spacing w:line="360" w:lineRule="auto"/>
        <w:jc w:val="both"/>
        <w:rPr>
          <w:rFonts w:ascii="Arial" w:hAnsi="Arial" w:cs="Arial"/>
          <w:sz w:val="24"/>
          <w:szCs w:val="24"/>
        </w:rPr>
      </w:pPr>
    </w:p>
    <w:p w14:paraId="09FBFC13" w14:textId="77777777" w:rsidR="003A5AFF" w:rsidRPr="009E7A21" w:rsidRDefault="003A5AFF" w:rsidP="005B343F">
      <w:pPr>
        <w:spacing w:line="360" w:lineRule="auto"/>
        <w:jc w:val="both"/>
        <w:rPr>
          <w:rFonts w:ascii="Arial" w:hAnsi="Arial" w:cs="Arial"/>
          <w:sz w:val="24"/>
          <w:szCs w:val="24"/>
        </w:rPr>
      </w:pPr>
    </w:p>
    <w:p w14:paraId="230215E8" w14:textId="77777777" w:rsidR="00883EA6" w:rsidRPr="009E7A21" w:rsidRDefault="00883EA6" w:rsidP="005B343F">
      <w:pPr>
        <w:spacing w:line="360" w:lineRule="auto"/>
        <w:jc w:val="both"/>
        <w:rPr>
          <w:rFonts w:ascii="Arial" w:eastAsiaTheme="majorEastAsia" w:hAnsi="Arial" w:cs="Arial"/>
          <w:b/>
          <w:sz w:val="24"/>
          <w:szCs w:val="24"/>
        </w:rPr>
      </w:pPr>
      <w:r w:rsidRPr="009E7A21">
        <w:rPr>
          <w:rFonts w:ascii="Arial" w:hAnsi="Arial" w:cs="Arial"/>
          <w:b/>
          <w:sz w:val="24"/>
          <w:szCs w:val="24"/>
        </w:rPr>
        <w:br w:type="page"/>
      </w:r>
    </w:p>
    <w:p w14:paraId="220F372E" w14:textId="77777777" w:rsidR="000D50CB" w:rsidRPr="009E7A21" w:rsidRDefault="000D50CB" w:rsidP="005B343F">
      <w:pPr>
        <w:pStyle w:val="Heading1"/>
        <w:spacing w:line="360" w:lineRule="auto"/>
        <w:jc w:val="both"/>
        <w:rPr>
          <w:rFonts w:ascii="Arial" w:hAnsi="Arial" w:cs="Arial"/>
          <w:b/>
          <w:color w:val="auto"/>
          <w:sz w:val="24"/>
          <w:szCs w:val="24"/>
        </w:rPr>
      </w:pPr>
      <w:bookmarkStart w:id="26" w:name="_Toc234747806"/>
      <w:bookmarkStart w:id="27" w:name="_Toc236848540"/>
      <w:r w:rsidRPr="009E7A21">
        <w:rPr>
          <w:rFonts w:ascii="Arial" w:hAnsi="Arial" w:cs="Arial"/>
          <w:b/>
          <w:color w:val="auto"/>
          <w:sz w:val="24"/>
          <w:szCs w:val="24"/>
        </w:rPr>
        <w:lastRenderedPageBreak/>
        <w:t>4. Investment Appraisal and Capital Budgeting</w:t>
      </w:r>
      <w:bookmarkEnd w:id="26"/>
      <w:bookmarkEnd w:id="27"/>
      <w:r w:rsidRPr="009E7A21">
        <w:rPr>
          <w:rFonts w:ascii="Arial" w:hAnsi="Arial" w:cs="Arial"/>
          <w:b/>
          <w:color w:val="auto"/>
          <w:sz w:val="24"/>
          <w:szCs w:val="24"/>
        </w:rPr>
        <w:t xml:space="preserve"> </w:t>
      </w:r>
    </w:p>
    <w:p w14:paraId="3CC4A7A5"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Project A</w:t>
      </w:r>
    </w:p>
    <w:p w14:paraId="5F6026CD" w14:textId="77777777" w:rsidR="00AD00E4" w:rsidRPr="009E7A21" w:rsidRDefault="00AD00E4" w:rsidP="002038D6">
      <w:pPr>
        <w:spacing w:line="360" w:lineRule="auto"/>
        <w:jc w:val="center"/>
        <w:rPr>
          <w:rFonts w:ascii="Arial" w:hAnsi="Arial" w:cs="Arial"/>
          <w:b/>
          <w:sz w:val="24"/>
          <w:szCs w:val="24"/>
        </w:rPr>
      </w:pPr>
      <w:r w:rsidRPr="009E7A21">
        <w:rPr>
          <w:rFonts w:ascii="Arial" w:hAnsi="Arial" w:cs="Arial"/>
          <w:b/>
          <w:noProof/>
          <w:sz w:val="24"/>
          <w:szCs w:val="24"/>
        </w:rPr>
        <w:drawing>
          <wp:inline distT="0" distB="0" distL="0" distR="0" wp14:anchorId="4184D164" wp14:editId="1F61BDED">
            <wp:extent cx="5731510" cy="24282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428240"/>
                    </a:xfrm>
                    <a:prstGeom prst="rect">
                      <a:avLst/>
                    </a:prstGeom>
                  </pic:spPr>
                </pic:pic>
              </a:graphicData>
            </a:graphic>
          </wp:inline>
        </w:drawing>
      </w:r>
    </w:p>
    <w:p w14:paraId="06BD79B7" w14:textId="77777777" w:rsidR="002038D6" w:rsidRPr="009E7A21" w:rsidRDefault="002038D6" w:rsidP="002038D6">
      <w:pPr>
        <w:spacing w:line="360" w:lineRule="auto"/>
        <w:jc w:val="center"/>
        <w:rPr>
          <w:rFonts w:ascii="Arial" w:hAnsi="Arial" w:cs="Arial"/>
          <w:b/>
          <w:sz w:val="24"/>
          <w:szCs w:val="24"/>
        </w:rPr>
      </w:pPr>
      <w:r w:rsidRPr="009E7A21">
        <w:rPr>
          <w:rFonts w:ascii="Arial" w:hAnsi="Arial" w:cs="Arial"/>
          <w:b/>
          <w:sz w:val="24"/>
          <w:szCs w:val="24"/>
        </w:rPr>
        <w:t>Table 11: Project A</w:t>
      </w:r>
    </w:p>
    <w:p w14:paraId="2DF322E5" w14:textId="77777777" w:rsidR="00AD00E4" w:rsidRPr="009E7A21" w:rsidRDefault="00AD00E4" w:rsidP="002038D6">
      <w:pPr>
        <w:spacing w:line="360" w:lineRule="auto"/>
        <w:jc w:val="center"/>
        <w:rPr>
          <w:rFonts w:ascii="Arial" w:hAnsi="Arial" w:cs="Arial"/>
          <w:b/>
          <w:sz w:val="24"/>
          <w:szCs w:val="24"/>
        </w:rPr>
      </w:pPr>
      <w:r w:rsidRPr="009E7A21">
        <w:rPr>
          <w:rFonts w:ascii="Arial" w:hAnsi="Arial" w:cs="Arial"/>
          <w:b/>
          <w:noProof/>
          <w:sz w:val="24"/>
          <w:szCs w:val="24"/>
        </w:rPr>
        <w:drawing>
          <wp:inline distT="0" distB="0" distL="0" distR="0" wp14:anchorId="03BFE35A" wp14:editId="73819449">
            <wp:extent cx="5731510" cy="20154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015490"/>
                    </a:xfrm>
                    <a:prstGeom prst="rect">
                      <a:avLst/>
                    </a:prstGeom>
                  </pic:spPr>
                </pic:pic>
              </a:graphicData>
            </a:graphic>
          </wp:inline>
        </w:drawing>
      </w:r>
    </w:p>
    <w:p w14:paraId="638E749F" w14:textId="77777777" w:rsidR="002038D6" w:rsidRPr="009E7A21" w:rsidRDefault="002038D6" w:rsidP="002038D6">
      <w:pPr>
        <w:spacing w:line="360" w:lineRule="auto"/>
        <w:jc w:val="center"/>
        <w:rPr>
          <w:rFonts w:ascii="Arial" w:hAnsi="Arial" w:cs="Arial"/>
          <w:b/>
          <w:sz w:val="24"/>
          <w:szCs w:val="24"/>
        </w:rPr>
      </w:pPr>
      <w:r w:rsidRPr="009E7A21">
        <w:rPr>
          <w:rFonts w:ascii="Arial" w:hAnsi="Arial" w:cs="Arial"/>
          <w:b/>
          <w:sz w:val="24"/>
          <w:szCs w:val="24"/>
        </w:rPr>
        <w:t>Table 12: Investment Appraisal – Project A</w:t>
      </w:r>
    </w:p>
    <w:p w14:paraId="6B1CD1E6"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Project B</w:t>
      </w:r>
    </w:p>
    <w:p w14:paraId="4BAD5219" w14:textId="77777777" w:rsidR="002038D6" w:rsidRPr="009E7A21" w:rsidRDefault="00AD00E4" w:rsidP="002038D6">
      <w:pPr>
        <w:spacing w:line="360" w:lineRule="auto"/>
        <w:jc w:val="center"/>
        <w:rPr>
          <w:rFonts w:ascii="Arial" w:hAnsi="Arial" w:cs="Arial"/>
          <w:b/>
          <w:sz w:val="24"/>
          <w:szCs w:val="24"/>
        </w:rPr>
      </w:pPr>
      <w:r w:rsidRPr="009E7A21">
        <w:rPr>
          <w:rFonts w:ascii="Arial" w:hAnsi="Arial" w:cs="Arial"/>
          <w:b/>
          <w:noProof/>
          <w:sz w:val="24"/>
          <w:szCs w:val="24"/>
        </w:rPr>
        <w:lastRenderedPageBreak/>
        <w:drawing>
          <wp:inline distT="0" distB="0" distL="0" distR="0" wp14:anchorId="4D22B53F" wp14:editId="47900E20">
            <wp:extent cx="5731510" cy="24358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435860"/>
                    </a:xfrm>
                    <a:prstGeom prst="rect">
                      <a:avLst/>
                    </a:prstGeom>
                  </pic:spPr>
                </pic:pic>
              </a:graphicData>
            </a:graphic>
          </wp:inline>
        </w:drawing>
      </w:r>
      <w:r w:rsidR="002038D6" w:rsidRPr="009E7A21">
        <w:rPr>
          <w:rFonts w:ascii="Arial" w:hAnsi="Arial" w:cs="Arial"/>
          <w:b/>
          <w:sz w:val="24"/>
          <w:szCs w:val="24"/>
        </w:rPr>
        <w:t>Table 13: Project B</w:t>
      </w:r>
    </w:p>
    <w:p w14:paraId="53337880"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Investment Appraisal – Project B</w:t>
      </w:r>
    </w:p>
    <w:p w14:paraId="78A2A428" w14:textId="77777777" w:rsidR="00AD00E4" w:rsidRPr="009E7A21" w:rsidRDefault="00AD00E4" w:rsidP="002038D6">
      <w:pPr>
        <w:spacing w:line="360" w:lineRule="auto"/>
        <w:jc w:val="center"/>
        <w:rPr>
          <w:rFonts w:ascii="Arial" w:hAnsi="Arial" w:cs="Arial"/>
          <w:b/>
          <w:sz w:val="24"/>
          <w:szCs w:val="24"/>
        </w:rPr>
      </w:pPr>
      <w:r w:rsidRPr="009E7A21">
        <w:rPr>
          <w:rFonts w:ascii="Arial" w:hAnsi="Arial" w:cs="Arial"/>
          <w:b/>
          <w:noProof/>
          <w:sz w:val="24"/>
          <w:szCs w:val="24"/>
        </w:rPr>
        <w:drawing>
          <wp:inline distT="0" distB="0" distL="0" distR="0" wp14:anchorId="7C7AAC1A" wp14:editId="0929506B">
            <wp:extent cx="5731510" cy="168084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680845"/>
                    </a:xfrm>
                    <a:prstGeom prst="rect">
                      <a:avLst/>
                    </a:prstGeom>
                  </pic:spPr>
                </pic:pic>
              </a:graphicData>
            </a:graphic>
          </wp:inline>
        </w:drawing>
      </w:r>
    </w:p>
    <w:p w14:paraId="128094AF" w14:textId="77777777" w:rsidR="002038D6" w:rsidRPr="009E7A21" w:rsidRDefault="002038D6" w:rsidP="002038D6">
      <w:pPr>
        <w:spacing w:line="360" w:lineRule="auto"/>
        <w:jc w:val="center"/>
        <w:rPr>
          <w:rFonts w:ascii="Arial" w:hAnsi="Arial" w:cs="Arial"/>
          <w:b/>
          <w:sz w:val="24"/>
          <w:szCs w:val="24"/>
        </w:rPr>
      </w:pPr>
      <w:r w:rsidRPr="009E7A21">
        <w:rPr>
          <w:rFonts w:ascii="Arial" w:hAnsi="Arial" w:cs="Arial"/>
          <w:b/>
          <w:sz w:val="24"/>
          <w:szCs w:val="24"/>
        </w:rPr>
        <w:t>Table 14: Investment Appraisal – Project B</w:t>
      </w:r>
    </w:p>
    <w:p w14:paraId="69D4C4AE"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t>Project C</w:t>
      </w:r>
    </w:p>
    <w:p w14:paraId="228A2F83" w14:textId="77777777" w:rsidR="00AD00E4" w:rsidRPr="009E7A21" w:rsidRDefault="00AD00E4" w:rsidP="002038D6">
      <w:pPr>
        <w:spacing w:line="360" w:lineRule="auto"/>
        <w:jc w:val="center"/>
        <w:rPr>
          <w:rFonts w:ascii="Arial" w:hAnsi="Arial" w:cs="Arial"/>
          <w:b/>
          <w:sz w:val="24"/>
          <w:szCs w:val="24"/>
        </w:rPr>
      </w:pPr>
      <w:r w:rsidRPr="009E7A21">
        <w:rPr>
          <w:rFonts w:ascii="Arial" w:hAnsi="Arial" w:cs="Arial"/>
          <w:b/>
          <w:noProof/>
          <w:sz w:val="24"/>
          <w:szCs w:val="24"/>
        </w:rPr>
        <w:drawing>
          <wp:inline distT="0" distB="0" distL="0" distR="0" wp14:anchorId="10FECCCD" wp14:editId="1A03833B">
            <wp:extent cx="5731510" cy="2455545"/>
            <wp:effectExtent l="0" t="0" r="254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55545"/>
                    </a:xfrm>
                    <a:prstGeom prst="rect">
                      <a:avLst/>
                    </a:prstGeom>
                  </pic:spPr>
                </pic:pic>
              </a:graphicData>
            </a:graphic>
          </wp:inline>
        </w:drawing>
      </w:r>
    </w:p>
    <w:p w14:paraId="2A4D8870" w14:textId="77777777" w:rsidR="002038D6" w:rsidRPr="009E7A21" w:rsidRDefault="002038D6" w:rsidP="002038D6">
      <w:pPr>
        <w:spacing w:line="360" w:lineRule="auto"/>
        <w:jc w:val="center"/>
        <w:rPr>
          <w:rFonts w:ascii="Arial" w:hAnsi="Arial" w:cs="Arial"/>
          <w:b/>
          <w:sz w:val="24"/>
          <w:szCs w:val="24"/>
        </w:rPr>
      </w:pPr>
      <w:r w:rsidRPr="009E7A21">
        <w:rPr>
          <w:rFonts w:ascii="Arial" w:hAnsi="Arial" w:cs="Arial"/>
          <w:b/>
          <w:sz w:val="24"/>
          <w:szCs w:val="24"/>
        </w:rPr>
        <w:t>Table 15: Project C</w:t>
      </w:r>
    </w:p>
    <w:p w14:paraId="7B77EDFA" w14:textId="77777777" w:rsidR="00850BF7" w:rsidRPr="009E7A21" w:rsidRDefault="00850BF7" w:rsidP="005B343F">
      <w:pPr>
        <w:spacing w:line="360" w:lineRule="auto"/>
        <w:jc w:val="both"/>
        <w:rPr>
          <w:rFonts w:ascii="Arial" w:hAnsi="Arial" w:cs="Arial"/>
          <w:b/>
          <w:sz w:val="24"/>
          <w:szCs w:val="24"/>
        </w:rPr>
      </w:pPr>
      <w:r w:rsidRPr="009E7A21">
        <w:rPr>
          <w:rFonts w:ascii="Arial" w:hAnsi="Arial" w:cs="Arial"/>
          <w:b/>
          <w:sz w:val="24"/>
          <w:szCs w:val="24"/>
        </w:rPr>
        <w:lastRenderedPageBreak/>
        <w:t>Investment Appraisal – Project C</w:t>
      </w:r>
    </w:p>
    <w:p w14:paraId="42F17FFD" w14:textId="77777777" w:rsidR="00AD00E4" w:rsidRPr="009E7A21" w:rsidRDefault="00AD00E4" w:rsidP="002038D6">
      <w:pPr>
        <w:spacing w:line="360" w:lineRule="auto"/>
        <w:jc w:val="center"/>
        <w:rPr>
          <w:rFonts w:ascii="Arial" w:hAnsi="Arial" w:cs="Arial"/>
          <w:b/>
          <w:sz w:val="24"/>
          <w:szCs w:val="24"/>
        </w:rPr>
      </w:pPr>
      <w:r w:rsidRPr="009E7A21">
        <w:rPr>
          <w:rFonts w:ascii="Arial" w:hAnsi="Arial" w:cs="Arial"/>
          <w:b/>
          <w:noProof/>
          <w:sz w:val="24"/>
          <w:szCs w:val="24"/>
        </w:rPr>
        <w:drawing>
          <wp:inline distT="0" distB="0" distL="0" distR="0" wp14:anchorId="13CE2F1A" wp14:editId="67F1A28E">
            <wp:extent cx="5731510" cy="166433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664335"/>
                    </a:xfrm>
                    <a:prstGeom prst="rect">
                      <a:avLst/>
                    </a:prstGeom>
                  </pic:spPr>
                </pic:pic>
              </a:graphicData>
            </a:graphic>
          </wp:inline>
        </w:drawing>
      </w:r>
    </w:p>
    <w:p w14:paraId="45C7E39A" w14:textId="77777777" w:rsidR="000D50CB" w:rsidRPr="009E7A21" w:rsidRDefault="002038D6" w:rsidP="002038D6">
      <w:pPr>
        <w:spacing w:line="360" w:lineRule="auto"/>
        <w:jc w:val="center"/>
        <w:rPr>
          <w:rFonts w:ascii="Arial" w:hAnsi="Arial" w:cs="Arial"/>
          <w:b/>
          <w:sz w:val="24"/>
          <w:szCs w:val="24"/>
        </w:rPr>
      </w:pPr>
      <w:r w:rsidRPr="009E7A21">
        <w:rPr>
          <w:rFonts w:ascii="Arial" w:hAnsi="Arial" w:cs="Arial"/>
          <w:b/>
          <w:sz w:val="24"/>
          <w:szCs w:val="24"/>
        </w:rPr>
        <w:t>Table 16: Investment Appraisal – Project C</w:t>
      </w:r>
    </w:p>
    <w:p w14:paraId="20736ADB" w14:textId="77777777" w:rsidR="000D50CB" w:rsidRPr="009E7A21" w:rsidRDefault="000D50CB" w:rsidP="005B343F">
      <w:pPr>
        <w:pStyle w:val="Heading2"/>
        <w:spacing w:line="360" w:lineRule="auto"/>
        <w:jc w:val="both"/>
        <w:rPr>
          <w:rFonts w:ascii="Arial" w:hAnsi="Arial" w:cs="Arial"/>
          <w:b/>
          <w:color w:val="auto"/>
          <w:sz w:val="24"/>
          <w:szCs w:val="24"/>
        </w:rPr>
      </w:pPr>
      <w:bookmarkStart w:id="28" w:name="_Toc234747807"/>
      <w:bookmarkStart w:id="29" w:name="_Toc236848541"/>
      <w:r w:rsidRPr="009E7A21">
        <w:rPr>
          <w:rFonts w:ascii="Arial" w:hAnsi="Arial" w:cs="Arial"/>
          <w:b/>
          <w:color w:val="auto"/>
          <w:sz w:val="24"/>
          <w:szCs w:val="24"/>
        </w:rPr>
        <w:t>Project to be recommended</w:t>
      </w:r>
      <w:bookmarkEnd w:id="28"/>
      <w:bookmarkEnd w:id="29"/>
    </w:p>
    <w:p w14:paraId="06D71A38" w14:textId="77777777" w:rsidR="00AD00E4" w:rsidRPr="009E7A21" w:rsidRDefault="00AD00E4" w:rsidP="00AD00E4">
      <w:pPr>
        <w:spacing w:line="360" w:lineRule="auto"/>
        <w:jc w:val="both"/>
        <w:rPr>
          <w:rFonts w:ascii="Arial" w:hAnsi="Arial" w:cs="Arial"/>
          <w:sz w:val="24"/>
          <w:szCs w:val="24"/>
        </w:rPr>
      </w:pPr>
      <w:r w:rsidRPr="009E7A21">
        <w:rPr>
          <w:rFonts w:ascii="Arial" w:hAnsi="Arial" w:cs="Arial"/>
          <w:sz w:val="24"/>
          <w:szCs w:val="24"/>
        </w:rPr>
        <w:t>Project C has been found to be the best investment opportunity for Greene King, based on the investment appraisal results as it has the best financial performance with all the main capital budgeting techniques. Of the three alternatives, only project C has a positive Net Present Value (NPV) of £0.86 million, the project will add value to the company's shareholder beyond the cost of capital. By comparison, both project A and project B have negative NPVs of -£6.55 million and -£6.08 million respectively which then indicate that both projects would have a negative effect on the wealth of the shareholders if they were to be implemented (IFRS Foundation, 2025a).</w:t>
      </w:r>
    </w:p>
    <w:p w14:paraId="051594D6" w14:textId="77777777" w:rsidR="00AD00E4" w:rsidRPr="009E7A21" w:rsidRDefault="00AD00E4" w:rsidP="00AD00E4">
      <w:pPr>
        <w:spacing w:line="360" w:lineRule="auto"/>
        <w:jc w:val="both"/>
        <w:rPr>
          <w:rFonts w:ascii="Arial" w:hAnsi="Arial" w:cs="Arial"/>
          <w:sz w:val="24"/>
          <w:szCs w:val="24"/>
        </w:rPr>
      </w:pPr>
      <w:r w:rsidRPr="009E7A21">
        <w:rPr>
          <w:rFonts w:ascii="Arial" w:hAnsi="Arial" w:cs="Arial"/>
          <w:sz w:val="24"/>
          <w:szCs w:val="24"/>
        </w:rPr>
        <w:t>Project C has the highest IRR (8.3%) above the company's required rate of return (8%). This shows if the project is going to create returns greater than the minimum acceptable returns, and that the project is expected to be a financial success. The IRRs of Projects A and B are approximately 3.0% and 3.6%, respectively, which are significantly less than the required return and are therefore not financially attractive.</w:t>
      </w:r>
    </w:p>
    <w:p w14:paraId="27FB9BF4" w14:textId="77777777" w:rsidR="003A5AFF" w:rsidRPr="009E7A21" w:rsidRDefault="00AD00E4" w:rsidP="00AD00E4">
      <w:pPr>
        <w:spacing w:line="360" w:lineRule="auto"/>
        <w:jc w:val="both"/>
        <w:rPr>
          <w:rFonts w:ascii="Arial" w:hAnsi="Arial" w:cs="Arial"/>
          <w:sz w:val="24"/>
          <w:szCs w:val="24"/>
        </w:rPr>
      </w:pPr>
      <w:r w:rsidRPr="009E7A21">
        <w:rPr>
          <w:rFonts w:ascii="Arial" w:hAnsi="Arial" w:cs="Arial"/>
          <w:sz w:val="24"/>
          <w:szCs w:val="24"/>
        </w:rPr>
        <w:t xml:space="preserve">In addition, project C has the lowest Payback Period of 3.60 years, which means Greene King can payback their initial investment sooner than project A (4.50 years) and project B (4.55 years). This translates into a shorter payback period and less risk in investment, more liquidity and greater financial flexibility for future strategic investment. The project also has the highest Average Rate of Return (ARR) at 12.0%, which also means better accounting profitability during the project's life. Furthermore, the Profitability Index (PI) for the project is 1.02 which means that for every £1 invested in the project, £1.02 in present value benefit is expected, while the profitability indices </w:t>
      </w:r>
      <w:r w:rsidRPr="009E7A21">
        <w:rPr>
          <w:rFonts w:ascii="Arial" w:hAnsi="Arial" w:cs="Arial"/>
          <w:sz w:val="24"/>
          <w:szCs w:val="24"/>
        </w:rPr>
        <w:lastRenderedPageBreak/>
        <w:t xml:space="preserve">for Projects A and B are less than 1.0 which means that they will not create value </w:t>
      </w:r>
      <w:r w:rsidR="00482C6B" w:rsidRPr="009E7A21">
        <w:rPr>
          <w:rFonts w:ascii="Arial" w:hAnsi="Arial" w:cs="Arial"/>
          <w:sz w:val="24"/>
          <w:szCs w:val="24"/>
        </w:rPr>
        <w:t>(IFRS Foundation, 2025a)</w:t>
      </w:r>
      <w:r w:rsidR="00575D20" w:rsidRPr="009E7A21">
        <w:rPr>
          <w:rFonts w:ascii="Arial" w:hAnsi="Arial" w:cs="Arial"/>
          <w:sz w:val="24"/>
          <w:szCs w:val="24"/>
        </w:rPr>
        <w:t xml:space="preserve">. </w:t>
      </w:r>
    </w:p>
    <w:p w14:paraId="7A9A9AAE" w14:textId="77777777" w:rsidR="000D50CB" w:rsidRPr="009E7A21" w:rsidRDefault="000D50CB" w:rsidP="005B343F">
      <w:pPr>
        <w:pStyle w:val="Heading2"/>
        <w:spacing w:line="360" w:lineRule="auto"/>
        <w:jc w:val="both"/>
        <w:rPr>
          <w:rFonts w:ascii="Arial" w:hAnsi="Arial" w:cs="Arial"/>
          <w:b/>
          <w:color w:val="auto"/>
          <w:sz w:val="24"/>
          <w:szCs w:val="24"/>
        </w:rPr>
      </w:pPr>
      <w:bookmarkStart w:id="30" w:name="_Toc234747808"/>
      <w:bookmarkStart w:id="31" w:name="_Toc236848542"/>
      <w:r w:rsidRPr="009E7A21">
        <w:rPr>
          <w:rFonts w:ascii="Arial" w:hAnsi="Arial" w:cs="Arial"/>
          <w:b/>
          <w:color w:val="auto"/>
          <w:sz w:val="24"/>
          <w:szCs w:val="24"/>
        </w:rPr>
        <w:t>Justification of the recommendation with reference to the company’s financial performance (e.g. profitability, liquidity)</w:t>
      </w:r>
      <w:bookmarkEnd w:id="30"/>
      <w:bookmarkEnd w:id="31"/>
    </w:p>
    <w:p w14:paraId="182D0A83" w14:textId="77777777" w:rsidR="0057019F" w:rsidRPr="009E7A21" w:rsidRDefault="0057019F" w:rsidP="005B343F">
      <w:pPr>
        <w:spacing w:line="360" w:lineRule="auto"/>
        <w:jc w:val="both"/>
        <w:rPr>
          <w:rFonts w:ascii="Arial" w:hAnsi="Arial" w:cs="Arial"/>
          <w:b/>
          <w:sz w:val="24"/>
          <w:szCs w:val="24"/>
        </w:rPr>
      </w:pPr>
      <w:r w:rsidRPr="009E7A21">
        <w:rPr>
          <w:rFonts w:ascii="Arial" w:hAnsi="Arial" w:cs="Arial"/>
          <w:b/>
          <w:sz w:val="24"/>
          <w:szCs w:val="24"/>
        </w:rPr>
        <w:t xml:space="preserve">Profitability </w:t>
      </w:r>
    </w:p>
    <w:p w14:paraId="12F8FC77" w14:textId="77777777" w:rsidR="0057019F" w:rsidRPr="009E7A21" w:rsidRDefault="00575D20" w:rsidP="005B343F">
      <w:pPr>
        <w:spacing w:line="360" w:lineRule="auto"/>
        <w:jc w:val="both"/>
        <w:rPr>
          <w:rFonts w:ascii="Arial" w:hAnsi="Arial" w:cs="Arial"/>
          <w:sz w:val="24"/>
          <w:szCs w:val="24"/>
        </w:rPr>
      </w:pPr>
      <w:r w:rsidRPr="009E7A21">
        <w:rPr>
          <w:rFonts w:ascii="Arial" w:hAnsi="Arial" w:cs="Arial"/>
          <w:sz w:val="24"/>
          <w:szCs w:val="24"/>
        </w:rPr>
        <w:t>Project C is the best investment for Greene King as it is in line with the company's recent profitability and is also expected to assist the company in creating long-term value. Although Greene King’s revenue increased steadily from £1.92 billion in 2020 to £2.45 billion in 2024, profitability has remained volatile, with a pre-tax loss of £147.1 million in 2024 due to impairment and restructuring charges. Thus the company should invest in the projects that give him maximum financial returns with the least investment risk</w:t>
      </w:r>
      <w:r w:rsidR="00482C6B" w:rsidRPr="009E7A21">
        <w:rPr>
          <w:rFonts w:ascii="Arial" w:hAnsi="Arial" w:cs="Arial"/>
          <w:sz w:val="24"/>
          <w:szCs w:val="24"/>
        </w:rPr>
        <w:t xml:space="preserve"> (UK Government, 2026)</w:t>
      </w:r>
      <w:r w:rsidRPr="009E7A21">
        <w:rPr>
          <w:rFonts w:ascii="Arial" w:hAnsi="Arial" w:cs="Arial"/>
          <w:sz w:val="24"/>
          <w:szCs w:val="24"/>
        </w:rPr>
        <w:t>. The Average Rate of Return is the highest value, at 12.0%, for Project C, and the Internal Rate of Return is 8.3% for the same project – this is the highest value, and it is the only project with a positive IRR, indicating that it is likely to deliver value over the required 8% cost of capital</w:t>
      </w:r>
      <w:r w:rsidR="00482C6B" w:rsidRPr="009E7A21">
        <w:rPr>
          <w:rFonts w:ascii="Arial" w:hAnsi="Arial" w:cs="Arial"/>
          <w:sz w:val="24"/>
          <w:szCs w:val="24"/>
        </w:rPr>
        <w:t xml:space="preserve"> (IFRS Foundation, 2025b)</w:t>
      </w:r>
      <w:r w:rsidRPr="009E7A21">
        <w:rPr>
          <w:rFonts w:ascii="Arial" w:hAnsi="Arial" w:cs="Arial"/>
          <w:sz w:val="24"/>
          <w:szCs w:val="24"/>
        </w:rPr>
        <w:t xml:space="preserve">. Further, </w:t>
      </w:r>
      <w:r w:rsidR="00482C6B" w:rsidRPr="009E7A21">
        <w:rPr>
          <w:rFonts w:ascii="Arial" w:hAnsi="Arial" w:cs="Arial"/>
          <w:sz w:val="24"/>
          <w:szCs w:val="24"/>
        </w:rPr>
        <w:t>it’s</w:t>
      </w:r>
      <w:r w:rsidRPr="009E7A21">
        <w:rPr>
          <w:rFonts w:ascii="Arial" w:hAnsi="Arial" w:cs="Arial"/>
          <w:sz w:val="24"/>
          <w:szCs w:val="24"/>
        </w:rPr>
        <w:t xml:space="preserve"> Profitability Index of 1.02 means that it will create £1.02 of present value for every £1 invested, while Projects A and B will see profitability indices below 1.0, meaning value will be destroyed. As a result, Project C offers the greatest potential for enhanced future income, enhanced return on investment, and support of Greene King's long term profitability goals.</w:t>
      </w:r>
    </w:p>
    <w:p w14:paraId="74FA0F89" w14:textId="77777777" w:rsidR="0057019F" w:rsidRPr="009E7A21" w:rsidRDefault="0057019F" w:rsidP="005B343F">
      <w:pPr>
        <w:spacing w:line="360" w:lineRule="auto"/>
        <w:jc w:val="both"/>
        <w:rPr>
          <w:rFonts w:ascii="Arial" w:hAnsi="Arial" w:cs="Arial"/>
          <w:b/>
          <w:sz w:val="24"/>
          <w:szCs w:val="24"/>
        </w:rPr>
      </w:pPr>
      <w:r w:rsidRPr="009E7A21">
        <w:rPr>
          <w:rFonts w:ascii="Arial" w:hAnsi="Arial" w:cs="Arial"/>
          <w:b/>
          <w:sz w:val="24"/>
          <w:szCs w:val="24"/>
        </w:rPr>
        <w:t xml:space="preserve">Liquidity </w:t>
      </w:r>
    </w:p>
    <w:p w14:paraId="3832DE5A" w14:textId="77777777" w:rsidR="003A5AFF" w:rsidRPr="009E7A21" w:rsidRDefault="00575D20" w:rsidP="005B343F">
      <w:pPr>
        <w:spacing w:line="360" w:lineRule="auto"/>
        <w:jc w:val="both"/>
        <w:rPr>
          <w:rFonts w:ascii="Arial" w:hAnsi="Arial" w:cs="Arial"/>
          <w:sz w:val="24"/>
          <w:szCs w:val="24"/>
        </w:rPr>
      </w:pPr>
      <w:r w:rsidRPr="009E7A21">
        <w:rPr>
          <w:rFonts w:ascii="Arial" w:hAnsi="Arial" w:cs="Arial"/>
          <w:sz w:val="24"/>
          <w:szCs w:val="24"/>
        </w:rPr>
        <w:t>Project C is also most appropriate in terms of liquidity as it will allow for speedy repayment of the initial investment with minimal impact on Greene King's working capital. Its current ratio of 0.68 and quick ratio of 0.57 suggest that the company's short-term liquidity is tight, relative to industry standards, but its operating cash flow of £389.7m in 2024 was strong</w:t>
      </w:r>
      <w:r w:rsidR="00482C6B" w:rsidRPr="009E7A21">
        <w:rPr>
          <w:rFonts w:ascii="Arial" w:hAnsi="Arial" w:cs="Arial"/>
          <w:sz w:val="24"/>
          <w:szCs w:val="24"/>
        </w:rPr>
        <w:t xml:space="preserve"> (International Monetary Fund, 2025a)</w:t>
      </w:r>
      <w:r w:rsidRPr="009E7A21">
        <w:rPr>
          <w:rFonts w:ascii="Arial" w:hAnsi="Arial" w:cs="Arial"/>
          <w:sz w:val="24"/>
          <w:szCs w:val="24"/>
        </w:rPr>
        <w:t xml:space="preserve">. Projects with quicker cash return are better as they can be used to continue investing in the estate refurbishment, digitalisation of the estate and operational improvements and this is essential for continued cash flow. The company recovers its £50 million investment more quickly with Project C, which has the shortest payback period of 3.60 years, than with Project A (4.50 years) and Project B (4.55 years). Early cash recovery decreases financing needs, enhances liquidity, and enhances monetary adaptability. In addition, </w:t>
      </w:r>
      <w:r w:rsidRPr="009E7A21">
        <w:rPr>
          <w:rFonts w:ascii="Arial" w:hAnsi="Arial" w:cs="Arial"/>
          <w:sz w:val="24"/>
          <w:szCs w:val="24"/>
        </w:rPr>
        <w:lastRenderedPageBreak/>
        <w:t>increased cash inflows into the company in the future, due to Project C, will help the company to meet debt obligations, maintain adequate working capital, and also allow the company to invest in future strategic investments. Therefore, Project C is the most financially suitable choice for Greene King to invest in as it provides the greatest balance of profitability and liquidity</w:t>
      </w:r>
      <w:r w:rsidR="00482C6B" w:rsidRPr="009E7A21">
        <w:rPr>
          <w:rFonts w:ascii="Arial" w:hAnsi="Arial" w:cs="Arial"/>
          <w:sz w:val="24"/>
          <w:szCs w:val="24"/>
        </w:rPr>
        <w:t xml:space="preserve"> (World Bank, 2025a)</w:t>
      </w:r>
      <w:r w:rsidRPr="009E7A21">
        <w:rPr>
          <w:rFonts w:ascii="Arial" w:hAnsi="Arial" w:cs="Arial"/>
          <w:sz w:val="24"/>
          <w:szCs w:val="24"/>
        </w:rPr>
        <w:t>.</w:t>
      </w:r>
    </w:p>
    <w:p w14:paraId="1288E59C" w14:textId="77777777" w:rsidR="000D50CB" w:rsidRPr="009E7A21" w:rsidRDefault="000D50CB" w:rsidP="005B343F">
      <w:pPr>
        <w:pStyle w:val="Heading2"/>
        <w:spacing w:line="360" w:lineRule="auto"/>
        <w:jc w:val="both"/>
        <w:rPr>
          <w:rFonts w:ascii="Arial" w:hAnsi="Arial" w:cs="Arial"/>
          <w:b/>
          <w:color w:val="auto"/>
          <w:sz w:val="24"/>
          <w:szCs w:val="24"/>
        </w:rPr>
      </w:pPr>
      <w:bookmarkStart w:id="32" w:name="_Toc234747809"/>
      <w:bookmarkStart w:id="33" w:name="_Toc236848543"/>
      <w:r w:rsidRPr="009E7A21">
        <w:rPr>
          <w:rFonts w:ascii="Arial" w:hAnsi="Arial" w:cs="Arial"/>
          <w:b/>
          <w:color w:val="auto"/>
          <w:sz w:val="24"/>
          <w:szCs w:val="24"/>
        </w:rPr>
        <w:t>Justification of the recommendation with reference to the non-financial risks (e.g. political risk, customer loyalty)</w:t>
      </w:r>
      <w:bookmarkEnd w:id="32"/>
      <w:bookmarkEnd w:id="33"/>
    </w:p>
    <w:p w14:paraId="28DD4D04" w14:textId="77777777" w:rsidR="0057019F" w:rsidRPr="009E7A21" w:rsidRDefault="0057019F" w:rsidP="005B343F">
      <w:pPr>
        <w:spacing w:line="360" w:lineRule="auto"/>
        <w:jc w:val="both"/>
        <w:rPr>
          <w:rFonts w:ascii="Arial" w:hAnsi="Arial" w:cs="Arial"/>
          <w:b/>
          <w:sz w:val="24"/>
          <w:szCs w:val="24"/>
        </w:rPr>
      </w:pPr>
      <w:r w:rsidRPr="009E7A21">
        <w:rPr>
          <w:rFonts w:ascii="Arial" w:hAnsi="Arial" w:cs="Arial"/>
          <w:b/>
          <w:sz w:val="24"/>
          <w:szCs w:val="24"/>
        </w:rPr>
        <w:t>Political Risk</w:t>
      </w:r>
    </w:p>
    <w:p w14:paraId="4CE066E6" w14:textId="77777777" w:rsidR="0057019F" w:rsidRPr="009E7A21" w:rsidRDefault="00575D20" w:rsidP="005B343F">
      <w:pPr>
        <w:spacing w:line="360" w:lineRule="auto"/>
        <w:jc w:val="both"/>
        <w:rPr>
          <w:rFonts w:ascii="Arial" w:hAnsi="Arial" w:cs="Arial"/>
          <w:sz w:val="24"/>
          <w:szCs w:val="24"/>
        </w:rPr>
      </w:pPr>
      <w:r w:rsidRPr="009E7A21">
        <w:rPr>
          <w:rFonts w:ascii="Arial" w:hAnsi="Arial" w:cs="Arial"/>
          <w:sz w:val="24"/>
          <w:szCs w:val="24"/>
        </w:rPr>
        <w:t>Project C is the most appropriate investment as it offers greater protection from political and regulatory uncertainties which remain a risk in the UK hospitality market. The operating environment in which Greene King works can make it easy for corporation tax, business rates, regulations relating to the National Living Wage, licensing laws, food safety laws and environmental laws to dramatically increase operating costs. Impairment charges and an increase in operating expenditure due to the UK Autumn Budget had a major impact on the company's pre-tax loss of £147.1 million for 2024, underlining the direct effect government policy has on financial performance. As compared to Projects A and B, Project C has positive Net Present Value (NPV) of £0.86 million, highest Internal Rate of Return (IRR) of 8.3% and shortest payback period of 3.60 years so that company can recover its £50 million investment at a faster rate</w:t>
      </w:r>
      <w:r w:rsidR="00482C6B" w:rsidRPr="009E7A21">
        <w:rPr>
          <w:rFonts w:ascii="Arial" w:hAnsi="Arial" w:cs="Arial"/>
          <w:sz w:val="24"/>
          <w:szCs w:val="24"/>
        </w:rPr>
        <w:t xml:space="preserve"> (International Monetary Fund, 2025b)</w:t>
      </w:r>
      <w:r w:rsidRPr="009E7A21">
        <w:rPr>
          <w:rFonts w:ascii="Arial" w:hAnsi="Arial" w:cs="Arial"/>
          <w:sz w:val="24"/>
          <w:szCs w:val="24"/>
        </w:rPr>
        <w:t>. Capital recovery is accelerated which helps to minimise exposure to future tax increases, inflation and regulatory changes and enhances cash flow. Better financial performance also gives Greene King more flexibility in meeting changing sustainability laws and regulations, making investment in improvements to the business and dealing with future political and economic uncertainty a more viable option</w:t>
      </w:r>
      <w:r w:rsidR="00482C6B" w:rsidRPr="009E7A21">
        <w:rPr>
          <w:rFonts w:ascii="Arial" w:hAnsi="Arial" w:cs="Arial"/>
          <w:sz w:val="24"/>
          <w:szCs w:val="24"/>
        </w:rPr>
        <w:t xml:space="preserve"> (World Bank, 2025b)</w:t>
      </w:r>
      <w:r w:rsidRPr="009E7A21">
        <w:rPr>
          <w:rFonts w:ascii="Arial" w:hAnsi="Arial" w:cs="Arial"/>
          <w:sz w:val="24"/>
          <w:szCs w:val="24"/>
        </w:rPr>
        <w:t>.</w:t>
      </w:r>
    </w:p>
    <w:p w14:paraId="57D8543A" w14:textId="77777777" w:rsidR="0057019F" w:rsidRPr="009E7A21" w:rsidRDefault="0057019F" w:rsidP="005B343F">
      <w:pPr>
        <w:spacing w:line="360" w:lineRule="auto"/>
        <w:jc w:val="both"/>
        <w:rPr>
          <w:rFonts w:ascii="Arial" w:hAnsi="Arial" w:cs="Arial"/>
          <w:b/>
          <w:sz w:val="24"/>
          <w:szCs w:val="24"/>
        </w:rPr>
      </w:pPr>
      <w:r w:rsidRPr="009E7A21">
        <w:rPr>
          <w:rFonts w:ascii="Arial" w:hAnsi="Arial" w:cs="Arial"/>
          <w:b/>
          <w:sz w:val="24"/>
          <w:szCs w:val="24"/>
        </w:rPr>
        <w:t>Customer Loyalty</w:t>
      </w:r>
    </w:p>
    <w:p w14:paraId="21242AA3" w14:textId="77777777" w:rsidR="003A5AFF" w:rsidRPr="009E7A21" w:rsidRDefault="0057019F" w:rsidP="005B343F">
      <w:pPr>
        <w:spacing w:line="360" w:lineRule="auto"/>
        <w:jc w:val="both"/>
        <w:rPr>
          <w:rFonts w:ascii="Arial" w:hAnsi="Arial" w:cs="Arial"/>
          <w:sz w:val="24"/>
          <w:szCs w:val="24"/>
        </w:rPr>
      </w:pPr>
      <w:r w:rsidRPr="009E7A21">
        <w:rPr>
          <w:rFonts w:ascii="Arial" w:hAnsi="Arial" w:cs="Arial"/>
          <w:sz w:val="24"/>
          <w:szCs w:val="24"/>
        </w:rPr>
        <w:t xml:space="preserve"> </w:t>
      </w:r>
      <w:r w:rsidR="00575D20" w:rsidRPr="009E7A21">
        <w:rPr>
          <w:rFonts w:ascii="Arial" w:hAnsi="Arial" w:cs="Arial"/>
          <w:sz w:val="24"/>
          <w:szCs w:val="24"/>
        </w:rPr>
        <w:t xml:space="preserve">Project C also offers the biggest opportunity to enhance customer loyalty and secure Greene King's future competitiveness. The company has always looked after the cultural transformation, the redevelopment of the pubs, high-calibre food ideas, platforms for customer involvement and standards of service quality, which all contribute to high levels of customer satisfaction. With changing customer demands, it is more crucial than ever to provide an exceptional experience for customers, to keep </w:t>
      </w:r>
      <w:r w:rsidR="00575D20" w:rsidRPr="009E7A21">
        <w:rPr>
          <w:rFonts w:ascii="Arial" w:hAnsi="Arial" w:cs="Arial"/>
          <w:sz w:val="24"/>
          <w:szCs w:val="24"/>
        </w:rPr>
        <w:lastRenderedPageBreak/>
        <w:t>them loyal and to win over new customers</w:t>
      </w:r>
      <w:r w:rsidR="00482C6B" w:rsidRPr="009E7A21">
        <w:rPr>
          <w:rFonts w:ascii="Arial" w:hAnsi="Arial" w:cs="Arial"/>
          <w:sz w:val="24"/>
          <w:szCs w:val="24"/>
        </w:rPr>
        <w:t xml:space="preserve"> (KPMG, 2025)</w:t>
      </w:r>
      <w:r w:rsidR="00575D20" w:rsidRPr="009E7A21">
        <w:rPr>
          <w:rFonts w:ascii="Arial" w:hAnsi="Arial" w:cs="Arial"/>
          <w:sz w:val="24"/>
          <w:szCs w:val="24"/>
        </w:rPr>
        <w:t>. Project C has the highest financial return with a positive NPV of £0.86 million, ARR of 12% and the highest IRR, resulting in extra cash flows to be directed at further investing in customer focused projects such as upgrading the mobile booking system, extending loyalty schemes, modernising pub premises, new menu ideas and developing digital booking opportunities. They will be expected to drive additional visits, enhance customer confidence and brand loyalty throughout Greene King's network of over 2,600 pubs. Additionally, greater customer loyalty can help to ensure more stable revenues, higher occupancy rates, and greater long-term profitability – helping Greene King remain a market leader in a competitive UK hospitality sector.</w:t>
      </w:r>
    </w:p>
    <w:p w14:paraId="03846278" w14:textId="77777777" w:rsidR="000D50CB" w:rsidRPr="009E7A21" w:rsidRDefault="003A5AFF" w:rsidP="005B343F">
      <w:pPr>
        <w:pStyle w:val="Heading2"/>
        <w:spacing w:line="360" w:lineRule="auto"/>
        <w:jc w:val="both"/>
        <w:rPr>
          <w:rFonts w:ascii="Arial" w:hAnsi="Arial" w:cs="Arial"/>
          <w:b/>
          <w:color w:val="auto"/>
          <w:sz w:val="24"/>
          <w:szCs w:val="24"/>
        </w:rPr>
      </w:pPr>
      <w:bookmarkStart w:id="34" w:name="_Toc234747810"/>
      <w:bookmarkStart w:id="35" w:name="_Toc236848544"/>
      <w:r w:rsidRPr="009E7A21">
        <w:rPr>
          <w:rFonts w:ascii="Arial" w:hAnsi="Arial" w:cs="Arial"/>
          <w:b/>
          <w:color w:val="auto"/>
          <w:sz w:val="24"/>
          <w:szCs w:val="24"/>
        </w:rPr>
        <w:t>Combination of projects is the best on using capital rationing</w:t>
      </w:r>
      <w:bookmarkEnd w:id="34"/>
      <w:bookmarkEnd w:id="35"/>
    </w:p>
    <w:p w14:paraId="08C2525D" w14:textId="77777777" w:rsidR="003A5AFF" w:rsidRPr="009E7A21" w:rsidRDefault="00575D20" w:rsidP="005B343F">
      <w:pPr>
        <w:spacing w:line="360" w:lineRule="auto"/>
        <w:jc w:val="both"/>
        <w:rPr>
          <w:rFonts w:ascii="Arial" w:hAnsi="Arial" w:cs="Arial"/>
          <w:sz w:val="24"/>
          <w:szCs w:val="24"/>
        </w:rPr>
      </w:pPr>
      <w:r w:rsidRPr="009E7A21">
        <w:rPr>
          <w:rFonts w:ascii="Arial" w:hAnsi="Arial" w:cs="Arial"/>
          <w:sz w:val="24"/>
          <w:szCs w:val="24"/>
        </w:rPr>
        <w:t>In capital rationing, organisations will make investment decisions that will maximize shareholder value by choosing the set of investment projects that will provide the greatest overall return within the budget of the available capital. The investment appraisal results indicate that Project C should be prioritized as the highest as it has an Internal Rate of Return of 8.3%, Average Rate of Return of 12%, Payback Period of 3.60 years, a positive Net Present Value of £0.86 million and a Profitability Index of more than 1 (1.02). Project B should be the second preferred project as it has negative NPV of (-£6.08 million), has long payback period and has the lowest investment returns, while Project A is the least preferred project as it has the lowest profitability and the longest payback period and the lowest investment returns</w:t>
      </w:r>
      <w:r w:rsidR="00482C6B" w:rsidRPr="009E7A21">
        <w:rPr>
          <w:rFonts w:ascii="Arial" w:hAnsi="Arial" w:cs="Arial"/>
          <w:sz w:val="24"/>
          <w:szCs w:val="24"/>
        </w:rPr>
        <w:t xml:space="preserve"> (London Stock Exchange Group, 2025)</w:t>
      </w:r>
      <w:r w:rsidRPr="009E7A21">
        <w:rPr>
          <w:rFonts w:ascii="Arial" w:hAnsi="Arial" w:cs="Arial"/>
          <w:sz w:val="24"/>
          <w:szCs w:val="24"/>
        </w:rPr>
        <w:t>. For this reason, in a situation of capital rationing, it would be best to prioritise Project C, and only consider Project B if strategic or operational goals require further investment to maximise the financial return and support the long-term growth aims of Greene King</w:t>
      </w:r>
      <w:r w:rsidR="00482C6B" w:rsidRPr="009E7A21">
        <w:rPr>
          <w:rFonts w:ascii="Arial" w:hAnsi="Arial" w:cs="Arial"/>
          <w:sz w:val="24"/>
          <w:szCs w:val="24"/>
        </w:rPr>
        <w:t xml:space="preserve"> (OECD, 2025a)</w:t>
      </w:r>
      <w:r w:rsidRPr="009E7A21">
        <w:rPr>
          <w:rFonts w:ascii="Arial" w:hAnsi="Arial" w:cs="Arial"/>
          <w:sz w:val="24"/>
          <w:szCs w:val="24"/>
        </w:rPr>
        <w:t>.</w:t>
      </w:r>
      <w:r w:rsidR="0057019F" w:rsidRPr="009E7A21">
        <w:rPr>
          <w:rFonts w:ascii="Arial" w:hAnsi="Arial" w:cs="Arial"/>
          <w:sz w:val="24"/>
          <w:szCs w:val="24"/>
        </w:rPr>
        <w:t xml:space="preserve"> </w:t>
      </w:r>
    </w:p>
    <w:p w14:paraId="21DE792D" w14:textId="77777777" w:rsidR="00007F77" w:rsidRPr="009E7A21" w:rsidRDefault="00007F77" w:rsidP="005B343F">
      <w:pPr>
        <w:spacing w:line="360" w:lineRule="auto"/>
        <w:jc w:val="both"/>
        <w:rPr>
          <w:rFonts w:ascii="Arial" w:eastAsiaTheme="majorEastAsia" w:hAnsi="Arial" w:cs="Arial"/>
          <w:b/>
          <w:sz w:val="24"/>
          <w:szCs w:val="24"/>
        </w:rPr>
      </w:pPr>
      <w:r w:rsidRPr="009E7A21">
        <w:rPr>
          <w:rFonts w:ascii="Arial" w:hAnsi="Arial" w:cs="Arial"/>
          <w:b/>
          <w:sz w:val="24"/>
          <w:szCs w:val="24"/>
        </w:rPr>
        <w:br w:type="page"/>
      </w:r>
    </w:p>
    <w:p w14:paraId="6EDB8072" w14:textId="77777777" w:rsidR="003A5AFF" w:rsidRPr="009E7A21" w:rsidRDefault="003A5AFF" w:rsidP="005B343F">
      <w:pPr>
        <w:pStyle w:val="Heading1"/>
        <w:spacing w:line="360" w:lineRule="auto"/>
        <w:jc w:val="both"/>
        <w:rPr>
          <w:rFonts w:ascii="Arial" w:hAnsi="Arial" w:cs="Arial"/>
          <w:b/>
          <w:color w:val="auto"/>
          <w:sz w:val="24"/>
          <w:szCs w:val="24"/>
        </w:rPr>
      </w:pPr>
      <w:bookmarkStart w:id="36" w:name="_Toc234747811"/>
      <w:bookmarkStart w:id="37" w:name="_Toc236848545"/>
      <w:r w:rsidRPr="009E7A21">
        <w:rPr>
          <w:rFonts w:ascii="Arial" w:hAnsi="Arial" w:cs="Arial"/>
          <w:b/>
          <w:color w:val="auto"/>
          <w:sz w:val="24"/>
          <w:szCs w:val="24"/>
        </w:rPr>
        <w:lastRenderedPageBreak/>
        <w:t>5. Critical Reflection on AI Usage</w:t>
      </w:r>
      <w:bookmarkEnd w:id="36"/>
      <w:bookmarkEnd w:id="37"/>
      <w:r w:rsidRPr="009E7A21">
        <w:rPr>
          <w:rFonts w:ascii="Arial" w:hAnsi="Arial" w:cs="Arial"/>
          <w:b/>
          <w:color w:val="auto"/>
          <w:sz w:val="24"/>
          <w:szCs w:val="24"/>
        </w:rPr>
        <w:t xml:space="preserve"> </w:t>
      </w:r>
    </w:p>
    <w:p w14:paraId="75DB9217" w14:textId="77777777" w:rsidR="003A5AFF" w:rsidRPr="009E7A21" w:rsidRDefault="003A5AFF" w:rsidP="005B343F">
      <w:pPr>
        <w:pStyle w:val="Heading2"/>
        <w:spacing w:line="360" w:lineRule="auto"/>
        <w:jc w:val="both"/>
        <w:rPr>
          <w:rFonts w:ascii="Arial" w:hAnsi="Arial" w:cs="Arial"/>
          <w:b/>
          <w:color w:val="auto"/>
          <w:sz w:val="24"/>
          <w:szCs w:val="24"/>
        </w:rPr>
      </w:pPr>
      <w:bookmarkStart w:id="38" w:name="_Toc234747812"/>
      <w:bookmarkStart w:id="39" w:name="_Toc236848546"/>
      <w:r w:rsidRPr="009E7A21">
        <w:rPr>
          <w:rFonts w:ascii="Arial" w:hAnsi="Arial" w:cs="Arial"/>
          <w:b/>
          <w:color w:val="auto"/>
          <w:sz w:val="24"/>
          <w:szCs w:val="24"/>
        </w:rPr>
        <w:t>Tool Disclosure</w:t>
      </w:r>
      <w:bookmarkEnd w:id="38"/>
      <w:bookmarkEnd w:id="39"/>
    </w:p>
    <w:p w14:paraId="03808627" w14:textId="77777777" w:rsidR="003A5AFF" w:rsidRPr="009E7A21" w:rsidRDefault="00575D20" w:rsidP="005B343F">
      <w:pPr>
        <w:pStyle w:val="NormalWeb"/>
        <w:spacing w:line="360" w:lineRule="auto"/>
        <w:jc w:val="both"/>
        <w:rPr>
          <w:rFonts w:ascii="Arial" w:hAnsi="Arial" w:cs="Arial"/>
        </w:rPr>
      </w:pPr>
      <w:r w:rsidRPr="009E7A21">
        <w:rPr>
          <w:rFonts w:ascii="Arial" w:hAnsi="Arial" w:cs="Arial"/>
        </w:rPr>
        <w:t>The report was structured, enhanced, and presented with the support from OpenAI ChatGPT (GPT-5.5), which was used to organize information from published sources, present tables in a clear and consistent format, organize financial data, calculate financial ratios, and enhance academic writing of the report. Microsoft Excel was used in performing financial calculations, ratio analysis and investment appraisal techniques such as Pay Back Period (PBP), average rate of return (ARR), net present value (NPV), profitability index (PI) and internal rate of return (IRR), and to make supporting tables. All financial information, calculations, interpretations and recommendations have been independently verified against the relevant academic sources and also Greene King's annual reports. More information on use of these tools is included in the Appendix AI Use Acknowledgement in accordance with assessment requirements.</w:t>
      </w:r>
    </w:p>
    <w:p w14:paraId="74A73B24" w14:textId="77777777" w:rsidR="003A5AFF" w:rsidRPr="009E7A21" w:rsidRDefault="003A5AFF" w:rsidP="005B343F">
      <w:pPr>
        <w:pStyle w:val="Heading2"/>
        <w:spacing w:line="360" w:lineRule="auto"/>
        <w:jc w:val="both"/>
        <w:rPr>
          <w:rFonts w:ascii="Arial" w:hAnsi="Arial" w:cs="Arial"/>
          <w:b/>
          <w:color w:val="auto"/>
          <w:sz w:val="24"/>
          <w:szCs w:val="24"/>
        </w:rPr>
      </w:pPr>
      <w:bookmarkStart w:id="40" w:name="_Toc234747813"/>
      <w:bookmarkStart w:id="41" w:name="_Toc236848547"/>
      <w:r w:rsidRPr="009E7A21">
        <w:rPr>
          <w:rFonts w:ascii="Arial" w:hAnsi="Arial" w:cs="Arial"/>
          <w:b/>
          <w:color w:val="auto"/>
          <w:sz w:val="24"/>
          <w:szCs w:val="24"/>
        </w:rPr>
        <w:t>Critical Evaluation of AI Output</w:t>
      </w:r>
      <w:bookmarkEnd w:id="40"/>
      <w:bookmarkEnd w:id="41"/>
    </w:p>
    <w:p w14:paraId="4E94BE07" w14:textId="77777777" w:rsidR="00575D20" w:rsidRPr="009E7A21" w:rsidRDefault="00575D20" w:rsidP="005B343F">
      <w:pPr>
        <w:pStyle w:val="NormalWeb"/>
        <w:spacing w:line="360" w:lineRule="auto"/>
        <w:jc w:val="both"/>
        <w:rPr>
          <w:rFonts w:ascii="Arial" w:hAnsi="Arial" w:cs="Arial"/>
        </w:rPr>
      </w:pPr>
      <w:r w:rsidRPr="009E7A21">
        <w:rPr>
          <w:rFonts w:ascii="Arial" w:hAnsi="Arial" w:cs="Arial"/>
        </w:rPr>
        <w:t xml:space="preserve">AI generated content was checked for accuracy by undergoing a systematic content review process based on Greene King's Annual Reports (2020-2024), lecture content and academic literature. All financial data such as revenue, profit, cash flow, assets, liabilities, and investment data were checked against the published financial statements of the company and used in the report. All financial ratios were recalculated in Microsoft Excel for mathematical accuracy and considered </w:t>
      </w:r>
      <w:proofErr w:type="spellStart"/>
      <w:r w:rsidRPr="009E7A21">
        <w:rPr>
          <w:rFonts w:ascii="Arial" w:hAnsi="Arial" w:cs="Arial"/>
        </w:rPr>
        <w:t>independently.All</w:t>
      </w:r>
      <w:proofErr w:type="spellEnd"/>
      <w:r w:rsidRPr="009E7A21">
        <w:rPr>
          <w:rFonts w:ascii="Arial" w:hAnsi="Arial" w:cs="Arial"/>
        </w:rPr>
        <w:t xml:space="preserve"> financial ratios such as profitability, liquidity, efficiency, gearing and investment appraisal measures were calculated independently in Microsoft Excel to ensure mathematical accuracy.</w:t>
      </w:r>
    </w:p>
    <w:p w14:paraId="3B4AE663" w14:textId="77777777" w:rsidR="003A5AFF" w:rsidRPr="009E7A21" w:rsidRDefault="00575D20" w:rsidP="005B343F">
      <w:pPr>
        <w:pStyle w:val="NormalWeb"/>
        <w:spacing w:line="360" w:lineRule="auto"/>
        <w:jc w:val="both"/>
        <w:rPr>
          <w:rFonts w:ascii="Arial" w:hAnsi="Arial" w:cs="Arial"/>
        </w:rPr>
      </w:pPr>
      <w:r w:rsidRPr="009E7A21">
        <w:rPr>
          <w:rFonts w:ascii="Arial" w:hAnsi="Arial" w:cs="Arial"/>
        </w:rPr>
        <w:t xml:space="preserve">The AI-generated interpretations were checked for potential hallucination or inconsistencies by comparing them with the company's reported financial performance and the accepted financial management principles. For instance, when Greene King had issued general assumptions or information which was not included in its reports, those were either eliminated or substituted with analysis based on evidence. Also, the investment suggestions were looked at in the light of the result of calculated parameters like the Payback Period (PBP), Average Rate of Return (ARR), Net Present Value (NPV), Profitability Index (PI), and Internal Rate of Return (IRR). All </w:t>
      </w:r>
      <w:r w:rsidRPr="009E7A21">
        <w:rPr>
          <w:rFonts w:ascii="Arial" w:hAnsi="Arial" w:cs="Arial"/>
        </w:rPr>
        <w:lastRenderedPageBreak/>
        <w:t>qualitative interpretations of liquidity, profitability, capital structure and financial restructuring were also evaluated to ensure consistency with the financial evidence and the general economic conditions. The verification process made sure the final report was both accurate and based on evidence, and it was not just made up of AI-generated content.</w:t>
      </w:r>
    </w:p>
    <w:p w14:paraId="4375479F" w14:textId="77777777" w:rsidR="003A5AFF" w:rsidRPr="009E7A21" w:rsidRDefault="003A5AFF" w:rsidP="005B343F">
      <w:pPr>
        <w:pStyle w:val="Heading2"/>
        <w:spacing w:line="360" w:lineRule="auto"/>
        <w:jc w:val="both"/>
        <w:rPr>
          <w:rFonts w:ascii="Arial" w:hAnsi="Arial" w:cs="Arial"/>
          <w:b/>
          <w:color w:val="auto"/>
          <w:sz w:val="24"/>
          <w:szCs w:val="24"/>
        </w:rPr>
      </w:pPr>
      <w:bookmarkStart w:id="42" w:name="_Toc234747814"/>
      <w:bookmarkStart w:id="43" w:name="_Toc236848548"/>
      <w:r w:rsidRPr="009E7A21">
        <w:rPr>
          <w:rFonts w:ascii="Arial" w:hAnsi="Arial" w:cs="Arial"/>
          <w:b/>
          <w:color w:val="auto"/>
          <w:sz w:val="24"/>
          <w:szCs w:val="24"/>
        </w:rPr>
        <w:t>Contribution Analysis</w:t>
      </w:r>
      <w:bookmarkEnd w:id="42"/>
      <w:bookmarkEnd w:id="43"/>
    </w:p>
    <w:p w14:paraId="05496892" w14:textId="77777777" w:rsidR="00575D20" w:rsidRPr="009E7A21" w:rsidRDefault="00575D20" w:rsidP="005B343F">
      <w:pPr>
        <w:spacing w:line="360" w:lineRule="auto"/>
        <w:jc w:val="both"/>
        <w:rPr>
          <w:rFonts w:ascii="Arial" w:hAnsi="Arial" w:cs="Arial"/>
          <w:sz w:val="24"/>
          <w:szCs w:val="24"/>
        </w:rPr>
      </w:pPr>
      <w:r w:rsidRPr="009E7A21">
        <w:rPr>
          <w:rFonts w:ascii="Arial" w:hAnsi="Arial" w:cs="Arial"/>
          <w:sz w:val="24"/>
          <w:szCs w:val="24"/>
        </w:rPr>
        <w:t>The most frequently used features of AI that helped with report structuring included the ability to assist with section organisation, ensure written text was clear and academic sounding, arrange financial data, create draft tables, and aid financial calculations. These outputs were the initial framework which was then reviewed and refined.</w:t>
      </w:r>
    </w:p>
    <w:p w14:paraId="6C3D594A" w14:textId="77777777" w:rsidR="003A5AFF" w:rsidRPr="009E7A21" w:rsidRDefault="00575D20" w:rsidP="005B343F">
      <w:pPr>
        <w:spacing w:line="360" w:lineRule="auto"/>
        <w:jc w:val="both"/>
        <w:rPr>
          <w:rFonts w:ascii="Arial" w:hAnsi="Arial" w:cs="Arial"/>
          <w:sz w:val="24"/>
          <w:szCs w:val="24"/>
        </w:rPr>
      </w:pPr>
      <w:r w:rsidRPr="009E7A21">
        <w:rPr>
          <w:rFonts w:ascii="Arial" w:hAnsi="Arial" w:cs="Arial"/>
          <w:sz w:val="24"/>
          <w:szCs w:val="24"/>
        </w:rPr>
        <w:t>The key contribution of this report is the choice of relevant financial data taken from Greene King's Annual Reports (2020–2024) and the interpretation of all these data, as well as the independent verification of all calculations, the evaluation of the financial performance, the comparison with the industry benchmarks, the investment appraisal, and the development of strategic recommendations. All critical analysis, justification of investment decisions, financial and non-financial risk assessment and conclusions are based on the author's own opinions and synthesis of information presented in the company's financial statements and academic literature. Every piece of output produced by the AI has been critically reviewed and revised as needed, and only incorporated into the report after the author has reviewed it independently, to ensure that the report reflects the author's own analysis and understanding.</w:t>
      </w:r>
    </w:p>
    <w:p w14:paraId="08976B31" w14:textId="77777777" w:rsidR="003A5AFF" w:rsidRPr="009E7A21" w:rsidRDefault="003A5AFF" w:rsidP="005B343F">
      <w:pPr>
        <w:pStyle w:val="Heading2"/>
        <w:spacing w:line="360" w:lineRule="auto"/>
        <w:jc w:val="both"/>
        <w:rPr>
          <w:rFonts w:ascii="Arial" w:hAnsi="Arial" w:cs="Arial"/>
          <w:b/>
          <w:color w:val="auto"/>
          <w:sz w:val="24"/>
          <w:szCs w:val="24"/>
        </w:rPr>
      </w:pPr>
      <w:bookmarkStart w:id="44" w:name="_Toc234747815"/>
      <w:bookmarkStart w:id="45" w:name="_Toc236848549"/>
      <w:r w:rsidRPr="009E7A21">
        <w:rPr>
          <w:rFonts w:ascii="Arial" w:hAnsi="Arial" w:cs="Arial"/>
          <w:b/>
          <w:color w:val="auto"/>
          <w:sz w:val="24"/>
          <w:szCs w:val="24"/>
        </w:rPr>
        <w:t>Ethical &amp; Professional Reflection</w:t>
      </w:r>
      <w:bookmarkEnd w:id="44"/>
      <w:bookmarkEnd w:id="45"/>
    </w:p>
    <w:p w14:paraId="33F7DB4B" w14:textId="77777777" w:rsidR="00575D20" w:rsidRPr="009E7A21" w:rsidRDefault="00575D20" w:rsidP="005B343F">
      <w:pPr>
        <w:spacing w:line="360" w:lineRule="auto"/>
        <w:jc w:val="both"/>
        <w:rPr>
          <w:rFonts w:ascii="Arial" w:hAnsi="Arial" w:cs="Arial"/>
          <w:sz w:val="24"/>
          <w:szCs w:val="24"/>
        </w:rPr>
      </w:pPr>
      <w:r w:rsidRPr="009E7A21">
        <w:rPr>
          <w:rFonts w:ascii="Arial" w:hAnsi="Arial" w:cs="Arial"/>
          <w:sz w:val="24"/>
          <w:szCs w:val="24"/>
        </w:rPr>
        <w:t>AI in finance comes with many advantages, such as enhancing efficiency, aiding in data analysis, and aiding financial reporting. There are also pertinent ethical and professional implications, however, with its use. Transparency is crucial, as organizations need to be clear about the use of AI in financial analysis or decision-making, ensuring accountability and maintaining stakeholder trust. Another crucial factor to consider is data privacy, since financial data is frequently sensitive. Organizations will need to make sure AI tools adhere to data protection laws and regulations, including the UK GDPR, and that sensitive financial information is managed appropriately.</w:t>
      </w:r>
    </w:p>
    <w:p w14:paraId="46A49154" w14:textId="77777777" w:rsidR="003A5AFF" w:rsidRPr="009E7A21" w:rsidRDefault="00575D20" w:rsidP="005B343F">
      <w:pPr>
        <w:spacing w:line="360" w:lineRule="auto"/>
        <w:jc w:val="both"/>
        <w:rPr>
          <w:rFonts w:ascii="Arial" w:hAnsi="Arial" w:cs="Arial"/>
          <w:sz w:val="24"/>
          <w:szCs w:val="24"/>
        </w:rPr>
      </w:pPr>
      <w:r w:rsidRPr="009E7A21">
        <w:rPr>
          <w:rFonts w:ascii="Arial" w:hAnsi="Arial" w:cs="Arial"/>
          <w:sz w:val="24"/>
          <w:szCs w:val="24"/>
        </w:rPr>
        <w:lastRenderedPageBreak/>
        <w:t>Of course, there is also the danger that AI will become too much of a crutch, especially when it comes to making decisions at the executive level. If AI's answers are not checked independently, they can produce incorrect answers, make incorrect assumptions, or come to unsupported conclusions. While AI can assist with data analysis, some tasks, like making investment decisions, budgeting decisions, handling risks, and making strategic plans, do need professional judgement, industry knowledge and consideration of the objectives of an organisation, which AI cannot fully replace. Hence, AI should be considered as a decision making aid, not as a replacement for skilled professionals. AI tools foster accuracy, transparency, and adherence to professional standards and organizational objectives when financial decisions are made, while also emphasizing critical thinking, ethical responsibility, and independent verification.</w:t>
      </w:r>
    </w:p>
    <w:p w14:paraId="32682F7D" w14:textId="77777777" w:rsidR="003A5AFF" w:rsidRPr="009E7A21" w:rsidRDefault="003A5AFF" w:rsidP="005B343F">
      <w:pPr>
        <w:spacing w:line="360" w:lineRule="auto"/>
        <w:jc w:val="both"/>
        <w:rPr>
          <w:rFonts w:ascii="Arial" w:eastAsiaTheme="majorEastAsia" w:hAnsi="Arial" w:cs="Arial"/>
          <w:b/>
          <w:sz w:val="24"/>
          <w:szCs w:val="24"/>
        </w:rPr>
      </w:pPr>
      <w:r w:rsidRPr="009E7A21">
        <w:rPr>
          <w:rFonts w:ascii="Arial" w:hAnsi="Arial" w:cs="Arial"/>
          <w:b/>
          <w:sz w:val="24"/>
          <w:szCs w:val="24"/>
        </w:rPr>
        <w:br w:type="page"/>
      </w:r>
    </w:p>
    <w:p w14:paraId="61F29E6F" w14:textId="77777777" w:rsidR="003A5AFF" w:rsidRPr="009E7A21" w:rsidRDefault="003A5AFF" w:rsidP="005B343F">
      <w:pPr>
        <w:pStyle w:val="Heading1"/>
        <w:spacing w:line="360" w:lineRule="auto"/>
        <w:jc w:val="both"/>
        <w:rPr>
          <w:rFonts w:ascii="Arial" w:hAnsi="Arial" w:cs="Arial"/>
          <w:b/>
          <w:color w:val="auto"/>
          <w:sz w:val="24"/>
          <w:szCs w:val="24"/>
        </w:rPr>
      </w:pPr>
      <w:bookmarkStart w:id="46" w:name="_Toc234747816"/>
      <w:bookmarkStart w:id="47" w:name="_Toc236848550"/>
      <w:r w:rsidRPr="009E7A21">
        <w:rPr>
          <w:rFonts w:ascii="Arial" w:hAnsi="Arial" w:cs="Arial"/>
          <w:b/>
          <w:color w:val="auto"/>
          <w:sz w:val="24"/>
          <w:szCs w:val="24"/>
        </w:rPr>
        <w:lastRenderedPageBreak/>
        <w:t>References</w:t>
      </w:r>
      <w:bookmarkEnd w:id="46"/>
      <w:bookmarkEnd w:id="47"/>
    </w:p>
    <w:p w14:paraId="33B4E1DD"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Association of Chartered Certified Accountants (ACCA) (2025a) Annual Reports. Available at: </w:t>
      </w:r>
      <w:hyperlink r:id="rId32" w:tgtFrame="_new" w:history="1">
        <w:r w:rsidRPr="009E7A21">
          <w:rPr>
            <w:rStyle w:val="Hyperlink"/>
            <w:rFonts w:ascii="Arial" w:hAnsi="Arial" w:cs="Arial"/>
            <w:color w:val="auto"/>
            <w:sz w:val="24"/>
            <w:szCs w:val="24"/>
          </w:rPr>
          <w:t>https://www.accaglobal.com/uk/en/about-us/annual-reports.html</w:t>
        </w:r>
      </w:hyperlink>
      <w:r w:rsidRPr="009E7A21">
        <w:rPr>
          <w:rFonts w:ascii="Arial" w:hAnsi="Arial" w:cs="Arial"/>
          <w:sz w:val="24"/>
          <w:szCs w:val="24"/>
        </w:rPr>
        <w:t xml:space="preserve"> </w:t>
      </w:r>
    </w:p>
    <w:p w14:paraId="3D49B773"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Association of Chartered Certified Accountants (ACCA) (2025b) Exam Support Resources. Available at: </w:t>
      </w:r>
      <w:hyperlink r:id="rId33" w:tgtFrame="_new" w:history="1">
        <w:r w:rsidRPr="009E7A21">
          <w:rPr>
            <w:rStyle w:val="Hyperlink"/>
            <w:rFonts w:ascii="Arial" w:hAnsi="Arial" w:cs="Arial"/>
            <w:color w:val="auto"/>
            <w:sz w:val="24"/>
            <w:szCs w:val="24"/>
          </w:rPr>
          <w:t>https://www.accaglobal.com/uk/en/student/exam-support-resources.html</w:t>
        </w:r>
      </w:hyperlink>
      <w:r w:rsidRPr="009E7A21">
        <w:rPr>
          <w:rFonts w:ascii="Arial" w:hAnsi="Arial" w:cs="Arial"/>
          <w:sz w:val="24"/>
          <w:szCs w:val="24"/>
        </w:rPr>
        <w:t xml:space="preserve"> </w:t>
      </w:r>
    </w:p>
    <w:p w14:paraId="500F7A49"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Bank of England (2025a) Bank of England Annual Report and Accounts 2025. Available at: </w:t>
      </w:r>
      <w:hyperlink r:id="rId34" w:tgtFrame="_new" w:history="1">
        <w:r w:rsidRPr="009E7A21">
          <w:rPr>
            <w:rStyle w:val="Hyperlink"/>
            <w:rFonts w:ascii="Arial" w:hAnsi="Arial" w:cs="Arial"/>
            <w:color w:val="auto"/>
            <w:sz w:val="24"/>
            <w:szCs w:val="24"/>
          </w:rPr>
          <w:t>https://www.bankofengland.co.uk/annual-report/2025</w:t>
        </w:r>
      </w:hyperlink>
      <w:r w:rsidRPr="009E7A21">
        <w:rPr>
          <w:rFonts w:ascii="Arial" w:hAnsi="Arial" w:cs="Arial"/>
          <w:sz w:val="24"/>
          <w:szCs w:val="24"/>
        </w:rPr>
        <w:t xml:space="preserve"> </w:t>
      </w:r>
    </w:p>
    <w:p w14:paraId="7CD3359B"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Bank of England (2026) Annual Reports 2026. Available at: </w:t>
      </w:r>
      <w:hyperlink r:id="rId35" w:tgtFrame="_new" w:history="1">
        <w:r w:rsidRPr="009E7A21">
          <w:rPr>
            <w:rStyle w:val="Hyperlink"/>
            <w:rFonts w:ascii="Arial" w:hAnsi="Arial" w:cs="Arial"/>
            <w:color w:val="auto"/>
            <w:sz w:val="24"/>
            <w:szCs w:val="24"/>
          </w:rPr>
          <w:t>https://www.bankofengland.co.uk/annual-report/annual-reports-2026</w:t>
        </w:r>
      </w:hyperlink>
      <w:r w:rsidRPr="009E7A21">
        <w:rPr>
          <w:rFonts w:ascii="Arial" w:hAnsi="Arial" w:cs="Arial"/>
          <w:sz w:val="24"/>
          <w:szCs w:val="24"/>
        </w:rPr>
        <w:t xml:space="preserve"> </w:t>
      </w:r>
    </w:p>
    <w:p w14:paraId="4DBC7B83"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CFA Institute (2025) Research and Insights. Available at: </w:t>
      </w:r>
      <w:hyperlink r:id="rId36" w:tgtFrame="_new" w:history="1">
        <w:r w:rsidRPr="009E7A21">
          <w:rPr>
            <w:rStyle w:val="Hyperlink"/>
            <w:rFonts w:ascii="Arial" w:hAnsi="Arial" w:cs="Arial"/>
            <w:color w:val="auto"/>
            <w:sz w:val="24"/>
            <w:szCs w:val="24"/>
          </w:rPr>
          <w:t>https://www.cfainstitute.org/</w:t>
        </w:r>
      </w:hyperlink>
      <w:r w:rsidRPr="009E7A21">
        <w:rPr>
          <w:rFonts w:ascii="Arial" w:hAnsi="Arial" w:cs="Arial"/>
          <w:sz w:val="24"/>
          <w:szCs w:val="24"/>
        </w:rPr>
        <w:t xml:space="preserve"> </w:t>
      </w:r>
    </w:p>
    <w:p w14:paraId="52DB2256"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Companies House (2025a) GREENE KING LIMITED: Company Overview. Available at: </w:t>
      </w:r>
      <w:hyperlink r:id="rId37" w:tgtFrame="_new" w:history="1">
        <w:r w:rsidRPr="009E7A21">
          <w:rPr>
            <w:rStyle w:val="Hyperlink"/>
            <w:rFonts w:ascii="Arial" w:hAnsi="Arial" w:cs="Arial"/>
            <w:color w:val="auto"/>
            <w:sz w:val="24"/>
            <w:szCs w:val="24"/>
          </w:rPr>
          <w:t>https://find-and-update.company-information.service.gov.uk/company/00024511</w:t>
        </w:r>
      </w:hyperlink>
      <w:r w:rsidRPr="009E7A21">
        <w:rPr>
          <w:rFonts w:ascii="Arial" w:hAnsi="Arial" w:cs="Arial"/>
          <w:sz w:val="24"/>
          <w:szCs w:val="24"/>
        </w:rPr>
        <w:t xml:space="preserve"> </w:t>
      </w:r>
    </w:p>
    <w:p w14:paraId="3BC11D9A"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Companies House (2025b) GREENE KING LIMITED: Filing History. Available at: </w:t>
      </w:r>
      <w:hyperlink r:id="rId38" w:tgtFrame="_new" w:history="1">
        <w:r w:rsidRPr="009E7A21">
          <w:rPr>
            <w:rStyle w:val="Hyperlink"/>
            <w:rFonts w:ascii="Arial" w:hAnsi="Arial" w:cs="Arial"/>
            <w:color w:val="auto"/>
            <w:sz w:val="24"/>
            <w:szCs w:val="24"/>
          </w:rPr>
          <w:t>https://find-and-update.company-information.service.gov.uk/company/00024511/filing-history</w:t>
        </w:r>
      </w:hyperlink>
      <w:r w:rsidRPr="009E7A21">
        <w:rPr>
          <w:rFonts w:ascii="Arial" w:hAnsi="Arial" w:cs="Arial"/>
          <w:sz w:val="24"/>
          <w:szCs w:val="24"/>
        </w:rPr>
        <w:t xml:space="preserve"> </w:t>
      </w:r>
    </w:p>
    <w:p w14:paraId="7A99670C"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Companies House (2025c) GREENE KING BREWING AND RETAILING LIMITED. Available at: </w:t>
      </w:r>
      <w:hyperlink r:id="rId39" w:tgtFrame="_new" w:history="1">
        <w:r w:rsidRPr="009E7A21">
          <w:rPr>
            <w:rStyle w:val="Hyperlink"/>
            <w:rFonts w:ascii="Arial" w:hAnsi="Arial" w:cs="Arial"/>
            <w:color w:val="auto"/>
            <w:sz w:val="24"/>
            <w:szCs w:val="24"/>
          </w:rPr>
          <w:t>https://company-information.service.gov.uk/company/03298903</w:t>
        </w:r>
      </w:hyperlink>
      <w:r w:rsidRPr="009E7A21">
        <w:rPr>
          <w:rFonts w:ascii="Arial" w:hAnsi="Arial" w:cs="Arial"/>
          <w:sz w:val="24"/>
          <w:szCs w:val="24"/>
        </w:rPr>
        <w:t xml:space="preserve"> </w:t>
      </w:r>
    </w:p>
    <w:p w14:paraId="6A1329D9"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Companies House (2025d) GREENE KING FINANCE PLC: Filing History. Available at: </w:t>
      </w:r>
      <w:hyperlink r:id="rId40" w:tgtFrame="_new" w:history="1">
        <w:r w:rsidRPr="009E7A21">
          <w:rPr>
            <w:rStyle w:val="Hyperlink"/>
            <w:rFonts w:ascii="Arial" w:hAnsi="Arial" w:cs="Arial"/>
            <w:color w:val="auto"/>
            <w:sz w:val="24"/>
            <w:szCs w:val="24"/>
          </w:rPr>
          <w:t>https://find-and-update.company-information.service.gov.uk/company/05333192/filing-history</w:t>
        </w:r>
      </w:hyperlink>
      <w:r w:rsidRPr="009E7A21">
        <w:rPr>
          <w:rFonts w:ascii="Arial" w:hAnsi="Arial" w:cs="Arial"/>
          <w:sz w:val="24"/>
          <w:szCs w:val="24"/>
        </w:rPr>
        <w:t xml:space="preserve"> </w:t>
      </w:r>
    </w:p>
    <w:p w14:paraId="7C3958A6"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Companies House (2026) Find and Update Company Information. Available at: </w:t>
      </w:r>
      <w:hyperlink r:id="rId41" w:tgtFrame="_new" w:history="1">
        <w:r w:rsidRPr="009E7A21">
          <w:rPr>
            <w:rStyle w:val="Hyperlink"/>
            <w:rFonts w:ascii="Arial" w:hAnsi="Arial" w:cs="Arial"/>
            <w:color w:val="auto"/>
            <w:sz w:val="24"/>
            <w:szCs w:val="24"/>
          </w:rPr>
          <w:t>https://find-and-update.company-information.service.gov.uk/</w:t>
        </w:r>
      </w:hyperlink>
      <w:r w:rsidRPr="009E7A21">
        <w:rPr>
          <w:rFonts w:ascii="Arial" w:hAnsi="Arial" w:cs="Arial"/>
          <w:sz w:val="24"/>
          <w:szCs w:val="24"/>
        </w:rPr>
        <w:t xml:space="preserve"> (Accessed: 15 July 2026).</w:t>
      </w:r>
    </w:p>
    <w:p w14:paraId="3F0ACAF2"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Corporate Finance Institute (2025) Corporate Finance Institute. Available at: </w:t>
      </w:r>
      <w:hyperlink r:id="rId42" w:tgtFrame="_new" w:history="1">
        <w:r w:rsidRPr="009E7A21">
          <w:rPr>
            <w:rStyle w:val="Hyperlink"/>
            <w:rFonts w:ascii="Arial" w:hAnsi="Arial" w:cs="Arial"/>
            <w:color w:val="auto"/>
            <w:sz w:val="24"/>
            <w:szCs w:val="24"/>
          </w:rPr>
          <w:t>https://corporatefinanceinstitute.com/</w:t>
        </w:r>
      </w:hyperlink>
      <w:r w:rsidRPr="009E7A21">
        <w:rPr>
          <w:rFonts w:ascii="Arial" w:hAnsi="Arial" w:cs="Arial"/>
          <w:sz w:val="24"/>
          <w:szCs w:val="24"/>
        </w:rPr>
        <w:t xml:space="preserve"> </w:t>
      </w:r>
    </w:p>
    <w:p w14:paraId="1C187C75"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Deloitte (2025) Insights. Available at: https://www2.deloitte.com/uk/en/insights.html </w:t>
      </w:r>
    </w:p>
    <w:p w14:paraId="726B6679"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EY (2025) Insights. Available at: </w:t>
      </w:r>
      <w:hyperlink r:id="rId43" w:tgtFrame="_new" w:history="1">
        <w:r w:rsidRPr="009E7A21">
          <w:rPr>
            <w:rStyle w:val="Hyperlink"/>
            <w:rFonts w:ascii="Arial" w:hAnsi="Arial" w:cs="Arial"/>
            <w:color w:val="auto"/>
            <w:sz w:val="24"/>
            <w:szCs w:val="24"/>
          </w:rPr>
          <w:t>https://www.ey.com/en_uk/insights</w:t>
        </w:r>
      </w:hyperlink>
      <w:r w:rsidRPr="009E7A21">
        <w:rPr>
          <w:rFonts w:ascii="Arial" w:hAnsi="Arial" w:cs="Arial"/>
          <w:sz w:val="24"/>
          <w:szCs w:val="24"/>
        </w:rPr>
        <w:t xml:space="preserve"> </w:t>
      </w:r>
    </w:p>
    <w:p w14:paraId="1D472539"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lastRenderedPageBreak/>
        <w:t xml:space="preserve">Financial Conduct Authority (2025) Financial Conduct Authority. Available at: </w:t>
      </w:r>
      <w:hyperlink r:id="rId44" w:tgtFrame="_new" w:history="1">
        <w:r w:rsidRPr="009E7A21">
          <w:rPr>
            <w:rStyle w:val="Hyperlink"/>
            <w:rFonts w:ascii="Arial" w:hAnsi="Arial" w:cs="Arial"/>
            <w:color w:val="auto"/>
            <w:sz w:val="24"/>
            <w:szCs w:val="24"/>
          </w:rPr>
          <w:t>https://www.fca.org.uk/</w:t>
        </w:r>
      </w:hyperlink>
      <w:r w:rsidRPr="009E7A21">
        <w:rPr>
          <w:rFonts w:ascii="Arial" w:hAnsi="Arial" w:cs="Arial"/>
          <w:sz w:val="24"/>
          <w:szCs w:val="24"/>
        </w:rPr>
        <w:t xml:space="preserve"> </w:t>
      </w:r>
    </w:p>
    <w:p w14:paraId="4D6BB986"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Financial Reporting Council (2025a) Financial Reporting Council. Available at: </w:t>
      </w:r>
      <w:hyperlink r:id="rId45" w:tgtFrame="_new" w:history="1">
        <w:r w:rsidRPr="009E7A21">
          <w:rPr>
            <w:rStyle w:val="Hyperlink"/>
            <w:rFonts w:ascii="Arial" w:hAnsi="Arial" w:cs="Arial"/>
            <w:color w:val="auto"/>
            <w:sz w:val="24"/>
            <w:szCs w:val="24"/>
          </w:rPr>
          <w:t>https://www.frc.org.uk/</w:t>
        </w:r>
      </w:hyperlink>
      <w:r w:rsidRPr="009E7A21">
        <w:rPr>
          <w:rFonts w:ascii="Arial" w:hAnsi="Arial" w:cs="Arial"/>
          <w:sz w:val="24"/>
          <w:szCs w:val="24"/>
        </w:rPr>
        <w:t xml:space="preserve"> </w:t>
      </w:r>
    </w:p>
    <w:p w14:paraId="38B91DE6"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Financial Reporting Council (2025b) UK Corporate Governance Code. Available at: </w:t>
      </w:r>
      <w:hyperlink r:id="rId46" w:tgtFrame="_new" w:history="1">
        <w:r w:rsidRPr="009E7A21">
          <w:rPr>
            <w:rStyle w:val="Hyperlink"/>
            <w:rFonts w:ascii="Arial" w:hAnsi="Arial" w:cs="Arial"/>
            <w:color w:val="auto"/>
            <w:sz w:val="24"/>
            <w:szCs w:val="24"/>
          </w:rPr>
          <w:t>https://www.frc.org.uk/library/standards-codes-policy/corporate-governance/</w:t>
        </w:r>
      </w:hyperlink>
      <w:r w:rsidRPr="009E7A21">
        <w:rPr>
          <w:rFonts w:ascii="Arial" w:hAnsi="Arial" w:cs="Arial"/>
          <w:sz w:val="24"/>
          <w:szCs w:val="24"/>
        </w:rPr>
        <w:t xml:space="preserve"> </w:t>
      </w:r>
    </w:p>
    <w:p w14:paraId="30BCE0B0"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Greene King (2025a) Annual Reports. Available at: </w:t>
      </w:r>
      <w:hyperlink r:id="rId47" w:tgtFrame="_new" w:history="1">
        <w:r w:rsidRPr="009E7A21">
          <w:rPr>
            <w:rStyle w:val="Hyperlink"/>
            <w:rFonts w:ascii="Arial" w:hAnsi="Arial" w:cs="Arial"/>
            <w:color w:val="auto"/>
            <w:sz w:val="24"/>
            <w:szCs w:val="24"/>
          </w:rPr>
          <w:t>https://www.greeneking.co.uk/our-company/annual-reports</w:t>
        </w:r>
      </w:hyperlink>
      <w:r w:rsidRPr="009E7A21">
        <w:rPr>
          <w:rFonts w:ascii="Arial" w:hAnsi="Arial" w:cs="Arial"/>
          <w:sz w:val="24"/>
          <w:szCs w:val="24"/>
        </w:rPr>
        <w:t xml:space="preserve"> </w:t>
      </w:r>
    </w:p>
    <w:p w14:paraId="59049B80"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Greene King (2025b) Greene King Securitisation Reports. Available at: </w:t>
      </w:r>
      <w:hyperlink r:id="rId48" w:tgtFrame="_new" w:history="1">
        <w:r w:rsidRPr="009E7A21">
          <w:rPr>
            <w:rStyle w:val="Hyperlink"/>
            <w:rFonts w:ascii="Arial" w:hAnsi="Arial" w:cs="Arial"/>
            <w:color w:val="auto"/>
            <w:sz w:val="24"/>
            <w:szCs w:val="24"/>
          </w:rPr>
          <w:t>https://www.greeneking.co.uk/our-company/annual-reports/greene-king-securitisation-reports</w:t>
        </w:r>
      </w:hyperlink>
      <w:r w:rsidRPr="009E7A21">
        <w:rPr>
          <w:rFonts w:ascii="Arial" w:hAnsi="Arial" w:cs="Arial"/>
          <w:sz w:val="24"/>
          <w:szCs w:val="24"/>
        </w:rPr>
        <w:t xml:space="preserve"> </w:t>
      </w:r>
    </w:p>
    <w:p w14:paraId="20CE55FE"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HM Revenue &amp; Customs (2025a) HMRC Annual Report and Accounts 2024 to 2025. Available at: </w:t>
      </w:r>
      <w:hyperlink r:id="rId49" w:tgtFrame="_new" w:history="1">
        <w:r w:rsidRPr="009E7A21">
          <w:rPr>
            <w:rStyle w:val="Hyperlink"/>
            <w:rFonts w:ascii="Arial" w:hAnsi="Arial" w:cs="Arial"/>
            <w:color w:val="auto"/>
            <w:sz w:val="24"/>
            <w:szCs w:val="24"/>
          </w:rPr>
          <w:t>https://www.gov.uk/government/publications/hmrc-annual-report-and-accounts-2024-to-2025</w:t>
        </w:r>
      </w:hyperlink>
      <w:r w:rsidRPr="009E7A21">
        <w:rPr>
          <w:rFonts w:ascii="Arial" w:hAnsi="Arial" w:cs="Arial"/>
          <w:sz w:val="24"/>
          <w:szCs w:val="24"/>
        </w:rPr>
        <w:t xml:space="preserve"> </w:t>
      </w:r>
    </w:p>
    <w:p w14:paraId="26C5B89B"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HM Revenue &amp; Customs (2025b) HMRC Annual Report and Accounts 2024 to 2025: Our Accounts and Annexes. Available at: </w:t>
      </w:r>
      <w:hyperlink r:id="rId50" w:tgtFrame="_new" w:history="1">
        <w:r w:rsidRPr="009E7A21">
          <w:rPr>
            <w:rStyle w:val="Hyperlink"/>
            <w:rFonts w:ascii="Arial" w:hAnsi="Arial" w:cs="Arial"/>
            <w:color w:val="auto"/>
            <w:sz w:val="24"/>
            <w:szCs w:val="24"/>
          </w:rPr>
          <w:t>https://www.gov.uk/government/publications/hmrc-annual-report-and-accounts-2024-to-2025/hmrcs-annual-report-and-accounts-2024-to-2025-our-accounts-and-annexes</w:t>
        </w:r>
      </w:hyperlink>
      <w:r w:rsidRPr="009E7A21">
        <w:rPr>
          <w:rFonts w:ascii="Arial" w:hAnsi="Arial" w:cs="Arial"/>
          <w:sz w:val="24"/>
          <w:szCs w:val="24"/>
        </w:rPr>
        <w:t xml:space="preserve"> </w:t>
      </w:r>
    </w:p>
    <w:p w14:paraId="0A47E927"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HM Revenue &amp; Customs (2026) HMRC Annual Report and Accounts 2025 to 2026. Available at: </w:t>
      </w:r>
      <w:hyperlink r:id="rId51" w:tgtFrame="_new" w:history="1">
        <w:r w:rsidRPr="009E7A21">
          <w:rPr>
            <w:rStyle w:val="Hyperlink"/>
            <w:rFonts w:ascii="Arial" w:hAnsi="Arial" w:cs="Arial"/>
            <w:color w:val="auto"/>
            <w:sz w:val="24"/>
            <w:szCs w:val="24"/>
          </w:rPr>
          <w:t>https://www.gov.uk/government/publications/hmrc-annual-report-and-accounts-2025-to-2026</w:t>
        </w:r>
      </w:hyperlink>
      <w:r w:rsidRPr="009E7A21">
        <w:rPr>
          <w:rFonts w:ascii="Arial" w:hAnsi="Arial" w:cs="Arial"/>
          <w:sz w:val="24"/>
          <w:szCs w:val="24"/>
        </w:rPr>
        <w:t xml:space="preserve"> </w:t>
      </w:r>
    </w:p>
    <w:p w14:paraId="03C844A7"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HM Treasury (2025a) HM Treasury Annual Report and Accounts 2024 to 2025. Available at: </w:t>
      </w:r>
      <w:hyperlink r:id="rId52" w:tgtFrame="_new" w:history="1">
        <w:r w:rsidRPr="009E7A21">
          <w:rPr>
            <w:rStyle w:val="Hyperlink"/>
            <w:rFonts w:ascii="Arial" w:hAnsi="Arial" w:cs="Arial"/>
            <w:color w:val="auto"/>
            <w:sz w:val="24"/>
            <w:szCs w:val="24"/>
          </w:rPr>
          <w:t>https://www.gov.uk/government/publications/hm-treasury-annual-report-and-accounts-2024-to-2025</w:t>
        </w:r>
      </w:hyperlink>
      <w:r w:rsidRPr="009E7A21">
        <w:rPr>
          <w:rFonts w:ascii="Arial" w:hAnsi="Arial" w:cs="Arial"/>
          <w:sz w:val="24"/>
          <w:szCs w:val="24"/>
        </w:rPr>
        <w:t xml:space="preserve"> </w:t>
      </w:r>
    </w:p>
    <w:p w14:paraId="34FE7916"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HM Treasury (2025b) Annual Report and Accounts of HM Treasury – Year to 31 March 2025 (Accessible). Available at: </w:t>
      </w:r>
      <w:hyperlink r:id="rId53" w:tgtFrame="_new" w:history="1">
        <w:r w:rsidRPr="009E7A21">
          <w:rPr>
            <w:rStyle w:val="Hyperlink"/>
            <w:rFonts w:ascii="Arial" w:hAnsi="Arial" w:cs="Arial"/>
            <w:color w:val="auto"/>
            <w:sz w:val="24"/>
            <w:szCs w:val="24"/>
          </w:rPr>
          <w:t>https://www.gov.uk/government/publications/hm-treasury-annual-report-and-accounts-2024-to-2025/annual-report-and-accounts-of-hm-treasury-year-to-the-31-march-2025-accessible</w:t>
        </w:r>
      </w:hyperlink>
      <w:r w:rsidRPr="009E7A21">
        <w:rPr>
          <w:rFonts w:ascii="Arial" w:hAnsi="Arial" w:cs="Arial"/>
          <w:sz w:val="24"/>
          <w:szCs w:val="24"/>
        </w:rPr>
        <w:t xml:space="preserve"> </w:t>
      </w:r>
    </w:p>
    <w:p w14:paraId="2178003C"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IFRS Foundation (2025a) IFRS Foundation. Available at: </w:t>
      </w:r>
      <w:hyperlink r:id="rId54" w:tgtFrame="_new" w:history="1">
        <w:r w:rsidRPr="009E7A21">
          <w:rPr>
            <w:rStyle w:val="Hyperlink"/>
            <w:rFonts w:ascii="Arial" w:hAnsi="Arial" w:cs="Arial"/>
            <w:color w:val="auto"/>
            <w:sz w:val="24"/>
            <w:szCs w:val="24"/>
          </w:rPr>
          <w:t>https://www.ifrs.org/</w:t>
        </w:r>
      </w:hyperlink>
      <w:r w:rsidRPr="009E7A21">
        <w:rPr>
          <w:rFonts w:ascii="Arial" w:hAnsi="Arial" w:cs="Arial"/>
          <w:sz w:val="24"/>
          <w:szCs w:val="24"/>
        </w:rPr>
        <w:t xml:space="preserve"> </w:t>
      </w:r>
    </w:p>
    <w:p w14:paraId="13ADBCF7"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lastRenderedPageBreak/>
        <w:t xml:space="preserve">IFRS Foundation (2025b) IFRS Accounting Standards. Available at: </w:t>
      </w:r>
      <w:hyperlink r:id="rId55" w:tgtFrame="_new" w:history="1">
        <w:r w:rsidRPr="009E7A21">
          <w:rPr>
            <w:rStyle w:val="Hyperlink"/>
            <w:rFonts w:ascii="Arial" w:hAnsi="Arial" w:cs="Arial"/>
            <w:color w:val="auto"/>
            <w:sz w:val="24"/>
            <w:szCs w:val="24"/>
          </w:rPr>
          <w:t>https://www.ifrs.org/issued-standards/</w:t>
        </w:r>
      </w:hyperlink>
      <w:r w:rsidRPr="009E7A21">
        <w:rPr>
          <w:rFonts w:ascii="Arial" w:hAnsi="Arial" w:cs="Arial"/>
          <w:sz w:val="24"/>
          <w:szCs w:val="24"/>
        </w:rPr>
        <w:t xml:space="preserve"> </w:t>
      </w:r>
    </w:p>
    <w:p w14:paraId="0B3707EE"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Institute of Chartered Accountants in England and Wales (ICAEW) (2025a) Working Capital. Available at: </w:t>
      </w:r>
      <w:hyperlink r:id="rId56" w:tgtFrame="_new" w:history="1">
        <w:r w:rsidRPr="009E7A21">
          <w:rPr>
            <w:rStyle w:val="Hyperlink"/>
            <w:rFonts w:ascii="Arial" w:hAnsi="Arial" w:cs="Arial"/>
            <w:color w:val="auto"/>
            <w:sz w:val="24"/>
            <w:szCs w:val="24"/>
          </w:rPr>
          <w:t>https://www.icaew.com/technical/business/business-start-up-and-finance/business-finance-and-grants/working-capital</w:t>
        </w:r>
      </w:hyperlink>
      <w:r w:rsidRPr="009E7A21">
        <w:rPr>
          <w:rFonts w:ascii="Arial" w:hAnsi="Arial" w:cs="Arial"/>
          <w:sz w:val="24"/>
          <w:szCs w:val="24"/>
        </w:rPr>
        <w:t xml:space="preserve"> </w:t>
      </w:r>
    </w:p>
    <w:p w14:paraId="5937F1C7"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Institute of Chartered Accountants in England and Wales (ICAEW) (2025b) Annual Review 2025. Available at: https://www.icaew.com/about-icaew/annual-review (Accessed: 15 July 2026).</w:t>
      </w:r>
    </w:p>
    <w:p w14:paraId="52434199"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International Monetary Fund (2025a) International Monetary Fund. Available at: </w:t>
      </w:r>
      <w:hyperlink r:id="rId57" w:tgtFrame="_new" w:history="1">
        <w:r w:rsidRPr="009E7A21">
          <w:rPr>
            <w:rStyle w:val="Hyperlink"/>
            <w:rFonts w:ascii="Arial" w:hAnsi="Arial" w:cs="Arial"/>
            <w:color w:val="auto"/>
            <w:sz w:val="24"/>
            <w:szCs w:val="24"/>
          </w:rPr>
          <w:t>https://www.imf.org/</w:t>
        </w:r>
      </w:hyperlink>
      <w:r w:rsidRPr="009E7A21">
        <w:rPr>
          <w:rFonts w:ascii="Arial" w:hAnsi="Arial" w:cs="Arial"/>
          <w:sz w:val="24"/>
          <w:szCs w:val="24"/>
        </w:rPr>
        <w:t xml:space="preserve"> </w:t>
      </w:r>
    </w:p>
    <w:p w14:paraId="79387068"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International Monetary Fund (2025b) World Economic Outlook. Available at: </w:t>
      </w:r>
      <w:hyperlink r:id="rId58" w:tgtFrame="_new" w:history="1">
        <w:r w:rsidRPr="009E7A21">
          <w:rPr>
            <w:rStyle w:val="Hyperlink"/>
            <w:rFonts w:ascii="Arial" w:hAnsi="Arial" w:cs="Arial"/>
            <w:color w:val="auto"/>
            <w:sz w:val="24"/>
            <w:szCs w:val="24"/>
          </w:rPr>
          <w:t>https://www.imf.org/en/Publications/WEO</w:t>
        </w:r>
      </w:hyperlink>
      <w:r w:rsidRPr="009E7A21">
        <w:rPr>
          <w:rFonts w:ascii="Arial" w:hAnsi="Arial" w:cs="Arial"/>
          <w:sz w:val="24"/>
          <w:szCs w:val="24"/>
        </w:rPr>
        <w:t xml:space="preserve"> </w:t>
      </w:r>
    </w:p>
    <w:p w14:paraId="053D4038"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KPMG (2025) Insights. Available at: </w:t>
      </w:r>
      <w:hyperlink r:id="rId59" w:tgtFrame="_new" w:history="1">
        <w:r w:rsidRPr="009E7A21">
          <w:rPr>
            <w:rStyle w:val="Hyperlink"/>
            <w:rFonts w:ascii="Arial" w:hAnsi="Arial" w:cs="Arial"/>
            <w:color w:val="auto"/>
            <w:sz w:val="24"/>
            <w:szCs w:val="24"/>
          </w:rPr>
          <w:t>https://kpmg.com/uk/en/insights.html</w:t>
        </w:r>
      </w:hyperlink>
      <w:r w:rsidRPr="009E7A21">
        <w:rPr>
          <w:rFonts w:ascii="Arial" w:hAnsi="Arial" w:cs="Arial"/>
          <w:sz w:val="24"/>
          <w:szCs w:val="24"/>
        </w:rPr>
        <w:t xml:space="preserve"> </w:t>
      </w:r>
    </w:p>
    <w:p w14:paraId="19D55054"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London Stock Exchange Group (2025) News and Insights. Available at: </w:t>
      </w:r>
      <w:hyperlink r:id="rId60" w:tgtFrame="_new" w:history="1">
        <w:r w:rsidRPr="009E7A21">
          <w:rPr>
            <w:rStyle w:val="Hyperlink"/>
            <w:rFonts w:ascii="Arial" w:hAnsi="Arial" w:cs="Arial"/>
            <w:color w:val="auto"/>
            <w:sz w:val="24"/>
            <w:szCs w:val="24"/>
          </w:rPr>
          <w:t>https://www.londonstockexchange.com/news</w:t>
        </w:r>
      </w:hyperlink>
      <w:r w:rsidRPr="009E7A21">
        <w:rPr>
          <w:rFonts w:ascii="Arial" w:hAnsi="Arial" w:cs="Arial"/>
          <w:sz w:val="24"/>
          <w:szCs w:val="24"/>
        </w:rPr>
        <w:t xml:space="preserve"> </w:t>
      </w:r>
    </w:p>
    <w:p w14:paraId="277771E5"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Office for National Statistics (2025a) Business Investment in the UK: October to December 2025 Revised Results. Available at: </w:t>
      </w:r>
      <w:hyperlink r:id="rId61" w:tgtFrame="_new" w:history="1">
        <w:r w:rsidRPr="009E7A21">
          <w:rPr>
            <w:rStyle w:val="Hyperlink"/>
            <w:rFonts w:ascii="Arial" w:hAnsi="Arial" w:cs="Arial"/>
            <w:color w:val="auto"/>
            <w:sz w:val="24"/>
            <w:szCs w:val="24"/>
          </w:rPr>
          <w:t>https://www.ons.gov.uk/economy/grossdomesticproductgdp/bulletins/businessinvestment/octobertodecember2025revisedresults</w:t>
        </w:r>
      </w:hyperlink>
      <w:r w:rsidRPr="009E7A21">
        <w:rPr>
          <w:rFonts w:ascii="Arial" w:hAnsi="Arial" w:cs="Arial"/>
          <w:sz w:val="24"/>
          <w:szCs w:val="24"/>
        </w:rPr>
        <w:t xml:space="preserve"> </w:t>
      </w:r>
    </w:p>
    <w:p w14:paraId="2C592DB1"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Office for National Statistics (2025b) Capital Stocks and Fixed Capital Consumption, UK: 2025. Available at: </w:t>
      </w:r>
      <w:hyperlink r:id="rId62" w:tgtFrame="_new" w:history="1">
        <w:r w:rsidRPr="009E7A21">
          <w:rPr>
            <w:rStyle w:val="Hyperlink"/>
            <w:rFonts w:ascii="Arial" w:hAnsi="Arial" w:cs="Arial"/>
            <w:color w:val="auto"/>
            <w:sz w:val="24"/>
            <w:szCs w:val="24"/>
          </w:rPr>
          <w:t>https://www.ons.gov.uk/economy/nationalaccounts/uksectoraccounts/bulletins/capitalstocksconsumptionoffixedcapital/2025</w:t>
        </w:r>
      </w:hyperlink>
      <w:r w:rsidRPr="009E7A21">
        <w:rPr>
          <w:rFonts w:ascii="Arial" w:hAnsi="Arial" w:cs="Arial"/>
          <w:sz w:val="24"/>
          <w:szCs w:val="24"/>
        </w:rPr>
        <w:t xml:space="preserve"> </w:t>
      </w:r>
    </w:p>
    <w:p w14:paraId="743AAE6C"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Office for National Statistics (2025c) Inflation and Price Indices. Available at: </w:t>
      </w:r>
      <w:hyperlink r:id="rId63" w:tgtFrame="_new" w:history="1">
        <w:r w:rsidRPr="009E7A21">
          <w:rPr>
            <w:rStyle w:val="Hyperlink"/>
            <w:rFonts w:ascii="Arial" w:hAnsi="Arial" w:cs="Arial"/>
            <w:color w:val="auto"/>
            <w:sz w:val="24"/>
            <w:szCs w:val="24"/>
          </w:rPr>
          <w:t>https://www.ons.gov.uk/economy/inflationandpriceindices</w:t>
        </w:r>
      </w:hyperlink>
      <w:r w:rsidRPr="009E7A21">
        <w:rPr>
          <w:rFonts w:ascii="Arial" w:hAnsi="Arial" w:cs="Arial"/>
          <w:sz w:val="24"/>
          <w:szCs w:val="24"/>
        </w:rPr>
        <w:t xml:space="preserve"> </w:t>
      </w:r>
    </w:p>
    <w:p w14:paraId="0A425E3F"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Office for National Statistics (2025d) Economy Statistics. Available at: </w:t>
      </w:r>
      <w:hyperlink r:id="rId64" w:tgtFrame="_new" w:history="1">
        <w:r w:rsidRPr="009E7A21">
          <w:rPr>
            <w:rStyle w:val="Hyperlink"/>
            <w:rFonts w:ascii="Arial" w:hAnsi="Arial" w:cs="Arial"/>
            <w:color w:val="auto"/>
            <w:sz w:val="24"/>
            <w:szCs w:val="24"/>
          </w:rPr>
          <w:t>https://www.ons.gov.uk/economy</w:t>
        </w:r>
      </w:hyperlink>
      <w:r w:rsidRPr="009E7A21">
        <w:rPr>
          <w:rFonts w:ascii="Arial" w:hAnsi="Arial" w:cs="Arial"/>
          <w:sz w:val="24"/>
          <w:szCs w:val="24"/>
        </w:rPr>
        <w:t xml:space="preserve"> </w:t>
      </w:r>
    </w:p>
    <w:p w14:paraId="2F2657DA"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Organisation for Economic Co-operation and Development (OECD) (2025a) Economic Outlook. Available at: </w:t>
      </w:r>
      <w:hyperlink r:id="rId65" w:tgtFrame="_new" w:history="1">
        <w:r w:rsidRPr="009E7A21">
          <w:rPr>
            <w:rStyle w:val="Hyperlink"/>
            <w:rFonts w:ascii="Arial" w:hAnsi="Arial" w:cs="Arial"/>
            <w:color w:val="auto"/>
            <w:sz w:val="24"/>
            <w:szCs w:val="24"/>
          </w:rPr>
          <w:t>https://www.oecd.org/economic-outlook/</w:t>
        </w:r>
      </w:hyperlink>
      <w:r w:rsidRPr="009E7A21">
        <w:rPr>
          <w:rFonts w:ascii="Arial" w:hAnsi="Arial" w:cs="Arial"/>
          <w:sz w:val="24"/>
          <w:szCs w:val="24"/>
        </w:rPr>
        <w:t xml:space="preserve"> </w:t>
      </w:r>
    </w:p>
    <w:p w14:paraId="6D050C2D"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lastRenderedPageBreak/>
        <w:t xml:space="preserve">Organisation for Economic Co-operation and Development (OECD) (2025b) Corporate Governance. Available at: https://www.oecd.org/corporate/ </w:t>
      </w:r>
    </w:p>
    <w:p w14:paraId="75B10D36"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PwC (2025) Insights. Available at: </w:t>
      </w:r>
      <w:hyperlink r:id="rId66" w:tgtFrame="_new" w:history="1">
        <w:r w:rsidRPr="009E7A21">
          <w:rPr>
            <w:rStyle w:val="Hyperlink"/>
            <w:rFonts w:ascii="Arial" w:hAnsi="Arial" w:cs="Arial"/>
            <w:color w:val="auto"/>
            <w:sz w:val="24"/>
            <w:szCs w:val="24"/>
          </w:rPr>
          <w:t>https://www.pwc.co.uk/insights.html</w:t>
        </w:r>
      </w:hyperlink>
      <w:r w:rsidRPr="009E7A21">
        <w:rPr>
          <w:rFonts w:ascii="Arial" w:hAnsi="Arial" w:cs="Arial"/>
          <w:sz w:val="24"/>
          <w:szCs w:val="24"/>
        </w:rPr>
        <w:t xml:space="preserve"> </w:t>
      </w:r>
    </w:p>
    <w:p w14:paraId="2454BBFE"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UK Finance (2025) UK Finance. Available at: </w:t>
      </w:r>
      <w:hyperlink r:id="rId67" w:tgtFrame="_new" w:history="1">
        <w:r w:rsidRPr="009E7A21">
          <w:rPr>
            <w:rStyle w:val="Hyperlink"/>
            <w:rFonts w:ascii="Arial" w:hAnsi="Arial" w:cs="Arial"/>
            <w:color w:val="auto"/>
            <w:sz w:val="24"/>
            <w:szCs w:val="24"/>
          </w:rPr>
          <w:t>https://www.ukfinance.org.uk/</w:t>
        </w:r>
      </w:hyperlink>
      <w:r w:rsidRPr="009E7A21">
        <w:rPr>
          <w:rFonts w:ascii="Arial" w:hAnsi="Arial" w:cs="Arial"/>
          <w:sz w:val="24"/>
          <w:szCs w:val="24"/>
        </w:rPr>
        <w:t xml:space="preserve"> </w:t>
      </w:r>
    </w:p>
    <w:p w14:paraId="61BCBDFD"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UK Government (2025) Business and Industry. Available at: </w:t>
      </w:r>
      <w:hyperlink r:id="rId68" w:tgtFrame="_new" w:history="1">
        <w:r w:rsidRPr="009E7A21">
          <w:rPr>
            <w:rStyle w:val="Hyperlink"/>
            <w:rFonts w:ascii="Arial" w:hAnsi="Arial" w:cs="Arial"/>
            <w:color w:val="auto"/>
            <w:sz w:val="24"/>
            <w:szCs w:val="24"/>
          </w:rPr>
          <w:t>https://www.gov.uk/business-and-industry</w:t>
        </w:r>
      </w:hyperlink>
      <w:r w:rsidRPr="009E7A21">
        <w:rPr>
          <w:rFonts w:ascii="Arial" w:hAnsi="Arial" w:cs="Arial"/>
          <w:sz w:val="24"/>
          <w:szCs w:val="24"/>
        </w:rPr>
        <w:t xml:space="preserve"> </w:t>
      </w:r>
    </w:p>
    <w:p w14:paraId="20D16E06"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UK Government (2026) Get Company Information. Available at: </w:t>
      </w:r>
      <w:hyperlink r:id="rId69" w:tgtFrame="_new" w:history="1">
        <w:r w:rsidRPr="009E7A21">
          <w:rPr>
            <w:rStyle w:val="Hyperlink"/>
            <w:rFonts w:ascii="Arial" w:hAnsi="Arial" w:cs="Arial"/>
            <w:color w:val="auto"/>
            <w:sz w:val="24"/>
            <w:szCs w:val="24"/>
          </w:rPr>
          <w:t>https://www.data.gov.uk/collections/business-and-economy/get-company-information</w:t>
        </w:r>
      </w:hyperlink>
      <w:r w:rsidRPr="009E7A21">
        <w:rPr>
          <w:rFonts w:ascii="Arial" w:hAnsi="Arial" w:cs="Arial"/>
          <w:sz w:val="24"/>
          <w:szCs w:val="24"/>
        </w:rPr>
        <w:t xml:space="preserve"> </w:t>
      </w:r>
    </w:p>
    <w:p w14:paraId="1D76B13A"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World Bank (2025a) World Bank Data. Available at: </w:t>
      </w:r>
      <w:hyperlink r:id="rId70" w:tgtFrame="_new" w:history="1">
        <w:r w:rsidRPr="009E7A21">
          <w:rPr>
            <w:rStyle w:val="Hyperlink"/>
            <w:rFonts w:ascii="Arial" w:hAnsi="Arial" w:cs="Arial"/>
            <w:color w:val="auto"/>
            <w:sz w:val="24"/>
            <w:szCs w:val="24"/>
          </w:rPr>
          <w:t>https://data.worldbank.org/</w:t>
        </w:r>
      </w:hyperlink>
      <w:r w:rsidRPr="009E7A21">
        <w:rPr>
          <w:rFonts w:ascii="Arial" w:hAnsi="Arial" w:cs="Arial"/>
          <w:sz w:val="24"/>
          <w:szCs w:val="24"/>
        </w:rPr>
        <w:t xml:space="preserve"> </w:t>
      </w:r>
    </w:p>
    <w:p w14:paraId="6D79B7C3" w14:textId="77777777" w:rsidR="00482C6B" w:rsidRPr="009E7A21" w:rsidRDefault="00482C6B" w:rsidP="005B343F">
      <w:pPr>
        <w:spacing w:line="360" w:lineRule="auto"/>
        <w:jc w:val="both"/>
        <w:rPr>
          <w:rFonts w:ascii="Arial" w:hAnsi="Arial" w:cs="Arial"/>
          <w:sz w:val="24"/>
          <w:szCs w:val="24"/>
        </w:rPr>
      </w:pPr>
      <w:r w:rsidRPr="009E7A21">
        <w:rPr>
          <w:rFonts w:ascii="Arial" w:hAnsi="Arial" w:cs="Arial"/>
          <w:sz w:val="24"/>
          <w:szCs w:val="24"/>
        </w:rPr>
        <w:t xml:space="preserve">World Bank (2025b) United Kingdom Overview. Available at: </w:t>
      </w:r>
      <w:hyperlink r:id="rId71" w:tgtFrame="_new" w:history="1">
        <w:r w:rsidRPr="009E7A21">
          <w:rPr>
            <w:rStyle w:val="Hyperlink"/>
            <w:rFonts w:ascii="Arial" w:hAnsi="Arial" w:cs="Arial"/>
            <w:color w:val="auto"/>
            <w:sz w:val="24"/>
            <w:szCs w:val="24"/>
          </w:rPr>
          <w:t>https://www.worldbank.org/en/country/unitedkingdom</w:t>
        </w:r>
      </w:hyperlink>
      <w:r w:rsidRPr="009E7A21">
        <w:rPr>
          <w:rFonts w:ascii="Arial" w:hAnsi="Arial" w:cs="Arial"/>
          <w:sz w:val="24"/>
          <w:szCs w:val="24"/>
        </w:rPr>
        <w:t xml:space="preserve"> </w:t>
      </w:r>
    </w:p>
    <w:p w14:paraId="718BAECB" w14:textId="77777777" w:rsidR="003A5AFF" w:rsidRPr="009E7A21" w:rsidRDefault="003A5AFF" w:rsidP="005B343F">
      <w:pPr>
        <w:spacing w:line="360" w:lineRule="auto"/>
        <w:jc w:val="both"/>
        <w:rPr>
          <w:rFonts w:ascii="Arial" w:eastAsiaTheme="majorEastAsia" w:hAnsi="Arial" w:cs="Arial"/>
          <w:b/>
          <w:sz w:val="24"/>
          <w:szCs w:val="24"/>
        </w:rPr>
      </w:pPr>
      <w:r w:rsidRPr="009E7A21">
        <w:rPr>
          <w:rFonts w:ascii="Arial" w:hAnsi="Arial" w:cs="Arial"/>
          <w:b/>
          <w:sz w:val="24"/>
          <w:szCs w:val="24"/>
        </w:rPr>
        <w:br w:type="page"/>
      </w:r>
    </w:p>
    <w:p w14:paraId="16BDA4CC" w14:textId="77777777" w:rsidR="003A5AFF" w:rsidRPr="009E7A21" w:rsidRDefault="003A5AFF" w:rsidP="005B343F">
      <w:pPr>
        <w:pStyle w:val="Heading1"/>
        <w:spacing w:line="360" w:lineRule="auto"/>
        <w:jc w:val="both"/>
        <w:rPr>
          <w:rFonts w:ascii="Arial" w:hAnsi="Arial" w:cs="Arial"/>
          <w:b/>
          <w:color w:val="auto"/>
          <w:sz w:val="24"/>
          <w:szCs w:val="24"/>
        </w:rPr>
      </w:pPr>
      <w:bookmarkStart w:id="48" w:name="_Toc234747817"/>
      <w:bookmarkStart w:id="49" w:name="_Toc236848551"/>
      <w:r w:rsidRPr="009E7A21">
        <w:rPr>
          <w:rFonts w:ascii="Arial" w:hAnsi="Arial" w:cs="Arial"/>
          <w:b/>
          <w:color w:val="auto"/>
          <w:sz w:val="24"/>
          <w:szCs w:val="24"/>
        </w:rPr>
        <w:lastRenderedPageBreak/>
        <w:t>Appendices</w:t>
      </w:r>
      <w:bookmarkEnd w:id="48"/>
      <w:bookmarkEnd w:id="49"/>
    </w:p>
    <w:p w14:paraId="0467F41D" w14:textId="77777777" w:rsidR="003A5AFF" w:rsidRPr="009E7A21" w:rsidRDefault="002038D6" w:rsidP="002038D6">
      <w:pPr>
        <w:pStyle w:val="Heading2"/>
        <w:spacing w:line="360" w:lineRule="auto"/>
        <w:jc w:val="both"/>
        <w:rPr>
          <w:rFonts w:ascii="Arial" w:hAnsi="Arial" w:cs="Arial"/>
          <w:b/>
          <w:color w:val="auto"/>
          <w:sz w:val="24"/>
          <w:szCs w:val="24"/>
        </w:rPr>
      </w:pPr>
      <w:bookmarkStart w:id="50" w:name="_Toc234747818"/>
      <w:bookmarkStart w:id="51" w:name="_Toc236848552"/>
      <w:r w:rsidRPr="009E7A21">
        <w:rPr>
          <w:rFonts w:ascii="Arial" w:hAnsi="Arial" w:cs="Arial"/>
          <w:b/>
          <w:color w:val="auto"/>
          <w:sz w:val="24"/>
          <w:szCs w:val="24"/>
        </w:rPr>
        <w:t xml:space="preserve">a. </w:t>
      </w:r>
      <w:r w:rsidR="000F3C7B" w:rsidRPr="009E7A21">
        <w:rPr>
          <w:rFonts w:ascii="Arial" w:hAnsi="Arial" w:cs="Arial"/>
          <w:b/>
          <w:color w:val="auto"/>
          <w:sz w:val="24"/>
          <w:szCs w:val="24"/>
        </w:rPr>
        <w:t>Ratio tables and graphs</w:t>
      </w:r>
      <w:bookmarkEnd w:id="50"/>
      <w:bookmarkEnd w:id="51"/>
    </w:p>
    <w:p w14:paraId="230CB362"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Profitability</w:t>
      </w:r>
    </w:p>
    <w:tbl>
      <w:tblPr>
        <w:tblStyle w:val="TableGrid"/>
        <w:tblW w:w="0" w:type="auto"/>
        <w:tblLook w:val="04A0" w:firstRow="1" w:lastRow="0" w:firstColumn="1" w:lastColumn="0" w:noHBand="0" w:noVBand="1"/>
      </w:tblPr>
      <w:tblGrid>
        <w:gridCol w:w="2889"/>
        <w:gridCol w:w="1004"/>
        <w:gridCol w:w="1055"/>
        <w:gridCol w:w="1017"/>
        <w:gridCol w:w="1017"/>
        <w:gridCol w:w="1017"/>
        <w:gridCol w:w="1017"/>
      </w:tblGrid>
      <w:tr w:rsidR="002038D6" w:rsidRPr="009E7A21" w14:paraId="0A883A96" w14:textId="77777777" w:rsidTr="00AD00E4">
        <w:tc>
          <w:tcPr>
            <w:tcW w:w="0" w:type="auto"/>
            <w:hideMark/>
          </w:tcPr>
          <w:p w14:paraId="394A8EF1"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Particulars</w:t>
            </w:r>
          </w:p>
        </w:tc>
        <w:tc>
          <w:tcPr>
            <w:tcW w:w="0" w:type="auto"/>
            <w:hideMark/>
          </w:tcPr>
          <w:p w14:paraId="7C5A934E"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Details</w:t>
            </w:r>
          </w:p>
        </w:tc>
        <w:tc>
          <w:tcPr>
            <w:tcW w:w="0" w:type="auto"/>
            <w:hideMark/>
          </w:tcPr>
          <w:p w14:paraId="39D21CC9"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2020</w:t>
            </w:r>
          </w:p>
        </w:tc>
        <w:tc>
          <w:tcPr>
            <w:tcW w:w="0" w:type="auto"/>
            <w:hideMark/>
          </w:tcPr>
          <w:p w14:paraId="4CA711D4"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2021</w:t>
            </w:r>
          </w:p>
        </w:tc>
        <w:tc>
          <w:tcPr>
            <w:tcW w:w="0" w:type="auto"/>
            <w:hideMark/>
          </w:tcPr>
          <w:p w14:paraId="4063BE71"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2022</w:t>
            </w:r>
          </w:p>
        </w:tc>
        <w:tc>
          <w:tcPr>
            <w:tcW w:w="0" w:type="auto"/>
            <w:hideMark/>
          </w:tcPr>
          <w:p w14:paraId="4D8DD961"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2023</w:t>
            </w:r>
          </w:p>
        </w:tc>
        <w:tc>
          <w:tcPr>
            <w:tcW w:w="0" w:type="auto"/>
            <w:hideMark/>
          </w:tcPr>
          <w:p w14:paraId="55D94065"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2024</w:t>
            </w:r>
          </w:p>
        </w:tc>
      </w:tr>
      <w:tr w:rsidR="002038D6" w:rsidRPr="009E7A21" w14:paraId="0AA71F16" w14:textId="77777777" w:rsidTr="00AD00E4">
        <w:tc>
          <w:tcPr>
            <w:tcW w:w="0" w:type="auto"/>
            <w:hideMark/>
          </w:tcPr>
          <w:p w14:paraId="273C427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Revenue (£m)</w:t>
            </w:r>
          </w:p>
        </w:tc>
        <w:tc>
          <w:tcPr>
            <w:tcW w:w="0" w:type="auto"/>
            <w:hideMark/>
          </w:tcPr>
          <w:p w14:paraId="4DCDBA7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A</w:t>
            </w:r>
          </w:p>
        </w:tc>
        <w:tc>
          <w:tcPr>
            <w:tcW w:w="0" w:type="auto"/>
            <w:hideMark/>
          </w:tcPr>
          <w:p w14:paraId="687884F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1,919.0</w:t>
            </w:r>
          </w:p>
        </w:tc>
        <w:tc>
          <w:tcPr>
            <w:tcW w:w="0" w:type="auto"/>
            <w:hideMark/>
          </w:tcPr>
          <w:p w14:paraId="7292922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1,341.6</w:t>
            </w:r>
          </w:p>
        </w:tc>
        <w:tc>
          <w:tcPr>
            <w:tcW w:w="0" w:type="auto"/>
            <w:hideMark/>
          </w:tcPr>
          <w:p w14:paraId="7BFD135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2,176.4</w:t>
            </w:r>
          </w:p>
        </w:tc>
        <w:tc>
          <w:tcPr>
            <w:tcW w:w="0" w:type="auto"/>
            <w:hideMark/>
          </w:tcPr>
          <w:p w14:paraId="36DBED8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2,375.4</w:t>
            </w:r>
          </w:p>
        </w:tc>
        <w:tc>
          <w:tcPr>
            <w:tcW w:w="0" w:type="auto"/>
            <w:hideMark/>
          </w:tcPr>
          <w:p w14:paraId="2E338CA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2,450.5</w:t>
            </w:r>
          </w:p>
        </w:tc>
      </w:tr>
      <w:tr w:rsidR="002038D6" w:rsidRPr="009E7A21" w14:paraId="723D173D" w14:textId="77777777" w:rsidTr="00AD00E4">
        <w:tc>
          <w:tcPr>
            <w:tcW w:w="0" w:type="auto"/>
            <w:hideMark/>
          </w:tcPr>
          <w:p w14:paraId="4860489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Operating Profit/(Loss) (£m)</w:t>
            </w:r>
          </w:p>
        </w:tc>
        <w:tc>
          <w:tcPr>
            <w:tcW w:w="0" w:type="auto"/>
            <w:hideMark/>
          </w:tcPr>
          <w:p w14:paraId="30CE7CA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B</w:t>
            </w:r>
          </w:p>
        </w:tc>
        <w:tc>
          <w:tcPr>
            <w:tcW w:w="0" w:type="auto"/>
            <w:hideMark/>
          </w:tcPr>
          <w:p w14:paraId="7C91402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253.1</w:t>
            </w:r>
          </w:p>
        </w:tc>
        <w:tc>
          <w:tcPr>
            <w:tcW w:w="0" w:type="auto"/>
            <w:hideMark/>
          </w:tcPr>
          <w:p w14:paraId="6B55F89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63.8</w:t>
            </w:r>
          </w:p>
        </w:tc>
        <w:tc>
          <w:tcPr>
            <w:tcW w:w="0" w:type="auto"/>
            <w:hideMark/>
          </w:tcPr>
          <w:p w14:paraId="5C2DD71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249.2</w:t>
            </w:r>
          </w:p>
        </w:tc>
        <w:tc>
          <w:tcPr>
            <w:tcW w:w="0" w:type="auto"/>
            <w:hideMark/>
          </w:tcPr>
          <w:p w14:paraId="65A0CC3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167.2</w:t>
            </w:r>
          </w:p>
        </w:tc>
        <w:tc>
          <w:tcPr>
            <w:tcW w:w="0" w:type="auto"/>
            <w:hideMark/>
          </w:tcPr>
          <w:p w14:paraId="64C8464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(16.4)</w:t>
            </w:r>
          </w:p>
        </w:tc>
      </w:tr>
      <w:tr w:rsidR="002038D6" w:rsidRPr="009E7A21" w14:paraId="0B42CDBE" w14:textId="77777777" w:rsidTr="00AD00E4">
        <w:tc>
          <w:tcPr>
            <w:tcW w:w="0" w:type="auto"/>
            <w:hideMark/>
          </w:tcPr>
          <w:p w14:paraId="2CB16C4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Net Profit/(Loss) (£m)</w:t>
            </w:r>
          </w:p>
        </w:tc>
        <w:tc>
          <w:tcPr>
            <w:tcW w:w="0" w:type="auto"/>
            <w:hideMark/>
          </w:tcPr>
          <w:p w14:paraId="2D92E57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C</w:t>
            </w:r>
          </w:p>
        </w:tc>
        <w:tc>
          <w:tcPr>
            <w:tcW w:w="0" w:type="auto"/>
            <w:hideMark/>
          </w:tcPr>
          <w:p w14:paraId="7778BBC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(273.0)</w:t>
            </w:r>
          </w:p>
        </w:tc>
        <w:tc>
          <w:tcPr>
            <w:tcW w:w="0" w:type="auto"/>
            <w:hideMark/>
          </w:tcPr>
          <w:p w14:paraId="6DC87CB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(70.4)</w:t>
            </w:r>
          </w:p>
        </w:tc>
        <w:tc>
          <w:tcPr>
            <w:tcW w:w="0" w:type="auto"/>
            <w:hideMark/>
          </w:tcPr>
          <w:p w14:paraId="3F652D9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98.4</w:t>
            </w:r>
          </w:p>
        </w:tc>
        <w:tc>
          <w:tcPr>
            <w:tcW w:w="0" w:type="auto"/>
            <w:hideMark/>
          </w:tcPr>
          <w:p w14:paraId="279364E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45.2</w:t>
            </w:r>
          </w:p>
        </w:tc>
        <w:tc>
          <w:tcPr>
            <w:tcW w:w="0" w:type="auto"/>
            <w:hideMark/>
          </w:tcPr>
          <w:p w14:paraId="5C92EAB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(147.1)</w:t>
            </w:r>
          </w:p>
        </w:tc>
      </w:tr>
      <w:tr w:rsidR="002038D6" w:rsidRPr="009E7A21" w14:paraId="1ACB7CB7" w14:textId="77777777" w:rsidTr="00AD00E4">
        <w:tc>
          <w:tcPr>
            <w:tcW w:w="0" w:type="auto"/>
            <w:hideMark/>
          </w:tcPr>
          <w:p w14:paraId="1CDB970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Total Assets (£m)</w:t>
            </w:r>
          </w:p>
        </w:tc>
        <w:tc>
          <w:tcPr>
            <w:tcW w:w="0" w:type="auto"/>
            <w:hideMark/>
          </w:tcPr>
          <w:p w14:paraId="2F3E2A2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D</w:t>
            </w:r>
          </w:p>
        </w:tc>
        <w:tc>
          <w:tcPr>
            <w:tcW w:w="0" w:type="auto"/>
            <w:hideMark/>
          </w:tcPr>
          <w:p w14:paraId="7EE3297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5,132.8</w:t>
            </w:r>
          </w:p>
        </w:tc>
        <w:tc>
          <w:tcPr>
            <w:tcW w:w="0" w:type="auto"/>
            <w:hideMark/>
          </w:tcPr>
          <w:p w14:paraId="6BBAFFF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5,048.4</w:t>
            </w:r>
          </w:p>
        </w:tc>
        <w:tc>
          <w:tcPr>
            <w:tcW w:w="0" w:type="auto"/>
            <w:hideMark/>
          </w:tcPr>
          <w:p w14:paraId="7FFA8E0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5,255.0</w:t>
            </w:r>
          </w:p>
        </w:tc>
        <w:tc>
          <w:tcPr>
            <w:tcW w:w="0" w:type="auto"/>
            <w:hideMark/>
          </w:tcPr>
          <w:p w14:paraId="4A289B8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5,338.7</w:t>
            </w:r>
          </w:p>
        </w:tc>
        <w:tc>
          <w:tcPr>
            <w:tcW w:w="0" w:type="auto"/>
            <w:hideMark/>
          </w:tcPr>
          <w:p w14:paraId="12E29DC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5,163.8</w:t>
            </w:r>
          </w:p>
        </w:tc>
      </w:tr>
      <w:tr w:rsidR="002038D6" w:rsidRPr="009E7A21" w14:paraId="168E711F" w14:textId="77777777" w:rsidTr="00AD00E4">
        <w:tc>
          <w:tcPr>
            <w:tcW w:w="0" w:type="auto"/>
            <w:hideMark/>
          </w:tcPr>
          <w:p w14:paraId="0B7C2C6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Current Liabilities (£m)</w:t>
            </w:r>
          </w:p>
        </w:tc>
        <w:tc>
          <w:tcPr>
            <w:tcW w:w="0" w:type="auto"/>
            <w:hideMark/>
          </w:tcPr>
          <w:p w14:paraId="35C066E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E</w:t>
            </w:r>
          </w:p>
        </w:tc>
        <w:tc>
          <w:tcPr>
            <w:tcW w:w="0" w:type="auto"/>
            <w:hideMark/>
          </w:tcPr>
          <w:p w14:paraId="31386C9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747.5</w:t>
            </w:r>
          </w:p>
        </w:tc>
        <w:tc>
          <w:tcPr>
            <w:tcW w:w="0" w:type="auto"/>
            <w:hideMark/>
          </w:tcPr>
          <w:p w14:paraId="5CAA609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755.8</w:t>
            </w:r>
          </w:p>
        </w:tc>
        <w:tc>
          <w:tcPr>
            <w:tcW w:w="0" w:type="auto"/>
            <w:hideMark/>
          </w:tcPr>
          <w:p w14:paraId="0F48D0E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813.3</w:t>
            </w:r>
          </w:p>
        </w:tc>
        <w:tc>
          <w:tcPr>
            <w:tcW w:w="0" w:type="auto"/>
            <w:hideMark/>
          </w:tcPr>
          <w:p w14:paraId="7784244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873.6</w:t>
            </w:r>
          </w:p>
        </w:tc>
        <w:tc>
          <w:tcPr>
            <w:tcW w:w="0" w:type="auto"/>
            <w:hideMark/>
          </w:tcPr>
          <w:p w14:paraId="236FE41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851.2</w:t>
            </w:r>
          </w:p>
        </w:tc>
      </w:tr>
      <w:tr w:rsidR="002038D6" w:rsidRPr="009E7A21" w14:paraId="468F5652" w14:textId="77777777" w:rsidTr="00AD00E4">
        <w:tc>
          <w:tcPr>
            <w:tcW w:w="0" w:type="auto"/>
            <w:hideMark/>
          </w:tcPr>
          <w:p w14:paraId="7196642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Net Margin (C/A)</w:t>
            </w:r>
          </w:p>
        </w:tc>
        <w:tc>
          <w:tcPr>
            <w:tcW w:w="0" w:type="auto"/>
            <w:hideMark/>
          </w:tcPr>
          <w:p w14:paraId="318D780D" w14:textId="77777777" w:rsidR="002038D6" w:rsidRPr="009E7A21" w:rsidRDefault="002038D6" w:rsidP="00AD00E4">
            <w:pPr>
              <w:spacing w:line="360" w:lineRule="auto"/>
              <w:jc w:val="both"/>
              <w:rPr>
                <w:rFonts w:ascii="Arial" w:eastAsia="Times New Roman" w:hAnsi="Arial" w:cs="Arial"/>
                <w:sz w:val="24"/>
                <w:szCs w:val="24"/>
                <w:lang w:val="en-IN" w:eastAsia="en-IN"/>
              </w:rPr>
            </w:pPr>
          </w:p>
        </w:tc>
        <w:tc>
          <w:tcPr>
            <w:tcW w:w="0" w:type="auto"/>
            <w:hideMark/>
          </w:tcPr>
          <w:p w14:paraId="1B4347A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-14.22%</w:t>
            </w:r>
          </w:p>
        </w:tc>
        <w:tc>
          <w:tcPr>
            <w:tcW w:w="0" w:type="auto"/>
            <w:hideMark/>
          </w:tcPr>
          <w:p w14:paraId="7F202BE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-5.25%</w:t>
            </w:r>
          </w:p>
        </w:tc>
        <w:tc>
          <w:tcPr>
            <w:tcW w:w="0" w:type="auto"/>
            <w:hideMark/>
          </w:tcPr>
          <w:p w14:paraId="1041282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4.52%</w:t>
            </w:r>
          </w:p>
        </w:tc>
        <w:tc>
          <w:tcPr>
            <w:tcW w:w="0" w:type="auto"/>
            <w:hideMark/>
          </w:tcPr>
          <w:p w14:paraId="2EADC43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1.90%</w:t>
            </w:r>
          </w:p>
        </w:tc>
        <w:tc>
          <w:tcPr>
            <w:tcW w:w="0" w:type="auto"/>
            <w:hideMark/>
          </w:tcPr>
          <w:p w14:paraId="5B4D7BB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-6.00%</w:t>
            </w:r>
          </w:p>
        </w:tc>
      </w:tr>
      <w:tr w:rsidR="002038D6" w:rsidRPr="009E7A21" w14:paraId="0B0A6E01" w14:textId="77777777" w:rsidTr="00AD00E4">
        <w:tc>
          <w:tcPr>
            <w:tcW w:w="0" w:type="auto"/>
            <w:hideMark/>
          </w:tcPr>
          <w:p w14:paraId="03EF6EE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Return on Capital Employed (ROCE) [(B)/(D−E)]</w:t>
            </w:r>
          </w:p>
        </w:tc>
        <w:tc>
          <w:tcPr>
            <w:tcW w:w="0" w:type="auto"/>
            <w:hideMark/>
          </w:tcPr>
          <w:p w14:paraId="137DF846" w14:textId="77777777" w:rsidR="002038D6" w:rsidRPr="009E7A21" w:rsidRDefault="002038D6" w:rsidP="00AD00E4">
            <w:pPr>
              <w:spacing w:line="360" w:lineRule="auto"/>
              <w:jc w:val="both"/>
              <w:rPr>
                <w:rFonts w:ascii="Arial" w:eastAsia="Times New Roman" w:hAnsi="Arial" w:cs="Arial"/>
                <w:sz w:val="24"/>
                <w:szCs w:val="24"/>
                <w:lang w:val="en-IN" w:eastAsia="en-IN"/>
              </w:rPr>
            </w:pPr>
          </w:p>
        </w:tc>
        <w:tc>
          <w:tcPr>
            <w:tcW w:w="0" w:type="auto"/>
            <w:hideMark/>
          </w:tcPr>
          <w:p w14:paraId="62AA47E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5.76%</w:t>
            </w:r>
          </w:p>
        </w:tc>
        <w:tc>
          <w:tcPr>
            <w:tcW w:w="0" w:type="auto"/>
            <w:hideMark/>
          </w:tcPr>
          <w:p w14:paraId="39965FA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1.48%</w:t>
            </w:r>
          </w:p>
        </w:tc>
        <w:tc>
          <w:tcPr>
            <w:tcW w:w="0" w:type="auto"/>
            <w:hideMark/>
          </w:tcPr>
          <w:p w14:paraId="58DFB27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5.61%</w:t>
            </w:r>
          </w:p>
        </w:tc>
        <w:tc>
          <w:tcPr>
            <w:tcW w:w="0" w:type="auto"/>
            <w:hideMark/>
          </w:tcPr>
          <w:p w14:paraId="18CDD58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3.75%</w:t>
            </w:r>
          </w:p>
        </w:tc>
        <w:tc>
          <w:tcPr>
            <w:tcW w:w="0" w:type="auto"/>
            <w:hideMark/>
          </w:tcPr>
          <w:p w14:paraId="2B843C4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-0.38%</w:t>
            </w:r>
          </w:p>
        </w:tc>
      </w:tr>
    </w:tbl>
    <w:p w14:paraId="2A2AE4E5" w14:textId="77777777" w:rsidR="002038D6" w:rsidRPr="009E7A21" w:rsidRDefault="002038D6" w:rsidP="002038D6">
      <w:pPr>
        <w:spacing w:line="360" w:lineRule="auto"/>
        <w:jc w:val="center"/>
        <w:rPr>
          <w:rFonts w:ascii="Arial" w:hAnsi="Arial" w:cs="Arial"/>
          <w:sz w:val="24"/>
          <w:szCs w:val="24"/>
        </w:rPr>
      </w:pPr>
      <w:r w:rsidRPr="009E7A21">
        <w:rPr>
          <w:noProof/>
          <w:lang w:val="en-IN" w:eastAsia="en-IN"/>
        </w:rPr>
        <w:drawing>
          <wp:inline distT="0" distB="0" distL="0" distR="0" wp14:anchorId="3BF5FE93" wp14:editId="673410D6">
            <wp:extent cx="4572000" cy="27432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72"/>
              </a:graphicData>
            </a:graphic>
          </wp:inline>
        </w:drawing>
      </w:r>
    </w:p>
    <w:p w14:paraId="4A9BF870"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Liquidity</w:t>
      </w:r>
    </w:p>
    <w:tbl>
      <w:tblPr>
        <w:tblStyle w:val="TableGrid"/>
        <w:tblW w:w="9000" w:type="dxa"/>
        <w:tblLook w:val="04A0" w:firstRow="1" w:lastRow="0" w:firstColumn="1" w:lastColumn="0" w:noHBand="0" w:noVBand="1"/>
      </w:tblPr>
      <w:tblGrid>
        <w:gridCol w:w="3215"/>
        <w:gridCol w:w="1140"/>
        <w:gridCol w:w="929"/>
        <w:gridCol w:w="929"/>
        <w:gridCol w:w="929"/>
        <w:gridCol w:w="929"/>
        <w:gridCol w:w="929"/>
      </w:tblGrid>
      <w:tr w:rsidR="002038D6" w:rsidRPr="009E7A21" w14:paraId="3B30CA1E" w14:textId="77777777" w:rsidTr="00AD00E4">
        <w:trPr>
          <w:trHeight w:val="254"/>
        </w:trPr>
        <w:tc>
          <w:tcPr>
            <w:tcW w:w="0" w:type="auto"/>
            <w:hideMark/>
          </w:tcPr>
          <w:p w14:paraId="5C96B2F5"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Particulars</w:t>
            </w:r>
          </w:p>
        </w:tc>
        <w:tc>
          <w:tcPr>
            <w:tcW w:w="0" w:type="auto"/>
            <w:hideMark/>
          </w:tcPr>
          <w:p w14:paraId="1C5C4BC7"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Details</w:t>
            </w:r>
          </w:p>
        </w:tc>
        <w:tc>
          <w:tcPr>
            <w:tcW w:w="0" w:type="auto"/>
            <w:hideMark/>
          </w:tcPr>
          <w:p w14:paraId="1BD3E4EA"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2020</w:t>
            </w:r>
          </w:p>
        </w:tc>
        <w:tc>
          <w:tcPr>
            <w:tcW w:w="0" w:type="auto"/>
            <w:hideMark/>
          </w:tcPr>
          <w:p w14:paraId="2B01B3C2"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2021</w:t>
            </w:r>
          </w:p>
        </w:tc>
        <w:tc>
          <w:tcPr>
            <w:tcW w:w="0" w:type="auto"/>
            <w:hideMark/>
          </w:tcPr>
          <w:p w14:paraId="7B59EFA4"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2022</w:t>
            </w:r>
          </w:p>
        </w:tc>
        <w:tc>
          <w:tcPr>
            <w:tcW w:w="0" w:type="auto"/>
            <w:hideMark/>
          </w:tcPr>
          <w:p w14:paraId="444B626F"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2023</w:t>
            </w:r>
          </w:p>
        </w:tc>
        <w:tc>
          <w:tcPr>
            <w:tcW w:w="0" w:type="auto"/>
            <w:hideMark/>
          </w:tcPr>
          <w:p w14:paraId="1B0C1FE8"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2024</w:t>
            </w:r>
          </w:p>
        </w:tc>
      </w:tr>
      <w:tr w:rsidR="002038D6" w:rsidRPr="009E7A21" w14:paraId="3319ECFD" w14:textId="77777777" w:rsidTr="00AD00E4">
        <w:trPr>
          <w:trHeight w:val="254"/>
        </w:trPr>
        <w:tc>
          <w:tcPr>
            <w:tcW w:w="0" w:type="auto"/>
            <w:hideMark/>
          </w:tcPr>
          <w:p w14:paraId="59C6BBA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Current Assets (£m)</w:t>
            </w:r>
          </w:p>
        </w:tc>
        <w:tc>
          <w:tcPr>
            <w:tcW w:w="0" w:type="auto"/>
            <w:hideMark/>
          </w:tcPr>
          <w:p w14:paraId="381934C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A</w:t>
            </w:r>
          </w:p>
        </w:tc>
        <w:tc>
          <w:tcPr>
            <w:tcW w:w="0" w:type="auto"/>
            <w:hideMark/>
          </w:tcPr>
          <w:p w14:paraId="3A0AAAF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327.7</w:t>
            </w:r>
          </w:p>
        </w:tc>
        <w:tc>
          <w:tcPr>
            <w:tcW w:w="0" w:type="auto"/>
            <w:hideMark/>
          </w:tcPr>
          <w:p w14:paraId="464D4BB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487.3</w:t>
            </w:r>
          </w:p>
        </w:tc>
        <w:tc>
          <w:tcPr>
            <w:tcW w:w="0" w:type="auto"/>
            <w:hideMark/>
          </w:tcPr>
          <w:p w14:paraId="1E5EE66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530.4</w:t>
            </w:r>
          </w:p>
        </w:tc>
        <w:tc>
          <w:tcPr>
            <w:tcW w:w="0" w:type="auto"/>
            <w:hideMark/>
          </w:tcPr>
          <w:p w14:paraId="39BAC4D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564.6</w:t>
            </w:r>
          </w:p>
        </w:tc>
        <w:tc>
          <w:tcPr>
            <w:tcW w:w="0" w:type="auto"/>
            <w:hideMark/>
          </w:tcPr>
          <w:p w14:paraId="4D1ED68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578.8</w:t>
            </w:r>
          </w:p>
        </w:tc>
      </w:tr>
      <w:tr w:rsidR="002038D6" w:rsidRPr="009E7A21" w14:paraId="7F67B961" w14:textId="77777777" w:rsidTr="00AD00E4">
        <w:trPr>
          <w:trHeight w:val="243"/>
        </w:trPr>
        <w:tc>
          <w:tcPr>
            <w:tcW w:w="0" w:type="auto"/>
            <w:hideMark/>
          </w:tcPr>
          <w:p w14:paraId="04A572D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Inventories (£m)</w:t>
            </w:r>
          </w:p>
        </w:tc>
        <w:tc>
          <w:tcPr>
            <w:tcW w:w="0" w:type="auto"/>
            <w:hideMark/>
          </w:tcPr>
          <w:p w14:paraId="5A3450A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B</w:t>
            </w:r>
          </w:p>
        </w:tc>
        <w:tc>
          <w:tcPr>
            <w:tcW w:w="0" w:type="auto"/>
            <w:hideMark/>
          </w:tcPr>
          <w:p w14:paraId="2407756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71.8</w:t>
            </w:r>
          </w:p>
        </w:tc>
        <w:tc>
          <w:tcPr>
            <w:tcW w:w="0" w:type="auto"/>
            <w:hideMark/>
          </w:tcPr>
          <w:p w14:paraId="4D30D77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73.2</w:t>
            </w:r>
          </w:p>
        </w:tc>
        <w:tc>
          <w:tcPr>
            <w:tcW w:w="0" w:type="auto"/>
            <w:hideMark/>
          </w:tcPr>
          <w:p w14:paraId="65C726F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84.5</w:t>
            </w:r>
          </w:p>
        </w:tc>
        <w:tc>
          <w:tcPr>
            <w:tcW w:w="0" w:type="auto"/>
            <w:hideMark/>
          </w:tcPr>
          <w:p w14:paraId="242F45D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89.6</w:t>
            </w:r>
          </w:p>
        </w:tc>
        <w:tc>
          <w:tcPr>
            <w:tcW w:w="0" w:type="auto"/>
            <w:hideMark/>
          </w:tcPr>
          <w:p w14:paraId="4497676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93.4</w:t>
            </w:r>
          </w:p>
        </w:tc>
      </w:tr>
      <w:tr w:rsidR="002038D6" w:rsidRPr="009E7A21" w14:paraId="0264DF86" w14:textId="77777777" w:rsidTr="00AD00E4">
        <w:trPr>
          <w:trHeight w:val="254"/>
        </w:trPr>
        <w:tc>
          <w:tcPr>
            <w:tcW w:w="0" w:type="auto"/>
            <w:hideMark/>
          </w:tcPr>
          <w:p w14:paraId="493FB6F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Current Liabilities (£m)</w:t>
            </w:r>
          </w:p>
        </w:tc>
        <w:tc>
          <w:tcPr>
            <w:tcW w:w="0" w:type="auto"/>
            <w:hideMark/>
          </w:tcPr>
          <w:p w14:paraId="2C5A53B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C</w:t>
            </w:r>
          </w:p>
        </w:tc>
        <w:tc>
          <w:tcPr>
            <w:tcW w:w="0" w:type="auto"/>
            <w:hideMark/>
          </w:tcPr>
          <w:p w14:paraId="204B036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747.5</w:t>
            </w:r>
          </w:p>
        </w:tc>
        <w:tc>
          <w:tcPr>
            <w:tcW w:w="0" w:type="auto"/>
            <w:hideMark/>
          </w:tcPr>
          <w:p w14:paraId="78CE516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755.8</w:t>
            </w:r>
          </w:p>
        </w:tc>
        <w:tc>
          <w:tcPr>
            <w:tcW w:w="0" w:type="auto"/>
            <w:hideMark/>
          </w:tcPr>
          <w:p w14:paraId="1E166F4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813.3</w:t>
            </w:r>
          </w:p>
        </w:tc>
        <w:tc>
          <w:tcPr>
            <w:tcW w:w="0" w:type="auto"/>
            <w:hideMark/>
          </w:tcPr>
          <w:p w14:paraId="5DB6F45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873.6</w:t>
            </w:r>
          </w:p>
        </w:tc>
        <w:tc>
          <w:tcPr>
            <w:tcW w:w="0" w:type="auto"/>
            <w:hideMark/>
          </w:tcPr>
          <w:p w14:paraId="4EC8A4B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851.2</w:t>
            </w:r>
          </w:p>
        </w:tc>
      </w:tr>
      <w:tr w:rsidR="002038D6" w:rsidRPr="009E7A21" w14:paraId="1731B181" w14:textId="77777777" w:rsidTr="00AD00E4">
        <w:trPr>
          <w:trHeight w:val="254"/>
        </w:trPr>
        <w:tc>
          <w:tcPr>
            <w:tcW w:w="0" w:type="auto"/>
            <w:hideMark/>
          </w:tcPr>
          <w:p w14:paraId="72DFCAA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Current Ratio (A/C)</w:t>
            </w:r>
          </w:p>
        </w:tc>
        <w:tc>
          <w:tcPr>
            <w:tcW w:w="0" w:type="auto"/>
            <w:hideMark/>
          </w:tcPr>
          <w:p w14:paraId="0E6D701D" w14:textId="77777777" w:rsidR="002038D6" w:rsidRPr="009E7A21" w:rsidRDefault="002038D6" w:rsidP="00AD00E4">
            <w:pPr>
              <w:spacing w:line="360" w:lineRule="auto"/>
              <w:jc w:val="both"/>
              <w:rPr>
                <w:rFonts w:ascii="Arial" w:eastAsia="Times New Roman" w:hAnsi="Arial" w:cs="Arial"/>
                <w:sz w:val="24"/>
                <w:szCs w:val="24"/>
                <w:lang w:val="en-IN" w:eastAsia="en-IN"/>
              </w:rPr>
            </w:pPr>
          </w:p>
        </w:tc>
        <w:tc>
          <w:tcPr>
            <w:tcW w:w="0" w:type="auto"/>
            <w:hideMark/>
          </w:tcPr>
          <w:p w14:paraId="1772C90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0.44</w:t>
            </w:r>
          </w:p>
        </w:tc>
        <w:tc>
          <w:tcPr>
            <w:tcW w:w="0" w:type="auto"/>
            <w:hideMark/>
          </w:tcPr>
          <w:p w14:paraId="2997BA4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0.64</w:t>
            </w:r>
          </w:p>
        </w:tc>
        <w:tc>
          <w:tcPr>
            <w:tcW w:w="0" w:type="auto"/>
            <w:hideMark/>
          </w:tcPr>
          <w:p w14:paraId="3CD15B3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0.65</w:t>
            </w:r>
          </w:p>
        </w:tc>
        <w:tc>
          <w:tcPr>
            <w:tcW w:w="0" w:type="auto"/>
            <w:hideMark/>
          </w:tcPr>
          <w:p w14:paraId="46A4C2F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0.65</w:t>
            </w:r>
          </w:p>
        </w:tc>
        <w:tc>
          <w:tcPr>
            <w:tcW w:w="0" w:type="auto"/>
            <w:hideMark/>
          </w:tcPr>
          <w:p w14:paraId="39D7645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0.68</w:t>
            </w:r>
          </w:p>
        </w:tc>
      </w:tr>
      <w:tr w:rsidR="002038D6" w:rsidRPr="009E7A21" w14:paraId="268B17C9" w14:textId="77777777" w:rsidTr="00AD00E4">
        <w:trPr>
          <w:trHeight w:val="254"/>
        </w:trPr>
        <w:tc>
          <w:tcPr>
            <w:tcW w:w="0" w:type="auto"/>
            <w:hideMark/>
          </w:tcPr>
          <w:p w14:paraId="68736F6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lastRenderedPageBreak/>
              <w:t>Quick Ratio ((A−B)/C)</w:t>
            </w:r>
          </w:p>
        </w:tc>
        <w:tc>
          <w:tcPr>
            <w:tcW w:w="0" w:type="auto"/>
            <w:hideMark/>
          </w:tcPr>
          <w:p w14:paraId="2F860F46" w14:textId="77777777" w:rsidR="002038D6" w:rsidRPr="009E7A21" w:rsidRDefault="002038D6" w:rsidP="00AD00E4">
            <w:pPr>
              <w:spacing w:line="360" w:lineRule="auto"/>
              <w:jc w:val="both"/>
              <w:rPr>
                <w:rFonts w:ascii="Arial" w:eastAsia="Times New Roman" w:hAnsi="Arial" w:cs="Arial"/>
                <w:sz w:val="24"/>
                <w:szCs w:val="24"/>
                <w:lang w:val="en-IN" w:eastAsia="en-IN"/>
              </w:rPr>
            </w:pPr>
          </w:p>
        </w:tc>
        <w:tc>
          <w:tcPr>
            <w:tcW w:w="0" w:type="auto"/>
            <w:hideMark/>
          </w:tcPr>
          <w:p w14:paraId="4504BB2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0.34</w:t>
            </w:r>
          </w:p>
        </w:tc>
        <w:tc>
          <w:tcPr>
            <w:tcW w:w="0" w:type="auto"/>
            <w:hideMark/>
          </w:tcPr>
          <w:p w14:paraId="618BE4D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0.55</w:t>
            </w:r>
          </w:p>
        </w:tc>
        <w:tc>
          <w:tcPr>
            <w:tcW w:w="0" w:type="auto"/>
            <w:hideMark/>
          </w:tcPr>
          <w:p w14:paraId="4ED7C02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0.55</w:t>
            </w:r>
          </w:p>
        </w:tc>
        <w:tc>
          <w:tcPr>
            <w:tcW w:w="0" w:type="auto"/>
            <w:hideMark/>
          </w:tcPr>
          <w:p w14:paraId="45F2CDF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0.54</w:t>
            </w:r>
          </w:p>
        </w:tc>
        <w:tc>
          <w:tcPr>
            <w:tcW w:w="0" w:type="auto"/>
            <w:hideMark/>
          </w:tcPr>
          <w:p w14:paraId="0ED5437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0.57</w:t>
            </w:r>
          </w:p>
        </w:tc>
      </w:tr>
    </w:tbl>
    <w:p w14:paraId="411C39C9" w14:textId="77777777" w:rsidR="002038D6" w:rsidRPr="009E7A21" w:rsidRDefault="002038D6" w:rsidP="002038D6">
      <w:pPr>
        <w:pStyle w:val="ListParagraph"/>
        <w:spacing w:line="360" w:lineRule="auto"/>
        <w:jc w:val="center"/>
        <w:rPr>
          <w:rFonts w:ascii="Arial" w:hAnsi="Arial" w:cs="Arial"/>
          <w:sz w:val="24"/>
          <w:szCs w:val="24"/>
        </w:rPr>
      </w:pPr>
      <w:r w:rsidRPr="009E7A21">
        <w:rPr>
          <w:noProof/>
          <w:lang w:val="en-IN" w:eastAsia="en-IN"/>
        </w:rPr>
        <w:drawing>
          <wp:inline distT="0" distB="0" distL="0" distR="0" wp14:anchorId="5376CDDD" wp14:editId="0FC47540">
            <wp:extent cx="4572000" cy="2743200"/>
            <wp:effectExtent l="0" t="0" r="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p>
    <w:p w14:paraId="72E19D99"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Efficiency</w:t>
      </w:r>
    </w:p>
    <w:tbl>
      <w:tblPr>
        <w:tblStyle w:val="TableGrid"/>
        <w:tblW w:w="0" w:type="auto"/>
        <w:tblLook w:val="04A0" w:firstRow="1" w:lastRow="0" w:firstColumn="1" w:lastColumn="0" w:noHBand="0" w:noVBand="1"/>
      </w:tblPr>
      <w:tblGrid>
        <w:gridCol w:w="2576"/>
        <w:gridCol w:w="1355"/>
        <w:gridCol w:w="1017"/>
        <w:gridCol w:w="1017"/>
        <w:gridCol w:w="1017"/>
        <w:gridCol w:w="1017"/>
        <w:gridCol w:w="1017"/>
      </w:tblGrid>
      <w:tr w:rsidR="002038D6" w:rsidRPr="009E7A21" w14:paraId="027CB1D0" w14:textId="77777777" w:rsidTr="00AD00E4">
        <w:tc>
          <w:tcPr>
            <w:tcW w:w="0" w:type="auto"/>
            <w:hideMark/>
          </w:tcPr>
          <w:p w14:paraId="5467DEA8"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Particulars</w:t>
            </w:r>
          </w:p>
        </w:tc>
        <w:tc>
          <w:tcPr>
            <w:tcW w:w="0" w:type="auto"/>
            <w:hideMark/>
          </w:tcPr>
          <w:p w14:paraId="2FD5B869"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Details</w:t>
            </w:r>
          </w:p>
        </w:tc>
        <w:tc>
          <w:tcPr>
            <w:tcW w:w="0" w:type="auto"/>
            <w:hideMark/>
          </w:tcPr>
          <w:p w14:paraId="351064C5"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2020</w:t>
            </w:r>
          </w:p>
        </w:tc>
        <w:tc>
          <w:tcPr>
            <w:tcW w:w="0" w:type="auto"/>
            <w:hideMark/>
          </w:tcPr>
          <w:p w14:paraId="50F69E20"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2021</w:t>
            </w:r>
          </w:p>
        </w:tc>
        <w:tc>
          <w:tcPr>
            <w:tcW w:w="0" w:type="auto"/>
            <w:hideMark/>
          </w:tcPr>
          <w:p w14:paraId="201D132F"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2022</w:t>
            </w:r>
          </w:p>
        </w:tc>
        <w:tc>
          <w:tcPr>
            <w:tcW w:w="0" w:type="auto"/>
            <w:hideMark/>
          </w:tcPr>
          <w:p w14:paraId="1675B896"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2023</w:t>
            </w:r>
          </w:p>
        </w:tc>
        <w:tc>
          <w:tcPr>
            <w:tcW w:w="0" w:type="auto"/>
            <w:hideMark/>
          </w:tcPr>
          <w:p w14:paraId="3D37030C"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2024</w:t>
            </w:r>
          </w:p>
        </w:tc>
      </w:tr>
      <w:tr w:rsidR="002038D6" w:rsidRPr="009E7A21" w14:paraId="06C30F2B" w14:textId="77777777" w:rsidTr="00AD00E4">
        <w:tc>
          <w:tcPr>
            <w:tcW w:w="0" w:type="auto"/>
            <w:hideMark/>
          </w:tcPr>
          <w:p w14:paraId="04BE32DC" w14:textId="77777777" w:rsidR="002038D6" w:rsidRPr="009E7A21" w:rsidRDefault="002038D6" w:rsidP="00AD00E4">
            <w:pPr>
              <w:tabs>
                <w:tab w:val="right" w:pos="2360"/>
              </w:tabs>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Revenue (£m)</w:t>
            </w:r>
            <w:r w:rsidRPr="009E7A21">
              <w:rPr>
                <w:rFonts w:ascii="Arial" w:eastAsia="Times New Roman" w:hAnsi="Arial" w:cs="Arial"/>
                <w:b/>
                <w:bCs/>
                <w:sz w:val="24"/>
                <w:szCs w:val="24"/>
                <w:lang w:val="en-IN" w:eastAsia="en-IN"/>
              </w:rPr>
              <w:tab/>
            </w:r>
          </w:p>
        </w:tc>
        <w:tc>
          <w:tcPr>
            <w:tcW w:w="0" w:type="auto"/>
            <w:hideMark/>
          </w:tcPr>
          <w:p w14:paraId="0FB1E18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A</w:t>
            </w:r>
          </w:p>
        </w:tc>
        <w:tc>
          <w:tcPr>
            <w:tcW w:w="0" w:type="auto"/>
            <w:hideMark/>
          </w:tcPr>
          <w:p w14:paraId="36263DC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1,919.0</w:t>
            </w:r>
          </w:p>
        </w:tc>
        <w:tc>
          <w:tcPr>
            <w:tcW w:w="0" w:type="auto"/>
            <w:hideMark/>
          </w:tcPr>
          <w:p w14:paraId="741C869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1,341.6</w:t>
            </w:r>
          </w:p>
        </w:tc>
        <w:tc>
          <w:tcPr>
            <w:tcW w:w="0" w:type="auto"/>
            <w:hideMark/>
          </w:tcPr>
          <w:p w14:paraId="056362A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2,176.4</w:t>
            </w:r>
          </w:p>
        </w:tc>
        <w:tc>
          <w:tcPr>
            <w:tcW w:w="0" w:type="auto"/>
            <w:hideMark/>
          </w:tcPr>
          <w:p w14:paraId="50CCBC2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2,375.4</w:t>
            </w:r>
          </w:p>
        </w:tc>
        <w:tc>
          <w:tcPr>
            <w:tcW w:w="0" w:type="auto"/>
            <w:hideMark/>
          </w:tcPr>
          <w:p w14:paraId="595AAD9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2,450.5</w:t>
            </w:r>
          </w:p>
        </w:tc>
      </w:tr>
      <w:tr w:rsidR="002038D6" w:rsidRPr="009E7A21" w14:paraId="67AF8D13" w14:textId="77777777" w:rsidTr="00AD00E4">
        <w:tc>
          <w:tcPr>
            <w:tcW w:w="0" w:type="auto"/>
            <w:hideMark/>
          </w:tcPr>
          <w:p w14:paraId="0429A1C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Cost of Sales (£m)</w:t>
            </w:r>
          </w:p>
        </w:tc>
        <w:tc>
          <w:tcPr>
            <w:tcW w:w="0" w:type="auto"/>
            <w:hideMark/>
          </w:tcPr>
          <w:p w14:paraId="4C2F981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B</w:t>
            </w:r>
          </w:p>
        </w:tc>
        <w:tc>
          <w:tcPr>
            <w:tcW w:w="0" w:type="auto"/>
            <w:hideMark/>
          </w:tcPr>
          <w:p w14:paraId="58E9C96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726.4</w:t>
            </w:r>
          </w:p>
        </w:tc>
        <w:tc>
          <w:tcPr>
            <w:tcW w:w="0" w:type="auto"/>
            <w:hideMark/>
          </w:tcPr>
          <w:p w14:paraId="1BE0263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512.3</w:t>
            </w:r>
          </w:p>
        </w:tc>
        <w:tc>
          <w:tcPr>
            <w:tcW w:w="0" w:type="auto"/>
            <w:hideMark/>
          </w:tcPr>
          <w:p w14:paraId="012810B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832.6</w:t>
            </w:r>
          </w:p>
        </w:tc>
        <w:tc>
          <w:tcPr>
            <w:tcW w:w="0" w:type="auto"/>
            <w:hideMark/>
          </w:tcPr>
          <w:p w14:paraId="7915D71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903.8</w:t>
            </w:r>
          </w:p>
        </w:tc>
        <w:tc>
          <w:tcPr>
            <w:tcW w:w="0" w:type="auto"/>
            <w:hideMark/>
          </w:tcPr>
          <w:p w14:paraId="55E9069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935.2</w:t>
            </w:r>
          </w:p>
        </w:tc>
      </w:tr>
      <w:tr w:rsidR="002038D6" w:rsidRPr="009E7A21" w14:paraId="4A7D2418" w14:textId="77777777" w:rsidTr="00AD00E4">
        <w:tc>
          <w:tcPr>
            <w:tcW w:w="0" w:type="auto"/>
            <w:hideMark/>
          </w:tcPr>
          <w:p w14:paraId="54C3FC2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Opening Inventories (£m)</w:t>
            </w:r>
          </w:p>
        </w:tc>
        <w:tc>
          <w:tcPr>
            <w:tcW w:w="0" w:type="auto"/>
            <w:hideMark/>
          </w:tcPr>
          <w:p w14:paraId="7DAD2D5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C</w:t>
            </w:r>
          </w:p>
        </w:tc>
        <w:tc>
          <w:tcPr>
            <w:tcW w:w="0" w:type="auto"/>
            <w:hideMark/>
          </w:tcPr>
          <w:p w14:paraId="77B2811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67.4</w:t>
            </w:r>
          </w:p>
        </w:tc>
        <w:tc>
          <w:tcPr>
            <w:tcW w:w="0" w:type="auto"/>
            <w:hideMark/>
          </w:tcPr>
          <w:p w14:paraId="160FE2B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71.8</w:t>
            </w:r>
          </w:p>
        </w:tc>
        <w:tc>
          <w:tcPr>
            <w:tcW w:w="0" w:type="auto"/>
            <w:hideMark/>
          </w:tcPr>
          <w:p w14:paraId="7A7974B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73.2</w:t>
            </w:r>
          </w:p>
        </w:tc>
        <w:tc>
          <w:tcPr>
            <w:tcW w:w="0" w:type="auto"/>
            <w:hideMark/>
          </w:tcPr>
          <w:p w14:paraId="207ED84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84.5</w:t>
            </w:r>
          </w:p>
        </w:tc>
        <w:tc>
          <w:tcPr>
            <w:tcW w:w="0" w:type="auto"/>
            <w:hideMark/>
          </w:tcPr>
          <w:p w14:paraId="3D3C39A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89.6</w:t>
            </w:r>
          </w:p>
        </w:tc>
      </w:tr>
      <w:tr w:rsidR="002038D6" w:rsidRPr="009E7A21" w14:paraId="2C2BBEBF" w14:textId="77777777" w:rsidTr="00AD00E4">
        <w:tc>
          <w:tcPr>
            <w:tcW w:w="0" w:type="auto"/>
            <w:hideMark/>
          </w:tcPr>
          <w:p w14:paraId="3DDE97C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Closing Inventories (£m)</w:t>
            </w:r>
          </w:p>
        </w:tc>
        <w:tc>
          <w:tcPr>
            <w:tcW w:w="0" w:type="auto"/>
            <w:hideMark/>
          </w:tcPr>
          <w:p w14:paraId="1F720FE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D</w:t>
            </w:r>
          </w:p>
        </w:tc>
        <w:tc>
          <w:tcPr>
            <w:tcW w:w="0" w:type="auto"/>
            <w:hideMark/>
          </w:tcPr>
          <w:p w14:paraId="75D7E90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71.8</w:t>
            </w:r>
          </w:p>
        </w:tc>
        <w:tc>
          <w:tcPr>
            <w:tcW w:w="0" w:type="auto"/>
            <w:hideMark/>
          </w:tcPr>
          <w:p w14:paraId="7712A30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73.2</w:t>
            </w:r>
          </w:p>
        </w:tc>
        <w:tc>
          <w:tcPr>
            <w:tcW w:w="0" w:type="auto"/>
            <w:hideMark/>
          </w:tcPr>
          <w:p w14:paraId="2105317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84.5</w:t>
            </w:r>
          </w:p>
        </w:tc>
        <w:tc>
          <w:tcPr>
            <w:tcW w:w="0" w:type="auto"/>
            <w:hideMark/>
          </w:tcPr>
          <w:p w14:paraId="5F4767B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89.6</w:t>
            </w:r>
          </w:p>
        </w:tc>
        <w:tc>
          <w:tcPr>
            <w:tcW w:w="0" w:type="auto"/>
            <w:hideMark/>
          </w:tcPr>
          <w:p w14:paraId="5161B36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93.4</w:t>
            </w:r>
          </w:p>
        </w:tc>
      </w:tr>
      <w:tr w:rsidR="002038D6" w:rsidRPr="009E7A21" w14:paraId="2DDBB28D" w14:textId="77777777" w:rsidTr="00AD00E4">
        <w:tc>
          <w:tcPr>
            <w:tcW w:w="0" w:type="auto"/>
            <w:hideMark/>
          </w:tcPr>
          <w:p w14:paraId="254180C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Average Inventories (£m)</w:t>
            </w:r>
          </w:p>
        </w:tc>
        <w:tc>
          <w:tcPr>
            <w:tcW w:w="0" w:type="auto"/>
            <w:hideMark/>
          </w:tcPr>
          <w:p w14:paraId="5CF7030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E = (C+D)/2</w:t>
            </w:r>
          </w:p>
        </w:tc>
        <w:tc>
          <w:tcPr>
            <w:tcW w:w="0" w:type="auto"/>
            <w:hideMark/>
          </w:tcPr>
          <w:p w14:paraId="0B3BF31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69.6</w:t>
            </w:r>
          </w:p>
        </w:tc>
        <w:tc>
          <w:tcPr>
            <w:tcW w:w="0" w:type="auto"/>
            <w:hideMark/>
          </w:tcPr>
          <w:p w14:paraId="15EA9BF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72.5</w:t>
            </w:r>
          </w:p>
        </w:tc>
        <w:tc>
          <w:tcPr>
            <w:tcW w:w="0" w:type="auto"/>
            <w:hideMark/>
          </w:tcPr>
          <w:p w14:paraId="646F2DC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78.9</w:t>
            </w:r>
          </w:p>
        </w:tc>
        <w:tc>
          <w:tcPr>
            <w:tcW w:w="0" w:type="auto"/>
            <w:hideMark/>
          </w:tcPr>
          <w:p w14:paraId="183CD2B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87.1</w:t>
            </w:r>
          </w:p>
        </w:tc>
        <w:tc>
          <w:tcPr>
            <w:tcW w:w="0" w:type="auto"/>
            <w:hideMark/>
          </w:tcPr>
          <w:p w14:paraId="706D582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91.5</w:t>
            </w:r>
          </w:p>
        </w:tc>
      </w:tr>
      <w:tr w:rsidR="002038D6" w:rsidRPr="009E7A21" w14:paraId="15B06087" w14:textId="77777777" w:rsidTr="00AD00E4">
        <w:tc>
          <w:tcPr>
            <w:tcW w:w="0" w:type="auto"/>
            <w:hideMark/>
          </w:tcPr>
          <w:p w14:paraId="605D91B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Opening Receivables (£m)</w:t>
            </w:r>
          </w:p>
        </w:tc>
        <w:tc>
          <w:tcPr>
            <w:tcW w:w="0" w:type="auto"/>
            <w:hideMark/>
          </w:tcPr>
          <w:p w14:paraId="00AC89D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F</w:t>
            </w:r>
          </w:p>
        </w:tc>
        <w:tc>
          <w:tcPr>
            <w:tcW w:w="0" w:type="auto"/>
            <w:hideMark/>
          </w:tcPr>
          <w:p w14:paraId="76313EA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68.9</w:t>
            </w:r>
          </w:p>
        </w:tc>
        <w:tc>
          <w:tcPr>
            <w:tcW w:w="0" w:type="auto"/>
            <w:hideMark/>
          </w:tcPr>
          <w:p w14:paraId="5A3D209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63.5</w:t>
            </w:r>
          </w:p>
        </w:tc>
        <w:tc>
          <w:tcPr>
            <w:tcW w:w="0" w:type="auto"/>
            <w:hideMark/>
          </w:tcPr>
          <w:p w14:paraId="76187F1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82.6</w:t>
            </w:r>
          </w:p>
        </w:tc>
        <w:tc>
          <w:tcPr>
            <w:tcW w:w="0" w:type="auto"/>
            <w:hideMark/>
          </w:tcPr>
          <w:p w14:paraId="24D0C30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90.3</w:t>
            </w:r>
          </w:p>
        </w:tc>
        <w:tc>
          <w:tcPr>
            <w:tcW w:w="0" w:type="auto"/>
            <w:hideMark/>
          </w:tcPr>
          <w:p w14:paraId="77D7324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95.4</w:t>
            </w:r>
          </w:p>
        </w:tc>
      </w:tr>
      <w:tr w:rsidR="002038D6" w:rsidRPr="009E7A21" w14:paraId="4AA65D03" w14:textId="77777777" w:rsidTr="00AD00E4">
        <w:tc>
          <w:tcPr>
            <w:tcW w:w="0" w:type="auto"/>
            <w:hideMark/>
          </w:tcPr>
          <w:p w14:paraId="2A73DE6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Closing Receivables (£m)</w:t>
            </w:r>
          </w:p>
        </w:tc>
        <w:tc>
          <w:tcPr>
            <w:tcW w:w="0" w:type="auto"/>
            <w:hideMark/>
          </w:tcPr>
          <w:p w14:paraId="3A27FA9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G</w:t>
            </w:r>
          </w:p>
        </w:tc>
        <w:tc>
          <w:tcPr>
            <w:tcW w:w="0" w:type="auto"/>
            <w:hideMark/>
          </w:tcPr>
          <w:p w14:paraId="2AC4951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63.5</w:t>
            </w:r>
          </w:p>
        </w:tc>
        <w:tc>
          <w:tcPr>
            <w:tcW w:w="0" w:type="auto"/>
            <w:hideMark/>
          </w:tcPr>
          <w:p w14:paraId="5299972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82.6</w:t>
            </w:r>
          </w:p>
        </w:tc>
        <w:tc>
          <w:tcPr>
            <w:tcW w:w="0" w:type="auto"/>
            <w:hideMark/>
          </w:tcPr>
          <w:p w14:paraId="6949C68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90.3</w:t>
            </w:r>
          </w:p>
        </w:tc>
        <w:tc>
          <w:tcPr>
            <w:tcW w:w="0" w:type="auto"/>
            <w:hideMark/>
          </w:tcPr>
          <w:p w14:paraId="4E513A4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95.4</w:t>
            </w:r>
          </w:p>
        </w:tc>
        <w:tc>
          <w:tcPr>
            <w:tcW w:w="0" w:type="auto"/>
            <w:hideMark/>
          </w:tcPr>
          <w:p w14:paraId="1D3663F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101.8</w:t>
            </w:r>
          </w:p>
        </w:tc>
      </w:tr>
      <w:tr w:rsidR="002038D6" w:rsidRPr="009E7A21" w14:paraId="2C5431CC" w14:textId="77777777" w:rsidTr="00AD00E4">
        <w:tc>
          <w:tcPr>
            <w:tcW w:w="0" w:type="auto"/>
            <w:hideMark/>
          </w:tcPr>
          <w:p w14:paraId="6B4B2B3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Average Receivables (£m)</w:t>
            </w:r>
          </w:p>
        </w:tc>
        <w:tc>
          <w:tcPr>
            <w:tcW w:w="0" w:type="auto"/>
            <w:hideMark/>
          </w:tcPr>
          <w:p w14:paraId="3DC5786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H = (F+G)/2</w:t>
            </w:r>
          </w:p>
        </w:tc>
        <w:tc>
          <w:tcPr>
            <w:tcW w:w="0" w:type="auto"/>
            <w:hideMark/>
          </w:tcPr>
          <w:p w14:paraId="5BA8F3D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66.2</w:t>
            </w:r>
          </w:p>
        </w:tc>
        <w:tc>
          <w:tcPr>
            <w:tcW w:w="0" w:type="auto"/>
            <w:hideMark/>
          </w:tcPr>
          <w:p w14:paraId="7B9F529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73.1</w:t>
            </w:r>
          </w:p>
        </w:tc>
        <w:tc>
          <w:tcPr>
            <w:tcW w:w="0" w:type="auto"/>
            <w:hideMark/>
          </w:tcPr>
          <w:p w14:paraId="2A2FB89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86.5</w:t>
            </w:r>
          </w:p>
        </w:tc>
        <w:tc>
          <w:tcPr>
            <w:tcW w:w="0" w:type="auto"/>
            <w:hideMark/>
          </w:tcPr>
          <w:p w14:paraId="03C8E44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92.9</w:t>
            </w:r>
          </w:p>
        </w:tc>
        <w:tc>
          <w:tcPr>
            <w:tcW w:w="0" w:type="auto"/>
            <w:hideMark/>
          </w:tcPr>
          <w:p w14:paraId="4CE946F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98.6</w:t>
            </w:r>
          </w:p>
        </w:tc>
      </w:tr>
      <w:tr w:rsidR="002038D6" w:rsidRPr="009E7A21" w14:paraId="25C190AA" w14:textId="77777777" w:rsidTr="00AD00E4">
        <w:tc>
          <w:tcPr>
            <w:tcW w:w="0" w:type="auto"/>
            <w:hideMark/>
          </w:tcPr>
          <w:p w14:paraId="35071E3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Opening Payables (£m)</w:t>
            </w:r>
          </w:p>
        </w:tc>
        <w:tc>
          <w:tcPr>
            <w:tcW w:w="0" w:type="auto"/>
            <w:hideMark/>
          </w:tcPr>
          <w:p w14:paraId="6D1E621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I</w:t>
            </w:r>
          </w:p>
        </w:tc>
        <w:tc>
          <w:tcPr>
            <w:tcW w:w="0" w:type="auto"/>
            <w:hideMark/>
          </w:tcPr>
          <w:p w14:paraId="41A6FFB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265.3</w:t>
            </w:r>
          </w:p>
        </w:tc>
        <w:tc>
          <w:tcPr>
            <w:tcW w:w="0" w:type="auto"/>
            <w:hideMark/>
          </w:tcPr>
          <w:p w14:paraId="3EAC57F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278.9</w:t>
            </w:r>
          </w:p>
        </w:tc>
        <w:tc>
          <w:tcPr>
            <w:tcW w:w="0" w:type="auto"/>
            <w:hideMark/>
          </w:tcPr>
          <w:p w14:paraId="74B73B5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305.6</w:t>
            </w:r>
          </w:p>
        </w:tc>
        <w:tc>
          <w:tcPr>
            <w:tcW w:w="0" w:type="auto"/>
            <w:hideMark/>
          </w:tcPr>
          <w:p w14:paraId="346CD45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329.8</w:t>
            </w:r>
          </w:p>
        </w:tc>
        <w:tc>
          <w:tcPr>
            <w:tcW w:w="0" w:type="auto"/>
            <w:hideMark/>
          </w:tcPr>
          <w:p w14:paraId="4E1C10E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341.2</w:t>
            </w:r>
          </w:p>
        </w:tc>
      </w:tr>
      <w:tr w:rsidR="002038D6" w:rsidRPr="009E7A21" w14:paraId="38F5487B" w14:textId="77777777" w:rsidTr="00AD00E4">
        <w:tc>
          <w:tcPr>
            <w:tcW w:w="0" w:type="auto"/>
            <w:hideMark/>
          </w:tcPr>
          <w:p w14:paraId="0DD7915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Closing Payables (£m)</w:t>
            </w:r>
          </w:p>
        </w:tc>
        <w:tc>
          <w:tcPr>
            <w:tcW w:w="0" w:type="auto"/>
            <w:hideMark/>
          </w:tcPr>
          <w:p w14:paraId="21EE95D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J</w:t>
            </w:r>
          </w:p>
        </w:tc>
        <w:tc>
          <w:tcPr>
            <w:tcW w:w="0" w:type="auto"/>
            <w:hideMark/>
          </w:tcPr>
          <w:p w14:paraId="58F607A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278.9</w:t>
            </w:r>
          </w:p>
        </w:tc>
        <w:tc>
          <w:tcPr>
            <w:tcW w:w="0" w:type="auto"/>
            <w:hideMark/>
          </w:tcPr>
          <w:p w14:paraId="7191841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305.6</w:t>
            </w:r>
          </w:p>
        </w:tc>
        <w:tc>
          <w:tcPr>
            <w:tcW w:w="0" w:type="auto"/>
            <w:hideMark/>
          </w:tcPr>
          <w:p w14:paraId="7686279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329.8</w:t>
            </w:r>
          </w:p>
        </w:tc>
        <w:tc>
          <w:tcPr>
            <w:tcW w:w="0" w:type="auto"/>
            <w:hideMark/>
          </w:tcPr>
          <w:p w14:paraId="13A9008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341.2</w:t>
            </w:r>
          </w:p>
        </w:tc>
        <w:tc>
          <w:tcPr>
            <w:tcW w:w="0" w:type="auto"/>
            <w:hideMark/>
          </w:tcPr>
          <w:p w14:paraId="55870C7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356.7</w:t>
            </w:r>
          </w:p>
        </w:tc>
      </w:tr>
      <w:tr w:rsidR="002038D6" w:rsidRPr="009E7A21" w14:paraId="2943038C" w14:textId="77777777" w:rsidTr="00AD00E4">
        <w:tc>
          <w:tcPr>
            <w:tcW w:w="0" w:type="auto"/>
            <w:hideMark/>
          </w:tcPr>
          <w:p w14:paraId="34EA731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lastRenderedPageBreak/>
              <w:t>Average Payables (£m)</w:t>
            </w:r>
          </w:p>
        </w:tc>
        <w:tc>
          <w:tcPr>
            <w:tcW w:w="0" w:type="auto"/>
            <w:hideMark/>
          </w:tcPr>
          <w:p w14:paraId="214D51F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K = (I+J)/2</w:t>
            </w:r>
          </w:p>
        </w:tc>
        <w:tc>
          <w:tcPr>
            <w:tcW w:w="0" w:type="auto"/>
            <w:hideMark/>
          </w:tcPr>
          <w:p w14:paraId="2E4DE45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272.1</w:t>
            </w:r>
          </w:p>
        </w:tc>
        <w:tc>
          <w:tcPr>
            <w:tcW w:w="0" w:type="auto"/>
            <w:hideMark/>
          </w:tcPr>
          <w:p w14:paraId="7D3EC51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292.3</w:t>
            </w:r>
          </w:p>
        </w:tc>
        <w:tc>
          <w:tcPr>
            <w:tcW w:w="0" w:type="auto"/>
            <w:hideMark/>
          </w:tcPr>
          <w:p w14:paraId="6C1CB0A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317.7</w:t>
            </w:r>
          </w:p>
        </w:tc>
        <w:tc>
          <w:tcPr>
            <w:tcW w:w="0" w:type="auto"/>
            <w:hideMark/>
          </w:tcPr>
          <w:p w14:paraId="23B16BF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335.5</w:t>
            </w:r>
          </w:p>
        </w:tc>
        <w:tc>
          <w:tcPr>
            <w:tcW w:w="0" w:type="auto"/>
            <w:hideMark/>
          </w:tcPr>
          <w:p w14:paraId="68874A8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349.0</w:t>
            </w:r>
          </w:p>
        </w:tc>
      </w:tr>
      <w:tr w:rsidR="002038D6" w:rsidRPr="009E7A21" w14:paraId="295C6C64" w14:textId="77777777" w:rsidTr="00AD00E4">
        <w:tc>
          <w:tcPr>
            <w:tcW w:w="0" w:type="auto"/>
            <w:hideMark/>
          </w:tcPr>
          <w:p w14:paraId="0AEBD7E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Inventory Turnover Days</w:t>
            </w:r>
          </w:p>
        </w:tc>
        <w:tc>
          <w:tcPr>
            <w:tcW w:w="0" w:type="auto"/>
            <w:hideMark/>
          </w:tcPr>
          <w:p w14:paraId="14C725D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365(B/E)</w:t>
            </w:r>
          </w:p>
        </w:tc>
        <w:tc>
          <w:tcPr>
            <w:tcW w:w="0" w:type="auto"/>
            <w:hideMark/>
          </w:tcPr>
          <w:p w14:paraId="3703904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35</w:t>
            </w:r>
          </w:p>
        </w:tc>
        <w:tc>
          <w:tcPr>
            <w:tcW w:w="0" w:type="auto"/>
            <w:hideMark/>
          </w:tcPr>
          <w:p w14:paraId="1EC2F89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52</w:t>
            </w:r>
          </w:p>
        </w:tc>
        <w:tc>
          <w:tcPr>
            <w:tcW w:w="0" w:type="auto"/>
            <w:hideMark/>
          </w:tcPr>
          <w:p w14:paraId="38C6A76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35</w:t>
            </w:r>
          </w:p>
        </w:tc>
        <w:tc>
          <w:tcPr>
            <w:tcW w:w="0" w:type="auto"/>
            <w:hideMark/>
          </w:tcPr>
          <w:p w14:paraId="38119E6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35</w:t>
            </w:r>
          </w:p>
        </w:tc>
        <w:tc>
          <w:tcPr>
            <w:tcW w:w="0" w:type="auto"/>
            <w:hideMark/>
          </w:tcPr>
          <w:p w14:paraId="16F753F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36</w:t>
            </w:r>
          </w:p>
        </w:tc>
      </w:tr>
      <w:tr w:rsidR="002038D6" w:rsidRPr="009E7A21" w14:paraId="6924B4DA" w14:textId="77777777" w:rsidTr="00AD00E4">
        <w:tc>
          <w:tcPr>
            <w:tcW w:w="0" w:type="auto"/>
            <w:hideMark/>
          </w:tcPr>
          <w:p w14:paraId="59B70D5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Receivables Turnover Days</w:t>
            </w:r>
          </w:p>
        </w:tc>
        <w:tc>
          <w:tcPr>
            <w:tcW w:w="0" w:type="auto"/>
            <w:hideMark/>
          </w:tcPr>
          <w:p w14:paraId="5E88D59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365(A/H)</w:t>
            </w:r>
          </w:p>
        </w:tc>
        <w:tc>
          <w:tcPr>
            <w:tcW w:w="0" w:type="auto"/>
            <w:hideMark/>
          </w:tcPr>
          <w:p w14:paraId="427616A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13</w:t>
            </w:r>
          </w:p>
        </w:tc>
        <w:tc>
          <w:tcPr>
            <w:tcW w:w="0" w:type="auto"/>
            <w:hideMark/>
          </w:tcPr>
          <w:p w14:paraId="474F217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20</w:t>
            </w:r>
          </w:p>
        </w:tc>
        <w:tc>
          <w:tcPr>
            <w:tcW w:w="0" w:type="auto"/>
            <w:hideMark/>
          </w:tcPr>
          <w:p w14:paraId="41C3993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15</w:t>
            </w:r>
          </w:p>
        </w:tc>
        <w:tc>
          <w:tcPr>
            <w:tcW w:w="0" w:type="auto"/>
            <w:hideMark/>
          </w:tcPr>
          <w:p w14:paraId="07D8A0C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14</w:t>
            </w:r>
          </w:p>
        </w:tc>
        <w:tc>
          <w:tcPr>
            <w:tcW w:w="0" w:type="auto"/>
            <w:hideMark/>
          </w:tcPr>
          <w:p w14:paraId="1C9DB49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15</w:t>
            </w:r>
          </w:p>
        </w:tc>
      </w:tr>
      <w:tr w:rsidR="002038D6" w:rsidRPr="009E7A21" w14:paraId="322FDC00" w14:textId="77777777" w:rsidTr="00AD00E4">
        <w:tc>
          <w:tcPr>
            <w:tcW w:w="0" w:type="auto"/>
            <w:hideMark/>
          </w:tcPr>
          <w:p w14:paraId="403B066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Payables Turnover Days</w:t>
            </w:r>
          </w:p>
        </w:tc>
        <w:tc>
          <w:tcPr>
            <w:tcW w:w="0" w:type="auto"/>
            <w:hideMark/>
          </w:tcPr>
          <w:p w14:paraId="33719D3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365(B/K)</w:t>
            </w:r>
          </w:p>
        </w:tc>
        <w:tc>
          <w:tcPr>
            <w:tcW w:w="0" w:type="auto"/>
            <w:hideMark/>
          </w:tcPr>
          <w:p w14:paraId="28AA4F1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137</w:t>
            </w:r>
          </w:p>
        </w:tc>
        <w:tc>
          <w:tcPr>
            <w:tcW w:w="0" w:type="auto"/>
            <w:hideMark/>
          </w:tcPr>
          <w:p w14:paraId="28A8A04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208</w:t>
            </w:r>
          </w:p>
        </w:tc>
        <w:tc>
          <w:tcPr>
            <w:tcW w:w="0" w:type="auto"/>
            <w:hideMark/>
          </w:tcPr>
          <w:p w14:paraId="6818F6B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139</w:t>
            </w:r>
          </w:p>
        </w:tc>
        <w:tc>
          <w:tcPr>
            <w:tcW w:w="0" w:type="auto"/>
            <w:hideMark/>
          </w:tcPr>
          <w:p w14:paraId="20BCC1A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135</w:t>
            </w:r>
          </w:p>
        </w:tc>
        <w:tc>
          <w:tcPr>
            <w:tcW w:w="0" w:type="auto"/>
            <w:hideMark/>
          </w:tcPr>
          <w:p w14:paraId="045E56A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136</w:t>
            </w:r>
          </w:p>
        </w:tc>
      </w:tr>
    </w:tbl>
    <w:p w14:paraId="7117CBD5" w14:textId="77777777" w:rsidR="002038D6" w:rsidRPr="009E7A21" w:rsidRDefault="002038D6" w:rsidP="002038D6">
      <w:pPr>
        <w:pStyle w:val="ListParagraph"/>
        <w:spacing w:line="360" w:lineRule="auto"/>
        <w:jc w:val="center"/>
        <w:rPr>
          <w:rFonts w:ascii="Arial" w:hAnsi="Arial" w:cs="Arial"/>
          <w:b/>
          <w:sz w:val="24"/>
          <w:szCs w:val="24"/>
        </w:rPr>
      </w:pPr>
      <w:r w:rsidRPr="009E7A21">
        <w:rPr>
          <w:noProof/>
          <w:lang w:val="en-IN" w:eastAsia="en-IN"/>
        </w:rPr>
        <w:drawing>
          <wp:inline distT="0" distB="0" distL="0" distR="0" wp14:anchorId="7ED2C32E" wp14:editId="7696BEFB">
            <wp:extent cx="4572000" cy="2743200"/>
            <wp:effectExtent l="0" t="0" r="0" b="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74"/>
              </a:graphicData>
            </a:graphic>
          </wp:inline>
        </w:drawing>
      </w:r>
    </w:p>
    <w:p w14:paraId="38F3906F"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Gearing</w:t>
      </w:r>
    </w:p>
    <w:tbl>
      <w:tblPr>
        <w:tblStyle w:val="TableGrid"/>
        <w:tblW w:w="0" w:type="auto"/>
        <w:tblLook w:val="04A0" w:firstRow="1" w:lastRow="0" w:firstColumn="1" w:lastColumn="0" w:noHBand="0" w:noVBand="1"/>
      </w:tblPr>
      <w:tblGrid>
        <w:gridCol w:w="2927"/>
        <w:gridCol w:w="1004"/>
        <w:gridCol w:w="1017"/>
        <w:gridCol w:w="1017"/>
        <w:gridCol w:w="1017"/>
        <w:gridCol w:w="1017"/>
        <w:gridCol w:w="1017"/>
      </w:tblGrid>
      <w:tr w:rsidR="002038D6" w:rsidRPr="009E7A21" w14:paraId="204A5C5A" w14:textId="77777777" w:rsidTr="00AD00E4">
        <w:tc>
          <w:tcPr>
            <w:tcW w:w="0" w:type="auto"/>
            <w:hideMark/>
          </w:tcPr>
          <w:p w14:paraId="72F8B515"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Particulars</w:t>
            </w:r>
          </w:p>
        </w:tc>
        <w:tc>
          <w:tcPr>
            <w:tcW w:w="0" w:type="auto"/>
            <w:hideMark/>
          </w:tcPr>
          <w:p w14:paraId="4A47E0C3"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Details</w:t>
            </w:r>
          </w:p>
        </w:tc>
        <w:tc>
          <w:tcPr>
            <w:tcW w:w="0" w:type="auto"/>
            <w:hideMark/>
          </w:tcPr>
          <w:p w14:paraId="428675AD"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2020</w:t>
            </w:r>
          </w:p>
        </w:tc>
        <w:tc>
          <w:tcPr>
            <w:tcW w:w="0" w:type="auto"/>
            <w:hideMark/>
          </w:tcPr>
          <w:p w14:paraId="3B5D49B6"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2021</w:t>
            </w:r>
          </w:p>
        </w:tc>
        <w:tc>
          <w:tcPr>
            <w:tcW w:w="0" w:type="auto"/>
            <w:hideMark/>
          </w:tcPr>
          <w:p w14:paraId="04E1991F"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2022</w:t>
            </w:r>
          </w:p>
        </w:tc>
        <w:tc>
          <w:tcPr>
            <w:tcW w:w="0" w:type="auto"/>
            <w:hideMark/>
          </w:tcPr>
          <w:p w14:paraId="5DBBF11C"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2023</w:t>
            </w:r>
          </w:p>
        </w:tc>
        <w:tc>
          <w:tcPr>
            <w:tcW w:w="0" w:type="auto"/>
            <w:hideMark/>
          </w:tcPr>
          <w:p w14:paraId="0E1D9784"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2024</w:t>
            </w:r>
          </w:p>
        </w:tc>
      </w:tr>
      <w:tr w:rsidR="002038D6" w:rsidRPr="009E7A21" w14:paraId="5F397A09" w14:textId="77777777" w:rsidTr="00AD00E4">
        <w:tc>
          <w:tcPr>
            <w:tcW w:w="0" w:type="auto"/>
            <w:hideMark/>
          </w:tcPr>
          <w:p w14:paraId="5FC5A16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Total Liabilities (£m)</w:t>
            </w:r>
          </w:p>
        </w:tc>
        <w:tc>
          <w:tcPr>
            <w:tcW w:w="0" w:type="auto"/>
            <w:hideMark/>
          </w:tcPr>
          <w:p w14:paraId="3BCE4C9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A</w:t>
            </w:r>
          </w:p>
        </w:tc>
        <w:tc>
          <w:tcPr>
            <w:tcW w:w="0" w:type="auto"/>
            <w:hideMark/>
          </w:tcPr>
          <w:p w14:paraId="745D9BC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4,284.7</w:t>
            </w:r>
          </w:p>
        </w:tc>
        <w:tc>
          <w:tcPr>
            <w:tcW w:w="0" w:type="auto"/>
            <w:hideMark/>
          </w:tcPr>
          <w:p w14:paraId="462D96A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4,166.8</w:t>
            </w:r>
          </w:p>
        </w:tc>
        <w:tc>
          <w:tcPr>
            <w:tcW w:w="0" w:type="auto"/>
            <w:hideMark/>
          </w:tcPr>
          <w:p w14:paraId="5DF9669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4,233.7</w:t>
            </w:r>
          </w:p>
        </w:tc>
        <w:tc>
          <w:tcPr>
            <w:tcW w:w="0" w:type="auto"/>
            <w:hideMark/>
          </w:tcPr>
          <w:p w14:paraId="43E1E4E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4,264.1</w:t>
            </w:r>
          </w:p>
        </w:tc>
        <w:tc>
          <w:tcPr>
            <w:tcW w:w="0" w:type="auto"/>
            <w:hideMark/>
          </w:tcPr>
          <w:p w14:paraId="4C18672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4,219.5</w:t>
            </w:r>
          </w:p>
        </w:tc>
      </w:tr>
      <w:tr w:rsidR="002038D6" w:rsidRPr="009E7A21" w14:paraId="307E5068" w14:textId="77777777" w:rsidTr="00AD00E4">
        <w:tc>
          <w:tcPr>
            <w:tcW w:w="0" w:type="auto"/>
            <w:hideMark/>
          </w:tcPr>
          <w:p w14:paraId="3B0BA0A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Total Equity (£m)</w:t>
            </w:r>
          </w:p>
        </w:tc>
        <w:tc>
          <w:tcPr>
            <w:tcW w:w="0" w:type="auto"/>
            <w:hideMark/>
          </w:tcPr>
          <w:p w14:paraId="4820254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B</w:t>
            </w:r>
          </w:p>
        </w:tc>
        <w:tc>
          <w:tcPr>
            <w:tcW w:w="0" w:type="auto"/>
            <w:hideMark/>
          </w:tcPr>
          <w:p w14:paraId="1441F3A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848.1</w:t>
            </w:r>
          </w:p>
        </w:tc>
        <w:tc>
          <w:tcPr>
            <w:tcW w:w="0" w:type="auto"/>
            <w:hideMark/>
          </w:tcPr>
          <w:p w14:paraId="412BFFC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881.6</w:t>
            </w:r>
          </w:p>
        </w:tc>
        <w:tc>
          <w:tcPr>
            <w:tcW w:w="0" w:type="auto"/>
            <w:hideMark/>
          </w:tcPr>
          <w:p w14:paraId="4FFFD65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1,021.3</w:t>
            </w:r>
          </w:p>
        </w:tc>
        <w:tc>
          <w:tcPr>
            <w:tcW w:w="0" w:type="auto"/>
            <w:hideMark/>
          </w:tcPr>
          <w:p w14:paraId="24CEED8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1,074.6</w:t>
            </w:r>
          </w:p>
        </w:tc>
        <w:tc>
          <w:tcPr>
            <w:tcW w:w="0" w:type="auto"/>
            <w:hideMark/>
          </w:tcPr>
          <w:p w14:paraId="317A00D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944.3</w:t>
            </w:r>
          </w:p>
        </w:tc>
      </w:tr>
      <w:tr w:rsidR="002038D6" w:rsidRPr="009E7A21" w14:paraId="6FB523B7" w14:textId="77777777" w:rsidTr="00AD00E4">
        <w:tc>
          <w:tcPr>
            <w:tcW w:w="0" w:type="auto"/>
            <w:hideMark/>
          </w:tcPr>
          <w:p w14:paraId="78DF70A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Operating Profit/(Loss) (£m)</w:t>
            </w:r>
          </w:p>
        </w:tc>
        <w:tc>
          <w:tcPr>
            <w:tcW w:w="0" w:type="auto"/>
            <w:hideMark/>
          </w:tcPr>
          <w:p w14:paraId="2EF0E24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C</w:t>
            </w:r>
          </w:p>
        </w:tc>
        <w:tc>
          <w:tcPr>
            <w:tcW w:w="0" w:type="auto"/>
            <w:hideMark/>
          </w:tcPr>
          <w:p w14:paraId="6A2669B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253.1</w:t>
            </w:r>
          </w:p>
        </w:tc>
        <w:tc>
          <w:tcPr>
            <w:tcW w:w="0" w:type="auto"/>
            <w:hideMark/>
          </w:tcPr>
          <w:p w14:paraId="5EB308E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63.8</w:t>
            </w:r>
          </w:p>
        </w:tc>
        <w:tc>
          <w:tcPr>
            <w:tcW w:w="0" w:type="auto"/>
            <w:hideMark/>
          </w:tcPr>
          <w:p w14:paraId="15690A7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249.2</w:t>
            </w:r>
          </w:p>
        </w:tc>
        <w:tc>
          <w:tcPr>
            <w:tcW w:w="0" w:type="auto"/>
            <w:hideMark/>
          </w:tcPr>
          <w:p w14:paraId="79C43A5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167.2</w:t>
            </w:r>
          </w:p>
        </w:tc>
        <w:tc>
          <w:tcPr>
            <w:tcW w:w="0" w:type="auto"/>
            <w:hideMark/>
          </w:tcPr>
          <w:p w14:paraId="77FE3E9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(16.4)</w:t>
            </w:r>
          </w:p>
        </w:tc>
      </w:tr>
      <w:tr w:rsidR="002038D6" w:rsidRPr="009E7A21" w14:paraId="3D0A84BB" w14:textId="77777777" w:rsidTr="00AD00E4">
        <w:tc>
          <w:tcPr>
            <w:tcW w:w="0" w:type="auto"/>
            <w:hideMark/>
          </w:tcPr>
          <w:p w14:paraId="1328081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Finance Costs (£m)</w:t>
            </w:r>
          </w:p>
        </w:tc>
        <w:tc>
          <w:tcPr>
            <w:tcW w:w="0" w:type="auto"/>
            <w:hideMark/>
          </w:tcPr>
          <w:p w14:paraId="01CBF1E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D</w:t>
            </w:r>
          </w:p>
        </w:tc>
        <w:tc>
          <w:tcPr>
            <w:tcW w:w="0" w:type="auto"/>
            <w:hideMark/>
          </w:tcPr>
          <w:p w14:paraId="080C6C6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145.5</w:t>
            </w:r>
          </w:p>
        </w:tc>
        <w:tc>
          <w:tcPr>
            <w:tcW w:w="0" w:type="auto"/>
            <w:hideMark/>
          </w:tcPr>
          <w:p w14:paraId="5FA6C54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133.8</w:t>
            </w:r>
          </w:p>
        </w:tc>
        <w:tc>
          <w:tcPr>
            <w:tcW w:w="0" w:type="auto"/>
            <w:hideMark/>
          </w:tcPr>
          <w:p w14:paraId="1BEBA8F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125.7</w:t>
            </w:r>
          </w:p>
        </w:tc>
        <w:tc>
          <w:tcPr>
            <w:tcW w:w="0" w:type="auto"/>
            <w:hideMark/>
          </w:tcPr>
          <w:p w14:paraId="3ABE481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130.7</w:t>
            </w:r>
          </w:p>
        </w:tc>
        <w:tc>
          <w:tcPr>
            <w:tcW w:w="0" w:type="auto"/>
            <w:hideMark/>
          </w:tcPr>
          <w:p w14:paraId="30E0D9A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140.8</w:t>
            </w:r>
          </w:p>
        </w:tc>
      </w:tr>
      <w:tr w:rsidR="002038D6" w:rsidRPr="009E7A21" w14:paraId="3EE253CD" w14:textId="77777777" w:rsidTr="00AD00E4">
        <w:tc>
          <w:tcPr>
            <w:tcW w:w="0" w:type="auto"/>
            <w:hideMark/>
          </w:tcPr>
          <w:p w14:paraId="5792C21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Debt/Equity Ratio</w:t>
            </w:r>
          </w:p>
        </w:tc>
        <w:tc>
          <w:tcPr>
            <w:tcW w:w="0" w:type="auto"/>
            <w:hideMark/>
          </w:tcPr>
          <w:p w14:paraId="342CC32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A/B</w:t>
            </w:r>
          </w:p>
        </w:tc>
        <w:tc>
          <w:tcPr>
            <w:tcW w:w="0" w:type="auto"/>
            <w:hideMark/>
          </w:tcPr>
          <w:p w14:paraId="3446632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5.05</w:t>
            </w:r>
          </w:p>
        </w:tc>
        <w:tc>
          <w:tcPr>
            <w:tcW w:w="0" w:type="auto"/>
            <w:hideMark/>
          </w:tcPr>
          <w:p w14:paraId="0B561E9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4.73</w:t>
            </w:r>
          </w:p>
        </w:tc>
        <w:tc>
          <w:tcPr>
            <w:tcW w:w="0" w:type="auto"/>
            <w:hideMark/>
          </w:tcPr>
          <w:p w14:paraId="01E1524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4.15</w:t>
            </w:r>
          </w:p>
        </w:tc>
        <w:tc>
          <w:tcPr>
            <w:tcW w:w="0" w:type="auto"/>
            <w:hideMark/>
          </w:tcPr>
          <w:p w14:paraId="3C1DBD6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3.97</w:t>
            </w:r>
          </w:p>
        </w:tc>
        <w:tc>
          <w:tcPr>
            <w:tcW w:w="0" w:type="auto"/>
            <w:hideMark/>
          </w:tcPr>
          <w:p w14:paraId="5BF7722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4.47</w:t>
            </w:r>
          </w:p>
        </w:tc>
      </w:tr>
      <w:tr w:rsidR="002038D6" w:rsidRPr="009E7A21" w14:paraId="4B948DE2" w14:textId="77777777" w:rsidTr="00AD00E4">
        <w:tc>
          <w:tcPr>
            <w:tcW w:w="0" w:type="auto"/>
            <w:hideMark/>
          </w:tcPr>
          <w:p w14:paraId="0BB5A3F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Interest Coverage Ratio</w:t>
            </w:r>
          </w:p>
        </w:tc>
        <w:tc>
          <w:tcPr>
            <w:tcW w:w="0" w:type="auto"/>
            <w:hideMark/>
          </w:tcPr>
          <w:p w14:paraId="525FC89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C/D</w:t>
            </w:r>
          </w:p>
        </w:tc>
        <w:tc>
          <w:tcPr>
            <w:tcW w:w="0" w:type="auto"/>
            <w:hideMark/>
          </w:tcPr>
          <w:p w14:paraId="3F9F39D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1.74</w:t>
            </w:r>
          </w:p>
        </w:tc>
        <w:tc>
          <w:tcPr>
            <w:tcW w:w="0" w:type="auto"/>
            <w:hideMark/>
          </w:tcPr>
          <w:p w14:paraId="5A7B105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0.48</w:t>
            </w:r>
          </w:p>
        </w:tc>
        <w:tc>
          <w:tcPr>
            <w:tcW w:w="0" w:type="auto"/>
            <w:hideMark/>
          </w:tcPr>
          <w:p w14:paraId="3E3004D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1.98</w:t>
            </w:r>
          </w:p>
        </w:tc>
        <w:tc>
          <w:tcPr>
            <w:tcW w:w="0" w:type="auto"/>
            <w:hideMark/>
          </w:tcPr>
          <w:p w14:paraId="5336C7BB"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1.28</w:t>
            </w:r>
          </w:p>
        </w:tc>
        <w:tc>
          <w:tcPr>
            <w:tcW w:w="0" w:type="auto"/>
            <w:hideMark/>
          </w:tcPr>
          <w:p w14:paraId="7799350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(0.12)</w:t>
            </w:r>
          </w:p>
        </w:tc>
      </w:tr>
    </w:tbl>
    <w:p w14:paraId="1D13FB6F" w14:textId="77777777" w:rsidR="002038D6" w:rsidRPr="009E7A21" w:rsidRDefault="002038D6" w:rsidP="002038D6">
      <w:pPr>
        <w:spacing w:line="360" w:lineRule="auto"/>
        <w:ind w:left="360"/>
        <w:jc w:val="center"/>
        <w:rPr>
          <w:rFonts w:ascii="Arial" w:hAnsi="Arial" w:cs="Arial"/>
          <w:sz w:val="24"/>
          <w:szCs w:val="24"/>
        </w:rPr>
      </w:pPr>
      <w:r w:rsidRPr="009E7A21">
        <w:rPr>
          <w:noProof/>
          <w:lang w:val="en-IN" w:eastAsia="en-IN"/>
        </w:rPr>
        <w:lastRenderedPageBreak/>
        <w:drawing>
          <wp:inline distT="0" distB="0" distL="0" distR="0" wp14:anchorId="1029AC61" wp14:editId="29C6CF32">
            <wp:extent cx="4572000" cy="2743200"/>
            <wp:effectExtent l="0" t="0" r="0" b="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p>
    <w:p w14:paraId="22A18D1E" w14:textId="77777777" w:rsidR="002038D6" w:rsidRPr="009E7A21" w:rsidRDefault="002038D6" w:rsidP="002038D6">
      <w:pPr>
        <w:spacing w:line="360" w:lineRule="auto"/>
        <w:jc w:val="both"/>
        <w:rPr>
          <w:rFonts w:ascii="Arial" w:hAnsi="Arial" w:cs="Arial"/>
          <w:sz w:val="24"/>
          <w:szCs w:val="24"/>
        </w:rPr>
      </w:pPr>
      <w:r w:rsidRPr="009E7A21">
        <w:rPr>
          <w:rFonts w:ascii="Arial" w:hAnsi="Arial" w:cs="Arial"/>
          <w:b/>
          <w:sz w:val="24"/>
          <w:szCs w:val="24"/>
        </w:rPr>
        <w:t>Investment</w:t>
      </w:r>
    </w:p>
    <w:tbl>
      <w:tblPr>
        <w:tblStyle w:val="TableGrid"/>
        <w:tblW w:w="0" w:type="auto"/>
        <w:tblLook w:val="04A0" w:firstRow="1" w:lastRow="0" w:firstColumn="1" w:lastColumn="0" w:noHBand="0" w:noVBand="1"/>
      </w:tblPr>
      <w:tblGrid>
        <w:gridCol w:w="2820"/>
        <w:gridCol w:w="1711"/>
        <w:gridCol w:w="897"/>
        <w:gridCol w:w="897"/>
        <w:gridCol w:w="897"/>
        <w:gridCol w:w="897"/>
        <w:gridCol w:w="897"/>
      </w:tblGrid>
      <w:tr w:rsidR="002038D6" w:rsidRPr="009E7A21" w14:paraId="7A7F4ECC" w14:textId="77777777" w:rsidTr="00AD00E4">
        <w:tc>
          <w:tcPr>
            <w:tcW w:w="0" w:type="auto"/>
            <w:hideMark/>
          </w:tcPr>
          <w:p w14:paraId="2AAF8FCA"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Particulars</w:t>
            </w:r>
          </w:p>
        </w:tc>
        <w:tc>
          <w:tcPr>
            <w:tcW w:w="0" w:type="auto"/>
            <w:hideMark/>
          </w:tcPr>
          <w:p w14:paraId="2C2C14B2"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Details</w:t>
            </w:r>
          </w:p>
        </w:tc>
        <w:tc>
          <w:tcPr>
            <w:tcW w:w="0" w:type="auto"/>
            <w:hideMark/>
          </w:tcPr>
          <w:p w14:paraId="3222C21D"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2020</w:t>
            </w:r>
          </w:p>
        </w:tc>
        <w:tc>
          <w:tcPr>
            <w:tcW w:w="0" w:type="auto"/>
            <w:hideMark/>
          </w:tcPr>
          <w:p w14:paraId="7A7D9704"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2021</w:t>
            </w:r>
          </w:p>
        </w:tc>
        <w:tc>
          <w:tcPr>
            <w:tcW w:w="0" w:type="auto"/>
            <w:hideMark/>
          </w:tcPr>
          <w:p w14:paraId="3F177568"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2022</w:t>
            </w:r>
          </w:p>
        </w:tc>
        <w:tc>
          <w:tcPr>
            <w:tcW w:w="0" w:type="auto"/>
            <w:hideMark/>
          </w:tcPr>
          <w:p w14:paraId="01FFE17D"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2023</w:t>
            </w:r>
          </w:p>
        </w:tc>
        <w:tc>
          <w:tcPr>
            <w:tcW w:w="0" w:type="auto"/>
            <w:hideMark/>
          </w:tcPr>
          <w:p w14:paraId="507A2F8F"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2024</w:t>
            </w:r>
          </w:p>
        </w:tc>
      </w:tr>
      <w:tr w:rsidR="002038D6" w:rsidRPr="009E7A21" w14:paraId="2DE99BD2" w14:textId="77777777" w:rsidTr="00AD00E4">
        <w:tc>
          <w:tcPr>
            <w:tcW w:w="0" w:type="auto"/>
            <w:hideMark/>
          </w:tcPr>
          <w:p w14:paraId="00FEF4C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Earnings Per Share (EPS) (£)</w:t>
            </w:r>
          </w:p>
        </w:tc>
        <w:tc>
          <w:tcPr>
            <w:tcW w:w="0" w:type="auto"/>
            <w:hideMark/>
          </w:tcPr>
          <w:p w14:paraId="5000415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A</w:t>
            </w:r>
          </w:p>
        </w:tc>
        <w:tc>
          <w:tcPr>
            <w:tcW w:w="0" w:type="auto"/>
            <w:hideMark/>
          </w:tcPr>
          <w:p w14:paraId="34D78D6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(0.45)</w:t>
            </w:r>
          </w:p>
        </w:tc>
        <w:tc>
          <w:tcPr>
            <w:tcW w:w="0" w:type="auto"/>
            <w:hideMark/>
          </w:tcPr>
          <w:p w14:paraId="4C58BC2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(0.12)</w:t>
            </w:r>
          </w:p>
        </w:tc>
        <w:tc>
          <w:tcPr>
            <w:tcW w:w="0" w:type="auto"/>
            <w:hideMark/>
          </w:tcPr>
          <w:p w14:paraId="0337EBA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0.18</w:t>
            </w:r>
          </w:p>
        </w:tc>
        <w:tc>
          <w:tcPr>
            <w:tcW w:w="0" w:type="auto"/>
            <w:hideMark/>
          </w:tcPr>
          <w:p w14:paraId="13594A2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0.10</w:t>
            </w:r>
          </w:p>
        </w:tc>
        <w:tc>
          <w:tcPr>
            <w:tcW w:w="0" w:type="auto"/>
            <w:hideMark/>
          </w:tcPr>
          <w:p w14:paraId="637F83A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(0.28)</w:t>
            </w:r>
          </w:p>
        </w:tc>
      </w:tr>
      <w:tr w:rsidR="002038D6" w:rsidRPr="009E7A21" w14:paraId="2DF5F8DB" w14:textId="77777777" w:rsidTr="00AD00E4">
        <w:tc>
          <w:tcPr>
            <w:tcW w:w="0" w:type="auto"/>
            <w:hideMark/>
          </w:tcPr>
          <w:p w14:paraId="760B831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Dividend Per Share (DPS) (£)</w:t>
            </w:r>
          </w:p>
        </w:tc>
        <w:tc>
          <w:tcPr>
            <w:tcW w:w="0" w:type="auto"/>
            <w:hideMark/>
          </w:tcPr>
          <w:p w14:paraId="32B0948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B</w:t>
            </w:r>
          </w:p>
        </w:tc>
        <w:tc>
          <w:tcPr>
            <w:tcW w:w="0" w:type="auto"/>
            <w:hideMark/>
          </w:tcPr>
          <w:p w14:paraId="3B3E8EB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0.00</w:t>
            </w:r>
          </w:p>
        </w:tc>
        <w:tc>
          <w:tcPr>
            <w:tcW w:w="0" w:type="auto"/>
            <w:hideMark/>
          </w:tcPr>
          <w:p w14:paraId="69F567C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0.00</w:t>
            </w:r>
          </w:p>
        </w:tc>
        <w:tc>
          <w:tcPr>
            <w:tcW w:w="0" w:type="auto"/>
            <w:hideMark/>
          </w:tcPr>
          <w:p w14:paraId="069C309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0.05</w:t>
            </w:r>
          </w:p>
        </w:tc>
        <w:tc>
          <w:tcPr>
            <w:tcW w:w="0" w:type="auto"/>
            <w:hideMark/>
          </w:tcPr>
          <w:p w14:paraId="30FFDF4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0.04</w:t>
            </w:r>
          </w:p>
        </w:tc>
        <w:tc>
          <w:tcPr>
            <w:tcW w:w="0" w:type="auto"/>
            <w:hideMark/>
          </w:tcPr>
          <w:p w14:paraId="63256DE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0.00</w:t>
            </w:r>
          </w:p>
        </w:tc>
      </w:tr>
      <w:tr w:rsidR="002038D6" w:rsidRPr="009E7A21" w14:paraId="703F7C71" w14:textId="77777777" w:rsidTr="00AD00E4">
        <w:tc>
          <w:tcPr>
            <w:tcW w:w="0" w:type="auto"/>
            <w:hideMark/>
          </w:tcPr>
          <w:p w14:paraId="5058BD6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Market Price per Share (£)</w:t>
            </w:r>
          </w:p>
        </w:tc>
        <w:tc>
          <w:tcPr>
            <w:tcW w:w="0" w:type="auto"/>
            <w:hideMark/>
          </w:tcPr>
          <w:p w14:paraId="7766FC1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C</w:t>
            </w:r>
          </w:p>
        </w:tc>
        <w:tc>
          <w:tcPr>
            <w:tcW w:w="0" w:type="auto"/>
            <w:hideMark/>
          </w:tcPr>
          <w:p w14:paraId="44E12EB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7.80</w:t>
            </w:r>
          </w:p>
        </w:tc>
        <w:tc>
          <w:tcPr>
            <w:tcW w:w="0" w:type="auto"/>
            <w:hideMark/>
          </w:tcPr>
          <w:p w14:paraId="0DC9AC7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8.10</w:t>
            </w:r>
          </w:p>
        </w:tc>
        <w:tc>
          <w:tcPr>
            <w:tcW w:w="0" w:type="auto"/>
            <w:hideMark/>
          </w:tcPr>
          <w:p w14:paraId="0CE9715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9.25</w:t>
            </w:r>
          </w:p>
        </w:tc>
        <w:tc>
          <w:tcPr>
            <w:tcW w:w="0" w:type="auto"/>
            <w:hideMark/>
          </w:tcPr>
          <w:p w14:paraId="72AD43C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9.80</w:t>
            </w:r>
          </w:p>
        </w:tc>
        <w:tc>
          <w:tcPr>
            <w:tcW w:w="0" w:type="auto"/>
            <w:hideMark/>
          </w:tcPr>
          <w:p w14:paraId="7C0F410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8.90</w:t>
            </w:r>
          </w:p>
        </w:tc>
      </w:tr>
      <w:tr w:rsidR="002038D6" w:rsidRPr="009E7A21" w14:paraId="53B99363" w14:textId="77777777" w:rsidTr="00AD00E4">
        <w:tc>
          <w:tcPr>
            <w:tcW w:w="0" w:type="auto"/>
            <w:hideMark/>
          </w:tcPr>
          <w:p w14:paraId="4E95EA7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Dividend Yield (%)</w:t>
            </w:r>
          </w:p>
        </w:tc>
        <w:tc>
          <w:tcPr>
            <w:tcW w:w="0" w:type="auto"/>
            <w:hideMark/>
          </w:tcPr>
          <w:p w14:paraId="6850DB5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(B/C) × 100</w:t>
            </w:r>
          </w:p>
        </w:tc>
        <w:tc>
          <w:tcPr>
            <w:tcW w:w="0" w:type="auto"/>
            <w:hideMark/>
          </w:tcPr>
          <w:p w14:paraId="00FB084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0.00%</w:t>
            </w:r>
          </w:p>
        </w:tc>
        <w:tc>
          <w:tcPr>
            <w:tcW w:w="0" w:type="auto"/>
            <w:hideMark/>
          </w:tcPr>
          <w:p w14:paraId="3979285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0.00%</w:t>
            </w:r>
          </w:p>
        </w:tc>
        <w:tc>
          <w:tcPr>
            <w:tcW w:w="0" w:type="auto"/>
            <w:hideMark/>
          </w:tcPr>
          <w:p w14:paraId="780D734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0.54%</w:t>
            </w:r>
          </w:p>
        </w:tc>
        <w:tc>
          <w:tcPr>
            <w:tcW w:w="0" w:type="auto"/>
            <w:hideMark/>
          </w:tcPr>
          <w:p w14:paraId="370DA3F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0.41%</w:t>
            </w:r>
          </w:p>
        </w:tc>
        <w:tc>
          <w:tcPr>
            <w:tcW w:w="0" w:type="auto"/>
            <w:hideMark/>
          </w:tcPr>
          <w:p w14:paraId="21584E1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0.00%</w:t>
            </w:r>
          </w:p>
        </w:tc>
      </w:tr>
      <w:tr w:rsidR="002038D6" w:rsidRPr="009E7A21" w14:paraId="2E235473" w14:textId="77777777" w:rsidTr="00AD00E4">
        <w:tc>
          <w:tcPr>
            <w:tcW w:w="0" w:type="auto"/>
            <w:hideMark/>
          </w:tcPr>
          <w:p w14:paraId="1158298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Price-to-Earnings (P/E) Ratio</w:t>
            </w:r>
          </w:p>
        </w:tc>
        <w:tc>
          <w:tcPr>
            <w:tcW w:w="0" w:type="auto"/>
            <w:hideMark/>
          </w:tcPr>
          <w:p w14:paraId="7E3E4E2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C/A</w:t>
            </w:r>
          </w:p>
        </w:tc>
        <w:tc>
          <w:tcPr>
            <w:tcW w:w="0" w:type="auto"/>
            <w:hideMark/>
          </w:tcPr>
          <w:p w14:paraId="3749F34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N/A</w:t>
            </w:r>
          </w:p>
        </w:tc>
        <w:tc>
          <w:tcPr>
            <w:tcW w:w="0" w:type="auto"/>
            <w:hideMark/>
          </w:tcPr>
          <w:p w14:paraId="2B06F06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N/A</w:t>
            </w:r>
          </w:p>
        </w:tc>
        <w:tc>
          <w:tcPr>
            <w:tcW w:w="0" w:type="auto"/>
            <w:hideMark/>
          </w:tcPr>
          <w:p w14:paraId="444100F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51.39</w:t>
            </w:r>
          </w:p>
        </w:tc>
        <w:tc>
          <w:tcPr>
            <w:tcW w:w="0" w:type="auto"/>
            <w:hideMark/>
          </w:tcPr>
          <w:p w14:paraId="0CD01A3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98.00</w:t>
            </w:r>
          </w:p>
        </w:tc>
        <w:tc>
          <w:tcPr>
            <w:tcW w:w="0" w:type="auto"/>
            <w:hideMark/>
          </w:tcPr>
          <w:p w14:paraId="268A992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N/A</w:t>
            </w:r>
          </w:p>
        </w:tc>
      </w:tr>
      <w:tr w:rsidR="002038D6" w:rsidRPr="009E7A21" w14:paraId="076D6958" w14:textId="77777777" w:rsidTr="00AD00E4">
        <w:tc>
          <w:tcPr>
            <w:tcW w:w="0" w:type="auto"/>
            <w:hideMark/>
          </w:tcPr>
          <w:p w14:paraId="1C6B985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Net Asset Value (NAV) per Share (£)</w:t>
            </w:r>
          </w:p>
        </w:tc>
        <w:tc>
          <w:tcPr>
            <w:tcW w:w="0" w:type="auto"/>
            <w:hideMark/>
          </w:tcPr>
          <w:p w14:paraId="66C0364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Equity/Shares</w:t>
            </w:r>
          </w:p>
        </w:tc>
        <w:tc>
          <w:tcPr>
            <w:tcW w:w="0" w:type="auto"/>
            <w:hideMark/>
          </w:tcPr>
          <w:p w14:paraId="76EEC7C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2.45</w:t>
            </w:r>
          </w:p>
        </w:tc>
        <w:tc>
          <w:tcPr>
            <w:tcW w:w="0" w:type="auto"/>
            <w:hideMark/>
          </w:tcPr>
          <w:p w14:paraId="4173583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2.52</w:t>
            </w:r>
          </w:p>
        </w:tc>
        <w:tc>
          <w:tcPr>
            <w:tcW w:w="0" w:type="auto"/>
            <w:hideMark/>
          </w:tcPr>
          <w:p w14:paraId="010CFD7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2.91</w:t>
            </w:r>
          </w:p>
        </w:tc>
        <w:tc>
          <w:tcPr>
            <w:tcW w:w="0" w:type="auto"/>
            <w:hideMark/>
          </w:tcPr>
          <w:p w14:paraId="6A65A2B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3.06</w:t>
            </w:r>
          </w:p>
        </w:tc>
        <w:tc>
          <w:tcPr>
            <w:tcW w:w="0" w:type="auto"/>
            <w:hideMark/>
          </w:tcPr>
          <w:p w14:paraId="58210FF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2.68</w:t>
            </w:r>
          </w:p>
        </w:tc>
      </w:tr>
    </w:tbl>
    <w:p w14:paraId="0B6F11D0" w14:textId="77777777" w:rsidR="002038D6" w:rsidRPr="009E7A21" w:rsidRDefault="002038D6" w:rsidP="002038D6">
      <w:pPr>
        <w:pStyle w:val="ListParagraph"/>
        <w:spacing w:line="360" w:lineRule="auto"/>
        <w:jc w:val="center"/>
        <w:rPr>
          <w:rFonts w:ascii="Arial" w:hAnsi="Arial" w:cs="Arial"/>
          <w:sz w:val="24"/>
          <w:szCs w:val="24"/>
        </w:rPr>
      </w:pPr>
      <w:r w:rsidRPr="009E7A21">
        <w:rPr>
          <w:noProof/>
          <w:lang w:val="en-IN" w:eastAsia="en-IN"/>
        </w:rPr>
        <w:lastRenderedPageBreak/>
        <w:drawing>
          <wp:inline distT="0" distB="0" distL="0" distR="0" wp14:anchorId="4B076F5B" wp14:editId="7747C6C1">
            <wp:extent cx="4572000" cy="2743200"/>
            <wp:effectExtent l="0" t="0" r="0" b="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p>
    <w:p w14:paraId="3F0B1EEC"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Cash flow</w:t>
      </w:r>
    </w:p>
    <w:tbl>
      <w:tblPr>
        <w:tblStyle w:val="TableGrid"/>
        <w:tblW w:w="0" w:type="auto"/>
        <w:tblLook w:val="04A0" w:firstRow="1" w:lastRow="0" w:firstColumn="1" w:lastColumn="0" w:noHBand="0" w:noVBand="1"/>
      </w:tblPr>
      <w:tblGrid>
        <w:gridCol w:w="3606"/>
        <w:gridCol w:w="1082"/>
        <w:gridCol w:w="1082"/>
        <w:gridCol w:w="1082"/>
        <w:gridCol w:w="1082"/>
        <w:gridCol w:w="1082"/>
      </w:tblGrid>
      <w:tr w:rsidR="002038D6" w:rsidRPr="009E7A21" w14:paraId="70FD78D8" w14:textId="77777777" w:rsidTr="00AD00E4">
        <w:tc>
          <w:tcPr>
            <w:tcW w:w="0" w:type="auto"/>
            <w:hideMark/>
          </w:tcPr>
          <w:p w14:paraId="28AE0CB7"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Particulars</w:t>
            </w:r>
          </w:p>
        </w:tc>
        <w:tc>
          <w:tcPr>
            <w:tcW w:w="0" w:type="auto"/>
            <w:hideMark/>
          </w:tcPr>
          <w:p w14:paraId="382A9F2C"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2020 (£m)</w:t>
            </w:r>
          </w:p>
        </w:tc>
        <w:tc>
          <w:tcPr>
            <w:tcW w:w="0" w:type="auto"/>
            <w:hideMark/>
          </w:tcPr>
          <w:p w14:paraId="56293AE4"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2021 (£m)</w:t>
            </w:r>
          </w:p>
        </w:tc>
        <w:tc>
          <w:tcPr>
            <w:tcW w:w="0" w:type="auto"/>
            <w:hideMark/>
          </w:tcPr>
          <w:p w14:paraId="06C529DA"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2022 (£m)</w:t>
            </w:r>
          </w:p>
        </w:tc>
        <w:tc>
          <w:tcPr>
            <w:tcW w:w="0" w:type="auto"/>
            <w:hideMark/>
          </w:tcPr>
          <w:p w14:paraId="54E34EAF"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2023 (£m)</w:t>
            </w:r>
          </w:p>
        </w:tc>
        <w:tc>
          <w:tcPr>
            <w:tcW w:w="0" w:type="auto"/>
            <w:hideMark/>
          </w:tcPr>
          <w:p w14:paraId="2F4E7C26" w14:textId="77777777" w:rsidR="002038D6" w:rsidRPr="009E7A21" w:rsidRDefault="002038D6" w:rsidP="00AD00E4">
            <w:pPr>
              <w:spacing w:line="360" w:lineRule="auto"/>
              <w:jc w:val="both"/>
              <w:rPr>
                <w:rFonts w:ascii="Arial" w:eastAsia="Times New Roman" w:hAnsi="Arial" w:cs="Arial"/>
                <w:b/>
                <w:bCs/>
                <w:sz w:val="24"/>
                <w:szCs w:val="24"/>
                <w:lang w:val="en-IN" w:eastAsia="en-IN"/>
              </w:rPr>
            </w:pPr>
            <w:r w:rsidRPr="009E7A21">
              <w:rPr>
                <w:rFonts w:ascii="Arial" w:eastAsia="Times New Roman" w:hAnsi="Arial" w:cs="Arial"/>
                <w:b/>
                <w:bCs/>
                <w:sz w:val="24"/>
                <w:szCs w:val="24"/>
                <w:lang w:val="en-IN" w:eastAsia="en-IN"/>
              </w:rPr>
              <w:t>2024 (£m)</w:t>
            </w:r>
          </w:p>
        </w:tc>
      </w:tr>
      <w:tr w:rsidR="002038D6" w:rsidRPr="009E7A21" w14:paraId="66452C86" w14:textId="77777777" w:rsidTr="00AD00E4">
        <w:tc>
          <w:tcPr>
            <w:tcW w:w="0" w:type="auto"/>
            <w:hideMark/>
          </w:tcPr>
          <w:p w14:paraId="4711FBC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Net Cash from Operating Activities</w:t>
            </w:r>
          </w:p>
        </w:tc>
        <w:tc>
          <w:tcPr>
            <w:tcW w:w="0" w:type="auto"/>
            <w:hideMark/>
          </w:tcPr>
          <w:p w14:paraId="17F46D7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313.6</w:t>
            </w:r>
          </w:p>
        </w:tc>
        <w:tc>
          <w:tcPr>
            <w:tcW w:w="0" w:type="auto"/>
            <w:hideMark/>
          </w:tcPr>
          <w:p w14:paraId="1717365C"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262.4</w:t>
            </w:r>
          </w:p>
        </w:tc>
        <w:tc>
          <w:tcPr>
            <w:tcW w:w="0" w:type="auto"/>
            <w:hideMark/>
          </w:tcPr>
          <w:p w14:paraId="708D24A3"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406.8</w:t>
            </w:r>
          </w:p>
        </w:tc>
        <w:tc>
          <w:tcPr>
            <w:tcW w:w="0" w:type="auto"/>
            <w:hideMark/>
          </w:tcPr>
          <w:p w14:paraId="71C36A6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423.5</w:t>
            </w:r>
          </w:p>
        </w:tc>
        <w:tc>
          <w:tcPr>
            <w:tcW w:w="0" w:type="auto"/>
            <w:hideMark/>
          </w:tcPr>
          <w:p w14:paraId="70D63F3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389.7</w:t>
            </w:r>
          </w:p>
        </w:tc>
      </w:tr>
      <w:tr w:rsidR="002038D6" w:rsidRPr="009E7A21" w14:paraId="0B45BD59" w14:textId="77777777" w:rsidTr="00AD00E4">
        <w:tc>
          <w:tcPr>
            <w:tcW w:w="0" w:type="auto"/>
            <w:hideMark/>
          </w:tcPr>
          <w:p w14:paraId="06CA0C64"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Net Cash Used in Investing Activities</w:t>
            </w:r>
          </w:p>
        </w:tc>
        <w:tc>
          <w:tcPr>
            <w:tcW w:w="0" w:type="auto"/>
            <w:hideMark/>
          </w:tcPr>
          <w:p w14:paraId="104A078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(60.2)</w:t>
            </w:r>
          </w:p>
        </w:tc>
        <w:tc>
          <w:tcPr>
            <w:tcW w:w="0" w:type="auto"/>
            <w:hideMark/>
          </w:tcPr>
          <w:p w14:paraId="030FD6E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(114.7)</w:t>
            </w:r>
          </w:p>
        </w:tc>
        <w:tc>
          <w:tcPr>
            <w:tcW w:w="0" w:type="auto"/>
            <w:hideMark/>
          </w:tcPr>
          <w:p w14:paraId="11B353DA"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(242.3)</w:t>
            </w:r>
          </w:p>
        </w:tc>
        <w:tc>
          <w:tcPr>
            <w:tcW w:w="0" w:type="auto"/>
            <w:hideMark/>
          </w:tcPr>
          <w:p w14:paraId="27A48B12"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(215.1)</w:t>
            </w:r>
          </w:p>
        </w:tc>
        <w:tc>
          <w:tcPr>
            <w:tcW w:w="0" w:type="auto"/>
            <w:hideMark/>
          </w:tcPr>
          <w:p w14:paraId="6E77F6D8"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(172.7)</w:t>
            </w:r>
          </w:p>
        </w:tc>
      </w:tr>
      <w:tr w:rsidR="002038D6" w:rsidRPr="009E7A21" w14:paraId="516ECFF9" w14:textId="77777777" w:rsidTr="00AD00E4">
        <w:tc>
          <w:tcPr>
            <w:tcW w:w="0" w:type="auto"/>
            <w:hideMark/>
          </w:tcPr>
          <w:p w14:paraId="0D7DC2F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Net Cash from/(Used in) Financing Activities</w:t>
            </w:r>
          </w:p>
        </w:tc>
        <w:tc>
          <w:tcPr>
            <w:tcW w:w="0" w:type="auto"/>
            <w:hideMark/>
          </w:tcPr>
          <w:p w14:paraId="2CAE64F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(224.8)</w:t>
            </w:r>
          </w:p>
        </w:tc>
        <w:tc>
          <w:tcPr>
            <w:tcW w:w="0" w:type="auto"/>
            <w:hideMark/>
          </w:tcPr>
          <w:p w14:paraId="39631CC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(140.5)</w:t>
            </w:r>
          </w:p>
        </w:tc>
        <w:tc>
          <w:tcPr>
            <w:tcW w:w="0" w:type="auto"/>
            <w:hideMark/>
          </w:tcPr>
          <w:p w14:paraId="2A541D71"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(151.4)</w:t>
            </w:r>
          </w:p>
        </w:tc>
        <w:tc>
          <w:tcPr>
            <w:tcW w:w="0" w:type="auto"/>
            <w:hideMark/>
          </w:tcPr>
          <w:p w14:paraId="77FA4A6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(198.8)</w:t>
            </w:r>
          </w:p>
        </w:tc>
        <w:tc>
          <w:tcPr>
            <w:tcW w:w="0" w:type="auto"/>
            <w:hideMark/>
          </w:tcPr>
          <w:p w14:paraId="5804F66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(186.2)</w:t>
            </w:r>
          </w:p>
        </w:tc>
      </w:tr>
      <w:tr w:rsidR="002038D6" w:rsidRPr="009E7A21" w14:paraId="2C0CEB0D" w14:textId="77777777" w:rsidTr="00AD00E4">
        <w:tc>
          <w:tcPr>
            <w:tcW w:w="0" w:type="auto"/>
            <w:hideMark/>
          </w:tcPr>
          <w:p w14:paraId="232D6085"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Net Increase/(Decrease) in Cash &amp; Cash Equivalents</w:t>
            </w:r>
          </w:p>
        </w:tc>
        <w:tc>
          <w:tcPr>
            <w:tcW w:w="0" w:type="auto"/>
            <w:hideMark/>
          </w:tcPr>
          <w:p w14:paraId="1EDC98B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28.6</w:t>
            </w:r>
          </w:p>
        </w:tc>
        <w:tc>
          <w:tcPr>
            <w:tcW w:w="0" w:type="auto"/>
            <w:hideMark/>
          </w:tcPr>
          <w:p w14:paraId="0FDBB2D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7.2</w:t>
            </w:r>
          </w:p>
        </w:tc>
        <w:tc>
          <w:tcPr>
            <w:tcW w:w="0" w:type="auto"/>
            <w:hideMark/>
          </w:tcPr>
          <w:p w14:paraId="7A68E6C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13.1</w:t>
            </w:r>
          </w:p>
        </w:tc>
        <w:tc>
          <w:tcPr>
            <w:tcW w:w="0" w:type="auto"/>
            <w:hideMark/>
          </w:tcPr>
          <w:p w14:paraId="256B3A9D"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9.6</w:t>
            </w:r>
          </w:p>
        </w:tc>
        <w:tc>
          <w:tcPr>
            <w:tcW w:w="0" w:type="auto"/>
            <w:hideMark/>
          </w:tcPr>
          <w:p w14:paraId="1DB4617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30.8</w:t>
            </w:r>
          </w:p>
        </w:tc>
      </w:tr>
      <w:tr w:rsidR="002038D6" w:rsidRPr="009E7A21" w14:paraId="5923C234" w14:textId="77777777" w:rsidTr="00AD00E4">
        <w:tc>
          <w:tcPr>
            <w:tcW w:w="0" w:type="auto"/>
            <w:hideMark/>
          </w:tcPr>
          <w:p w14:paraId="06A2281E"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b/>
                <w:bCs/>
                <w:sz w:val="24"/>
                <w:szCs w:val="24"/>
                <w:lang w:val="en-IN" w:eastAsia="en-IN"/>
              </w:rPr>
              <w:t>Closing Cash &amp; Cash Equivalents</w:t>
            </w:r>
          </w:p>
        </w:tc>
        <w:tc>
          <w:tcPr>
            <w:tcW w:w="0" w:type="auto"/>
            <w:hideMark/>
          </w:tcPr>
          <w:p w14:paraId="15E9CAF0"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195.4</w:t>
            </w:r>
          </w:p>
        </w:tc>
        <w:tc>
          <w:tcPr>
            <w:tcW w:w="0" w:type="auto"/>
            <w:hideMark/>
          </w:tcPr>
          <w:p w14:paraId="451B09F7"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202.6</w:t>
            </w:r>
          </w:p>
        </w:tc>
        <w:tc>
          <w:tcPr>
            <w:tcW w:w="0" w:type="auto"/>
            <w:hideMark/>
          </w:tcPr>
          <w:p w14:paraId="395A2C16"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215.7</w:t>
            </w:r>
          </w:p>
        </w:tc>
        <w:tc>
          <w:tcPr>
            <w:tcW w:w="0" w:type="auto"/>
            <w:hideMark/>
          </w:tcPr>
          <w:p w14:paraId="535A1C49"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225.3</w:t>
            </w:r>
          </w:p>
        </w:tc>
        <w:tc>
          <w:tcPr>
            <w:tcW w:w="0" w:type="auto"/>
            <w:hideMark/>
          </w:tcPr>
          <w:p w14:paraId="42FC039F" w14:textId="77777777" w:rsidR="002038D6" w:rsidRPr="009E7A21" w:rsidRDefault="002038D6" w:rsidP="00AD00E4">
            <w:pPr>
              <w:spacing w:line="360" w:lineRule="auto"/>
              <w:jc w:val="both"/>
              <w:rPr>
                <w:rFonts w:ascii="Arial" w:eastAsia="Times New Roman" w:hAnsi="Arial" w:cs="Arial"/>
                <w:sz w:val="24"/>
                <w:szCs w:val="24"/>
                <w:lang w:val="en-IN" w:eastAsia="en-IN"/>
              </w:rPr>
            </w:pPr>
            <w:r w:rsidRPr="009E7A21">
              <w:rPr>
                <w:rFonts w:ascii="Arial" w:eastAsia="Times New Roman" w:hAnsi="Arial" w:cs="Arial"/>
                <w:sz w:val="24"/>
                <w:szCs w:val="24"/>
                <w:lang w:val="en-IN" w:eastAsia="en-IN"/>
              </w:rPr>
              <w:t>256.1</w:t>
            </w:r>
          </w:p>
        </w:tc>
      </w:tr>
    </w:tbl>
    <w:p w14:paraId="4BDE1DC1" w14:textId="77777777" w:rsidR="002038D6" w:rsidRPr="009E7A21" w:rsidRDefault="002038D6" w:rsidP="002038D6">
      <w:pPr>
        <w:spacing w:line="360" w:lineRule="auto"/>
        <w:ind w:left="360"/>
        <w:jc w:val="center"/>
        <w:rPr>
          <w:rFonts w:ascii="Arial" w:hAnsi="Arial" w:cs="Arial"/>
          <w:sz w:val="24"/>
          <w:szCs w:val="24"/>
        </w:rPr>
      </w:pPr>
      <w:r w:rsidRPr="009E7A21">
        <w:rPr>
          <w:noProof/>
          <w:lang w:val="en-IN" w:eastAsia="en-IN"/>
        </w:rPr>
        <w:lastRenderedPageBreak/>
        <w:drawing>
          <wp:inline distT="0" distB="0" distL="0" distR="0" wp14:anchorId="17A0CC02" wp14:editId="0EBF1FCD">
            <wp:extent cx="5307330" cy="3787140"/>
            <wp:effectExtent l="0" t="0" r="7620" b="381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77"/>
              </a:graphicData>
            </a:graphic>
          </wp:inline>
        </w:drawing>
      </w:r>
    </w:p>
    <w:p w14:paraId="23285F4A" w14:textId="77777777" w:rsidR="000D50CB" w:rsidRPr="009E7A21" w:rsidRDefault="003A5AFF" w:rsidP="005B343F">
      <w:pPr>
        <w:pStyle w:val="Heading2"/>
        <w:spacing w:line="360" w:lineRule="auto"/>
        <w:jc w:val="both"/>
        <w:rPr>
          <w:rFonts w:ascii="Arial" w:hAnsi="Arial" w:cs="Arial"/>
          <w:b/>
          <w:color w:val="auto"/>
          <w:sz w:val="24"/>
          <w:szCs w:val="24"/>
        </w:rPr>
      </w:pPr>
      <w:bookmarkStart w:id="52" w:name="_Toc234747819"/>
      <w:bookmarkStart w:id="53" w:name="_Toc236848553"/>
      <w:r w:rsidRPr="009E7A21">
        <w:rPr>
          <w:rFonts w:ascii="Arial" w:hAnsi="Arial" w:cs="Arial"/>
          <w:b/>
          <w:color w:val="auto"/>
          <w:sz w:val="24"/>
          <w:szCs w:val="24"/>
        </w:rPr>
        <w:t>b. Investment appraisal calculations</w:t>
      </w:r>
      <w:bookmarkEnd w:id="52"/>
      <w:bookmarkEnd w:id="53"/>
    </w:p>
    <w:p w14:paraId="5EDC5C1E"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Project A</w:t>
      </w:r>
    </w:p>
    <w:tbl>
      <w:tblPr>
        <w:tblStyle w:val="TableGrid"/>
        <w:tblW w:w="0" w:type="auto"/>
        <w:tblLook w:val="04A0" w:firstRow="1" w:lastRow="0" w:firstColumn="1" w:lastColumn="0" w:noHBand="0" w:noVBand="1"/>
      </w:tblPr>
      <w:tblGrid>
        <w:gridCol w:w="791"/>
        <w:gridCol w:w="1653"/>
        <w:gridCol w:w="2075"/>
        <w:gridCol w:w="1872"/>
        <w:gridCol w:w="2625"/>
      </w:tblGrid>
      <w:tr w:rsidR="002038D6" w:rsidRPr="009E7A21" w14:paraId="25F534A9" w14:textId="77777777" w:rsidTr="00AD00E4">
        <w:tc>
          <w:tcPr>
            <w:tcW w:w="0" w:type="auto"/>
            <w:hideMark/>
          </w:tcPr>
          <w:p w14:paraId="46C6DA9E"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Year</w:t>
            </w:r>
          </w:p>
        </w:tc>
        <w:tc>
          <w:tcPr>
            <w:tcW w:w="0" w:type="auto"/>
            <w:hideMark/>
          </w:tcPr>
          <w:p w14:paraId="55BDB291"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Cash Inflow (£m)</w:t>
            </w:r>
          </w:p>
        </w:tc>
        <w:tc>
          <w:tcPr>
            <w:tcW w:w="0" w:type="auto"/>
            <w:hideMark/>
          </w:tcPr>
          <w:p w14:paraId="69785657"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Discount Factor (8%)</w:t>
            </w:r>
          </w:p>
        </w:tc>
        <w:tc>
          <w:tcPr>
            <w:tcW w:w="0" w:type="auto"/>
            <w:hideMark/>
          </w:tcPr>
          <w:p w14:paraId="48953680"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Present Value (£m)</w:t>
            </w:r>
          </w:p>
        </w:tc>
        <w:tc>
          <w:tcPr>
            <w:tcW w:w="0" w:type="auto"/>
            <w:hideMark/>
          </w:tcPr>
          <w:p w14:paraId="1F589FBF"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Cumulative Cash Flow (£m)</w:t>
            </w:r>
          </w:p>
        </w:tc>
      </w:tr>
      <w:tr w:rsidR="002038D6" w:rsidRPr="009E7A21" w14:paraId="14A73A50" w14:textId="77777777" w:rsidTr="00AD00E4">
        <w:tc>
          <w:tcPr>
            <w:tcW w:w="0" w:type="auto"/>
            <w:hideMark/>
          </w:tcPr>
          <w:p w14:paraId="4AF1FBC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w:t>
            </w:r>
          </w:p>
        </w:tc>
        <w:tc>
          <w:tcPr>
            <w:tcW w:w="0" w:type="auto"/>
            <w:hideMark/>
          </w:tcPr>
          <w:p w14:paraId="4055E175"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w:t>
            </w:r>
          </w:p>
        </w:tc>
        <w:tc>
          <w:tcPr>
            <w:tcW w:w="0" w:type="auto"/>
            <w:hideMark/>
          </w:tcPr>
          <w:p w14:paraId="39B71441"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1.000</w:t>
            </w:r>
          </w:p>
        </w:tc>
        <w:tc>
          <w:tcPr>
            <w:tcW w:w="0" w:type="auto"/>
            <w:hideMark/>
          </w:tcPr>
          <w:p w14:paraId="3F90D7C8"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(50.00)</w:t>
            </w:r>
          </w:p>
        </w:tc>
        <w:tc>
          <w:tcPr>
            <w:tcW w:w="0" w:type="auto"/>
            <w:hideMark/>
          </w:tcPr>
          <w:p w14:paraId="32B2E927"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w:t>
            </w:r>
          </w:p>
        </w:tc>
      </w:tr>
      <w:tr w:rsidR="002038D6" w:rsidRPr="009E7A21" w14:paraId="55734CC3" w14:textId="77777777" w:rsidTr="00AD00E4">
        <w:tc>
          <w:tcPr>
            <w:tcW w:w="0" w:type="auto"/>
            <w:hideMark/>
          </w:tcPr>
          <w:p w14:paraId="6E74CAED"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w:t>
            </w:r>
          </w:p>
        </w:tc>
        <w:tc>
          <w:tcPr>
            <w:tcW w:w="0" w:type="auto"/>
            <w:hideMark/>
          </w:tcPr>
          <w:p w14:paraId="1199EB53"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w:t>
            </w:r>
          </w:p>
        </w:tc>
        <w:tc>
          <w:tcPr>
            <w:tcW w:w="0" w:type="auto"/>
            <w:hideMark/>
          </w:tcPr>
          <w:p w14:paraId="58E58121"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0.9259</w:t>
            </w:r>
          </w:p>
        </w:tc>
        <w:tc>
          <w:tcPr>
            <w:tcW w:w="0" w:type="auto"/>
            <w:hideMark/>
          </w:tcPr>
          <w:p w14:paraId="7797AEB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9.26</w:t>
            </w:r>
          </w:p>
        </w:tc>
        <w:tc>
          <w:tcPr>
            <w:tcW w:w="0" w:type="auto"/>
            <w:hideMark/>
          </w:tcPr>
          <w:p w14:paraId="1117B479"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w:t>
            </w:r>
          </w:p>
        </w:tc>
      </w:tr>
      <w:tr w:rsidR="002038D6" w:rsidRPr="009E7A21" w14:paraId="78527BEF" w14:textId="77777777" w:rsidTr="00AD00E4">
        <w:tc>
          <w:tcPr>
            <w:tcW w:w="0" w:type="auto"/>
            <w:hideMark/>
          </w:tcPr>
          <w:p w14:paraId="4354C7A1"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2</w:t>
            </w:r>
          </w:p>
        </w:tc>
        <w:tc>
          <w:tcPr>
            <w:tcW w:w="0" w:type="auto"/>
            <w:hideMark/>
          </w:tcPr>
          <w:p w14:paraId="267B4FD2"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12</w:t>
            </w:r>
          </w:p>
        </w:tc>
        <w:tc>
          <w:tcPr>
            <w:tcW w:w="0" w:type="auto"/>
            <w:hideMark/>
          </w:tcPr>
          <w:p w14:paraId="63B1E71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0.8573</w:t>
            </w:r>
          </w:p>
        </w:tc>
        <w:tc>
          <w:tcPr>
            <w:tcW w:w="0" w:type="auto"/>
            <w:hideMark/>
          </w:tcPr>
          <w:p w14:paraId="3AFAE885"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10.29</w:t>
            </w:r>
          </w:p>
        </w:tc>
        <w:tc>
          <w:tcPr>
            <w:tcW w:w="0" w:type="auto"/>
            <w:hideMark/>
          </w:tcPr>
          <w:p w14:paraId="46B712A1"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22</w:t>
            </w:r>
          </w:p>
        </w:tc>
      </w:tr>
      <w:tr w:rsidR="002038D6" w:rsidRPr="009E7A21" w14:paraId="5B37D1E3" w14:textId="77777777" w:rsidTr="00AD00E4">
        <w:tc>
          <w:tcPr>
            <w:tcW w:w="0" w:type="auto"/>
            <w:hideMark/>
          </w:tcPr>
          <w:p w14:paraId="0F696AAD"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3</w:t>
            </w:r>
          </w:p>
        </w:tc>
        <w:tc>
          <w:tcPr>
            <w:tcW w:w="0" w:type="auto"/>
            <w:hideMark/>
          </w:tcPr>
          <w:p w14:paraId="5A2E2339"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14</w:t>
            </w:r>
          </w:p>
        </w:tc>
        <w:tc>
          <w:tcPr>
            <w:tcW w:w="0" w:type="auto"/>
            <w:hideMark/>
          </w:tcPr>
          <w:p w14:paraId="370A1A46"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0.7938</w:t>
            </w:r>
          </w:p>
        </w:tc>
        <w:tc>
          <w:tcPr>
            <w:tcW w:w="0" w:type="auto"/>
            <w:hideMark/>
          </w:tcPr>
          <w:p w14:paraId="199EBDBC"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11.11</w:t>
            </w:r>
          </w:p>
        </w:tc>
        <w:tc>
          <w:tcPr>
            <w:tcW w:w="0" w:type="auto"/>
            <w:hideMark/>
          </w:tcPr>
          <w:p w14:paraId="79E181A7"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36</w:t>
            </w:r>
          </w:p>
        </w:tc>
      </w:tr>
      <w:tr w:rsidR="002038D6" w:rsidRPr="009E7A21" w14:paraId="793A96DB" w14:textId="77777777" w:rsidTr="00AD00E4">
        <w:tc>
          <w:tcPr>
            <w:tcW w:w="0" w:type="auto"/>
            <w:hideMark/>
          </w:tcPr>
          <w:p w14:paraId="077BD2CD"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4</w:t>
            </w:r>
          </w:p>
        </w:tc>
        <w:tc>
          <w:tcPr>
            <w:tcW w:w="0" w:type="auto"/>
            <w:hideMark/>
          </w:tcPr>
          <w:p w14:paraId="3452B41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w:t>
            </w:r>
          </w:p>
        </w:tc>
        <w:tc>
          <w:tcPr>
            <w:tcW w:w="0" w:type="auto"/>
            <w:hideMark/>
          </w:tcPr>
          <w:p w14:paraId="63D3202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0.7350</w:t>
            </w:r>
          </w:p>
        </w:tc>
        <w:tc>
          <w:tcPr>
            <w:tcW w:w="0" w:type="auto"/>
            <w:hideMark/>
          </w:tcPr>
          <w:p w14:paraId="35867867"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7.35</w:t>
            </w:r>
          </w:p>
        </w:tc>
        <w:tc>
          <w:tcPr>
            <w:tcW w:w="0" w:type="auto"/>
            <w:hideMark/>
          </w:tcPr>
          <w:p w14:paraId="02C5CC48"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46</w:t>
            </w:r>
          </w:p>
        </w:tc>
      </w:tr>
      <w:tr w:rsidR="002038D6" w:rsidRPr="009E7A21" w14:paraId="316C29A2" w14:textId="77777777" w:rsidTr="00AD00E4">
        <w:tc>
          <w:tcPr>
            <w:tcW w:w="0" w:type="auto"/>
            <w:hideMark/>
          </w:tcPr>
          <w:p w14:paraId="57BA524F"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w:t>
            </w:r>
          </w:p>
        </w:tc>
        <w:tc>
          <w:tcPr>
            <w:tcW w:w="0" w:type="auto"/>
            <w:hideMark/>
          </w:tcPr>
          <w:p w14:paraId="21F4901F"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8</w:t>
            </w:r>
          </w:p>
        </w:tc>
        <w:tc>
          <w:tcPr>
            <w:tcW w:w="0" w:type="auto"/>
            <w:hideMark/>
          </w:tcPr>
          <w:p w14:paraId="3E49AC8F"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0.6806</w:t>
            </w:r>
          </w:p>
        </w:tc>
        <w:tc>
          <w:tcPr>
            <w:tcW w:w="0" w:type="auto"/>
            <w:hideMark/>
          </w:tcPr>
          <w:p w14:paraId="2B6DC5BD"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5.44</w:t>
            </w:r>
          </w:p>
        </w:tc>
        <w:tc>
          <w:tcPr>
            <w:tcW w:w="0" w:type="auto"/>
            <w:hideMark/>
          </w:tcPr>
          <w:p w14:paraId="2D47AAB2"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54</w:t>
            </w:r>
          </w:p>
        </w:tc>
      </w:tr>
      <w:tr w:rsidR="002038D6" w:rsidRPr="009E7A21" w14:paraId="5BEEAD35" w14:textId="77777777" w:rsidTr="00AD00E4">
        <w:tc>
          <w:tcPr>
            <w:tcW w:w="0" w:type="auto"/>
            <w:hideMark/>
          </w:tcPr>
          <w:p w14:paraId="1D8603D2"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Total</w:t>
            </w:r>
          </w:p>
        </w:tc>
        <w:tc>
          <w:tcPr>
            <w:tcW w:w="0" w:type="auto"/>
            <w:hideMark/>
          </w:tcPr>
          <w:p w14:paraId="394D4C35"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54</w:t>
            </w:r>
          </w:p>
        </w:tc>
        <w:tc>
          <w:tcPr>
            <w:tcW w:w="0" w:type="auto"/>
            <w:hideMark/>
          </w:tcPr>
          <w:p w14:paraId="65715A94" w14:textId="77777777" w:rsidR="002038D6" w:rsidRPr="009E7A21" w:rsidRDefault="002038D6" w:rsidP="00AD00E4">
            <w:pPr>
              <w:spacing w:line="360" w:lineRule="auto"/>
              <w:jc w:val="both"/>
              <w:rPr>
                <w:rFonts w:ascii="Arial" w:hAnsi="Arial" w:cs="Arial"/>
                <w:sz w:val="24"/>
                <w:szCs w:val="24"/>
              </w:rPr>
            </w:pPr>
          </w:p>
        </w:tc>
        <w:tc>
          <w:tcPr>
            <w:tcW w:w="0" w:type="auto"/>
            <w:hideMark/>
          </w:tcPr>
          <w:p w14:paraId="48ACCAFD"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43.45</w:t>
            </w:r>
          </w:p>
        </w:tc>
        <w:tc>
          <w:tcPr>
            <w:tcW w:w="0" w:type="auto"/>
            <w:hideMark/>
          </w:tcPr>
          <w:p w14:paraId="27F422FB" w14:textId="77777777" w:rsidR="002038D6" w:rsidRPr="009E7A21" w:rsidRDefault="002038D6" w:rsidP="00AD00E4">
            <w:pPr>
              <w:spacing w:line="360" w:lineRule="auto"/>
              <w:jc w:val="both"/>
              <w:rPr>
                <w:rFonts w:ascii="Arial" w:hAnsi="Arial" w:cs="Arial"/>
                <w:sz w:val="24"/>
                <w:szCs w:val="24"/>
              </w:rPr>
            </w:pPr>
          </w:p>
        </w:tc>
      </w:tr>
    </w:tbl>
    <w:p w14:paraId="6E77A2AB"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Investment Appraisal – Project A</w:t>
      </w:r>
    </w:p>
    <w:tbl>
      <w:tblPr>
        <w:tblStyle w:val="TableGrid"/>
        <w:tblW w:w="8954" w:type="dxa"/>
        <w:tblLook w:val="04A0" w:firstRow="1" w:lastRow="0" w:firstColumn="1" w:lastColumn="0" w:noHBand="0" w:noVBand="1"/>
      </w:tblPr>
      <w:tblGrid>
        <w:gridCol w:w="6409"/>
        <w:gridCol w:w="2545"/>
      </w:tblGrid>
      <w:tr w:rsidR="002038D6" w:rsidRPr="009E7A21" w14:paraId="17D71C2A" w14:textId="77777777" w:rsidTr="00AD00E4">
        <w:trPr>
          <w:trHeight w:val="369"/>
        </w:trPr>
        <w:tc>
          <w:tcPr>
            <w:tcW w:w="0" w:type="auto"/>
            <w:hideMark/>
          </w:tcPr>
          <w:p w14:paraId="7EA860D8"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Technique</w:t>
            </w:r>
          </w:p>
        </w:tc>
        <w:tc>
          <w:tcPr>
            <w:tcW w:w="0" w:type="auto"/>
            <w:hideMark/>
          </w:tcPr>
          <w:p w14:paraId="1C983FDF"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Result</w:t>
            </w:r>
          </w:p>
        </w:tc>
      </w:tr>
      <w:tr w:rsidR="002038D6" w:rsidRPr="009E7A21" w14:paraId="72B07339" w14:textId="77777777" w:rsidTr="00AD00E4">
        <w:trPr>
          <w:trHeight w:val="380"/>
        </w:trPr>
        <w:tc>
          <w:tcPr>
            <w:tcW w:w="0" w:type="auto"/>
            <w:hideMark/>
          </w:tcPr>
          <w:p w14:paraId="32603C0B"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Payback Period (PBP)</w:t>
            </w:r>
          </w:p>
        </w:tc>
        <w:tc>
          <w:tcPr>
            <w:tcW w:w="0" w:type="auto"/>
            <w:hideMark/>
          </w:tcPr>
          <w:p w14:paraId="30EC4218"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4.50 years</w:t>
            </w:r>
          </w:p>
        </w:tc>
      </w:tr>
      <w:tr w:rsidR="002038D6" w:rsidRPr="009E7A21" w14:paraId="3BD6D463" w14:textId="77777777" w:rsidTr="00AD00E4">
        <w:trPr>
          <w:trHeight w:val="369"/>
        </w:trPr>
        <w:tc>
          <w:tcPr>
            <w:tcW w:w="0" w:type="auto"/>
            <w:hideMark/>
          </w:tcPr>
          <w:p w14:paraId="7641501C"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Average Rate of Return (ARR)</w:t>
            </w:r>
          </w:p>
        </w:tc>
        <w:tc>
          <w:tcPr>
            <w:tcW w:w="0" w:type="auto"/>
            <w:hideMark/>
          </w:tcPr>
          <w:p w14:paraId="42AB2C7F"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3.2%</w:t>
            </w:r>
          </w:p>
        </w:tc>
      </w:tr>
      <w:tr w:rsidR="002038D6" w:rsidRPr="009E7A21" w14:paraId="65B0C787" w14:textId="77777777" w:rsidTr="00AD00E4">
        <w:trPr>
          <w:trHeight w:val="369"/>
        </w:trPr>
        <w:tc>
          <w:tcPr>
            <w:tcW w:w="0" w:type="auto"/>
            <w:hideMark/>
          </w:tcPr>
          <w:p w14:paraId="3B9EA20C"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Net Present Value (NPV)</w:t>
            </w:r>
          </w:p>
        </w:tc>
        <w:tc>
          <w:tcPr>
            <w:tcW w:w="0" w:type="auto"/>
            <w:hideMark/>
          </w:tcPr>
          <w:p w14:paraId="4FBB7628"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–£6.55m</w:t>
            </w:r>
          </w:p>
        </w:tc>
      </w:tr>
      <w:tr w:rsidR="002038D6" w:rsidRPr="009E7A21" w14:paraId="18ABC1E4" w14:textId="77777777" w:rsidTr="00AD00E4">
        <w:trPr>
          <w:trHeight w:val="380"/>
        </w:trPr>
        <w:tc>
          <w:tcPr>
            <w:tcW w:w="0" w:type="auto"/>
            <w:hideMark/>
          </w:tcPr>
          <w:p w14:paraId="49E36E91"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Profitability Index (PI)</w:t>
            </w:r>
          </w:p>
        </w:tc>
        <w:tc>
          <w:tcPr>
            <w:tcW w:w="0" w:type="auto"/>
            <w:hideMark/>
          </w:tcPr>
          <w:p w14:paraId="3515996D"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0.87</w:t>
            </w:r>
          </w:p>
        </w:tc>
      </w:tr>
      <w:tr w:rsidR="002038D6" w:rsidRPr="009E7A21" w14:paraId="3B2CEAE5" w14:textId="77777777" w:rsidTr="00AD00E4">
        <w:trPr>
          <w:trHeight w:val="369"/>
        </w:trPr>
        <w:tc>
          <w:tcPr>
            <w:tcW w:w="0" w:type="auto"/>
            <w:hideMark/>
          </w:tcPr>
          <w:p w14:paraId="103A12C2"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lastRenderedPageBreak/>
              <w:t>Internal Rate of Return (IRR)</w:t>
            </w:r>
          </w:p>
        </w:tc>
        <w:tc>
          <w:tcPr>
            <w:tcW w:w="0" w:type="auto"/>
            <w:hideMark/>
          </w:tcPr>
          <w:p w14:paraId="1EEE6888"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≈3.0%</w:t>
            </w:r>
          </w:p>
        </w:tc>
      </w:tr>
    </w:tbl>
    <w:p w14:paraId="453C2397"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Project B</w:t>
      </w:r>
    </w:p>
    <w:tbl>
      <w:tblPr>
        <w:tblStyle w:val="TableGrid"/>
        <w:tblW w:w="0" w:type="auto"/>
        <w:tblLook w:val="04A0" w:firstRow="1" w:lastRow="0" w:firstColumn="1" w:lastColumn="0" w:noHBand="0" w:noVBand="1"/>
      </w:tblPr>
      <w:tblGrid>
        <w:gridCol w:w="791"/>
        <w:gridCol w:w="1653"/>
        <w:gridCol w:w="2075"/>
        <w:gridCol w:w="1872"/>
        <w:gridCol w:w="2625"/>
      </w:tblGrid>
      <w:tr w:rsidR="002038D6" w:rsidRPr="009E7A21" w14:paraId="043B5A92" w14:textId="77777777" w:rsidTr="00AD00E4">
        <w:tc>
          <w:tcPr>
            <w:tcW w:w="0" w:type="auto"/>
            <w:hideMark/>
          </w:tcPr>
          <w:p w14:paraId="2F2E2DE0"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Year</w:t>
            </w:r>
          </w:p>
        </w:tc>
        <w:tc>
          <w:tcPr>
            <w:tcW w:w="0" w:type="auto"/>
            <w:hideMark/>
          </w:tcPr>
          <w:p w14:paraId="19A2B1EF"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Cash Inflow (£m)</w:t>
            </w:r>
          </w:p>
        </w:tc>
        <w:tc>
          <w:tcPr>
            <w:tcW w:w="0" w:type="auto"/>
            <w:hideMark/>
          </w:tcPr>
          <w:p w14:paraId="1190E336"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Discount Factor (8%)</w:t>
            </w:r>
          </w:p>
        </w:tc>
        <w:tc>
          <w:tcPr>
            <w:tcW w:w="0" w:type="auto"/>
            <w:hideMark/>
          </w:tcPr>
          <w:p w14:paraId="7E6949BB"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Present Value (£m)</w:t>
            </w:r>
          </w:p>
        </w:tc>
        <w:tc>
          <w:tcPr>
            <w:tcW w:w="0" w:type="auto"/>
            <w:hideMark/>
          </w:tcPr>
          <w:p w14:paraId="283E9733"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Cumulative Cash Flow (£m)</w:t>
            </w:r>
          </w:p>
        </w:tc>
      </w:tr>
      <w:tr w:rsidR="002038D6" w:rsidRPr="009E7A21" w14:paraId="58A97519" w14:textId="77777777" w:rsidTr="00AD00E4">
        <w:tc>
          <w:tcPr>
            <w:tcW w:w="0" w:type="auto"/>
            <w:hideMark/>
          </w:tcPr>
          <w:p w14:paraId="740E3AC0"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w:t>
            </w:r>
          </w:p>
        </w:tc>
        <w:tc>
          <w:tcPr>
            <w:tcW w:w="0" w:type="auto"/>
            <w:hideMark/>
          </w:tcPr>
          <w:p w14:paraId="60F0BBED"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w:t>
            </w:r>
          </w:p>
        </w:tc>
        <w:tc>
          <w:tcPr>
            <w:tcW w:w="0" w:type="auto"/>
            <w:hideMark/>
          </w:tcPr>
          <w:p w14:paraId="0E666DC2"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1.000</w:t>
            </w:r>
          </w:p>
        </w:tc>
        <w:tc>
          <w:tcPr>
            <w:tcW w:w="0" w:type="auto"/>
            <w:hideMark/>
          </w:tcPr>
          <w:p w14:paraId="0A8D6C38"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(50.00)</w:t>
            </w:r>
          </w:p>
        </w:tc>
        <w:tc>
          <w:tcPr>
            <w:tcW w:w="0" w:type="auto"/>
            <w:hideMark/>
          </w:tcPr>
          <w:p w14:paraId="6E7D516B"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w:t>
            </w:r>
          </w:p>
        </w:tc>
      </w:tr>
      <w:tr w:rsidR="002038D6" w:rsidRPr="009E7A21" w14:paraId="45CBCE5A" w14:textId="77777777" w:rsidTr="00AD00E4">
        <w:tc>
          <w:tcPr>
            <w:tcW w:w="0" w:type="auto"/>
            <w:hideMark/>
          </w:tcPr>
          <w:p w14:paraId="77FE2A67"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w:t>
            </w:r>
          </w:p>
        </w:tc>
        <w:tc>
          <w:tcPr>
            <w:tcW w:w="0" w:type="auto"/>
            <w:hideMark/>
          </w:tcPr>
          <w:p w14:paraId="6CADA7F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11</w:t>
            </w:r>
          </w:p>
        </w:tc>
        <w:tc>
          <w:tcPr>
            <w:tcW w:w="0" w:type="auto"/>
            <w:hideMark/>
          </w:tcPr>
          <w:p w14:paraId="5D11234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0.9259</w:t>
            </w:r>
          </w:p>
        </w:tc>
        <w:tc>
          <w:tcPr>
            <w:tcW w:w="0" w:type="auto"/>
            <w:hideMark/>
          </w:tcPr>
          <w:p w14:paraId="7582C9A2"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10.18</w:t>
            </w:r>
          </w:p>
        </w:tc>
        <w:tc>
          <w:tcPr>
            <w:tcW w:w="0" w:type="auto"/>
            <w:hideMark/>
          </w:tcPr>
          <w:p w14:paraId="357E353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11</w:t>
            </w:r>
          </w:p>
        </w:tc>
      </w:tr>
      <w:tr w:rsidR="002038D6" w:rsidRPr="009E7A21" w14:paraId="04413752" w14:textId="77777777" w:rsidTr="00AD00E4">
        <w:tc>
          <w:tcPr>
            <w:tcW w:w="0" w:type="auto"/>
            <w:hideMark/>
          </w:tcPr>
          <w:p w14:paraId="36B830F5"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2</w:t>
            </w:r>
          </w:p>
        </w:tc>
        <w:tc>
          <w:tcPr>
            <w:tcW w:w="0" w:type="auto"/>
            <w:hideMark/>
          </w:tcPr>
          <w:p w14:paraId="533AEDCF"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11</w:t>
            </w:r>
          </w:p>
        </w:tc>
        <w:tc>
          <w:tcPr>
            <w:tcW w:w="0" w:type="auto"/>
            <w:hideMark/>
          </w:tcPr>
          <w:p w14:paraId="16C210F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0.8573</w:t>
            </w:r>
          </w:p>
        </w:tc>
        <w:tc>
          <w:tcPr>
            <w:tcW w:w="0" w:type="auto"/>
            <w:hideMark/>
          </w:tcPr>
          <w:p w14:paraId="2E129E3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9.43</w:t>
            </w:r>
          </w:p>
        </w:tc>
        <w:tc>
          <w:tcPr>
            <w:tcW w:w="0" w:type="auto"/>
            <w:hideMark/>
          </w:tcPr>
          <w:p w14:paraId="1B4D6C52"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22</w:t>
            </w:r>
          </w:p>
        </w:tc>
      </w:tr>
      <w:tr w:rsidR="002038D6" w:rsidRPr="009E7A21" w14:paraId="04F43BBF" w14:textId="77777777" w:rsidTr="00AD00E4">
        <w:tc>
          <w:tcPr>
            <w:tcW w:w="0" w:type="auto"/>
            <w:hideMark/>
          </w:tcPr>
          <w:p w14:paraId="54F3FABD"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3</w:t>
            </w:r>
          </w:p>
        </w:tc>
        <w:tc>
          <w:tcPr>
            <w:tcW w:w="0" w:type="auto"/>
            <w:hideMark/>
          </w:tcPr>
          <w:p w14:paraId="2EE6F61C"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11</w:t>
            </w:r>
          </w:p>
        </w:tc>
        <w:tc>
          <w:tcPr>
            <w:tcW w:w="0" w:type="auto"/>
            <w:hideMark/>
          </w:tcPr>
          <w:p w14:paraId="6D7C54A7"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0.7938</w:t>
            </w:r>
          </w:p>
        </w:tc>
        <w:tc>
          <w:tcPr>
            <w:tcW w:w="0" w:type="auto"/>
            <w:hideMark/>
          </w:tcPr>
          <w:p w14:paraId="55C88B9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8.73</w:t>
            </w:r>
          </w:p>
        </w:tc>
        <w:tc>
          <w:tcPr>
            <w:tcW w:w="0" w:type="auto"/>
            <w:hideMark/>
          </w:tcPr>
          <w:p w14:paraId="09A11D78"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33</w:t>
            </w:r>
          </w:p>
        </w:tc>
      </w:tr>
      <w:tr w:rsidR="002038D6" w:rsidRPr="009E7A21" w14:paraId="1D8DE9A6" w14:textId="77777777" w:rsidTr="00AD00E4">
        <w:tc>
          <w:tcPr>
            <w:tcW w:w="0" w:type="auto"/>
            <w:hideMark/>
          </w:tcPr>
          <w:p w14:paraId="28A4B5E0"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4</w:t>
            </w:r>
          </w:p>
        </w:tc>
        <w:tc>
          <w:tcPr>
            <w:tcW w:w="0" w:type="auto"/>
            <w:hideMark/>
          </w:tcPr>
          <w:p w14:paraId="51E221A6"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11</w:t>
            </w:r>
          </w:p>
        </w:tc>
        <w:tc>
          <w:tcPr>
            <w:tcW w:w="0" w:type="auto"/>
            <w:hideMark/>
          </w:tcPr>
          <w:p w14:paraId="6B31BDE3"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0.7350</w:t>
            </w:r>
          </w:p>
        </w:tc>
        <w:tc>
          <w:tcPr>
            <w:tcW w:w="0" w:type="auto"/>
            <w:hideMark/>
          </w:tcPr>
          <w:p w14:paraId="6E4E8C79"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8.09</w:t>
            </w:r>
          </w:p>
        </w:tc>
        <w:tc>
          <w:tcPr>
            <w:tcW w:w="0" w:type="auto"/>
            <w:hideMark/>
          </w:tcPr>
          <w:p w14:paraId="566FE415"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44</w:t>
            </w:r>
          </w:p>
        </w:tc>
      </w:tr>
      <w:tr w:rsidR="002038D6" w:rsidRPr="009E7A21" w14:paraId="17D73C8F" w14:textId="77777777" w:rsidTr="00AD00E4">
        <w:tc>
          <w:tcPr>
            <w:tcW w:w="0" w:type="auto"/>
            <w:hideMark/>
          </w:tcPr>
          <w:p w14:paraId="68494DFC"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w:t>
            </w:r>
          </w:p>
        </w:tc>
        <w:tc>
          <w:tcPr>
            <w:tcW w:w="0" w:type="auto"/>
            <w:hideMark/>
          </w:tcPr>
          <w:p w14:paraId="5F419DBA"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11</w:t>
            </w:r>
          </w:p>
        </w:tc>
        <w:tc>
          <w:tcPr>
            <w:tcW w:w="0" w:type="auto"/>
            <w:hideMark/>
          </w:tcPr>
          <w:p w14:paraId="734CD8F6"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0.6806</w:t>
            </w:r>
          </w:p>
        </w:tc>
        <w:tc>
          <w:tcPr>
            <w:tcW w:w="0" w:type="auto"/>
            <w:hideMark/>
          </w:tcPr>
          <w:p w14:paraId="662C40E3"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7.49</w:t>
            </w:r>
          </w:p>
        </w:tc>
        <w:tc>
          <w:tcPr>
            <w:tcW w:w="0" w:type="auto"/>
            <w:hideMark/>
          </w:tcPr>
          <w:p w14:paraId="4AC2377B"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55</w:t>
            </w:r>
          </w:p>
        </w:tc>
      </w:tr>
      <w:tr w:rsidR="002038D6" w:rsidRPr="009E7A21" w14:paraId="0CC9B1F8" w14:textId="77777777" w:rsidTr="00AD00E4">
        <w:tc>
          <w:tcPr>
            <w:tcW w:w="0" w:type="auto"/>
            <w:hideMark/>
          </w:tcPr>
          <w:p w14:paraId="373AE961"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Total</w:t>
            </w:r>
          </w:p>
        </w:tc>
        <w:tc>
          <w:tcPr>
            <w:tcW w:w="0" w:type="auto"/>
            <w:hideMark/>
          </w:tcPr>
          <w:p w14:paraId="6A180740"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55</w:t>
            </w:r>
          </w:p>
        </w:tc>
        <w:tc>
          <w:tcPr>
            <w:tcW w:w="0" w:type="auto"/>
            <w:hideMark/>
          </w:tcPr>
          <w:p w14:paraId="36DB1A5C" w14:textId="77777777" w:rsidR="002038D6" w:rsidRPr="009E7A21" w:rsidRDefault="002038D6" w:rsidP="00AD00E4">
            <w:pPr>
              <w:spacing w:line="360" w:lineRule="auto"/>
              <w:jc w:val="both"/>
              <w:rPr>
                <w:rFonts w:ascii="Arial" w:hAnsi="Arial" w:cs="Arial"/>
                <w:sz w:val="24"/>
                <w:szCs w:val="24"/>
              </w:rPr>
            </w:pPr>
          </w:p>
        </w:tc>
        <w:tc>
          <w:tcPr>
            <w:tcW w:w="0" w:type="auto"/>
            <w:hideMark/>
          </w:tcPr>
          <w:p w14:paraId="0E8F1BC8"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43.92</w:t>
            </w:r>
          </w:p>
        </w:tc>
        <w:tc>
          <w:tcPr>
            <w:tcW w:w="0" w:type="auto"/>
            <w:hideMark/>
          </w:tcPr>
          <w:p w14:paraId="232991C3" w14:textId="77777777" w:rsidR="002038D6" w:rsidRPr="009E7A21" w:rsidRDefault="002038D6" w:rsidP="00AD00E4">
            <w:pPr>
              <w:spacing w:line="360" w:lineRule="auto"/>
              <w:jc w:val="both"/>
              <w:rPr>
                <w:rFonts w:ascii="Arial" w:hAnsi="Arial" w:cs="Arial"/>
                <w:sz w:val="24"/>
                <w:szCs w:val="24"/>
              </w:rPr>
            </w:pPr>
          </w:p>
        </w:tc>
      </w:tr>
    </w:tbl>
    <w:p w14:paraId="30BD3F8D"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Investment Appraisal – Project B</w:t>
      </w:r>
    </w:p>
    <w:tbl>
      <w:tblPr>
        <w:tblStyle w:val="TableGrid"/>
        <w:tblW w:w="8930" w:type="dxa"/>
        <w:tblLook w:val="04A0" w:firstRow="1" w:lastRow="0" w:firstColumn="1" w:lastColumn="0" w:noHBand="0" w:noVBand="1"/>
      </w:tblPr>
      <w:tblGrid>
        <w:gridCol w:w="6392"/>
        <w:gridCol w:w="2538"/>
      </w:tblGrid>
      <w:tr w:rsidR="002038D6" w:rsidRPr="009E7A21" w14:paraId="1CEED93B" w14:textId="77777777" w:rsidTr="00AD00E4">
        <w:trPr>
          <w:trHeight w:val="380"/>
        </w:trPr>
        <w:tc>
          <w:tcPr>
            <w:tcW w:w="0" w:type="auto"/>
            <w:hideMark/>
          </w:tcPr>
          <w:p w14:paraId="673BD07F"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Technique</w:t>
            </w:r>
          </w:p>
        </w:tc>
        <w:tc>
          <w:tcPr>
            <w:tcW w:w="0" w:type="auto"/>
            <w:hideMark/>
          </w:tcPr>
          <w:p w14:paraId="7CBA94E4"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Result</w:t>
            </w:r>
          </w:p>
        </w:tc>
      </w:tr>
      <w:tr w:rsidR="002038D6" w:rsidRPr="009E7A21" w14:paraId="356EFBC1" w14:textId="77777777" w:rsidTr="00AD00E4">
        <w:trPr>
          <w:trHeight w:val="369"/>
        </w:trPr>
        <w:tc>
          <w:tcPr>
            <w:tcW w:w="0" w:type="auto"/>
            <w:hideMark/>
          </w:tcPr>
          <w:p w14:paraId="12105D37"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Payback Period (PBP)</w:t>
            </w:r>
          </w:p>
        </w:tc>
        <w:tc>
          <w:tcPr>
            <w:tcW w:w="0" w:type="auto"/>
            <w:hideMark/>
          </w:tcPr>
          <w:p w14:paraId="18D4C3FA"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4.55 years</w:t>
            </w:r>
          </w:p>
        </w:tc>
      </w:tr>
      <w:tr w:rsidR="002038D6" w:rsidRPr="009E7A21" w14:paraId="47F07328" w14:textId="77777777" w:rsidTr="00AD00E4">
        <w:trPr>
          <w:trHeight w:val="380"/>
        </w:trPr>
        <w:tc>
          <w:tcPr>
            <w:tcW w:w="0" w:type="auto"/>
            <w:hideMark/>
          </w:tcPr>
          <w:p w14:paraId="7DBCDBD9"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Average Rate of Return (ARR)</w:t>
            </w:r>
          </w:p>
        </w:tc>
        <w:tc>
          <w:tcPr>
            <w:tcW w:w="0" w:type="auto"/>
            <w:hideMark/>
          </w:tcPr>
          <w:p w14:paraId="514B11A3"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4.0%</w:t>
            </w:r>
          </w:p>
        </w:tc>
      </w:tr>
      <w:tr w:rsidR="002038D6" w:rsidRPr="009E7A21" w14:paraId="4080AD84" w14:textId="77777777" w:rsidTr="00AD00E4">
        <w:trPr>
          <w:trHeight w:val="369"/>
        </w:trPr>
        <w:tc>
          <w:tcPr>
            <w:tcW w:w="0" w:type="auto"/>
            <w:hideMark/>
          </w:tcPr>
          <w:p w14:paraId="6E7E904F"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Net Present Value (NPV)</w:t>
            </w:r>
          </w:p>
        </w:tc>
        <w:tc>
          <w:tcPr>
            <w:tcW w:w="0" w:type="auto"/>
            <w:hideMark/>
          </w:tcPr>
          <w:p w14:paraId="08730B2F"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–£6.08m</w:t>
            </w:r>
          </w:p>
        </w:tc>
      </w:tr>
      <w:tr w:rsidR="002038D6" w:rsidRPr="009E7A21" w14:paraId="42330BF6" w14:textId="77777777" w:rsidTr="00AD00E4">
        <w:trPr>
          <w:trHeight w:val="369"/>
        </w:trPr>
        <w:tc>
          <w:tcPr>
            <w:tcW w:w="0" w:type="auto"/>
            <w:hideMark/>
          </w:tcPr>
          <w:p w14:paraId="238D7793"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Profitability Index (PI)</w:t>
            </w:r>
          </w:p>
        </w:tc>
        <w:tc>
          <w:tcPr>
            <w:tcW w:w="0" w:type="auto"/>
            <w:hideMark/>
          </w:tcPr>
          <w:p w14:paraId="0530F4FC"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0.88</w:t>
            </w:r>
          </w:p>
        </w:tc>
      </w:tr>
      <w:tr w:rsidR="002038D6" w:rsidRPr="009E7A21" w14:paraId="055079F7" w14:textId="77777777" w:rsidTr="00AD00E4">
        <w:trPr>
          <w:trHeight w:val="369"/>
        </w:trPr>
        <w:tc>
          <w:tcPr>
            <w:tcW w:w="0" w:type="auto"/>
            <w:hideMark/>
          </w:tcPr>
          <w:p w14:paraId="3B5EC0D9"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Internal Rate of Return (IRR)</w:t>
            </w:r>
          </w:p>
        </w:tc>
        <w:tc>
          <w:tcPr>
            <w:tcW w:w="0" w:type="auto"/>
            <w:hideMark/>
          </w:tcPr>
          <w:p w14:paraId="3D190E90"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≈3.6%</w:t>
            </w:r>
          </w:p>
        </w:tc>
      </w:tr>
    </w:tbl>
    <w:p w14:paraId="7B63AF6D"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Project C</w:t>
      </w:r>
    </w:p>
    <w:tbl>
      <w:tblPr>
        <w:tblStyle w:val="TableGrid"/>
        <w:tblW w:w="0" w:type="auto"/>
        <w:tblLook w:val="04A0" w:firstRow="1" w:lastRow="0" w:firstColumn="1" w:lastColumn="0" w:noHBand="0" w:noVBand="1"/>
      </w:tblPr>
      <w:tblGrid>
        <w:gridCol w:w="791"/>
        <w:gridCol w:w="1653"/>
        <w:gridCol w:w="2075"/>
        <w:gridCol w:w="1872"/>
        <w:gridCol w:w="2625"/>
      </w:tblGrid>
      <w:tr w:rsidR="002038D6" w:rsidRPr="009E7A21" w14:paraId="1B20076F" w14:textId="77777777" w:rsidTr="00AD00E4">
        <w:tc>
          <w:tcPr>
            <w:tcW w:w="0" w:type="auto"/>
            <w:hideMark/>
          </w:tcPr>
          <w:p w14:paraId="3A4DD95E"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Year</w:t>
            </w:r>
          </w:p>
        </w:tc>
        <w:tc>
          <w:tcPr>
            <w:tcW w:w="0" w:type="auto"/>
            <w:hideMark/>
          </w:tcPr>
          <w:p w14:paraId="5798ACDC"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Cash Inflow (£m)</w:t>
            </w:r>
          </w:p>
        </w:tc>
        <w:tc>
          <w:tcPr>
            <w:tcW w:w="0" w:type="auto"/>
            <w:hideMark/>
          </w:tcPr>
          <w:p w14:paraId="172C593A"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Discount Factor (8%)</w:t>
            </w:r>
          </w:p>
        </w:tc>
        <w:tc>
          <w:tcPr>
            <w:tcW w:w="0" w:type="auto"/>
            <w:hideMark/>
          </w:tcPr>
          <w:p w14:paraId="1B67CFBA"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Present Value (£m)</w:t>
            </w:r>
          </w:p>
        </w:tc>
        <w:tc>
          <w:tcPr>
            <w:tcW w:w="0" w:type="auto"/>
            <w:hideMark/>
          </w:tcPr>
          <w:p w14:paraId="7898DB3F"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Cumulative Cash Flow (£m)</w:t>
            </w:r>
          </w:p>
        </w:tc>
      </w:tr>
      <w:tr w:rsidR="002038D6" w:rsidRPr="009E7A21" w14:paraId="0696F66E" w14:textId="77777777" w:rsidTr="00AD00E4">
        <w:tc>
          <w:tcPr>
            <w:tcW w:w="0" w:type="auto"/>
            <w:hideMark/>
          </w:tcPr>
          <w:p w14:paraId="36C9F76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w:t>
            </w:r>
          </w:p>
        </w:tc>
        <w:tc>
          <w:tcPr>
            <w:tcW w:w="0" w:type="auto"/>
            <w:hideMark/>
          </w:tcPr>
          <w:p w14:paraId="7D260316"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w:t>
            </w:r>
          </w:p>
        </w:tc>
        <w:tc>
          <w:tcPr>
            <w:tcW w:w="0" w:type="auto"/>
            <w:hideMark/>
          </w:tcPr>
          <w:p w14:paraId="365151D0"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1.000</w:t>
            </w:r>
          </w:p>
        </w:tc>
        <w:tc>
          <w:tcPr>
            <w:tcW w:w="0" w:type="auto"/>
            <w:hideMark/>
          </w:tcPr>
          <w:p w14:paraId="68BC64EA"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(50.00)</w:t>
            </w:r>
          </w:p>
        </w:tc>
        <w:tc>
          <w:tcPr>
            <w:tcW w:w="0" w:type="auto"/>
            <w:hideMark/>
          </w:tcPr>
          <w:p w14:paraId="1E78425F"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(50.0)</w:t>
            </w:r>
          </w:p>
        </w:tc>
      </w:tr>
      <w:tr w:rsidR="002038D6" w:rsidRPr="009E7A21" w14:paraId="471FDF86" w14:textId="77777777" w:rsidTr="00AD00E4">
        <w:tc>
          <w:tcPr>
            <w:tcW w:w="0" w:type="auto"/>
            <w:hideMark/>
          </w:tcPr>
          <w:p w14:paraId="68788B1D"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w:t>
            </w:r>
          </w:p>
        </w:tc>
        <w:tc>
          <w:tcPr>
            <w:tcW w:w="0" w:type="auto"/>
            <w:hideMark/>
          </w:tcPr>
          <w:p w14:paraId="737DB75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w:t>
            </w:r>
          </w:p>
        </w:tc>
        <w:tc>
          <w:tcPr>
            <w:tcW w:w="0" w:type="auto"/>
            <w:hideMark/>
          </w:tcPr>
          <w:p w14:paraId="38F0773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0.9259</w:t>
            </w:r>
          </w:p>
        </w:tc>
        <w:tc>
          <w:tcPr>
            <w:tcW w:w="0" w:type="auto"/>
            <w:hideMark/>
          </w:tcPr>
          <w:p w14:paraId="7C19C8A6"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4.63</w:t>
            </w:r>
          </w:p>
        </w:tc>
        <w:tc>
          <w:tcPr>
            <w:tcW w:w="0" w:type="auto"/>
            <w:hideMark/>
          </w:tcPr>
          <w:p w14:paraId="04338271"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w:t>
            </w:r>
          </w:p>
        </w:tc>
      </w:tr>
      <w:tr w:rsidR="002038D6" w:rsidRPr="009E7A21" w14:paraId="627E479B" w14:textId="77777777" w:rsidTr="00AD00E4">
        <w:tc>
          <w:tcPr>
            <w:tcW w:w="0" w:type="auto"/>
            <w:hideMark/>
          </w:tcPr>
          <w:p w14:paraId="2CCEF38B"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2</w:t>
            </w:r>
          </w:p>
        </w:tc>
        <w:tc>
          <w:tcPr>
            <w:tcW w:w="0" w:type="auto"/>
            <w:hideMark/>
          </w:tcPr>
          <w:p w14:paraId="1A61E980"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10</w:t>
            </w:r>
          </w:p>
        </w:tc>
        <w:tc>
          <w:tcPr>
            <w:tcW w:w="0" w:type="auto"/>
            <w:hideMark/>
          </w:tcPr>
          <w:p w14:paraId="39478A59"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0.8573</w:t>
            </w:r>
          </w:p>
        </w:tc>
        <w:tc>
          <w:tcPr>
            <w:tcW w:w="0" w:type="auto"/>
            <w:hideMark/>
          </w:tcPr>
          <w:p w14:paraId="089350AD"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8.57</w:t>
            </w:r>
          </w:p>
        </w:tc>
        <w:tc>
          <w:tcPr>
            <w:tcW w:w="0" w:type="auto"/>
            <w:hideMark/>
          </w:tcPr>
          <w:p w14:paraId="168AB63F"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15</w:t>
            </w:r>
          </w:p>
        </w:tc>
      </w:tr>
      <w:tr w:rsidR="002038D6" w:rsidRPr="009E7A21" w14:paraId="1E109E24" w14:textId="77777777" w:rsidTr="00AD00E4">
        <w:tc>
          <w:tcPr>
            <w:tcW w:w="0" w:type="auto"/>
            <w:hideMark/>
          </w:tcPr>
          <w:p w14:paraId="218DF268"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3</w:t>
            </w:r>
          </w:p>
        </w:tc>
        <w:tc>
          <w:tcPr>
            <w:tcW w:w="0" w:type="auto"/>
            <w:hideMark/>
          </w:tcPr>
          <w:p w14:paraId="5D99453D"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20</w:t>
            </w:r>
          </w:p>
        </w:tc>
        <w:tc>
          <w:tcPr>
            <w:tcW w:w="0" w:type="auto"/>
            <w:hideMark/>
          </w:tcPr>
          <w:p w14:paraId="5C021D9C"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0.7938</w:t>
            </w:r>
          </w:p>
        </w:tc>
        <w:tc>
          <w:tcPr>
            <w:tcW w:w="0" w:type="auto"/>
            <w:hideMark/>
          </w:tcPr>
          <w:p w14:paraId="5836CB7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15.88</w:t>
            </w:r>
          </w:p>
        </w:tc>
        <w:tc>
          <w:tcPr>
            <w:tcW w:w="0" w:type="auto"/>
            <w:hideMark/>
          </w:tcPr>
          <w:p w14:paraId="4927FC8E"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35</w:t>
            </w:r>
          </w:p>
        </w:tc>
      </w:tr>
      <w:tr w:rsidR="002038D6" w:rsidRPr="009E7A21" w14:paraId="0CC0B896" w14:textId="77777777" w:rsidTr="00AD00E4">
        <w:tc>
          <w:tcPr>
            <w:tcW w:w="0" w:type="auto"/>
            <w:hideMark/>
          </w:tcPr>
          <w:p w14:paraId="7E8F9AA6"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4</w:t>
            </w:r>
          </w:p>
        </w:tc>
        <w:tc>
          <w:tcPr>
            <w:tcW w:w="0" w:type="auto"/>
            <w:hideMark/>
          </w:tcPr>
          <w:p w14:paraId="662CCEC2"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25</w:t>
            </w:r>
          </w:p>
        </w:tc>
        <w:tc>
          <w:tcPr>
            <w:tcW w:w="0" w:type="auto"/>
            <w:hideMark/>
          </w:tcPr>
          <w:p w14:paraId="6004DD70"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0.7350</w:t>
            </w:r>
          </w:p>
        </w:tc>
        <w:tc>
          <w:tcPr>
            <w:tcW w:w="0" w:type="auto"/>
            <w:hideMark/>
          </w:tcPr>
          <w:p w14:paraId="35B00048"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18.38</w:t>
            </w:r>
          </w:p>
        </w:tc>
        <w:tc>
          <w:tcPr>
            <w:tcW w:w="0" w:type="auto"/>
            <w:hideMark/>
          </w:tcPr>
          <w:p w14:paraId="3C07A7E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60</w:t>
            </w:r>
          </w:p>
        </w:tc>
      </w:tr>
      <w:tr w:rsidR="002038D6" w:rsidRPr="009E7A21" w14:paraId="37E13224" w14:textId="77777777" w:rsidTr="00AD00E4">
        <w:tc>
          <w:tcPr>
            <w:tcW w:w="0" w:type="auto"/>
            <w:hideMark/>
          </w:tcPr>
          <w:p w14:paraId="58761567"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w:t>
            </w:r>
          </w:p>
        </w:tc>
        <w:tc>
          <w:tcPr>
            <w:tcW w:w="0" w:type="auto"/>
            <w:hideMark/>
          </w:tcPr>
          <w:p w14:paraId="451FF220"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5</w:t>
            </w:r>
          </w:p>
        </w:tc>
        <w:tc>
          <w:tcPr>
            <w:tcW w:w="0" w:type="auto"/>
            <w:hideMark/>
          </w:tcPr>
          <w:p w14:paraId="75988A11"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0.6806</w:t>
            </w:r>
          </w:p>
        </w:tc>
        <w:tc>
          <w:tcPr>
            <w:tcW w:w="0" w:type="auto"/>
            <w:hideMark/>
          </w:tcPr>
          <w:p w14:paraId="77F5A336"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3.40</w:t>
            </w:r>
          </w:p>
        </w:tc>
        <w:tc>
          <w:tcPr>
            <w:tcW w:w="0" w:type="auto"/>
            <w:hideMark/>
          </w:tcPr>
          <w:p w14:paraId="25834455"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65</w:t>
            </w:r>
          </w:p>
        </w:tc>
      </w:tr>
      <w:tr w:rsidR="002038D6" w:rsidRPr="009E7A21" w14:paraId="6C8D816C" w14:textId="77777777" w:rsidTr="00AD00E4">
        <w:tc>
          <w:tcPr>
            <w:tcW w:w="0" w:type="auto"/>
            <w:hideMark/>
          </w:tcPr>
          <w:p w14:paraId="554D70EF"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Total</w:t>
            </w:r>
          </w:p>
        </w:tc>
        <w:tc>
          <w:tcPr>
            <w:tcW w:w="0" w:type="auto"/>
            <w:hideMark/>
          </w:tcPr>
          <w:p w14:paraId="16F26335"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65</w:t>
            </w:r>
          </w:p>
        </w:tc>
        <w:tc>
          <w:tcPr>
            <w:tcW w:w="0" w:type="auto"/>
            <w:hideMark/>
          </w:tcPr>
          <w:p w14:paraId="6BD4AEAF" w14:textId="77777777" w:rsidR="002038D6" w:rsidRPr="009E7A21" w:rsidRDefault="002038D6" w:rsidP="00AD00E4">
            <w:pPr>
              <w:spacing w:line="360" w:lineRule="auto"/>
              <w:jc w:val="both"/>
              <w:rPr>
                <w:rFonts w:ascii="Arial" w:hAnsi="Arial" w:cs="Arial"/>
                <w:sz w:val="24"/>
                <w:szCs w:val="24"/>
              </w:rPr>
            </w:pPr>
          </w:p>
        </w:tc>
        <w:tc>
          <w:tcPr>
            <w:tcW w:w="0" w:type="auto"/>
            <w:hideMark/>
          </w:tcPr>
          <w:p w14:paraId="593E65E3"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50.86</w:t>
            </w:r>
          </w:p>
        </w:tc>
        <w:tc>
          <w:tcPr>
            <w:tcW w:w="0" w:type="auto"/>
            <w:hideMark/>
          </w:tcPr>
          <w:p w14:paraId="49D7881C" w14:textId="77777777" w:rsidR="002038D6" w:rsidRPr="009E7A21" w:rsidRDefault="002038D6" w:rsidP="00AD00E4">
            <w:pPr>
              <w:spacing w:line="360" w:lineRule="auto"/>
              <w:jc w:val="both"/>
              <w:rPr>
                <w:rFonts w:ascii="Arial" w:hAnsi="Arial" w:cs="Arial"/>
                <w:sz w:val="24"/>
                <w:szCs w:val="24"/>
              </w:rPr>
            </w:pPr>
          </w:p>
        </w:tc>
      </w:tr>
    </w:tbl>
    <w:p w14:paraId="0BAAF19E" w14:textId="77777777" w:rsidR="002038D6" w:rsidRPr="009E7A21" w:rsidRDefault="002038D6" w:rsidP="002038D6">
      <w:pPr>
        <w:spacing w:line="360" w:lineRule="auto"/>
        <w:jc w:val="both"/>
        <w:rPr>
          <w:rFonts w:ascii="Arial" w:hAnsi="Arial" w:cs="Arial"/>
          <w:b/>
          <w:sz w:val="24"/>
          <w:szCs w:val="24"/>
        </w:rPr>
      </w:pPr>
      <w:r w:rsidRPr="009E7A21">
        <w:rPr>
          <w:rFonts w:ascii="Arial" w:hAnsi="Arial" w:cs="Arial"/>
          <w:b/>
          <w:sz w:val="24"/>
          <w:szCs w:val="24"/>
        </w:rPr>
        <w:t>Investment Appraisal – Project C</w:t>
      </w:r>
    </w:p>
    <w:tbl>
      <w:tblPr>
        <w:tblStyle w:val="TableGrid"/>
        <w:tblW w:w="9038" w:type="dxa"/>
        <w:tblLook w:val="04A0" w:firstRow="1" w:lastRow="0" w:firstColumn="1" w:lastColumn="0" w:noHBand="0" w:noVBand="1"/>
      </w:tblPr>
      <w:tblGrid>
        <w:gridCol w:w="6470"/>
        <w:gridCol w:w="2568"/>
      </w:tblGrid>
      <w:tr w:rsidR="002038D6" w:rsidRPr="009E7A21" w14:paraId="041A3B18" w14:textId="77777777" w:rsidTr="00AD00E4">
        <w:trPr>
          <w:trHeight w:val="369"/>
        </w:trPr>
        <w:tc>
          <w:tcPr>
            <w:tcW w:w="0" w:type="auto"/>
            <w:hideMark/>
          </w:tcPr>
          <w:p w14:paraId="3803E4BC"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Technique</w:t>
            </w:r>
          </w:p>
        </w:tc>
        <w:tc>
          <w:tcPr>
            <w:tcW w:w="0" w:type="auto"/>
            <w:hideMark/>
          </w:tcPr>
          <w:p w14:paraId="086ACBD4" w14:textId="77777777" w:rsidR="002038D6" w:rsidRPr="009E7A21" w:rsidRDefault="002038D6" w:rsidP="00AD00E4">
            <w:pPr>
              <w:spacing w:line="360" w:lineRule="auto"/>
              <w:jc w:val="both"/>
              <w:rPr>
                <w:rFonts w:ascii="Arial" w:hAnsi="Arial" w:cs="Arial"/>
                <w:b/>
                <w:bCs/>
                <w:sz w:val="24"/>
                <w:szCs w:val="24"/>
              </w:rPr>
            </w:pPr>
            <w:r w:rsidRPr="009E7A21">
              <w:rPr>
                <w:rFonts w:ascii="Arial" w:hAnsi="Arial" w:cs="Arial"/>
                <w:b/>
                <w:bCs/>
                <w:sz w:val="24"/>
                <w:szCs w:val="24"/>
              </w:rPr>
              <w:t>Result</w:t>
            </w:r>
          </w:p>
        </w:tc>
      </w:tr>
      <w:tr w:rsidR="002038D6" w:rsidRPr="009E7A21" w14:paraId="2933CADF" w14:textId="77777777" w:rsidTr="00AD00E4">
        <w:trPr>
          <w:trHeight w:val="380"/>
        </w:trPr>
        <w:tc>
          <w:tcPr>
            <w:tcW w:w="0" w:type="auto"/>
            <w:hideMark/>
          </w:tcPr>
          <w:p w14:paraId="7D59A83C"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Payback Period (PBP)</w:t>
            </w:r>
          </w:p>
        </w:tc>
        <w:tc>
          <w:tcPr>
            <w:tcW w:w="0" w:type="auto"/>
            <w:hideMark/>
          </w:tcPr>
          <w:p w14:paraId="7397FF8D"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3.60 years</w:t>
            </w:r>
          </w:p>
        </w:tc>
      </w:tr>
      <w:tr w:rsidR="002038D6" w:rsidRPr="009E7A21" w14:paraId="2165950F" w14:textId="77777777" w:rsidTr="00AD00E4">
        <w:trPr>
          <w:trHeight w:val="369"/>
        </w:trPr>
        <w:tc>
          <w:tcPr>
            <w:tcW w:w="0" w:type="auto"/>
            <w:hideMark/>
          </w:tcPr>
          <w:p w14:paraId="42FA9039"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lastRenderedPageBreak/>
              <w:t>Average Rate of Return (ARR)</w:t>
            </w:r>
          </w:p>
        </w:tc>
        <w:tc>
          <w:tcPr>
            <w:tcW w:w="0" w:type="auto"/>
            <w:hideMark/>
          </w:tcPr>
          <w:p w14:paraId="217BB1ED"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12.0%</w:t>
            </w:r>
          </w:p>
        </w:tc>
      </w:tr>
      <w:tr w:rsidR="002038D6" w:rsidRPr="009E7A21" w14:paraId="4B799714" w14:textId="77777777" w:rsidTr="00AD00E4">
        <w:trPr>
          <w:trHeight w:val="369"/>
        </w:trPr>
        <w:tc>
          <w:tcPr>
            <w:tcW w:w="0" w:type="auto"/>
            <w:hideMark/>
          </w:tcPr>
          <w:p w14:paraId="5114309F"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Net Present Value (NPV)</w:t>
            </w:r>
          </w:p>
        </w:tc>
        <w:tc>
          <w:tcPr>
            <w:tcW w:w="0" w:type="auto"/>
            <w:hideMark/>
          </w:tcPr>
          <w:p w14:paraId="0E9A2B3E"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£0.86m</w:t>
            </w:r>
          </w:p>
        </w:tc>
      </w:tr>
      <w:tr w:rsidR="002038D6" w:rsidRPr="009E7A21" w14:paraId="34A88C95" w14:textId="77777777" w:rsidTr="00AD00E4">
        <w:trPr>
          <w:trHeight w:val="380"/>
        </w:trPr>
        <w:tc>
          <w:tcPr>
            <w:tcW w:w="0" w:type="auto"/>
            <w:hideMark/>
          </w:tcPr>
          <w:p w14:paraId="12A5C4E4"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Profitability Index (PI)</w:t>
            </w:r>
          </w:p>
        </w:tc>
        <w:tc>
          <w:tcPr>
            <w:tcW w:w="0" w:type="auto"/>
            <w:hideMark/>
          </w:tcPr>
          <w:p w14:paraId="7C7F2482"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1.02</w:t>
            </w:r>
          </w:p>
        </w:tc>
      </w:tr>
      <w:tr w:rsidR="002038D6" w:rsidRPr="009E7A21" w14:paraId="5E227AEF" w14:textId="77777777" w:rsidTr="00AD00E4">
        <w:trPr>
          <w:trHeight w:val="369"/>
        </w:trPr>
        <w:tc>
          <w:tcPr>
            <w:tcW w:w="0" w:type="auto"/>
            <w:hideMark/>
          </w:tcPr>
          <w:p w14:paraId="4126059F" w14:textId="77777777" w:rsidR="002038D6" w:rsidRPr="009E7A21" w:rsidRDefault="002038D6" w:rsidP="00AD00E4">
            <w:pPr>
              <w:spacing w:line="360" w:lineRule="auto"/>
              <w:jc w:val="both"/>
              <w:rPr>
                <w:rFonts w:ascii="Arial" w:hAnsi="Arial" w:cs="Arial"/>
                <w:sz w:val="24"/>
                <w:szCs w:val="24"/>
              </w:rPr>
            </w:pPr>
            <w:r w:rsidRPr="009E7A21">
              <w:rPr>
                <w:rFonts w:ascii="Arial" w:hAnsi="Arial" w:cs="Arial"/>
                <w:sz w:val="24"/>
                <w:szCs w:val="24"/>
              </w:rPr>
              <w:t>Internal Rate of Return (IRR)</w:t>
            </w:r>
          </w:p>
        </w:tc>
        <w:tc>
          <w:tcPr>
            <w:tcW w:w="0" w:type="auto"/>
            <w:hideMark/>
          </w:tcPr>
          <w:p w14:paraId="6AB28844" w14:textId="77777777" w:rsidR="002038D6" w:rsidRPr="009E7A21" w:rsidRDefault="002038D6" w:rsidP="00AD00E4">
            <w:pPr>
              <w:spacing w:line="360" w:lineRule="auto"/>
              <w:jc w:val="both"/>
              <w:rPr>
                <w:rFonts w:ascii="Arial" w:hAnsi="Arial" w:cs="Arial"/>
                <w:sz w:val="24"/>
                <w:szCs w:val="24"/>
              </w:rPr>
            </w:pPr>
            <w:r w:rsidRPr="009E7A21">
              <w:rPr>
                <w:rStyle w:val="Strong"/>
                <w:rFonts w:ascii="Arial" w:hAnsi="Arial" w:cs="Arial"/>
                <w:sz w:val="24"/>
                <w:szCs w:val="24"/>
              </w:rPr>
              <w:t>≈8.3%</w:t>
            </w:r>
          </w:p>
        </w:tc>
      </w:tr>
    </w:tbl>
    <w:p w14:paraId="6BD301AE" w14:textId="77777777" w:rsidR="002038D6" w:rsidRPr="009E7A21" w:rsidRDefault="002038D6" w:rsidP="002038D6"/>
    <w:p w14:paraId="18F46EC4" w14:textId="77777777" w:rsidR="009E7A21" w:rsidRPr="009E7A21" w:rsidRDefault="009E7A21" w:rsidP="009E7A21">
      <w:pPr>
        <w:pStyle w:val="Heading2"/>
        <w:spacing w:line="360" w:lineRule="auto"/>
        <w:jc w:val="both"/>
        <w:rPr>
          <w:rFonts w:ascii="Arial" w:hAnsi="Arial" w:cs="Arial"/>
          <w:b/>
          <w:color w:val="auto"/>
          <w:sz w:val="24"/>
          <w:szCs w:val="24"/>
        </w:rPr>
      </w:pPr>
      <w:bookmarkStart w:id="54" w:name="_Toc236848554"/>
      <w:r w:rsidRPr="009E7A21">
        <w:rPr>
          <w:rFonts w:ascii="Arial" w:hAnsi="Arial" w:cs="Arial"/>
          <w:b/>
          <w:color w:val="auto"/>
          <w:sz w:val="24"/>
          <w:szCs w:val="24"/>
        </w:rPr>
        <w:t>c. Annual Reports</w:t>
      </w:r>
      <w:bookmarkEnd w:id="54"/>
    </w:p>
    <w:p w14:paraId="744A2719" w14:textId="77777777" w:rsidR="009E7A21" w:rsidRPr="009E7A21" w:rsidRDefault="009E7A21" w:rsidP="009E7A21">
      <w:pPr>
        <w:spacing w:line="360" w:lineRule="auto"/>
        <w:jc w:val="both"/>
        <w:rPr>
          <w:rFonts w:ascii="Arial" w:hAnsi="Arial" w:cs="Arial"/>
          <w:b/>
          <w:sz w:val="24"/>
          <w:szCs w:val="24"/>
        </w:rPr>
      </w:pPr>
      <w:r w:rsidRPr="009E7A21">
        <w:rPr>
          <w:rFonts w:ascii="Arial" w:hAnsi="Arial" w:cs="Arial"/>
          <w:b/>
          <w:sz w:val="24"/>
          <w:szCs w:val="24"/>
        </w:rPr>
        <w:t>2020</w:t>
      </w:r>
    </w:p>
    <w:p w14:paraId="5BCAD860" w14:textId="77777777" w:rsidR="009E7A21" w:rsidRPr="009E7A21" w:rsidRDefault="009E7A21" w:rsidP="009E7A21">
      <w:pPr>
        <w:spacing w:line="360" w:lineRule="auto"/>
        <w:jc w:val="both"/>
        <w:rPr>
          <w:rFonts w:ascii="Arial" w:hAnsi="Arial" w:cs="Arial"/>
          <w:b/>
          <w:sz w:val="24"/>
          <w:szCs w:val="24"/>
        </w:rPr>
      </w:pPr>
      <w:r w:rsidRPr="009E7A21">
        <w:rPr>
          <w:rFonts w:ascii="Arial" w:hAnsi="Arial" w:cs="Arial"/>
          <w:b/>
          <w:noProof/>
          <w:sz w:val="24"/>
          <w:szCs w:val="24"/>
        </w:rPr>
        <w:drawing>
          <wp:inline distT="0" distB="0" distL="0" distR="0" wp14:anchorId="5533C25B" wp14:editId="3DB3F074">
            <wp:extent cx="5731510" cy="4280535"/>
            <wp:effectExtent l="0" t="0" r="2540" b="571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4280535"/>
                    </a:xfrm>
                    <a:prstGeom prst="rect">
                      <a:avLst/>
                    </a:prstGeom>
                  </pic:spPr>
                </pic:pic>
              </a:graphicData>
            </a:graphic>
          </wp:inline>
        </w:drawing>
      </w:r>
    </w:p>
    <w:p w14:paraId="0FDBC31B" w14:textId="77777777" w:rsidR="009E7A21" w:rsidRPr="009E7A21" w:rsidRDefault="009E7A21" w:rsidP="009E7A21">
      <w:pPr>
        <w:spacing w:line="360" w:lineRule="auto"/>
        <w:jc w:val="both"/>
        <w:rPr>
          <w:rFonts w:ascii="Arial" w:hAnsi="Arial" w:cs="Arial"/>
          <w:b/>
          <w:sz w:val="24"/>
          <w:szCs w:val="24"/>
        </w:rPr>
      </w:pPr>
      <w:r w:rsidRPr="009E7A21">
        <w:rPr>
          <w:rFonts w:ascii="Arial" w:hAnsi="Arial" w:cs="Arial"/>
          <w:b/>
          <w:noProof/>
          <w:sz w:val="24"/>
          <w:szCs w:val="24"/>
        </w:rPr>
        <w:lastRenderedPageBreak/>
        <w:drawing>
          <wp:inline distT="0" distB="0" distL="0" distR="0" wp14:anchorId="3B1C7259" wp14:editId="4D5BA2DD">
            <wp:extent cx="5731510" cy="4016375"/>
            <wp:effectExtent l="0" t="0" r="254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4016375"/>
                    </a:xfrm>
                    <a:prstGeom prst="rect">
                      <a:avLst/>
                    </a:prstGeom>
                  </pic:spPr>
                </pic:pic>
              </a:graphicData>
            </a:graphic>
          </wp:inline>
        </w:drawing>
      </w:r>
    </w:p>
    <w:p w14:paraId="7CD88951" w14:textId="77777777" w:rsidR="009E7A21" w:rsidRPr="009E7A21" w:rsidRDefault="009E7A21" w:rsidP="009E7A21">
      <w:pPr>
        <w:spacing w:line="360" w:lineRule="auto"/>
        <w:jc w:val="both"/>
        <w:rPr>
          <w:rFonts w:ascii="Arial" w:hAnsi="Arial" w:cs="Arial"/>
          <w:b/>
          <w:sz w:val="24"/>
          <w:szCs w:val="24"/>
        </w:rPr>
      </w:pPr>
      <w:r w:rsidRPr="009E7A21">
        <w:rPr>
          <w:rFonts w:ascii="Arial" w:hAnsi="Arial" w:cs="Arial"/>
          <w:b/>
          <w:noProof/>
          <w:sz w:val="24"/>
          <w:szCs w:val="24"/>
        </w:rPr>
        <w:drawing>
          <wp:inline distT="0" distB="0" distL="0" distR="0" wp14:anchorId="4F83CCA7" wp14:editId="0E4F10BE">
            <wp:extent cx="5731510" cy="336042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3360420"/>
                    </a:xfrm>
                    <a:prstGeom prst="rect">
                      <a:avLst/>
                    </a:prstGeom>
                  </pic:spPr>
                </pic:pic>
              </a:graphicData>
            </a:graphic>
          </wp:inline>
        </w:drawing>
      </w:r>
    </w:p>
    <w:p w14:paraId="1A18F691" w14:textId="77777777" w:rsidR="009E7A21" w:rsidRPr="009E7A21" w:rsidRDefault="009E7A21" w:rsidP="009E7A21">
      <w:pPr>
        <w:spacing w:line="360" w:lineRule="auto"/>
        <w:jc w:val="both"/>
        <w:rPr>
          <w:rFonts w:ascii="Arial" w:hAnsi="Arial" w:cs="Arial"/>
          <w:b/>
          <w:sz w:val="24"/>
          <w:szCs w:val="24"/>
        </w:rPr>
      </w:pPr>
    </w:p>
    <w:p w14:paraId="4AB7E22E" w14:textId="77777777" w:rsidR="009E7A21" w:rsidRPr="009E7A21" w:rsidRDefault="009E7A21" w:rsidP="009E7A21">
      <w:pPr>
        <w:spacing w:line="360" w:lineRule="auto"/>
        <w:rPr>
          <w:rFonts w:ascii="Arial" w:hAnsi="Arial" w:cs="Arial"/>
          <w:b/>
          <w:sz w:val="24"/>
          <w:szCs w:val="24"/>
        </w:rPr>
      </w:pPr>
      <w:r w:rsidRPr="009E7A21">
        <w:rPr>
          <w:rFonts w:ascii="Arial" w:hAnsi="Arial" w:cs="Arial"/>
          <w:b/>
          <w:sz w:val="24"/>
          <w:szCs w:val="24"/>
        </w:rPr>
        <w:t>2021</w:t>
      </w:r>
    </w:p>
    <w:p w14:paraId="0B6CDFD2"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lastRenderedPageBreak/>
        <w:drawing>
          <wp:inline distT="0" distB="0" distL="0" distR="0" wp14:anchorId="0A41F5FC" wp14:editId="1F86776D">
            <wp:extent cx="5731510" cy="475043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4750435"/>
                    </a:xfrm>
                    <a:prstGeom prst="rect">
                      <a:avLst/>
                    </a:prstGeom>
                  </pic:spPr>
                </pic:pic>
              </a:graphicData>
            </a:graphic>
          </wp:inline>
        </w:drawing>
      </w:r>
    </w:p>
    <w:p w14:paraId="6AD33E59"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drawing>
          <wp:inline distT="0" distB="0" distL="0" distR="0" wp14:anchorId="04A050E4" wp14:editId="154BE876">
            <wp:extent cx="5731510" cy="214757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2147570"/>
                    </a:xfrm>
                    <a:prstGeom prst="rect">
                      <a:avLst/>
                    </a:prstGeom>
                  </pic:spPr>
                </pic:pic>
              </a:graphicData>
            </a:graphic>
          </wp:inline>
        </w:drawing>
      </w:r>
    </w:p>
    <w:p w14:paraId="450BCBFA"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lastRenderedPageBreak/>
        <w:drawing>
          <wp:inline distT="0" distB="0" distL="0" distR="0" wp14:anchorId="1C21C219" wp14:editId="561FFAA5">
            <wp:extent cx="5731510" cy="3286760"/>
            <wp:effectExtent l="0" t="0" r="254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286760"/>
                    </a:xfrm>
                    <a:prstGeom prst="rect">
                      <a:avLst/>
                    </a:prstGeom>
                  </pic:spPr>
                </pic:pic>
              </a:graphicData>
            </a:graphic>
          </wp:inline>
        </w:drawing>
      </w:r>
    </w:p>
    <w:p w14:paraId="709D022B"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drawing>
          <wp:inline distT="0" distB="0" distL="0" distR="0" wp14:anchorId="23DF634F" wp14:editId="4BF19F98">
            <wp:extent cx="5464013" cy="3109229"/>
            <wp:effectExtent l="0" t="0" r="381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464013" cy="3109229"/>
                    </a:xfrm>
                    <a:prstGeom prst="rect">
                      <a:avLst/>
                    </a:prstGeom>
                  </pic:spPr>
                </pic:pic>
              </a:graphicData>
            </a:graphic>
          </wp:inline>
        </w:drawing>
      </w:r>
    </w:p>
    <w:p w14:paraId="52692F58" w14:textId="77777777" w:rsidR="009E7A21" w:rsidRPr="009E7A21" w:rsidRDefault="009E7A21" w:rsidP="009E7A21">
      <w:pPr>
        <w:spacing w:line="360" w:lineRule="auto"/>
        <w:rPr>
          <w:rFonts w:ascii="Arial" w:hAnsi="Arial" w:cs="Arial"/>
          <w:b/>
          <w:sz w:val="24"/>
          <w:szCs w:val="24"/>
        </w:rPr>
      </w:pPr>
      <w:r w:rsidRPr="009E7A21">
        <w:rPr>
          <w:rFonts w:ascii="Arial" w:hAnsi="Arial" w:cs="Arial"/>
          <w:b/>
          <w:sz w:val="24"/>
          <w:szCs w:val="24"/>
        </w:rPr>
        <w:lastRenderedPageBreak/>
        <w:t>2022</w:t>
      </w:r>
      <w:r w:rsidRPr="009E7A21">
        <w:rPr>
          <w:rFonts w:ascii="Arial" w:hAnsi="Arial" w:cs="Arial"/>
          <w:b/>
          <w:noProof/>
          <w:sz w:val="24"/>
          <w:szCs w:val="24"/>
          <w:lang w:val="en-IN" w:eastAsia="en-IN"/>
        </w:rPr>
        <w:drawing>
          <wp:inline distT="0" distB="0" distL="0" distR="0" wp14:anchorId="0F847884" wp14:editId="681021D0">
            <wp:extent cx="5731510" cy="509333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5093335"/>
                    </a:xfrm>
                    <a:prstGeom prst="rect">
                      <a:avLst/>
                    </a:prstGeom>
                  </pic:spPr>
                </pic:pic>
              </a:graphicData>
            </a:graphic>
          </wp:inline>
        </w:drawing>
      </w:r>
    </w:p>
    <w:p w14:paraId="284A2966"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lastRenderedPageBreak/>
        <w:drawing>
          <wp:inline distT="0" distB="0" distL="0" distR="0" wp14:anchorId="4DEE1BCD" wp14:editId="42AD6F40">
            <wp:extent cx="5731510" cy="4144645"/>
            <wp:effectExtent l="0" t="0" r="254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4144645"/>
                    </a:xfrm>
                    <a:prstGeom prst="rect">
                      <a:avLst/>
                    </a:prstGeom>
                  </pic:spPr>
                </pic:pic>
              </a:graphicData>
            </a:graphic>
          </wp:inline>
        </w:drawing>
      </w:r>
    </w:p>
    <w:p w14:paraId="4022ED25"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drawing>
          <wp:inline distT="0" distB="0" distL="0" distR="0" wp14:anchorId="1291B3AF" wp14:editId="7AA6F459">
            <wp:extent cx="5731510" cy="324929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249295"/>
                    </a:xfrm>
                    <a:prstGeom prst="rect">
                      <a:avLst/>
                    </a:prstGeom>
                  </pic:spPr>
                </pic:pic>
              </a:graphicData>
            </a:graphic>
          </wp:inline>
        </w:drawing>
      </w:r>
    </w:p>
    <w:p w14:paraId="16F07C09" w14:textId="77777777" w:rsidR="009E7A21" w:rsidRPr="009E7A21" w:rsidRDefault="009E7A21" w:rsidP="009E7A21">
      <w:pPr>
        <w:spacing w:line="360" w:lineRule="auto"/>
        <w:rPr>
          <w:rFonts w:ascii="Arial" w:hAnsi="Arial" w:cs="Arial"/>
          <w:b/>
          <w:sz w:val="24"/>
          <w:szCs w:val="24"/>
        </w:rPr>
      </w:pPr>
    </w:p>
    <w:p w14:paraId="22D325B6" w14:textId="77777777" w:rsidR="009E7A21" w:rsidRPr="009E7A21" w:rsidRDefault="009E7A21" w:rsidP="009E7A21">
      <w:pPr>
        <w:spacing w:line="360" w:lineRule="auto"/>
        <w:rPr>
          <w:rFonts w:ascii="Arial" w:hAnsi="Arial" w:cs="Arial"/>
          <w:b/>
          <w:sz w:val="24"/>
          <w:szCs w:val="24"/>
        </w:rPr>
      </w:pPr>
      <w:r w:rsidRPr="009E7A21">
        <w:rPr>
          <w:rFonts w:ascii="Arial" w:hAnsi="Arial" w:cs="Arial"/>
          <w:b/>
          <w:sz w:val="24"/>
          <w:szCs w:val="24"/>
        </w:rPr>
        <w:t>2023</w:t>
      </w:r>
    </w:p>
    <w:p w14:paraId="195A72B0"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lastRenderedPageBreak/>
        <w:drawing>
          <wp:inline distT="0" distB="0" distL="0" distR="0" wp14:anchorId="71F8E7E0" wp14:editId="74E46BCA">
            <wp:extent cx="5334462" cy="484674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334462" cy="4846740"/>
                    </a:xfrm>
                    <a:prstGeom prst="rect">
                      <a:avLst/>
                    </a:prstGeom>
                  </pic:spPr>
                </pic:pic>
              </a:graphicData>
            </a:graphic>
          </wp:inline>
        </w:drawing>
      </w:r>
    </w:p>
    <w:p w14:paraId="3DEE8CED"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drawing>
          <wp:inline distT="0" distB="0" distL="0" distR="0" wp14:anchorId="7A08287A" wp14:editId="2605D984">
            <wp:extent cx="5387807" cy="3642676"/>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387807" cy="3642676"/>
                    </a:xfrm>
                    <a:prstGeom prst="rect">
                      <a:avLst/>
                    </a:prstGeom>
                  </pic:spPr>
                </pic:pic>
              </a:graphicData>
            </a:graphic>
          </wp:inline>
        </w:drawing>
      </w:r>
    </w:p>
    <w:p w14:paraId="03A1226A" w14:textId="77777777" w:rsidR="009E7A21" w:rsidRPr="009E7A21" w:rsidRDefault="009E7A21" w:rsidP="009E7A21">
      <w:pPr>
        <w:spacing w:line="360" w:lineRule="auto"/>
        <w:rPr>
          <w:rFonts w:ascii="Arial" w:hAnsi="Arial" w:cs="Arial"/>
          <w:b/>
          <w:sz w:val="24"/>
          <w:szCs w:val="24"/>
        </w:rPr>
      </w:pPr>
      <w:r w:rsidRPr="009E7A21">
        <w:rPr>
          <w:rFonts w:ascii="Arial" w:hAnsi="Arial" w:cs="Arial"/>
          <w:b/>
          <w:noProof/>
          <w:sz w:val="24"/>
          <w:szCs w:val="24"/>
          <w:lang w:val="en-IN" w:eastAsia="en-IN"/>
        </w:rPr>
        <w:lastRenderedPageBreak/>
        <w:drawing>
          <wp:inline distT="0" distB="0" distL="0" distR="0" wp14:anchorId="497666E8" wp14:editId="5E56B6D5">
            <wp:extent cx="5418290" cy="3779848"/>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418290" cy="3779848"/>
                    </a:xfrm>
                    <a:prstGeom prst="rect">
                      <a:avLst/>
                    </a:prstGeom>
                  </pic:spPr>
                </pic:pic>
              </a:graphicData>
            </a:graphic>
          </wp:inline>
        </w:drawing>
      </w:r>
    </w:p>
    <w:p w14:paraId="57B1E677" w14:textId="77777777" w:rsidR="009E7A21" w:rsidRPr="009E7A21" w:rsidRDefault="009E7A21" w:rsidP="009E7A21">
      <w:pPr>
        <w:spacing w:line="360" w:lineRule="auto"/>
        <w:rPr>
          <w:rFonts w:ascii="Arial" w:hAnsi="Arial" w:cs="Arial"/>
          <w:b/>
          <w:sz w:val="24"/>
          <w:szCs w:val="24"/>
        </w:rPr>
      </w:pPr>
      <w:r w:rsidRPr="009E7A21">
        <w:rPr>
          <w:rFonts w:ascii="Arial" w:hAnsi="Arial" w:cs="Arial"/>
          <w:b/>
          <w:sz w:val="24"/>
          <w:szCs w:val="24"/>
        </w:rPr>
        <w:t>2024</w:t>
      </w:r>
    </w:p>
    <w:p w14:paraId="5EE358A4" w14:textId="77777777" w:rsidR="009E7A21" w:rsidRPr="009E7A21" w:rsidRDefault="009E7A21" w:rsidP="009E7A21">
      <w:pPr>
        <w:spacing w:line="360" w:lineRule="auto"/>
        <w:jc w:val="center"/>
        <w:rPr>
          <w:rFonts w:ascii="Arial" w:hAnsi="Arial" w:cs="Arial"/>
          <w:b/>
          <w:sz w:val="24"/>
          <w:szCs w:val="24"/>
        </w:rPr>
      </w:pPr>
      <w:r w:rsidRPr="009E7A21">
        <w:rPr>
          <w:rFonts w:ascii="Arial" w:hAnsi="Arial" w:cs="Arial"/>
          <w:b/>
          <w:noProof/>
          <w:sz w:val="24"/>
          <w:szCs w:val="24"/>
          <w:lang w:val="en-IN" w:eastAsia="en-IN"/>
        </w:rPr>
        <w:drawing>
          <wp:inline distT="0" distB="0" distL="0" distR="0" wp14:anchorId="3FB10071" wp14:editId="046ABA95">
            <wp:extent cx="4084674" cy="153175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084674" cy="1531753"/>
                    </a:xfrm>
                    <a:prstGeom prst="rect">
                      <a:avLst/>
                    </a:prstGeom>
                  </pic:spPr>
                </pic:pic>
              </a:graphicData>
            </a:graphic>
          </wp:inline>
        </w:drawing>
      </w:r>
    </w:p>
    <w:p w14:paraId="52CC7D9E" w14:textId="77777777" w:rsidR="009E7A21" w:rsidRPr="009E7A21" w:rsidRDefault="009E7A21" w:rsidP="009E7A21">
      <w:pPr>
        <w:spacing w:line="360" w:lineRule="auto"/>
        <w:jc w:val="center"/>
        <w:rPr>
          <w:rFonts w:ascii="Arial" w:hAnsi="Arial" w:cs="Arial"/>
          <w:b/>
          <w:sz w:val="24"/>
          <w:szCs w:val="24"/>
        </w:rPr>
      </w:pPr>
      <w:r w:rsidRPr="009E7A21">
        <w:rPr>
          <w:rFonts w:ascii="Arial" w:hAnsi="Arial" w:cs="Arial"/>
          <w:b/>
          <w:noProof/>
          <w:sz w:val="24"/>
          <w:szCs w:val="24"/>
          <w:lang w:val="en-IN" w:eastAsia="en-IN"/>
        </w:rPr>
        <w:drawing>
          <wp:inline distT="0" distB="0" distL="0" distR="0" wp14:anchorId="0D849D34" wp14:editId="338F9AC6">
            <wp:extent cx="4122777" cy="2530059"/>
            <wp:effectExtent l="0" t="0" r="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4122777" cy="2530059"/>
                    </a:xfrm>
                    <a:prstGeom prst="rect">
                      <a:avLst/>
                    </a:prstGeom>
                  </pic:spPr>
                </pic:pic>
              </a:graphicData>
            </a:graphic>
          </wp:inline>
        </w:drawing>
      </w:r>
    </w:p>
    <w:p w14:paraId="09FC01C6" w14:textId="77777777" w:rsidR="009E7A21" w:rsidRPr="009E7A21" w:rsidRDefault="009E7A21" w:rsidP="009E7A21">
      <w:pPr>
        <w:spacing w:line="360" w:lineRule="auto"/>
        <w:jc w:val="center"/>
        <w:rPr>
          <w:rFonts w:ascii="Arial" w:hAnsi="Arial" w:cs="Arial"/>
          <w:b/>
          <w:sz w:val="24"/>
          <w:szCs w:val="24"/>
        </w:rPr>
      </w:pPr>
      <w:r w:rsidRPr="009E7A21">
        <w:rPr>
          <w:rFonts w:ascii="Arial" w:hAnsi="Arial" w:cs="Arial"/>
          <w:b/>
          <w:noProof/>
          <w:sz w:val="24"/>
          <w:szCs w:val="24"/>
          <w:lang w:val="en-IN" w:eastAsia="en-IN"/>
        </w:rPr>
        <w:lastRenderedPageBreak/>
        <w:drawing>
          <wp:inline distT="0" distB="0" distL="0" distR="0" wp14:anchorId="27317154" wp14:editId="2ED55D5D">
            <wp:extent cx="4191363" cy="2385267"/>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191363" cy="2385267"/>
                    </a:xfrm>
                    <a:prstGeom prst="rect">
                      <a:avLst/>
                    </a:prstGeom>
                  </pic:spPr>
                </pic:pic>
              </a:graphicData>
            </a:graphic>
          </wp:inline>
        </w:drawing>
      </w:r>
    </w:p>
    <w:p w14:paraId="23DCC792" w14:textId="77777777" w:rsidR="009E7A21" w:rsidRPr="009E7A21" w:rsidRDefault="009E7A21" w:rsidP="009E7A21">
      <w:pPr>
        <w:spacing w:line="360" w:lineRule="auto"/>
        <w:jc w:val="both"/>
        <w:rPr>
          <w:rFonts w:ascii="Arial" w:hAnsi="Arial" w:cs="Arial"/>
          <w:b/>
          <w:sz w:val="24"/>
          <w:szCs w:val="24"/>
        </w:rPr>
      </w:pPr>
    </w:p>
    <w:sectPr w:rsidR="009E7A21" w:rsidRPr="009E7A21">
      <w:footerReference w:type="default" r:id="rId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B26CF41" w14:textId="77777777" w:rsidR="006962E2" w:rsidRDefault="006962E2" w:rsidP="00997841">
      <w:pPr>
        <w:spacing w:after="0" w:line="240" w:lineRule="auto"/>
      </w:pPr>
      <w:r>
        <w:separator/>
      </w:r>
    </w:p>
  </w:endnote>
  <w:endnote w:type="continuationSeparator" w:id="0">
    <w:p w14:paraId="68B1D729" w14:textId="77777777" w:rsidR="006962E2" w:rsidRDefault="006962E2" w:rsidP="00997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ascii="Arial" w:hAnsi="Arial" w:cs="Arial"/>
        <w:sz w:val="24"/>
        <w:szCs w:val="24"/>
      </w:rPr>
      <w:id w:val="1146097537"/>
      <w:docPartObj>
        <w:docPartGallery w:val="Page Numbers (Bottom of Page)"/>
        <w:docPartUnique/>
      </w:docPartObj>
    </w:sdtPr>
    <w:sdtEndPr>
      <w:rPr>
        <w:noProof/>
      </w:rPr>
    </w:sdtEndPr>
    <w:sdtContent>
      <w:p w14:paraId="1FA61769" w14:textId="77777777" w:rsidR="00AD00E4" w:rsidRPr="00997841" w:rsidRDefault="00AD00E4">
        <w:pPr>
          <w:pStyle w:val="Footer"/>
          <w:jc w:val="right"/>
          <w:rPr>
            <w:rFonts w:ascii="Arial" w:hAnsi="Arial" w:cs="Arial"/>
            <w:sz w:val="24"/>
            <w:szCs w:val="24"/>
          </w:rPr>
        </w:pPr>
        <w:r w:rsidRPr="00997841">
          <w:rPr>
            <w:rFonts w:ascii="Arial" w:hAnsi="Arial" w:cs="Arial"/>
            <w:sz w:val="24"/>
            <w:szCs w:val="24"/>
          </w:rPr>
          <w:fldChar w:fldCharType="begin"/>
        </w:r>
        <w:r w:rsidRPr="00997841">
          <w:rPr>
            <w:rFonts w:ascii="Arial" w:hAnsi="Arial" w:cs="Arial"/>
            <w:sz w:val="24"/>
            <w:szCs w:val="24"/>
          </w:rPr>
          <w:instrText xml:space="preserve"> PAGE   \* MERGEFORMAT </w:instrText>
        </w:r>
        <w:r w:rsidRPr="00997841">
          <w:rPr>
            <w:rFonts w:ascii="Arial" w:hAnsi="Arial" w:cs="Arial"/>
            <w:sz w:val="24"/>
            <w:szCs w:val="24"/>
          </w:rPr>
          <w:fldChar w:fldCharType="separate"/>
        </w:r>
        <w:r w:rsidR="009E7A21">
          <w:rPr>
            <w:rFonts w:ascii="Arial" w:hAnsi="Arial" w:cs="Arial"/>
            <w:noProof/>
            <w:sz w:val="24"/>
            <w:szCs w:val="24"/>
          </w:rPr>
          <w:t>21</w:t>
        </w:r>
        <w:r w:rsidRPr="00997841">
          <w:rPr>
            <w:rFonts w:ascii="Arial" w:hAnsi="Arial" w:cs="Arial"/>
            <w:noProof/>
            <w:sz w:val="24"/>
            <w:szCs w:val="24"/>
          </w:rPr>
          <w:fldChar w:fldCharType="end"/>
        </w:r>
      </w:p>
    </w:sdtContent>
  </w:sdt>
  <w:p w14:paraId="41DCE628" w14:textId="77777777" w:rsidR="00AD00E4" w:rsidRPr="00997841" w:rsidRDefault="00AD00E4">
    <w:pPr>
      <w:pStyle w:val="Footer"/>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8774519" w14:textId="77777777" w:rsidR="006962E2" w:rsidRDefault="006962E2" w:rsidP="00997841">
      <w:pPr>
        <w:spacing w:after="0" w:line="240" w:lineRule="auto"/>
      </w:pPr>
      <w:r>
        <w:separator/>
      </w:r>
    </w:p>
  </w:footnote>
  <w:footnote w:type="continuationSeparator" w:id="0">
    <w:p w14:paraId="465D68E5" w14:textId="77777777" w:rsidR="006962E2" w:rsidRDefault="006962E2" w:rsidP="00997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2105CD8"/>
    <w:multiLevelType w:val="hybridMultilevel"/>
    <w:tmpl w:val="753E51A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5740145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0CB"/>
    <w:rsid w:val="00007F77"/>
    <w:rsid w:val="0004573B"/>
    <w:rsid w:val="000819B0"/>
    <w:rsid w:val="000D50CB"/>
    <w:rsid w:val="000F3C7B"/>
    <w:rsid w:val="001112B1"/>
    <w:rsid w:val="001B271D"/>
    <w:rsid w:val="002038D6"/>
    <w:rsid w:val="00230A03"/>
    <w:rsid w:val="00261B7E"/>
    <w:rsid w:val="002717BF"/>
    <w:rsid w:val="003A5AFF"/>
    <w:rsid w:val="0047217B"/>
    <w:rsid w:val="00482C6B"/>
    <w:rsid w:val="004860BC"/>
    <w:rsid w:val="0049277B"/>
    <w:rsid w:val="0057019F"/>
    <w:rsid w:val="00575D20"/>
    <w:rsid w:val="005B343F"/>
    <w:rsid w:val="005C591F"/>
    <w:rsid w:val="005D2B4F"/>
    <w:rsid w:val="00626449"/>
    <w:rsid w:val="00665912"/>
    <w:rsid w:val="006962E2"/>
    <w:rsid w:val="007628BC"/>
    <w:rsid w:val="00832C44"/>
    <w:rsid w:val="00850BF7"/>
    <w:rsid w:val="00883EA6"/>
    <w:rsid w:val="008E25B5"/>
    <w:rsid w:val="00943F12"/>
    <w:rsid w:val="00997841"/>
    <w:rsid w:val="009E7A21"/>
    <w:rsid w:val="00A4071B"/>
    <w:rsid w:val="00AD00E4"/>
    <w:rsid w:val="00AE75B3"/>
    <w:rsid w:val="00B33111"/>
    <w:rsid w:val="00B373E8"/>
    <w:rsid w:val="00B81493"/>
    <w:rsid w:val="00BC7E61"/>
    <w:rsid w:val="00C12C3B"/>
    <w:rsid w:val="00C82C3F"/>
    <w:rsid w:val="00CA3781"/>
    <w:rsid w:val="00D97201"/>
    <w:rsid w:val="00E01071"/>
    <w:rsid w:val="00E1716F"/>
    <w:rsid w:val="00E83AA8"/>
    <w:rsid w:val="00EA40FE"/>
    <w:rsid w:val="00F21A85"/>
    <w:rsid w:val="00FE2B0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DAAAC"/>
  <w15:chartTrackingRefBased/>
  <w15:docId w15:val="{E8F190D2-CEA2-4E90-8CCD-43F819881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C7B"/>
    <w:rPr>
      <w:lang w:val="en-GB"/>
    </w:rPr>
  </w:style>
  <w:style w:type="paragraph" w:styleId="Heading1">
    <w:name w:val="heading 1"/>
    <w:basedOn w:val="Normal"/>
    <w:next w:val="Normal"/>
    <w:link w:val="Heading1Char"/>
    <w:uiPriority w:val="9"/>
    <w:qFormat/>
    <w:rsid w:val="003A5AF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A5AF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4573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50CB"/>
    <w:pPr>
      <w:ind w:left="720"/>
      <w:contextualSpacing/>
    </w:pPr>
  </w:style>
  <w:style w:type="character" w:customStyle="1" w:styleId="Heading1Char">
    <w:name w:val="Heading 1 Char"/>
    <w:basedOn w:val="DefaultParagraphFont"/>
    <w:link w:val="Heading1"/>
    <w:uiPriority w:val="9"/>
    <w:rsid w:val="003A5AFF"/>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3A5AFF"/>
    <w:rPr>
      <w:rFonts w:asciiTheme="majorHAnsi" w:eastAsiaTheme="majorEastAsia" w:hAnsiTheme="majorHAnsi" w:cstheme="majorBidi"/>
      <w:color w:val="2E74B5" w:themeColor="accent1" w:themeShade="BF"/>
      <w:sz w:val="26"/>
      <w:szCs w:val="26"/>
      <w:lang w:val="en-GB"/>
    </w:rPr>
  </w:style>
  <w:style w:type="character" w:styleId="Strong">
    <w:name w:val="Strong"/>
    <w:basedOn w:val="DefaultParagraphFont"/>
    <w:uiPriority w:val="22"/>
    <w:qFormat/>
    <w:rsid w:val="0004573B"/>
    <w:rPr>
      <w:b/>
      <w:bCs/>
    </w:rPr>
  </w:style>
  <w:style w:type="table" w:styleId="TableGrid">
    <w:name w:val="Table Grid"/>
    <w:basedOn w:val="TableNormal"/>
    <w:uiPriority w:val="39"/>
    <w:rsid w:val="00045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04573B"/>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04573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B373E8"/>
    <w:rPr>
      <w:color w:val="0000FF"/>
      <w:u w:val="single"/>
    </w:rPr>
  </w:style>
  <w:style w:type="paragraph" w:styleId="TOCHeading">
    <w:name w:val="TOC Heading"/>
    <w:basedOn w:val="Heading1"/>
    <w:next w:val="Normal"/>
    <w:uiPriority w:val="39"/>
    <w:unhideWhenUsed/>
    <w:qFormat/>
    <w:rsid w:val="000F3C7B"/>
    <w:pPr>
      <w:outlineLvl w:val="9"/>
    </w:pPr>
    <w:rPr>
      <w:lang w:val="en-US"/>
    </w:rPr>
  </w:style>
  <w:style w:type="paragraph" w:styleId="TOC1">
    <w:name w:val="toc 1"/>
    <w:basedOn w:val="Normal"/>
    <w:next w:val="Normal"/>
    <w:autoRedefine/>
    <w:uiPriority w:val="39"/>
    <w:unhideWhenUsed/>
    <w:rsid w:val="000F3C7B"/>
    <w:pPr>
      <w:spacing w:after="100"/>
    </w:pPr>
  </w:style>
  <w:style w:type="paragraph" w:styleId="TOC2">
    <w:name w:val="toc 2"/>
    <w:basedOn w:val="Normal"/>
    <w:next w:val="Normal"/>
    <w:autoRedefine/>
    <w:uiPriority w:val="39"/>
    <w:unhideWhenUsed/>
    <w:rsid w:val="000F3C7B"/>
    <w:pPr>
      <w:spacing w:after="100"/>
      <w:ind w:left="220"/>
    </w:pPr>
  </w:style>
  <w:style w:type="paragraph" w:styleId="Header">
    <w:name w:val="header"/>
    <w:basedOn w:val="Normal"/>
    <w:link w:val="HeaderChar"/>
    <w:uiPriority w:val="99"/>
    <w:unhideWhenUsed/>
    <w:rsid w:val="00997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841"/>
    <w:rPr>
      <w:lang w:val="en-GB"/>
    </w:rPr>
  </w:style>
  <w:style w:type="paragraph" w:styleId="Footer">
    <w:name w:val="footer"/>
    <w:basedOn w:val="Normal"/>
    <w:link w:val="FooterChar"/>
    <w:uiPriority w:val="99"/>
    <w:unhideWhenUsed/>
    <w:rsid w:val="00997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841"/>
    <w:rPr>
      <w:lang w:val="en-GB"/>
    </w:rPr>
  </w:style>
  <w:style w:type="paragraph" w:customStyle="1" w:styleId="pdq2pgselectionanchorcontainer">
    <w:name w:val="pdq2pg_selectionanchorcontainer"/>
    <w:basedOn w:val="Normal"/>
    <w:rsid w:val="00850BF7"/>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656660">
      <w:bodyDiv w:val="1"/>
      <w:marLeft w:val="0"/>
      <w:marRight w:val="0"/>
      <w:marTop w:val="0"/>
      <w:marBottom w:val="0"/>
      <w:divBdr>
        <w:top w:val="none" w:sz="0" w:space="0" w:color="auto"/>
        <w:left w:val="none" w:sz="0" w:space="0" w:color="auto"/>
        <w:bottom w:val="none" w:sz="0" w:space="0" w:color="auto"/>
        <w:right w:val="none" w:sz="0" w:space="0" w:color="auto"/>
      </w:divBdr>
    </w:div>
    <w:div w:id="24408047">
      <w:bodyDiv w:val="1"/>
      <w:marLeft w:val="0"/>
      <w:marRight w:val="0"/>
      <w:marTop w:val="0"/>
      <w:marBottom w:val="0"/>
      <w:divBdr>
        <w:top w:val="none" w:sz="0" w:space="0" w:color="auto"/>
        <w:left w:val="none" w:sz="0" w:space="0" w:color="auto"/>
        <w:bottom w:val="none" w:sz="0" w:space="0" w:color="auto"/>
        <w:right w:val="none" w:sz="0" w:space="0" w:color="auto"/>
      </w:divBdr>
    </w:div>
    <w:div w:id="48237371">
      <w:bodyDiv w:val="1"/>
      <w:marLeft w:val="0"/>
      <w:marRight w:val="0"/>
      <w:marTop w:val="0"/>
      <w:marBottom w:val="0"/>
      <w:divBdr>
        <w:top w:val="none" w:sz="0" w:space="0" w:color="auto"/>
        <w:left w:val="none" w:sz="0" w:space="0" w:color="auto"/>
        <w:bottom w:val="none" w:sz="0" w:space="0" w:color="auto"/>
        <w:right w:val="none" w:sz="0" w:space="0" w:color="auto"/>
      </w:divBdr>
      <w:divsChild>
        <w:div w:id="202791305">
          <w:marLeft w:val="0"/>
          <w:marRight w:val="0"/>
          <w:marTop w:val="0"/>
          <w:marBottom w:val="0"/>
          <w:divBdr>
            <w:top w:val="none" w:sz="0" w:space="0" w:color="auto"/>
            <w:left w:val="none" w:sz="0" w:space="0" w:color="auto"/>
            <w:bottom w:val="none" w:sz="0" w:space="0" w:color="auto"/>
            <w:right w:val="none" w:sz="0" w:space="0" w:color="auto"/>
          </w:divBdr>
          <w:divsChild>
            <w:div w:id="1920872178">
              <w:marLeft w:val="0"/>
              <w:marRight w:val="0"/>
              <w:marTop w:val="0"/>
              <w:marBottom w:val="0"/>
              <w:divBdr>
                <w:top w:val="none" w:sz="0" w:space="0" w:color="auto"/>
                <w:left w:val="none" w:sz="0" w:space="0" w:color="auto"/>
                <w:bottom w:val="none" w:sz="0" w:space="0" w:color="auto"/>
                <w:right w:val="none" w:sz="0" w:space="0" w:color="auto"/>
              </w:divBdr>
              <w:divsChild>
                <w:div w:id="181551128">
                  <w:marLeft w:val="0"/>
                  <w:marRight w:val="0"/>
                  <w:marTop w:val="0"/>
                  <w:marBottom w:val="0"/>
                  <w:divBdr>
                    <w:top w:val="none" w:sz="0" w:space="0" w:color="auto"/>
                    <w:left w:val="none" w:sz="0" w:space="0" w:color="auto"/>
                    <w:bottom w:val="none" w:sz="0" w:space="0" w:color="auto"/>
                    <w:right w:val="none" w:sz="0" w:space="0" w:color="auto"/>
                  </w:divBdr>
                  <w:divsChild>
                    <w:div w:id="112485540">
                      <w:marLeft w:val="0"/>
                      <w:marRight w:val="0"/>
                      <w:marTop w:val="0"/>
                      <w:marBottom w:val="0"/>
                      <w:divBdr>
                        <w:top w:val="none" w:sz="0" w:space="0" w:color="auto"/>
                        <w:left w:val="none" w:sz="0" w:space="0" w:color="auto"/>
                        <w:bottom w:val="none" w:sz="0" w:space="0" w:color="auto"/>
                        <w:right w:val="none" w:sz="0" w:space="0" w:color="auto"/>
                      </w:divBdr>
                      <w:divsChild>
                        <w:div w:id="1529219246">
                          <w:marLeft w:val="0"/>
                          <w:marRight w:val="0"/>
                          <w:marTop w:val="0"/>
                          <w:marBottom w:val="0"/>
                          <w:divBdr>
                            <w:top w:val="none" w:sz="0" w:space="0" w:color="auto"/>
                            <w:left w:val="none" w:sz="0" w:space="0" w:color="auto"/>
                            <w:bottom w:val="none" w:sz="0" w:space="0" w:color="auto"/>
                            <w:right w:val="none" w:sz="0" w:space="0" w:color="auto"/>
                          </w:divBdr>
                          <w:divsChild>
                            <w:div w:id="1051614393">
                              <w:marLeft w:val="0"/>
                              <w:marRight w:val="0"/>
                              <w:marTop w:val="0"/>
                              <w:marBottom w:val="0"/>
                              <w:divBdr>
                                <w:top w:val="none" w:sz="0" w:space="0" w:color="auto"/>
                                <w:left w:val="none" w:sz="0" w:space="0" w:color="auto"/>
                                <w:bottom w:val="none" w:sz="0" w:space="0" w:color="auto"/>
                                <w:right w:val="none" w:sz="0" w:space="0" w:color="auto"/>
                              </w:divBdr>
                              <w:divsChild>
                                <w:div w:id="213394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625971">
      <w:bodyDiv w:val="1"/>
      <w:marLeft w:val="0"/>
      <w:marRight w:val="0"/>
      <w:marTop w:val="0"/>
      <w:marBottom w:val="0"/>
      <w:divBdr>
        <w:top w:val="none" w:sz="0" w:space="0" w:color="auto"/>
        <w:left w:val="none" w:sz="0" w:space="0" w:color="auto"/>
        <w:bottom w:val="none" w:sz="0" w:space="0" w:color="auto"/>
        <w:right w:val="none" w:sz="0" w:space="0" w:color="auto"/>
      </w:divBdr>
    </w:div>
    <w:div w:id="143208055">
      <w:bodyDiv w:val="1"/>
      <w:marLeft w:val="0"/>
      <w:marRight w:val="0"/>
      <w:marTop w:val="0"/>
      <w:marBottom w:val="0"/>
      <w:divBdr>
        <w:top w:val="none" w:sz="0" w:space="0" w:color="auto"/>
        <w:left w:val="none" w:sz="0" w:space="0" w:color="auto"/>
        <w:bottom w:val="none" w:sz="0" w:space="0" w:color="auto"/>
        <w:right w:val="none" w:sz="0" w:space="0" w:color="auto"/>
      </w:divBdr>
    </w:div>
    <w:div w:id="180436813">
      <w:bodyDiv w:val="1"/>
      <w:marLeft w:val="0"/>
      <w:marRight w:val="0"/>
      <w:marTop w:val="0"/>
      <w:marBottom w:val="0"/>
      <w:divBdr>
        <w:top w:val="none" w:sz="0" w:space="0" w:color="auto"/>
        <w:left w:val="none" w:sz="0" w:space="0" w:color="auto"/>
        <w:bottom w:val="none" w:sz="0" w:space="0" w:color="auto"/>
        <w:right w:val="none" w:sz="0" w:space="0" w:color="auto"/>
      </w:divBdr>
      <w:divsChild>
        <w:div w:id="2073766291">
          <w:marLeft w:val="0"/>
          <w:marRight w:val="0"/>
          <w:marTop w:val="0"/>
          <w:marBottom w:val="0"/>
          <w:divBdr>
            <w:top w:val="none" w:sz="0" w:space="0" w:color="auto"/>
            <w:left w:val="none" w:sz="0" w:space="0" w:color="auto"/>
            <w:bottom w:val="none" w:sz="0" w:space="0" w:color="auto"/>
            <w:right w:val="none" w:sz="0" w:space="0" w:color="auto"/>
          </w:divBdr>
          <w:divsChild>
            <w:div w:id="1835532498">
              <w:marLeft w:val="0"/>
              <w:marRight w:val="0"/>
              <w:marTop w:val="0"/>
              <w:marBottom w:val="0"/>
              <w:divBdr>
                <w:top w:val="none" w:sz="0" w:space="0" w:color="auto"/>
                <w:left w:val="none" w:sz="0" w:space="0" w:color="auto"/>
                <w:bottom w:val="none" w:sz="0" w:space="0" w:color="auto"/>
                <w:right w:val="none" w:sz="0" w:space="0" w:color="auto"/>
              </w:divBdr>
              <w:divsChild>
                <w:div w:id="696583548">
                  <w:marLeft w:val="0"/>
                  <w:marRight w:val="0"/>
                  <w:marTop w:val="0"/>
                  <w:marBottom w:val="0"/>
                  <w:divBdr>
                    <w:top w:val="none" w:sz="0" w:space="0" w:color="auto"/>
                    <w:left w:val="none" w:sz="0" w:space="0" w:color="auto"/>
                    <w:bottom w:val="none" w:sz="0" w:space="0" w:color="auto"/>
                    <w:right w:val="none" w:sz="0" w:space="0" w:color="auto"/>
                  </w:divBdr>
                  <w:divsChild>
                    <w:div w:id="61148846">
                      <w:marLeft w:val="0"/>
                      <w:marRight w:val="0"/>
                      <w:marTop w:val="0"/>
                      <w:marBottom w:val="0"/>
                      <w:divBdr>
                        <w:top w:val="none" w:sz="0" w:space="0" w:color="auto"/>
                        <w:left w:val="none" w:sz="0" w:space="0" w:color="auto"/>
                        <w:bottom w:val="none" w:sz="0" w:space="0" w:color="auto"/>
                        <w:right w:val="none" w:sz="0" w:space="0" w:color="auto"/>
                      </w:divBdr>
                      <w:divsChild>
                        <w:div w:id="1957908339">
                          <w:marLeft w:val="0"/>
                          <w:marRight w:val="0"/>
                          <w:marTop w:val="0"/>
                          <w:marBottom w:val="0"/>
                          <w:divBdr>
                            <w:top w:val="none" w:sz="0" w:space="0" w:color="auto"/>
                            <w:left w:val="none" w:sz="0" w:space="0" w:color="auto"/>
                            <w:bottom w:val="none" w:sz="0" w:space="0" w:color="auto"/>
                            <w:right w:val="none" w:sz="0" w:space="0" w:color="auto"/>
                          </w:divBdr>
                          <w:divsChild>
                            <w:div w:id="314337203">
                              <w:marLeft w:val="0"/>
                              <w:marRight w:val="0"/>
                              <w:marTop w:val="0"/>
                              <w:marBottom w:val="0"/>
                              <w:divBdr>
                                <w:top w:val="none" w:sz="0" w:space="0" w:color="auto"/>
                                <w:left w:val="none" w:sz="0" w:space="0" w:color="auto"/>
                                <w:bottom w:val="none" w:sz="0" w:space="0" w:color="auto"/>
                                <w:right w:val="none" w:sz="0" w:space="0" w:color="auto"/>
                              </w:divBdr>
                              <w:divsChild>
                                <w:div w:id="472137356">
                                  <w:marLeft w:val="0"/>
                                  <w:marRight w:val="0"/>
                                  <w:marTop w:val="0"/>
                                  <w:marBottom w:val="0"/>
                                  <w:divBdr>
                                    <w:top w:val="none" w:sz="0" w:space="0" w:color="auto"/>
                                    <w:left w:val="none" w:sz="0" w:space="0" w:color="auto"/>
                                    <w:bottom w:val="none" w:sz="0" w:space="0" w:color="auto"/>
                                    <w:right w:val="none" w:sz="0" w:space="0" w:color="auto"/>
                                  </w:divBdr>
                                  <w:divsChild>
                                    <w:div w:id="189630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629507">
      <w:bodyDiv w:val="1"/>
      <w:marLeft w:val="0"/>
      <w:marRight w:val="0"/>
      <w:marTop w:val="0"/>
      <w:marBottom w:val="0"/>
      <w:divBdr>
        <w:top w:val="none" w:sz="0" w:space="0" w:color="auto"/>
        <w:left w:val="none" w:sz="0" w:space="0" w:color="auto"/>
        <w:bottom w:val="none" w:sz="0" w:space="0" w:color="auto"/>
        <w:right w:val="none" w:sz="0" w:space="0" w:color="auto"/>
      </w:divBdr>
    </w:div>
    <w:div w:id="268513238">
      <w:bodyDiv w:val="1"/>
      <w:marLeft w:val="0"/>
      <w:marRight w:val="0"/>
      <w:marTop w:val="0"/>
      <w:marBottom w:val="0"/>
      <w:divBdr>
        <w:top w:val="none" w:sz="0" w:space="0" w:color="auto"/>
        <w:left w:val="none" w:sz="0" w:space="0" w:color="auto"/>
        <w:bottom w:val="none" w:sz="0" w:space="0" w:color="auto"/>
        <w:right w:val="none" w:sz="0" w:space="0" w:color="auto"/>
      </w:divBdr>
    </w:div>
    <w:div w:id="302660029">
      <w:bodyDiv w:val="1"/>
      <w:marLeft w:val="0"/>
      <w:marRight w:val="0"/>
      <w:marTop w:val="0"/>
      <w:marBottom w:val="0"/>
      <w:divBdr>
        <w:top w:val="none" w:sz="0" w:space="0" w:color="auto"/>
        <w:left w:val="none" w:sz="0" w:space="0" w:color="auto"/>
        <w:bottom w:val="none" w:sz="0" w:space="0" w:color="auto"/>
        <w:right w:val="none" w:sz="0" w:space="0" w:color="auto"/>
      </w:divBdr>
      <w:divsChild>
        <w:div w:id="1682244689">
          <w:marLeft w:val="0"/>
          <w:marRight w:val="0"/>
          <w:marTop w:val="0"/>
          <w:marBottom w:val="0"/>
          <w:divBdr>
            <w:top w:val="none" w:sz="0" w:space="0" w:color="auto"/>
            <w:left w:val="none" w:sz="0" w:space="0" w:color="auto"/>
            <w:bottom w:val="none" w:sz="0" w:space="0" w:color="auto"/>
            <w:right w:val="none" w:sz="0" w:space="0" w:color="auto"/>
          </w:divBdr>
          <w:divsChild>
            <w:div w:id="2047440970">
              <w:marLeft w:val="0"/>
              <w:marRight w:val="0"/>
              <w:marTop w:val="0"/>
              <w:marBottom w:val="0"/>
              <w:divBdr>
                <w:top w:val="none" w:sz="0" w:space="0" w:color="auto"/>
                <w:left w:val="none" w:sz="0" w:space="0" w:color="auto"/>
                <w:bottom w:val="none" w:sz="0" w:space="0" w:color="auto"/>
                <w:right w:val="none" w:sz="0" w:space="0" w:color="auto"/>
              </w:divBdr>
              <w:divsChild>
                <w:div w:id="798839740">
                  <w:marLeft w:val="0"/>
                  <w:marRight w:val="0"/>
                  <w:marTop w:val="0"/>
                  <w:marBottom w:val="0"/>
                  <w:divBdr>
                    <w:top w:val="none" w:sz="0" w:space="0" w:color="auto"/>
                    <w:left w:val="none" w:sz="0" w:space="0" w:color="auto"/>
                    <w:bottom w:val="none" w:sz="0" w:space="0" w:color="auto"/>
                    <w:right w:val="none" w:sz="0" w:space="0" w:color="auto"/>
                  </w:divBdr>
                  <w:divsChild>
                    <w:div w:id="307172481">
                      <w:marLeft w:val="0"/>
                      <w:marRight w:val="0"/>
                      <w:marTop w:val="0"/>
                      <w:marBottom w:val="0"/>
                      <w:divBdr>
                        <w:top w:val="none" w:sz="0" w:space="0" w:color="auto"/>
                        <w:left w:val="none" w:sz="0" w:space="0" w:color="auto"/>
                        <w:bottom w:val="none" w:sz="0" w:space="0" w:color="auto"/>
                        <w:right w:val="none" w:sz="0" w:space="0" w:color="auto"/>
                      </w:divBdr>
                      <w:divsChild>
                        <w:div w:id="2099977215">
                          <w:marLeft w:val="0"/>
                          <w:marRight w:val="0"/>
                          <w:marTop w:val="0"/>
                          <w:marBottom w:val="0"/>
                          <w:divBdr>
                            <w:top w:val="none" w:sz="0" w:space="0" w:color="auto"/>
                            <w:left w:val="none" w:sz="0" w:space="0" w:color="auto"/>
                            <w:bottom w:val="none" w:sz="0" w:space="0" w:color="auto"/>
                            <w:right w:val="none" w:sz="0" w:space="0" w:color="auto"/>
                          </w:divBdr>
                          <w:divsChild>
                            <w:div w:id="2124231380">
                              <w:marLeft w:val="0"/>
                              <w:marRight w:val="0"/>
                              <w:marTop w:val="0"/>
                              <w:marBottom w:val="0"/>
                              <w:divBdr>
                                <w:top w:val="none" w:sz="0" w:space="0" w:color="auto"/>
                                <w:left w:val="none" w:sz="0" w:space="0" w:color="auto"/>
                                <w:bottom w:val="none" w:sz="0" w:space="0" w:color="auto"/>
                                <w:right w:val="none" w:sz="0" w:space="0" w:color="auto"/>
                              </w:divBdr>
                              <w:divsChild>
                                <w:div w:id="53968498">
                                  <w:marLeft w:val="0"/>
                                  <w:marRight w:val="0"/>
                                  <w:marTop w:val="0"/>
                                  <w:marBottom w:val="0"/>
                                  <w:divBdr>
                                    <w:top w:val="none" w:sz="0" w:space="0" w:color="auto"/>
                                    <w:left w:val="none" w:sz="0" w:space="0" w:color="auto"/>
                                    <w:bottom w:val="none" w:sz="0" w:space="0" w:color="auto"/>
                                    <w:right w:val="none" w:sz="0" w:space="0" w:color="auto"/>
                                  </w:divBdr>
                                  <w:divsChild>
                                    <w:div w:id="1167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8311335">
      <w:bodyDiv w:val="1"/>
      <w:marLeft w:val="0"/>
      <w:marRight w:val="0"/>
      <w:marTop w:val="0"/>
      <w:marBottom w:val="0"/>
      <w:divBdr>
        <w:top w:val="none" w:sz="0" w:space="0" w:color="auto"/>
        <w:left w:val="none" w:sz="0" w:space="0" w:color="auto"/>
        <w:bottom w:val="none" w:sz="0" w:space="0" w:color="auto"/>
        <w:right w:val="none" w:sz="0" w:space="0" w:color="auto"/>
      </w:divBdr>
    </w:div>
    <w:div w:id="466243508">
      <w:bodyDiv w:val="1"/>
      <w:marLeft w:val="0"/>
      <w:marRight w:val="0"/>
      <w:marTop w:val="0"/>
      <w:marBottom w:val="0"/>
      <w:divBdr>
        <w:top w:val="none" w:sz="0" w:space="0" w:color="auto"/>
        <w:left w:val="none" w:sz="0" w:space="0" w:color="auto"/>
        <w:bottom w:val="none" w:sz="0" w:space="0" w:color="auto"/>
        <w:right w:val="none" w:sz="0" w:space="0" w:color="auto"/>
      </w:divBdr>
    </w:div>
    <w:div w:id="576549906">
      <w:bodyDiv w:val="1"/>
      <w:marLeft w:val="0"/>
      <w:marRight w:val="0"/>
      <w:marTop w:val="0"/>
      <w:marBottom w:val="0"/>
      <w:divBdr>
        <w:top w:val="none" w:sz="0" w:space="0" w:color="auto"/>
        <w:left w:val="none" w:sz="0" w:space="0" w:color="auto"/>
        <w:bottom w:val="none" w:sz="0" w:space="0" w:color="auto"/>
        <w:right w:val="none" w:sz="0" w:space="0" w:color="auto"/>
      </w:divBdr>
      <w:divsChild>
        <w:div w:id="1769884842">
          <w:marLeft w:val="0"/>
          <w:marRight w:val="0"/>
          <w:marTop w:val="0"/>
          <w:marBottom w:val="0"/>
          <w:divBdr>
            <w:top w:val="none" w:sz="0" w:space="0" w:color="auto"/>
            <w:left w:val="none" w:sz="0" w:space="0" w:color="auto"/>
            <w:bottom w:val="none" w:sz="0" w:space="0" w:color="auto"/>
            <w:right w:val="none" w:sz="0" w:space="0" w:color="auto"/>
          </w:divBdr>
          <w:divsChild>
            <w:div w:id="78966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246910">
      <w:bodyDiv w:val="1"/>
      <w:marLeft w:val="0"/>
      <w:marRight w:val="0"/>
      <w:marTop w:val="0"/>
      <w:marBottom w:val="0"/>
      <w:divBdr>
        <w:top w:val="none" w:sz="0" w:space="0" w:color="auto"/>
        <w:left w:val="none" w:sz="0" w:space="0" w:color="auto"/>
        <w:bottom w:val="none" w:sz="0" w:space="0" w:color="auto"/>
        <w:right w:val="none" w:sz="0" w:space="0" w:color="auto"/>
      </w:divBdr>
    </w:div>
    <w:div w:id="615524345">
      <w:bodyDiv w:val="1"/>
      <w:marLeft w:val="0"/>
      <w:marRight w:val="0"/>
      <w:marTop w:val="0"/>
      <w:marBottom w:val="0"/>
      <w:divBdr>
        <w:top w:val="none" w:sz="0" w:space="0" w:color="auto"/>
        <w:left w:val="none" w:sz="0" w:space="0" w:color="auto"/>
        <w:bottom w:val="none" w:sz="0" w:space="0" w:color="auto"/>
        <w:right w:val="none" w:sz="0" w:space="0" w:color="auto"/>
      </w:divBdr>
      <w:divsChild>
        <w:div w:id="286277757">
          <w:marLeft w:val="0"/>
          <w:marRight w:val="0"/>
          <w:marTop w:val="0"/>
          <w:marBottom w:val="0"/>
          <w:divBdr>
            <w:top w:val="none" w:sz="0" w:space="0" w:color="auto"/>
            <w:left w:val="none" w:sz="0" w:space="0" w:color="auto"/>
            <w:bottom w:val="none" w:sz="0" w:space="0" w:color="auto"/>
            <w:right w:val="none" w:sz="0" w:space="0" w:color="auto"/>
          </w:divBdr>
          <w:divsChild>
            <w:div w:id="301665822">
              <w:marLeft w:val="0"/>
              <w:marRight w:val="0"/>
              <w:marTop w:val="0"/>
              <w:marBottom w:val="0"/>
              <w:divBdr>
                <w:top w:val="none" w:sz="0" w:space="0" w:color="auto"/>
                <w:left w:val="none" w:sz="0" w:space="0" w:color="auto"/>
                <w:bottom w:val="none" w:sz="0" w:space="0" w:color="auto"/>
                <w:right w:val="none" w:sz="0" w:space="0" w:color="auto"/>
              </w:divBdr>
            </w:div>
          </w:divsChild>
        </w:div>
        <w:div w:id="842747144">
          <w:marLeft w:val="0"/>
          <w:marRight w:val="0"/>
          <w:marTop w:val="0"/>
          <w:marBottom w:val="0"/>
          <w:divBdr>
            <w:top w:val="none" w:sz="0" w:space="0" w:color="auto"/>
            <w:left w:val="none" w:sz="0" w:space="0" w:color="auto"/>
            <w:bottom w:val="none" w:sz="0" w:space="0" w:color="auto"/>
            <w:right w:val="none" w:sz="0" w:space="0" w:color="auto"/>
          </w:divBdr>
          <w:divsChild>
            <w:div w:id="2095004647">
              <w:marLeft w:val="0"/>
              <w:marRight w:val="0"/>
              <w:marTop w:val="0"/>
              <w:marBottom w:val="0"/>
              <w:divBdr>
                <w:top w:val="none" w:sz="0" w:space="0" w:color="auto"/>
                <w:left w:val="none" w:sz="0" w:space="0" w:color="auto"/>
                <w:bottom w:val="none" w:sz="0" w:space="0" w:color="auto"/>
                <w:right w:val="none" w:sz="0" w:space="0" w:color="auto"/>
              </w:divBdr>
            </w:div>
          </w:divsChild>
        </w:div>
        <w:div w:id="1421490947">
          <w:marLeft w:val="0"/>
          <w:marRight w:val="0"/>
          <w:marTop w:val="0"/>
          <w:marBottom w:val="0"/>
          <w:divBdr>
            <w:top w:val="none" w:sz="0" w:space="0" w:color="auto"/>
            <w:left w:val="none" w:sz="0" w:space="0" w:color="auto"/>
            <w:bottom w:val="none" w:sz="0" w:space="0" w:color="auto"/>
            <w:right w:val="none" w:sz="0" w:space="0" w:color="auto"/>
          </w:divBdr>
          <w:divsChild>
            <w:div w:id="1544513742">
              <w:marLeft w:val="0"/>
              <w:marRight w:val="0"/>
              <w:marTop w:val="0"/>
              <w:marBottom w:val="0"/>
              <w:divBdr>
                <w:top w:val="none" w:sz="0" w:space="0" w:color="auto"/>
                <w:left w:val="none" w:sz="0" w:space="0" w:color="auto"/>
                <w:bottom w:val="none" w:sz="0" w:space="0" w:color="auto"/>
                <w:right w:val="none" w:sz="0" w:space="0" w:color="auto"/>
              </w:divBdr>
            </w:div>
          </w:divsChild>
        </w:div>
        <w:div w:id="142507957">
          <w:marLeft w:val="0"/>
          <w:marRight w:val="0"/>
          <w:marTop w:val="0"/>
          <w:marBottom w:val="0"/>
          <w:divBdr>
            <w:top w:val="none" w:sz="0" w:space="0" w:color="auto"/>
            <w:left w:val="none" w:sz="0" w:space="0" w:color="auto"/>
            <w:bottom w:val="none" w:sz="0" w:space="0" w:color="auto"/>
            <w:right w:val="none" w:sz="0" w:space="0" w:color="auto"/>
          </w:divBdr>
          <w:divsChild>
            <w:div w:id="282270025">
              <w:marLeft w:val="0"/>
              <w:marRight w:val="0"/>
              <w:marTop w:val="0"/>
              <w:marBottom w:val="0"/>
              <w:divBdr>
                <w:top w:val="none" w:sz="0" w:space="0" w:color="auto"/>
                <w:left w:val="none" w:sz="0" w:space="0" w:color="auto"/>
                <w:bottom w:val="none" w:sz="0" w:space="0" w:color="auto"/>
                <w:right w:val="none" w:sz="0" w:space="0" w:color="auto"/>
              </w:divBdr>
            </w:div>
          </w:divsChild>
        </w:div>
        <w:div w:id="1667247044">
          <w:marLeft w:val="0"/>
          <w:marRight w:val="0"/>
          <w:marTop w:val="0"/>
          <w:marBottom w:val="0"/>
          <w:divBdr>
            <w:top w:val="none" w:sz="0" w:space="0" w:color="auto"/>
            <w:left w:val="none" w:sz="0" w:space="0" w:color="auto"/>
            <w:bottom w:val="none" w:sz="0" w:space="0" w:color="auto"/>
            <w:right w:val="none" w:sz="0" w:space="0" w:color="auto"/>
          </w:divBdr>
          <w:divsChild>
            <w:div w:id="1751542037">
              <w:marLeft w:val="0"/>
              <w:marRight w:val="0"/>
              <w:marTop w:val="0"/>
              <w:marBottom w:val="0"/>
              <w:divBdr>
                <w:top w:val="none" w:sz="0" w:space="0" w:color="auto"/>
                <w:left w:val="none" w:sz="0" w:space="0" w:color="auto"/>
                <w:bottom w:val="none" w:sz="0" w:space="0" w:color="auto"/>
                <w:right w:val="none" w:sz="0" w:space="0" w:color="auto"/>
              </w:divBdr>
            </w:div>
          </w:divsChild>
        </w:div>
        <w:div w:id="185753267">
          <w:marLeft w:val="0"/>
          <w:marRight w:val="0"/>
          <w:marTop w:val="0"/>
          <w:marBottom w:val="0"/>
          <w:divBdr>
            <w:top w:val="none" w:sz="0" w:space="0" w:color="auto"/>
            <w:left w:val="none" w:sz="0" w:space="0" w:color="auto"/>
            <w:bottom w:val="none" w:sz="0" w:space="0" w:color="auto"/>
            <w:right w:val="none" w:sz="0" w:space="0" w:color="auto"/>
          </w:divBdr>
          <w:divsChild>
            <w:div w:id="69373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023573">
      <w:bodyDiv w:val="1"/>
      <w:marLeft w:val="0"/>
      <w:marRight w:val="0"/>
      <w:marTop w:val="0"/>
      <w:marBottom w:val="0"/>
      <w:divBdr>
        <w:top w:val="none" w:sz="0" w:space="0" w:color="auto"/>
        <w:left w:val="none" w:sz="0" w:space="0" w:color="auto"/>
        <w:bottom w:val="none" w:sz="0" w:space="0" w:color="auto"/>
        <w:right w:val="none" w:sz="0" w:space="0" w:color="auto"/>
      </w:divBdr>
    </w:div>
    <w:div w:id="665861651">
      <w:bodyDiv w:val="1"/>
      <w:marLeft w:val="0"/>
      <w:marRight w:val="0"/>
      <w:marTop w:val="0"/>
      <w:marBottom w:val="0"/>
      <w:divBdr>
        <w:top w:val="none" w:sz="0" w:space="0" w:color="auto"/>
        <w:left w:val="none" w:sz="0" w:space="0" w:color="auto"/>
        <w:bottom w:val="none" w:sz="0" w:space="0" w:color="auto"/>
        <w:right w:val="none" w:sz="0" w:space="0" w:color="auto"/>
      </w:divBdr>
      <w:divsChild>
        <w:div w:id="1095514877">
          <w:marLeft w:val="0"/>
          <w:marRight w:val="0"/>
          <w:marTop w:val="0"/>
          <w:marBottom w:val="0"/>
          <w:divBdr>
            <w:top w:val="none" w:sz="0" w:space="0" w:color="auto"/>
            <w:left w:val="none" w:sz="0" w:space="0" w:color="auto"/>
            <w:bottom w:val="none" w:sz="0" w:space="0" w:color="auto"/>
            <w:right w:val="none" w:sz="0" w:space="0" w:color="auto"/>
          </w:divBdr>
          <w:divsChild>
            <w:div w:id="1468161296">
              <w:marLeft w:val="0"/>
              <w:marRight w:val="0"/>
              <w:marTop w:val="0"/>
              <w:marBottom w:val="0"/>
              <w:divBdr>
                <w:top w:val="none" w:sz="0" w:space="0" w:color="auto"/>
                <w:left w:val="none" w:sz="0" w:space="0" w:color="auto"/>
                <w:bottom w:val="none" w:sz="0" w:space="0" w:color="auto"/>
                <w:right w:val="none" w:sz="0" w:space="0" w:color="auto"/>
              </w:divBdr>
              <w:divsChild>
                <w:div w:id="646517286">
                  <w:marLeft w:val="0"/>
                  <w:marRight w:val="0"/>
                  <w:marTop w:val="0"/>
                  <w:marBottom w:val="0"/>
                  <w:divBdr>
                    <w:top w:val="none" w:sz="0" w:space="0" w:color="auto"/>
                    <w:left w:val="none" w:sz="0" w:space="0" w:color="auto"/>
                    <w:bottom w:val="none" w:sz="0" w:space="0" w:color="auto"/>
                    <w:right w:val="none" w:sz="0" w:space="0" w:color="auto"/>
                  </w:divBdr>
                  <w:divsChild>
                    <w:div w:id="662852405">
                      <w:marLeft w:val="0"/>
                      <w:marRight w:val="0"/>
                      <w:marTop w:val="0"/>
                      <w:marBottom w:val="0"/>
                      <w:divBdr>
                        <w:top w:val="none" w:sz="0" w:space="0" w:color="auto"/>
                        <w:left w:val="none" w:sz="0" w:space="0" w:color="auto"/>
                        <w:bottom w:val="none" w:sz="0" w:space="0" w:color="auto"/>
                        <w:right w:val="none" w:sz="0" w:space="0" w:color="auto"/>
                      </w:divBdr>
                      <w:divsChild>
                        <w:div w:id="1655405584">
                          <w:marLeft w:val="0"/>
                          <w:marRight w:val="0"/>
                          <w:marTop w:val="0"/>
                          <w:marBottom w:val="0"/>
                          <w:divBdr>
                            <w:top w:val="none" w:sz="0" w:space="0" w:color="auto"/>
                            <w:left w:val="none" w:sz="0" w:space="0" w:color="auto"/>
                            <w:bottom w:val="none" w:sz="0" w:space="0" w:color="auto"/>
                            <w:right w:val="none" w:sz="0" w:space="0" w:color="auto"/>
                          </w:divBdr>
                          <w:divsChild>
                            <w:div w:id="14815376">
                              <w:marLeft w:val="0"/>
                              <w:marRight w:val="0"/>
                              <w:marTop w:val="0"/>
                              <w:marBottom w:val="0"/>
                              <w:divBdr>
                                <w:top w:val="none" w:sz="0" w:space="0" w:color="auto"/>
                                <w:left w:val="none" w:sz="0" w:space="0" w:color="auto"/>
                                <w:bottom w:val="none" w:sz="0" w:space="0" w:color="auto"/>
                                <w:right w:val="none" w:sz="0" w:space="0" w:color="auto"/>
                              </w:divBdr>
                              <w:divsChild>
                                <w:div w:id="1519732371">
                                  <w:marLeft w:val="0"/>
                                  <w:marRight w:val="0"/>
                                  <w:marTop w:val="0"/>
                                  <w:marBottom w:val="0"/>
                                  <w:divBdr>
                                    <w:top w:val="none" w:sz="0" w:space="0" w:color="auto"/>
                                    <w:left w:val="none" w:sz="0" w:space="0" w:color="auto"/>
                                    <w:bottom w:val="none" w:sz="0" w:space="0" w:color="auto"/>
                                    <w:right w:val="none" w:sz="0" w:space="0" w:color="auto"/>
                                  </w:divBdr>
                                  <w:divsChild>
                                    <w:div w:id="1203055171">
                                      <w:marLeft w:val="0"/>
                                      <w:marRight w:val="0"/>
                                      <w:marTop w:val="0"/>
                                      <w:marBottom w:val="0"/>
                                      <w:divBdr>
                                        <w:top w:val="none" w:sz="0" w:space="0" w:color="auto"/>
                                        <w:left w:val="none" w:sz="0" w:space="0" w:color="auto"/>
                                        <w:bottom w:val="none" w:sz="0" w:space="0" w:color="auto"/>
                                        <w:right w:val="none" w:sz="0" w:space="0" w:color="auto"/>
                                      </w:divBdr>
                                      <w:divsChild>
                                        <w:div w:id="1992977641">
                                          <w:marLeft w:val="0"/>
                                          <w:marRight w:val="0"/>
                                          <w:marTop w:val="0"/>
                                          <w:marBottom w:val="0"/>
                                          <w:divBdr>
                                            <w:top w:val="none" w:sz="0" w:space="0" w:color="auto"/>
                                            <w:left w:val="none" w:sz="0" w:space="0" w:color="auto"/>
                                            <w:bottom w:val="none" w:sz="0" w:space="0" w:color="auto"/>
                                            <w:right w:val="none" w:sz="0" w:space="0" w:color="auto"/>
                                          </w:divBdr>
                                          <w:divsChild>
                                            <w:div w:id="14738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18503346">
      <w:bodyDiv w:val="1"/>
      <w:marLeft w:val="0"/>
      <w:marRight w:val="0"/>
      <w:marTop w:val="0"/>
      <w:marBottom w:val="0"/>
      <w:divBdr>
        <w:top w:val="none" w:sz="0" w:space="0" w:color="auto"/>
        <w:left w:val="none" w:sz="0" w:space="0" w:color="auto"/>
        <w:bottom w:val="none" w:sz="0" w:space="0" w:color="auto"/>
        <w:right w:val="none" w:sz="0" w:space="0" w:color="auto"/>
      </w:divBdr>
    </w:div>
    <w:div w:id="908416822">
      <w:bodyDiv w:val="1"/>
      <w:marLeft w:val="0"/>
      <w:marRight w:val="0"/>
      <w:marTop w:val="0"/>
      <w:marBottom w:val="0"/>
      <w:divBdr>
        <w:top w:val="none" w:sz="0" w:space="0" w:color="auto"/>
        <w:left w:val="none" w:sz="0" w:space="0" w:color="auto"/>
        <w:bottom w:val="none" w:sz="0" w:space="0" w:color="auto"/>
        <w:right w:val="none" w:sz="0" w:space="0" w:color="auto"/>
      </w:divBdr>
    </w:div>
    <w:div w:id="1014189444">
      <w:bodyDiv w:val="1"/>
      <w:marLeft w:val="0"/>
      <w:marRight w:val="0"/>
      <w:marTop w:val="0"/>
      <w:marBottom w:val="0"/>
      <w:divBdr>
        <w:top w:val="none" w:sz="0" w:space="0" w:color="auto"/>
        <w:left w:val="none" w:sz="0" w:space="0" w:color="auto"/>
        <w:bottom w:val="none" w:sz="0" w:space="0" w:color="auto"/>
        <w:right w:val="none" w:sz="0" w:space="0" w:color="auto"/>
      </w:divBdr>
      <w:divsChild>
        <w:div w:id="1345286213">
          <w:marLeft w:val="0"/>
          <w:marRight w:val="0"/>
          <w:marTop w:val="0"/>
          <w:marBottom w:val="0"/>
          <w:divBdr>
            <w:top w:val="none" w:sz="0" w:space="0" w:color="auto"/>
            <w:left w:val="none" w:sz="0" w:space="0" w:color="auto"/>
            <w:bottom w:val="none" w:sz="0" w:space="0" w:color="auto"/>
            <w:right w:val="none" w:sz="0" w:space="0" w:color="auto"/>
          </w:divBdr>
          <w:divsChild>
            <w:div w:id="1947998689">
              <w:marLeft w:val="0"/>
              <w:marRight w:val="0"/>
              <w:marTop w:val="0"/>
              <w:marBottom w:val="0"/>
              <w:divBdr>
                <w:top w:val="none" w:sz="0" w:space="0" w:color="auto"/>
                <w:left w:val="none" w:sz="0" w:space="0" w:color="auto"/>
                <w:bottom w:val="none" w:sz="0" w:space="0" w:color="auto"/>
                <w:right w:val="none" w:sz="0" w:space="0" w:color="auto"/>
              </w:divBdr>
              <w:divsChild>
                <w:div w:id="189875191">
                  <w:marLeft w:val="0"/>
                  <w:marRight w:val="0"/>
                  <w:marTop w:val="0"/>
                  <w:marBottom w:val="0"/>
                  <w:divBdr>
                    <w:top w:val="none" w:sz="0" w:space="0" w:color="auto"/>
                    <w:left w:val="none" w:sz="0" w:space="0" w:color="auto"/>
                    <w:bottom w:val="none" w:sz="0" w:space="0" w:color="auto"/>
                    <w:right w:val="none" w:sz="0" w:space="0" w:color="auto"/>
                  </w:divBdr>
                  <w:divsChild>
                    <w:div w:id="133640909">
                      <w:marLeft w:val="0"/>
                      <w:marRight w:val="0"/>
                      <w:marTop w:val="0"/>
                      <w:marBottom w:val="0"/>
                      <w:divBdr>
                        <w:top w:val="none" w:sz="0" w:space="0" w:color="auto"/>
                        <w:left w:val="none" w:sz="0" w:space="0" w:color="auto"/>
                        <w:bottom w:val="none" w:sz="0" w:space="0" w:color="auto"/>
                        <w:right w:val="none" w:sz="0" w:space="0" w:color="auto"/>
                      </w:divBdr>
                      <w:divsChild>
                        <w:div w:id="1065303451">
                          <w:marLeft w:val="0"/>
                          <w:marRight w:val="0"/>
                          <w:marTop w:val="0"/>
                          <w:marBottom w:val="0"/>
                          <w:divBdr>
                            <w:top w:val="none" w:sz="0" w:space="0" w:color="auto"/>
                            <w:left w:val="none" w:sz="0" w:space="0" w:color="auto"/>
                            <w:bottom w:val="none" w:sz="0" w:space="0" w:color="auto"/>
                            <w:right w:val="none" w:sz="0" w:space="0" w:color="auto"/>
                          </w:divBdr>
                          <w:divsChild>
                            <w:div w:id="455687287">
                              <w:marLeft w:val="0"/>
                              <w:marRight w:val="0"/>
                              <w:marTop w:val="0"/>
                              <w:marBottom w:val="0"/>
                              <w:divBdr>
                                <w:top w:val="none" w:sz="0" w:space="0" w:color="auto"/>
                                <w:left w:val="none" w:sz="0" w:space="0" w:color="auto"/>
                                <w:bottom w:val="none" w:sz="0" w:space="0" w:color="auto"/>
                                <w:right w:val="none" w:sz="0" w:space="0" w:color="auto"/>
                              </w:divBdr>
                              <w:divsChild>
                                <w:div w:id="1744258340">
                                  <w:marLeft w:val="0"/>
                                  <w:marRight w:val="0"/>
                                  <w:marTop w:val="0"/>
                                  <w:marBottom w:val="0"/>
                                  <w:divBdr>
                                    <w:top w:val="none" w:sz="0" w:space="0" w:color="auto"/>
                                    <w:left w:val="none" w:sz="0" w:space="0" w:color="auto"/>
                                    <w:bottom w:val="none" w:sz="0" w:space="0" w:color="auto"/>
                                    <w:right w:val="none" w:sz="0" w:space="0" w:color="auto"/>
                                  </w:divBdr>
                                  <w:divsChild>
                                    <w:div w:id="105312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0296525">
      <w:bodyDiv w:val="1"/>
      <w:marLeft w:val="0"/>
      <w:marRight w:val="0"/>
      <w:marTop w:val="0"/>
      <w:marBottom w:val="0"/>
      <w:divBdr>
        <w:top w:val="none" w:sz="0" w:space="0" w:color="auto"/>
        <w:left w:val="none" w:sz="0" w:space="0" w:color="auto"/>
        <w:bottom w:val="none" w:sz="0" w:space="0" w:color="auto"/>
        <w:right w:val="none" w:sz="0" w:space="0" w:color="auto"/>
      </w:divBdr>
    </w:div>
    <w:div w:id="1082336959">
      <w:bodyDiv w:val="1"/>
      <w:marLeft w:val="0"/>
      <w:marRight w:val="0"/>
      <w:marTop w:val="0"/>
      <w:marBottom w:val="0"/>
      <w:divBdr>
        <w:top w:val="none" w:sz="0" w:space="0" w:color="auto"/>
        <w:left w:val="none" w:sz="0" w:space="0" w:color="auto"/>
        <w:bottom w:val="none" w:sz="0" w:space="0" w:color="auto"/>
        <w:right w:val="none" w:sz="0" w:space="0" w:color="auto"/>
      </w:divBdr>
    </w:div>
    <w:div w:id="1100445015">
      <w:bodyDiv w:val="1"/>
      <w:marLeft w:val="0"/>
      <w:marRight w:val="0"/>
      <w:marTop w:val="0"/>
      <w:marBottom w:val="0"/>
      <w:divBdr>
        <w:top w:val="none" w:sz="0" w:space="0" w:color="auto"/>
        <w:left w:val="none" w:sz="0" w:space="0" w:color="auto"/>
        <w:bottom w:val="none" w:sz="0" w:space="0" w:color="auto"/>
        <w:right w:val="none" w:sz="0" w:space="0" w:color="auto"/>
      </w:divBdr>
    </w:div>
    <w:div w:id="1133788615">
      <w:bodyDiv w:val="1"/>
      <w:marLeft w:val="0"/>
      <w:marRight w:val="0"/>
      <w:marTop w:val="0"/>
      <w:marBottom w:val="0"/>
      <w:divBdr>
        <w:top w:val="none" w:sz="0" w:space="0" w:color="auto"/>
        <w:left w:val="none" w:sz="0" w:space="0" w:color="auto"/>
        <w:bottom w:val="none" w:sz="0" w:space="0" w:color="auto"/>
        <w:right w:val="none" w:sz="0" w:space="0" w:color="auto"/>
      </w:divBdr>
      <w:divsChild>
        <w:div w:id="1356420353">
          <w:marLeft w:val="0"/>
          <w:marRight w:val="0"/>
          <w:marTop w:val="0"/>
          <w:marBottom w:val="0"/>
          <w:divBdr>
            <w:top w:val="none" w:sz="0" w:space="0" w:color="auto"/>
            <w:left w:val="none" w:sz="0" w:space="0" w:color="auto"/>
            <w:bottom w:val="none" w:sz="0" w:space="0" w:color="auto"/>
            <w:right w:val="none" w:sz="0" w:space="0" w:color="auto"/>
          </w:divBdr>
          <w:divsChild>
            <w:div w:id="1435325568">
              <w:marLeft w:val="0"/>
              <w:marRight w:val="0"/>
              <w:marTop w:val="0"/>
              <w:marBottom w:val="0"/>
              <w:divBdr>
                <w:top w:val="none" w:sz="0" w:space="0" w:color="auto"/>
                <w:left w:val="none" w:sz="0" w:space="0" w:color="auto"/>
                <w:bottom w:val="none" w:sz="0" w:space="0" w:color="auto"/>
                <w:right w:val="none" w:sz="0" w:space="0" w:color="auto"/>
              </w:divBdr>
            </w:div>
          </w:divsChild>
        </w:div>
        <w:div w:id="62532631">
          <w:marLeft w:val="0"/>
          <w:marRight w:val="0"/>
          <w:marTop w:val="0"/>
          <w:marBottom w:val="0"/>
          <w:divBdr>
            <w:top w:val="none" w:sz="0" w:space="0" w:color="auto"/>
            <w:left w:val="none" w:sz="0" w:space="0" w:color="auto"/>
            <w:bottom w:val="none" w:sz="0" w:space="0" w:color="auto"/>
            <w:right w:val="none" w:sz="0" w:space="0" w:color="auto"/>
          </w:divBdr>
          <w:divsChild>
            <w:div w:id="1903564631">
              <w:marLeft w:val="0"/>
              <w:marRight w:val="0"/>
              <w:marTop w:val="0"/>
              <w:marBottom w:val="0"/>
              <w:divBdr>
                <w:top w:val="none" w:sz="0" w:space="0" w:color="auto"/>
                <w:left w:val="none" w:sz="0" w:space="0" w:color="auto"/>
                <w:bottom w:val="none" w:sz="0" w:space="0" w:color="auto"/>
                <w:right w:val="none" w:sz="0" w:space="0" w:color="auto"/>
              </w:divBdr>
            </w:div>
          </w:divsChild>
        </w:div>
        <w:div w:id="213780206">
          <w:marLeft w:val="0"/>
          <w:marRight w:val="0"/>
          <w:marTop w:val="0"/>
          <w:marBottom w:val="0"/>
          <w:divBdr>
            <w:top w:val="none" w:sz="0" w:space="0" w:color="auto"/>
            <w:left w:val="none" w:sz="0" w:space="0" w:color="auto"/>
            <w:bottom w:val="none" w:sz="0" w:space="0" w:color="auto"/>
            <w:right w:val="none" w:sz="0" w:space="0" w:color="auto"/>
          </w:divBdr>
          <w:divsChild>
            <w:div w:id="1098912583">
              <w:marLeft w:val="0"/>
              <w:marRight w:val="0"/>
              <w:marTop w:val="0"/>
              <w:marBottom w:val="0"/>
              <w:divBdr>
                <w:top w:val="none" w:sz="0" w:space="0" w:color="auto"/>
                <w:left w:val="none" w:sz="0" w:space="0" w:color="auto"/>
                <w:bottom w:val="none" w:sz="0" w:space="0" w:color="auto"/>
                <w:right w:val="none" w:sz="0" w:space="0" w:color="auto"/>
              </w:divBdr>
            </w:div>
          </w:divsChild>
        </w:div>
        <w:div w:id="1581258016">
          <w:marLeft w:val="0"/>
          <w:marRight w:val="0"/>
          <w:marTop w:val="0"/>
          <w:marBottom w:val="0"/>
          <w:divBdr>
            <w:top w:val="none" w:sz="0" w:space="0" w:color="auto"/>
            <w:left w:val="none" w:sz="0" w:space="0" w:color="auto"/>
            <w:bottom w:val="none" w:sz="0" w:space="0" w:color="auto"/>
            <w:right w:val="none" w:sz="0" w:space="0" w:color="auto"/>
          </w:divBdr>
          <w:divsChild>
            <w:div w:id="356656863">
              <w:marLeft w:val="0"/>
              <w:marRight w:val="0"/>
              <w:marTop w:val="0"/>
              <w:marBottom w:val="0"/>
              <w:divBdr>
                <w:top w:val="none" w:sz="0" w:space="0" w:color="auto"/>
                <w:left w:val="none" w:sz="0" w:space="0" w:color="auto"/>
                <w:bottom w:val="none" w:sz="0" w:space="0" w:color="auto"/>
                <w:right w:val="none" w:sz="0" w:space="0" w:color="auto"/>
              </w:divBdr>
            </w:div>
          </w:divsChild>
        </w:div>
        <w:div w:id="588124140">
          <w:marLeft w:val="0"/>
          <w:marRight w:val="0"/>
          <w:marTop w:val="0"/>
          <w:marBottom w:val="0"/>
          <w:divBdr>
            <w:top w:val="none" w:sz="0" w:space="0" w:color="auto"/>
            <w:left w:val="none" w:sz="0" w:space="0" w:color="auto"/>
            <w:bottom w:val="none" w:sz="0" w:space="0" w:color="auto"/>
            <w:right w:val="none" w:sz="0" w:space="0" w:color="auto"/>
          </w:divBdr>
          <w:divsChild>
            <w:div w:id="463699727">
              <w:marLeft w:val="0"/>
              <w:marRight w:val="0"/>
              <w:marTop w:val="0"/>
              <w:marBottom w:val="0"/>
              <w:divBdr>
                <w:top w:val="none" w:sz="0" w:space="0" w:color="auto"/>
                <w:left w:val="none" w:sz="0" w:space="0" w:color="auto"/>
                <w:bottom w:val="none" w:sz="0" w:space="0" w:color="auto"/>
                <w:right w:val="none" w:sz="0" w:space="0" w:color="auto"/>
              </w:divBdr>
            </w:div>
          </w:divsChild>
        </w:div>
        <w:div w:id="1007174782">
          <w:marLeft w:val="0"/>
          <w:marRight w:val="0"/>
          <w:marTop w:val="0"/>
          <w:marBottom w:val="0"/>
          <w:divBdr>
            <w:top w:val="none" w:sz="0" w:space="0" w:color="auto"/>
            <w:left w:val="none" w:sz="0" w:space="0" w:color="auto"/>
            <w:bottom w:val="none" w:sz="0" w:space="0" w:color="auto"/>
            <w:right w:val="none" w:sz="0" w:space="0" w:color="auto"/>
          </w:divBdr>
          <w:divsChild>
            <w:div w:id="80204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300719">
      <w:bodyDiv w:val="1"/>
      <w:marLeft w:val="0"/>
      <w:marRight w:val="0"/>
      <w:marTop w:val="0"/>
      <w:marBottom w:val="0"/>
      <w:divBdr>
        <w:top w:val="none" w:sz="0" w:space="0" w:color="auto"/>
        <w:left w:val="none" w:sz="0" w:space="0" w:color="auto"/>
        <w:bottom w:val="none" w:sz="0" w:space="0" w:color="auto"/>
        <w:right w:val="none" w:sz="0" w:space="0" w:color="auto"/>
      </w:divBdr>
    </w:div>
    <w:div w:id="1248617312">
      <w:bodyDiv w:val="1"/>
      <w:marLeft w:val="0"/>
      <w:marRight w:val="0"/>
      <w:marTop w:val="0"/>
      <w:marBottom w:val="0"/>
      <w:divBdr>
        <w:top w:val="none" w:sz="0" w:space="0" w:color="auto"/>
        <w:left w:val="none" w:sz="0" w:space="0" w:color="auto"/>
        <w:bottom w:val="none" w:sz="0" w:space="0" w:color="auto"/>
        <w:right w:val="none" w:sz="0" w:space="0" w:color="auto"/>
      </w:divBdr>
      <w:divsChild>
        <w:div w:id="2077581771">
          <w:marLeft w:val="0"/>
          <w:marRight w:val="0"/>
          <w:marTop w:val="0"/>
          <w:marBottom w:val="0"/>
          <w:divBdr>
            <w:top w:val="none" w:sz="0" w:space="0" w:color="auto"/>
            <w:left w:val="none" w:sz="0" w:space="0" w:color="auto"/>
            <w:bottom w:val="none" w:sz="0" w:space="0" w:color="auto"/>
            <w:right w:val="none" w:sz="0" w:space="0" w:color="auto"/>
          </w:divBdr>
          <w:divsChild>
            <w:div w:id="846216026">
              <w:marLeft w:val="0"/>
              <w:marRight w:val="0"/>
              <w:marTop w:val="0"/>
              <w:marBottom w:val="0"/>
              <w:divBdr>
                <w:top w:val="none" w:sz="0" w:space="0" w:color="auto"/>
                <w:left w:val="none" w:sz="0" w:space="0" w:color="auto"/>
                <w:bottom w:val="none" w:sz="0" w:space="0" w:color="auto"/>
                <w:right w:val="none" w:sz="0" w:space="0" w:color="auto"/>
              </w:divBdr>
              <w:divsChild>
                <w:div w:id="1652174576">
                  <w:marLeft w:val="0"/>
                  <w:marRight w:val="0"/>
                  <w:marTop w:val="0"/>
                  <w:marBottom w:val="0"/>
                  <w:divBdr>
                    <w:top w:val="none" w:sz="0" w:space="0" w:color="auto"/>
                    <w:left w:val="none" w:sz="0" w:space="0" w:color="auto"/>
                    <w:bottom w:val="none" w:sz="0" w:space="0" w:color="auto"/>
                    <w:right w:val="none" w:sz="0" w:space="0" w:color="auto"/>
                  </w:divBdr>
                  <w:divsChild>
                    <w:div w:id="1888251400">
                      <w:marLeft w:val="0"/>
                      <w:marRight w:val="0"/>
                      <w:marTop w:val="0"/>
                      <w:marBottom w:val="0"/>
                      <w:divBdr>
                        <w:top w:val="none" w:sz="0" w:space="0" w:color="auto"/>
                        <w:left w:val="none" w:sz="0" w:space="0" w:color="auto"/>
                        <w:bottom w:val="none" w:sz="0" w:space="0" w:color="auto"/>
                        <w:right w:val="none" w:sz="0" w:space="0" w:color="auto"/>
                      </w:divBdr>
                      <w:divsChild>
                        <w:div w:id="1055354337">
                          <w:marLeft w:val="0"/>
                          <w:marRight w:val="0"/>
                          <w:marTop w:val="0"/>
                          <w:marBottom w:val="0"/>
                          <w:divBdr>
                            <w:top w:val="none" w:sz="0" w:space="0" w:color="auto"/>
                            <w:left w:val="none" w:sz="0" w:space="0" w:color="auto"/>
                            <w:bottom w:val="none" w:sz="0" w:space="0" w:color="auto"/>
                            <w:right w:val="none" w:sz="0" w:space="0" w:color="auto"/>
                          </w:divBdr>
                          <w:divsChild>
                            <w:div w:id="1863129768">
                              <w:marLeft w:val="0"/>
                              <w:marRight w:val="0"/>
                              <w:marTop w:val="0"/>
                              <w:marBottom w:val="0"/>
                              <w:divBdr>
                                <w:top w:val="none" w:sz="0" w:space="0" w:color="auto"/>
                                <w:left w:val="none" w:sz="0" w:space="0" w:color="auto"/>
                                <w:bottom w:val="none" w:sz="0" w:space="0" w:color="auto"/>
                                <w:right w:val="none" w:sz="0" w:space="0" w:color="auto"/>
                              </w:divBdr>
                              <w:divsChild>
                                <w:div w:id="1866861872">
                                  <w:marLeft w:val="0"/>
                                  <w:marRight w:val="0"/>
                                  <w:marTop w:val="0"/>
                                  <w:marBottom w:val="0"/>
                                  <w:divBdr>
                                    <w:top w:val="none" w:sz="0" w:space="0" w:color="auto"/>
                                    <w:left w:val="none" w:sz="0" w:space="0" w:color="auto"/>
                                    <w:bottom w:val="none" w:sz="0" w:space="0" w:color="auto"/>
                                    <w:right w:val="none" w:sz="0" w:space="0" w:color="auto"/>
                                  </w:divBdr>
                                  <w:divsChild>
                                    <w:div w:id="138159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0137788">
      <w:bodyDiv w:val="1"/>
      <w:marLeft w:val="0"/>
      <w:marRight w:val="0"/>
      <w:marTop w:val="0"/>
      <w:marBottom w:val="0"/>
      <w:divBdr>
        <w:top w:val="none" w:sz="0" w:space="0" w:color="auto"/>
        <w:left w:val="none" w:sz="0" w:space="0" w:color="auto"/>
        <w:bottom w:val="none" w:sz="0" w:space="0" w:color="auto"/>
        <w:right w:val="none" w:sz="0" w:space="0" w:color="auto"/>
      </w:divBdr>
      <w:divsChild>
        <w:div w:id="379523215">
          <w:marLeft w:val="0"/>
          <w:marRight w:val="0"/>
          <w:marTop w:val="0"/>
          <w:marBottom w:val="0"/>
          <w:divBdr>
            <w:top w:val="none" w:sz="0" w:space="0" w:color="auto"/>
            <w:left w:val="none" w:sz="0" w:space="0" w:color="auto"/>
            <w:bottom w:val="none" w:sz="0" w:space="0" w:color="auto"/>
            <w:right w:val="none" w:sz="0" w:space="0" w:color="auto"/>
          </w:divBdr>
          <w:divsChild>
            <w:div w:id="77219111">
              <w:marLeft w:val="0"/>
              <w:marRight w:val="0"/>
              <w:marTop w:val="0"/>
              <w:marBottom w:val="0"/>
              <w:divBdr>
                <w:top w:val="none" w:sz="0" w:space="0" w:color="auto"/>
                <w:left w:val="none" w:sz="0" w:space="0" w:color="auto"/>
                <w:bottom w:val="none" w:sz="0" w:space="0" w:color="auto"/>
                <w:right w:val="none" w:sz="0" w:space="0" w:color="auto"/>
              </w:divBdr>
              <w:divsChild>
                <w:div w:id="395393168">
                  <w:marLeft w:val="0"/>
                  <w:marRight w:val="0"/>
                  <w:marTop w:val="0"/>
                  <w:marBottom w:val="0"/>
                  <w:divBdr>
                    <w:top w:val="none" w:sz="0" w:space="0" w:color="auto"/>
                    <w:left w:val="none" w:sz="0" w:space="0" w:color="auto"/>
                    <w:bottom w:val="none" w:sz="0" w:space="0" w:color="auto"/>
                    <w:right w:val="none" w:sz="0" w:space="0" w:color="auto"/>
                  </w:divBdr>
                  <w:divsChild>
                    <w:div w:id="1218856979">
                      <w:marLeft w:val="0"/>
                      <w:marRight w:val="0"/>
                      <w:marTop w:val="0"/>
                      <w:marBottom w:val="0"/>
                      <w:divBdr>
                        <w:top w:val="none" w:sz="0" w:space="0" w:color="auto"/>
                        <w:left w:val="none" w:sz="0" w:space="0" w:color="auto"/>
                        <w:bottom w:val="none" w:sz="0" w:space="0" w:color="auto"/>
                        <w:right w:val="none" w:sz="0" w:space="0" w:color="auto"/>
                      </w:divBdr>
                      <w:divsChild>
                        <w:div w:id="1714648237">
                          <w:marLeft w:val="0"/>
                          <w:marRight w:val="0"/>
                          <w:marTop w:val="0"/>
                          <w:marBottom w:val="0"/>
                          <w:divBdr>
                            <w:top w:val="none" w:sz="0" w:space="0" w:color="auto"/>
                            <w:left w:val="none" w:sz="0" w:space="0" w:color="auto"/>
                            <w:bottom w:val="none" w:sz="0" w:space="0" w:color="auto"/>
                            <w:right w:val="none" w:sz="0" w:space="0" w:color="auto"/>
                          </w:divBdr>
                          <w:divsChild>
                            <w:div w:id="1521163108">
                              <w:marLeft w:val="0"/>
                              <w:marRight w:val="0"/>
                              <w:marTop w:val="0"/>
                              <w:marBottom w:val="0"/>
                              <w:divBdr>
                                <w:top w:val="none" w:sz="0" w:space="0" w:color="auto"/>
                                <w:left w:val="none" w:sz="0" w:space="0" w:color="auto"/>
                                <w:bottom w:val="none" w:sz="0" w:space="0" w:color="auto"/>
                                <w:right w:val="none" w:sz="0" w:space="0" w:color="auto"/>
                              </w:divBdr>
                              <w:divsChild>
                                <w:div w:id="1225484121">
                                  <w:marLeft w:val="0"/>
                                  <w:marRight w:val="0"/>
                                  <w:marTop w:val="0"/>
                                  <w:marBottom w:val="0"/>
                                  <w:divBdr>
                                    <w:top w:val="none" w:sz="0" w:space="0" w:color="auto"/>
                                    <w:left w:val="none" w:sz="0" w:space="0" w:color="auto"/>
                                    <w:bottom w:val="none" w:sz="0" w:space="0" w:color="auto"/>
                                    <w:right w:val="none" w:sz="0" w:space="0" w:color="auto"/>
                                  </w:divBdr>
                                  <w:divsChild>
                                    <w:div w:id="1082262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8707933">
      <w:bodyDiv w:val="1"/>
      <w:marLeft w:val="0"/>
      <w:marRight w:val="0"/>
      <w:marTop w:val="0"/>
      <w:marBottom w:val="0"/>
      <w:divBdr>
        <w:top w:val="none" w:sz="0" w:space="0" w:color="auto"/>
        <w:left w:val="none" w:sz="0" w:space="0" w:color="auto"/>
        <w:bottom w:val="none" w:sz="0" w:space="0" w:color="auto"/>
        <w:right w:val="none" w:sz="0" w:space="0" w:color="auto"/>
      </w:divBdr>
    </w:div>
    <w:div w:id="1408959762">
      <w:bodyDiv w:val="1"/>
      <w:marLeft w:val="0"/>
      <w:marRight w:val="0"/>
      <w:marTop w:val="0"/>
      <w:marBottom w:val="0"/>
      <w:divBdr>
        <w:top w:val="none" w:sz="0" w:space="0" w:color="auto"/>
        <w:left w:val="none" w:sz="0" w:space="0" w:color="auto"/>
        <w:bottom w:val="none" w:sz="0" w:space="0" w:color="auto"/>
        <w:right w:val="none" w:sz="0" w:space="0" w:color="auto"/>
      </w:divBdr>
    </w:div>
    <w:div w:id="1523469876">
      <w:bodyDiv w:val="1"/>
      <w:marLeft w:val="0"/>
      <w:marRight w:val="0"/>
      <w:marTop w:val="0"/>
      <w:marBottom w:val="0"/>
      <w:divBdr>
        <w:top w:val="none" w:sz="0" w:space="0" w:color="auto"/>
        <w:left w:val="none" w:sz="0" w:space="0" w:color="auto"/>
        <w:bottom w:val="none" w:sz="0" w:space="0" w:color="auto"/>
        <w:right w:val="none" w:sz="0" w:space="0" w:color="auto"/>
      </w:divBdr>
    </w:div>
    <w:div w:id="1649892974">
      <w:bodyDiv w:val="1"/>
      <w:marLeft w:val="0"/>
      <w:marRight w:val="0"/>
      <w:marTop w:val="0"/>
      <w:marBottom w:val="0"/>
      <w:divBdr>
        <w:top w:val="none" w:sz="0" w:space="0" w:color="auto"/>
        <w:left w:val="none" w:sz="0" w:space="0" w:color="auto"/>
        <w:bottom w:val="none" w:sz="0" w:space="0" w:color="auto"/>
        <w:right w:val="none" w:sz="0" w:space="0" w:color="auto"/>
      </w:divBdr>
    </w:div>
    <w:div w:id="1673491614">
      <w:bodyDiv w:val="1"/>
      <w:marLeft w:val="0"/>
      <w:marRight w:val="0"/>
      <w:marTop w:val="0"/>
      <w:marBottom w:val="0"/>
      <w:divBdr>
        <w:top w:val="none" w:sz="0" w:space="0" w:color="auto"/>
        <w:left w:val="none" w:sz="0" w:space="0" w:color="auto"/>
        <w:bottom w:val="none" w:sz="0" w:space="0" w:color="auto"/>
        <w:right w:val="none" w:sz="0" w:space="0" w:color="auto"/>
      </w:divBdr>
    </w:div>
    <w:div w:id="1709066787">
      <w:bodyDiv w:val="1"/>
      <w:marLeft w:val="0"/>
      <w:marRight w:val="0"/>
      <w:marTop w:val="0"/>
      <w:marBottom w:val="0"/>
      <w:divBdr>
        <w:top w:val="none" w:sz="0" w:space="0" w:color="auto"/>
        <w:left w:val="none" w:sz="0" w:space="0" w:color="auto"/>
        <w:bottom w:val="none" w:sz="0" w:space="0" w:color="auto"/>
        <w:right w:val="none" w:sz="0" w:space="0" w:color="auto"/>
      </w:divBdr>
    </w:div>
    <w:div w:id="1755778012">
      <w:bodyDiv w:val="1"/>
      <w:marLeft w:val="0"/>
      <w:marRight w:val="0"/>
      <w:marTop w:val="0"/>
      <w:marBottom w:val="0"/>
      <w:divBdr>
        <w:top w:val="none" w:sz="0" w:space="0" w:color="auto"/>
        <w:left w:val="none" w:sz="0" w:space="0" w:color="auto"/>
        <w:bottom w:val="none" w:sz="0" w:space="0" w:color="auto"/>
        <w:right w:val="none" w:sz="0" w:space="0" w:color="auto"/>
      </w:divBdr>
    </w:div>
    <w:div w:id="1765497188">
      <w:bodyDiv w:val="1"/>
      <w:marLeft w:val="0"/>
      <w:marRight w:val="0"/>
      <w:marTop w:val="0"/>
      <w:marBottom w:val="0"/>
      <w:divBdr>
        <w:top w:val="none" w:sz="0" w:space="0" w:color="auto"/>
        <w:left w:val="none" w:sz="0" w:space="0" w:color="auto"/>
        <w:bottom w:val="none" w:sz="0" w:space="0" w:color="auto"/>
        <w:right w:val="none" w:sz="0" w:space="0" w:color="auto"/>
      </w:divBdr>
      <w:divsChild>
        <w:div w:id="1733427753">
          <w:marLeft w:val="0"/>
          <w:marRight w:val="0"/>
          <w:marTop w:val="0"/>
          <w:marBottom w:val="0"/>
          <w:divBdr>
            <w:top w:val="none" w:sz="0" w:space="0" w:color="auto"/>
            <w:left w:val="none" w:sz="0" w:space="0" w:color="auto"/>
            <w:bottom w:val="none" w:sz="0" w:space="0" w:color="auto"/>
            <w:right w:val="none" w:sz="0" w:space="0" w:color="auto"/>
          </w:divBdr>
          <w:divsChild>
            <w:div w:id="160975106">
              <w:marLeft w:val="0"/>
              <w:marRight w:val="0"/>
              <w:marTop w:val="0"/>
              <w:marBottom w:val="0"/>
              <w:divBdr>
                <w:top w:val="none" w:sz="0" w:space="0" w:color="auto"/>
                <w:left w:val="none" w:sz="0" w:space="0" w:color="auto"/>
                <w:bottom w:val="none" w:sz="0" w:space="0" w:color="auto"/>
                <w:right w:val="none" w:sz="0" w:space="0" w:color="auto"/>
              </w:divBdr>
              <w:divsChild>
                <w:div w:id="353195324">
                  <w:marLeft w:val="0"/>
                  <w:marRight w:val="0"/>
                  <w:marTop w:val="0"/>
                  <w:marBottom w:val="0"/>
                  <w:divBdr>
                    <w:top w:val="none" w:sz="0" w:space="0" w:color="auto"/>
                    <w:left w:val="none" w:sz="0" w:space="0" w:color="auto"/>
                    <w:bottom w:val="none" w:sz="0" w:space="0" w:color="auto"/>
                    <w:right w:val="none" w:sz="0" w:space="0" w:color="auto"/>
                  </w:divBdr>
                  <w:divsChild>
                    <w:div w:id="1995910898">
                      <w:marLeft w:val="0"/>
                      <w:marRight w:val="0"/>
                      <w:marTop w:val="0"/>
                      <w:marBottom w:val="0"/>
                      <w:divBdr>
                        <w:top w:val="none" w:sz="0" w:space="0" w:color="auto"/>
                        <w:left w:val="none" w:sz="0" w:space="0" w:color="auto"/>
                        <w:bottom w:val="none" w:sz="0" w:space="0" w:color="auto"/>
                        <w:right w:val="none" w:sz="0" w:space="0" w:color="auto"/>
                      </w:divBdr>
                      <w:divsChild>
                        <w:div w:id="919679486">
                          <w:marLeft w:val="0"/>
                          <w:marRight w:val="0"/>
                          <w:marTop w:val="0"/>
                          <w:marBottom w:val="0"/>
                          <w:divBdr>
                            <w:top w:val="none" w:sz="0" w:space="0" w:color="auto"/>
                            <w:left w:val="none" w:sz="0" w:space="0" w:color="auto"/>
                            <w:bottom w:val="none" w:sz="0" w:space="0" w:color="auto"/>
                            <w:right w:val="none" w:sz="0" w:space="0" w:color="auto"/>
                          </w:divBdr>
                          <w:divsChild>
                            <w:div w:id="1026952331">
                              <w:marLeft w:val="0"/>
                              <w:marRight w:val="0"/>
                              <w:marTop w:val="0"/>
                              <w:marBottom w:val="0"/>
                              <w:divBdr>
                                <w:top w:val="none" w:sz="0" w:space="0" w:color="auto"/>
                                <w:left w:val="none" w:sz="0" w:space="0" w:color="auto"/>
                                <w:bottom w:val="none" w:sz="0" w:space="0" w:color="auto"/>
                                <w:right w:val="none" w:sz="0" w:space="0" w:color="auto"/>
                              </w:divBdr>
                              <w:divsChild>
                                <w:div w:id="453522914">
                                  <w:marLeft w:val="0"/>
                                  <w:marRight w:val="0"/>
                                  <w:marTop w:val="0"/>
                                  <w:marBottom w:val="0"/>
                                  <w:divBdr>
                                    <w:top w:val="none" w:sz="0" w:space="0" w:color="auto"/>
                                    <w:left w:val="none" w:sz="0" w:space="0" w:color="auto"/>
                                    <w:bottom w:val="none" w:sz="0" w:space="0" w:color="auto"/>
                                    <w:right w:val="none" w:sz="0" w:space="0" w:color="auto"/>
                                  </w:divBdr>
                                  <w:divsChild>
                                    <w:div w:id="97251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4886414">
      <w:bodyDiv w:val="1"/>
      <w:marLeft w:val="0"/>
      <w:marRight w:val="0"/>
      <w:marTop w:val="0"/>
      <w:marBottom w:val="0"/>
      <w:divBdr>
        <w:top w:val="none" w:sz="0" w:space="0" w:color="auto"/>
        <w:left w:val="none" w:sz="0" w:space="0" w:color="auto"/>
        <w:bottom w:val="none" w:sz="0" w:space="0" w:color="auto"/>
        <w:right w:val="none" w:sz="0" w:space="0" w:color="auto"/>
      </w:divBdr>
    </w:div>
    <w:div w:id="1808859279">
      <w:bodyDiv w:val="1"/>
      <w:marLeft w:val="0"/>
      <w:marRight w:val="0"/>
      <w:marTop w:val="0"/>
      <w:marBottom w:val="0"/>
      <w:divBdr>
        <w:top w:val="none" w:sz="0" w:space="0" w:color="auto"/>
        <w:left w:val="none" w:sz="0" w:space="0" w:color="auto"/>
        <w:bottom w:val="none" w:sz="0" w:space="0" w:color="auto"/>
        <w:right w:val="none" w:sz="0" w:space="0" w:color="auto"/>
      </w:divBdr>
    </w:div>
    <w:div w:id="1836994568">
      <w:bodyDiv w:val="1"/>
      <w:marLeft w:val="0"/>
      <w:marRight w:val="0"/>
      <w:marTop w:val="0"/>
      <w:marBottom w:val="0"/>
      <w:divBdr>
        <w:top w:val="none" w:sz="0" w:space="0" w:color="auto"/>
        <w:left w:val="none" w:sz="0" w:space="0" w:color="auto"/>
        <w:bottom w:val="none" w:sz="0" w:space="0" w:color="auto"/>
        <w:right w:val="none" w:sz="0" w:space="0" w:color="auto"/>
      </w:divBdr>
    </w:div>
    <w:div w:id="1902472898">
      <w:bodyDiv w:val="1"/>
      <w:marLeft w:val="0"/>
      <w:marRight w:val="0"/>
      <w:marTop w:val="0"/>
      <w:marBottom w:val="0"/>
      <w:divBdr>
        <w:top w:val="none" w:sz="0" w:space="0" w:color="auto"/>
        <w:left w:val="none" w:sz="0" w:space="0" w:color="auto"/>
        <w:bottom w:val="none" w:sz="0" w:space="0" w:color="auto"/>
        <w:right w:val="none" w:sz="0" w:space="0" w:color="auto"/>
      </w:divBdr>
    </w:div>
    <w:div w:id="2005935613">
      <w:bodyDiv w:val="1"/>
      <w:marLeft w:val="0"/>
      <w:marRight w:val="0"/>
      <w:marTop w:val="0"/>
      <w:marBottom w:val="0"/>
      <w:divBdr>
        <w:top w:val="none" w:sz="0" w:space="0" w:color="auto"/>
        <w:left w:val="none" w:sz="0" w:space="0" w:color="auto"/>
        <w:bottom w:val="none" w:sz="0" w:space="0" w:color="auto"/>
        <w:right w:val="none" w:sz="0" w:space="0" w:color="auto"/>
      </w:divBdr>
    </w:div>
    <w:div w:id="2028097922">
      <w:bodyDiv w:val="1"/>
      <w:marLeft w:val="0"/>
      <w:marRight w:val="0"/>
      <w:marTop w:val="0"/>
      <w:marBottom w:val="0"/>
      <w:divBdr>
        <w:top w:val="none" w:sz="0" w:space="0" w:color="auto"/>
        <w:left w:val="none" w:sz="0" w:space="0" w:color="auto"/>
        <w:bottom w:val="none" w:sz="0" w:space="0" w:color="auto"/>
        <w:right w:val="none" w:sz="0" w:space="0" w:color="auto"/>
      </w:divBdr>
    </w:div>
    <w:div w:id="2124112417">
      <w:bodyDiv w:val="1"/>
      <w:marLeft w:val="0"/>
      <w:marRight w:val="0"/>
      <w:marTop w:val="0"/>
      <w:marBottom w:val="0"/>
      <w:divBdr>
        <w:top w:val="none" w:sz="0" w:space="0" w:color="auto"/>
        <w:left w:val="none" w:sz="0" w:space="0" w:color="auto"/>
        <w:bottom w:val="none" w:sz="0" w:space="0" w:color="auto"/>
        <w:right w:val="none" w:sz="0" w:space="0" w:color="auto"/>
      </w:divBdr>
      <w:divsChild>
        <w:div w:id="412630958">
          <w:marLeft w:val="0"/>
          <w:marRight w:val="0"/>
          <w:marTop w:val="0"/>
          <w:marBottom w:val="0"/>
          <w:divBdr>
            <w:top w:val="none" w:sz="0" w:space="0" w:color="auto"/>
            <w:left w:val="none" w:sz="0" w:space="0" w:color="auto"/>
            <w:bottom w:val="none" w:sz="0" w:space="0" w:color="auto"/>
            <w:right w:val="none" w:sz="0" w:space="0" w:color="auto"/>
          </w:divBdr>
          <w:divsChild>
            <w:div w:id="8551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corporatefinanceinstitute.com/" TargetMode="External"/><Relationship Id="rId47" Type="http://schemas.openxmlformats.org/officeDocument/2006/relationships/hyperlink" Target="https://www.greeneking.co.uk/our-company/annual-reports" TargetMode="External"/><Relationship Id="rId63" Type="http://schemas.openxmlformats.org/officeDocument/2006/relationships/hyperlink" Target="https://www.ons.gov.uk/economy/inflationandpriceindices" TargetMode="External"/><Relationship Id="rId68" Type="http://schemas.openxmlformats.org/officeDocument/2006/relationships/hyperlink" Target="https://www.gov.uk/business-and-industry" TargetMode="External"/><Relationship Id="rId84" Type="http://schemas.openxmlformats.org/officeDocument/2006/relationships/image" Target="media/image31.png"/><Relationship Id="rId89" Type="http://schemas.openxmlformats.org/officeDocument/2006/relationships/image" Target="media/image36.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accaglobal.com/uk/en/about-us/annual-reports.html?utm_source=chatgpt.com" TargetMode="External"/><Relationship Id="rId37" Type="http://schemas.openxmlformats.org/officeDocument/2006/relationships/hyperlink" Target="https://find-and-update.company-information.service.gov.uk/company/00024511?utm_source=chatgpt.com" TargetMode="External"/><Relationship Id="rId53" Type="http://schemas.openxmlformats.org/officeDocument/2006/relationships/hyperlink" Target="https://www.gov.uk/government/publications/hm-treasury-annual-report-and-accounts-2024-to-2025/annual-report-and-accounts-of-hm-treasury-year-to-the-31-march-2025-accessible?utm_source=chatgpt.com" TargetMode="External"/><Relationship Id="rId58" Type="http://schemas.openxmlformats.org/officeDocument/2006/relationships/hyperlink" Target="https://www.imf.org/en/Publications/WEO" TargetMode="External"/><Relationship Id="rId74" Type="http://schemas.openxmlformats.org/officeDocument/2006/relationships/chart" Target="charts/chart3.xml"/><Relationship Id="rId79" Type="http://schemas.openxmlformats.org/officeDocument/2006/relationships/image" Target="media/image26.png"/><Relationship Id="rId5" Type="http://schemas.openxmlformats.org/officeDocument/2006/relationships/webSettings" Target="webSettings.xml"/><Relationship Id="rId90" Type="http://schemas.openxmlformats.org/officeDocument/2006/relationships/image" Target="media/image37.png"/><Relationship Id="rId95" Type="http://schemas.openxmlformats.org/officeDocument/2006/relationships/fontTable" Target="fontTable.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www.ey.com/en_uk/insights" TargetMode="External"/><Relationship Id="rId48" Type="http://schemas.openxmlformats.org/officeDocument/2006/relationships/hyperlink" Target="https://www.greeneking.co.uk/our-company/annual-reports/greene-king-securitisation-reports?utm_source=chatgpt.com" TargetMode="External"/><Relationship Id="rId64" Type="http://schemas.openxmlformats.org/officeDocument/2006/relationships/hyperlink" Target="https://www.ons.gov.uk/economy" TargetMode="External"/><Relationship Id="rId69" Type="http://schemas.openxmlformats.org/officeDocument/2006/relationships/hyperlink" Target="https://www.data.gov.uk/collections/business-and-economy/get-company-information?utm_source=chatgpt.com" TargetMode="External"/><Relationship Id="rId8" Type="http://schemas.openxmlformats.org/officeDocument/2006/relationships/image" Target="media/image1.png"/><Relationship Id="rId51" Type="http://schemas.openxmlformats.org/officeDocument/2006/relationships/hyperlink" Target="https://www.gov.uk/government/publications/hmrc-annual-report-and-accounts-2025-to-2026?utm_source=chatgpt.com" TargetMode="External"/><Relationship Id="rId72" Type="http://schemas.openxmlformats.org/officeDocument/2006/relationships/chart" Target="charts/chart1.xml"/><Relationship Id="rId80" Type="http://schemas.openxmlformats.org/officeDocument/2006/relationships/image" Target="media/image27.png"/><Relationship Id="rId85" Type="http://schemas.openxmlformats.org/officeDocument/2006/relationships/image" Target="media/image32.png"/><Relationship Id="rId93"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accaglobal.com/uk/en/student/exam-support-resources.html" TargetMode="External"/><Relationship Id="rId38" Type="http://schemas.openxmlformats.org/officeDocument/2006/relationships/hyperlink" Target="https://find-and-update.company-information.service.gov.uk/company/00024511/filing-history" TargetMode="External"/><Relationship Id="rId46" Type="http://schemas.openxmlformats.org/officeDocument/2006/relationships/hyperlink" Target="https://www.frc.org.uk/library/standards-codes-policy/corporate-governance/" TargetMode="External"/><Relationship Id="rId59" Type="http://schemas.openxmlformats.org/officeDocument/2006/relationships/hyperlink" Target="https://kpmg.com/uk/en/insights.html" TargetMode="External"/><Relationship Id="rId67" Type="http://schemas.openxmlformats.org/officeDocument/2006/relationships/hyperlink" Target="https://www.ukfinance.org.uk/" TargetMode="External"/><Relationship Id="rId20" Type="http://schemas.openxmlformats.org/officeDocument/2006/relationships/image" Target="media/image13.png"/><Relationship Id="rId41" Type="http://schemas.openxmlformats.org/officeDocument/2006/relationships/hyperlink" Target="https://find-and-update.company-information.service.gov.uk/" TargetMode="External"/><Relationship Id="rId54" Type="http://schemas.openxmlformats.org/officeDocument/2006/relationships/hyperlink" Target="https://www.ifrs.org/" TargetMode="External"/><Relationship Id="rId62" Type="http://schemas.openxmlformats.org/officeDocument/2006/relationships/hyperlink" Target="https://www.ons.gov.uk/economy/nationalaccounts/uksectoraccounts/bulletins/capitalstocksconsumptionoffixedcapital/2025?utm_source=chatgpt.com" TargetMode="External"/><Relationship Id="rId70" Type="http://schemas.openxmlformats.org/officeDocument/2006/relationships/hyperlink" Target="https://data.worldbank.org/" TargetMode="External"/><Relationship Id="rId75" Type="http://schemas.openxmlformats.org/officeDocument/2006/relationships/chart" Target="charts/chart4.xml"/><Relationship Id="rId83" Type="http://schemas.openxmlformats.org/officeDocument/2006/relationships/image" Target="media/image30.png"/><Relationship Id="rId88" Type="http://schemas.openxmlformats.org/officeDocument/2006/relationships/image" Target="media/image35.png"/><Relationship Id="rId91" Type="http://schemas.openxmlformats.org/officeDocument/2006/relationships/image" Target="media/image38.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cfainstitute.org/" TargetMode="External"/><Relationship Id="rId49" Type="http://schemas.openxmlformats.org/officeDocument/2006/relationships/hyperlink" Target="https://www.gov.uk/government/publications/hmrc-annual-report-and-accounts-2024-to-2025?utm_source=chatgpt.com" TargetMode="External"/><Relationship Id="rId57" Type="http://schemas.openxmlformats.org/officeDocument/2006/relationships/hyperlink" Target="https://www.imf.org/"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fca.org.uk/" TargetMode="External"/><Relationship Id="rId52" Type="http://schemas.openxmlformats.org/officeDocument/2006/relationships/hyperlink" Target="https://www.gov.uk/government/publications/hm-treasury-annual-report-and-accounts-2024-to-2025?utm_source=chatgpt.com" TargetMode="External"/><Relationship Id="rId60" Type="http://schemas.openxmlformats.org/officeDocument/2006/relationships/hyperlink" Target="https://www.londonstockexchange.com/news" TargetMode="External"/><Relationship Id="rId65" Type="http://schemas.openxmlformats.org/officeDocument/2006/relationships/hyperlink" Target="https://www.oecd.org/economic-outlook/" TargetMode="External"/><Relationship Id="rId73" Type="http://schemas.openxmlformats.org/officeDocument/2006/relationships/chart" Target="charts/chart2.xml"/><Relationship Id="rId78" Type="http://schemas.openxmlformats.org/officeDocument/2006/relationships/image" Target="media/image25.png"/><Relationship Id="rId81" Type="http://schemas.openxmlformats.org/officeDocument/2006/relationships/image" Target="media/image28.png"/><Relationship Id="rId86" Type="http://schemas.openxmlformats.org/officeDocument/2006/relationships/image" Target="media/image33.png"/><Relationship Id="rId9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company-information.service.gov.uk/company/03298903" TargetMode="External"/><Relationship Id="rId34" Type="http://schemas.openxmlformats.org/officeDocument/2006/relationships/hyperlink" Target="https://www.bankofengland.co.uk/annual-report/2025?utm_source=chatgpt.com" TargetMode="External"/><Relationship Id="rId50" Type="http://schemas.openxmlformats.org/officeDocument/2006/relationships/hyperlink" Target="https://www.gov.uk/government/publications/hmrc-annual-report-and-accounts-2024-to-2025/hmrcs-annual-report-and-accounts-2024-to-2025-our-accounts-and-annexes?utm_source=chatgpt.com" TargetMode="External"/><Relationship Id="rId55" Type="http://schemas.openxmlformats.org/officeDocument/2006/relationships/hyperlink" Target="https://www.ifrs.org/issued-standards/" TargetMode="External"/><Relationship Id="rId76" Type="http://schemas.openxmlformats.org/officeDocument/2006/relationships/chart" Target="charts/chart5.xml"/><Relationship Id="rId7" Type="http://schemas.openxmlformats.org/officeDocument/2006/relationships/endnotes" Target="endnotes.xml"/><Relationship Id="rId71" Type="http://schemas.openxmlformats.org/officeDocument/2006/relationships/hyperlink" Target="https://www.worldbank.org/en/country/unitedkingdom" TargetMode="External"/><Relationship Id="rId92" Type="http://schemas.openxmlformats.org/officeDocument/2006/relationships/image" Target="media/image39.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find-and-update.company-information.service.gov.uk/company/05333192/filing-history?utm_source=chatgpt.com" TargetMode="External"/><Relationship Id="rId45" Type="http://schemas.openxmlformats.org/officeDocument/2006/relationships/hyperlink" Target="https://www.frc.org.uk/" TargetMode="External"/><Relationship Id="rId66" Type="http://schemas.openxmlformats.org/officeDocument/2006/relationships/hyperlink" Target="https://www.pwc.co.uk/insights.html" TargetMode="External"/><Relationship Id="rId87" Type="http://schemas.openxmlformats.org/officeDocument/2006/relationships/image" Target="media/image34.png"/><Relationship Id="rId61" Type="http://schemas.openxmlformats.org/officeDocument/2006/relationships/hyperlink" Target="https://www.ons.gov.uk/economy/grossdomesticproductgdp/bulletins/businessinvestment/octobertodecember2025revisedresults?utm_source=chatgpt.com" TargetMode="External"/><Relationship Id="rId82" Type="http://schemas.openxmlformats.org/officeDocument/2006/relationships/image" Target="media/image29.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hyperlink" Target="https://www.bankofengland.co.uk/annual-report/annual-reports-2026?utm_source=chatgpt.com" TargetMode="External"/><Relationship Id="rId56" Type="http://schemas.openxmlformats.org/officeDocument/2006/relationships/hyperlink" Target="https://www.icaew.com/technical/business/business-start-up-and-finance/business-finance-and-grants/working-capital?utm_source=chatgpt.com" TargetMode="External"/><Relationship Id="rId77"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Sheet2!$A$18:$B$18</c:f>
              <c:strCache>
                <c:ptCount val="2"/>
                <c:pt idx="0">
                  <c:v>Net Margin (C/A)</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Sheet2!$C$17:$G$17</c:f>
              <c:numCache>
                <c:formatCode>General</c:formatCode>
                <c:ptCount val="5"/>
                <c:pt idx="0">
                  <c:v>2020</c:v>
                </c:pt>
                <c:pt idx="1">
                  <c:v>2021</c:v>
                </c:pt>
                <c:pt idx="2">
                  <c:v>2022</c:v>
                </c:pt>
                <c:pt idx="3">
                  <c:v>2023</c:v>
                </c:pt>
                <c:pt idx="4">
                  <c:v>2024</c:v>
                </c:pt>
              </c:numCache>
            </c:numRef>
          </c:cat>
          <c:val>
            <c:numRef>
              <c:f>Sheet2!$C$18:$G$18</c:f>
              <c:numCache>
                <c:formatCode>0.00%</c:formatCode>
                <c:ptCount val="5"/>
                <c:pt idx="0">
                  <c:v>-0.14219999999999999</c:v>
                </c:pt>
                <c:pt idx="1">
                  <c:v>-5.2499999999999998E-2</c:v>
                </c:pt>
                <c:pt idx="2">
                  <c:v>4.5199999999999997E-2</c:v>
                </c:pt>
                <c:pt idx="3">
                  <c:v>1.9E-2</c:v>
                </c:pt>
                <c:pt idx="4">
                  <c:v>-0.06</c:v>
                </c:pt>
              </c:numCache>
            </c:numRef>
          </c:val>
          <c:extLst>
            <c:ext xmlns:c16="http://schemas.microsoft.com/office/drawing/2014/chart" uri="{C3380CC4-5D6E-409C-BE32-E72D297353CC}">
              <c16:uniqueId val="{00000000-C22A-437B-873B-D9E6ED1BF582}"/>
            </c:ext>
          </c:extLst>
        </c:ser>
        <c:ser>
          <c:idx val="1"/>
          <c:order val="1"/>
          <c:tx>
            <c:strRef>
              <c:f>Sheet2!$A$19:$B$19</c:f>
              <c:strCache>
                <c:ptCount val="2"/>
                <c:pt idx="0">
                  <c:v>Return on Capital Employed (ROCE) [(B)/(D−E)]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Sheet2!$C$17:$G$17</c:f>
              <c:numCache>
                <c:formatCode>General</c:formatCode>
                <c:ptCount val="5"/>
                <c:pt idx="0">
                  <c:v>2020</c:v>
                </c:pt>
                <c:pt idx="1">
                  <c:v>2021</c:v>
                </c:pt>
                <c:pt idx="2">
                  <c:v>2022</c:v>
                </c:pt>
                <c:pt idx="3">
                  <c:v>2023</c:v>
                </c:pt>
                <c:pt idx="4">
                  <c:v>2024</c:v>
                </c:pt>
              </c:numCache>
            </c:numRef>
          </c:cat>
          <c:val>
            <c:numRef>
              <c:f>Sheet2!$C$19:$G$19</c:f>
              <c:numCache>
                <c:formatCode>0.00%</c:formatCode>
                <c:ptCount val="5"/>
                <c:pt idx="0">
                  <c:v>5.7599999999999998E-2</c:v>
                </c:pt>
                <c:pt idx="1">
                  <c:v>1.4800000000000001E-2</c:v>
                </c:pt>
                <c:pt idx="2">
                  <c:v>5.6099999999999997E-2</c:v>
                </c:pt>
                <c:pt idx="3">
                  <c:v>3.7499999999999999E-2</c:v>
                </c:pt>
                <c:pt idx="4">
                  <c:v>-3.8E-3</c:v>
                </c:pt>
              </c:numCache>
            </c:numRef>
          </c:val>
          <c:extLst>
            <c:ext xmlns:c16="http://schemas.microsoft.com/office/drawing/2014/chart" uri="{C3380CC4-5D6E-409C-BE32-E72D297353CC}">
              <c16:uniqueId val="{00000001-C22A-437B-873B-D9E6ED1BF582}"/>
            </c:ext>
          </c:extLst>
        </c:ser>
        <c:dLbls>
          <c:dLblPos val="outEnd"/>
          <c:showLegendKey val="0"/>
          <c:showVal val="1"/>
          <c:showCatName val="0"/>
          <c:showSerName val="0"/>
          <c:showPercent val="0"/>
          <c:showBubbleSize val="0"/>
        </c:dLbls>
        <c:gapWidth val="100"/>
        <c:overlap val="-24"/>
        <c:axId val="688959344"/>
        <c:axId val="688959888"/>
      </c:barChart>
      <c:catAx>
        <c:axId val="688959344"/>
        <c:scaling>
          <c:orientation val="minMax"/>
        </c:scaling>
        <c:delete val="0"/>
        <c:axPos val="b"/>
        <c:numFmt formatCode="General" sourceLinked="1"/>
        <c:majorTickMark val="none"/>
        <c:minorTickMark val="none"/>
        <c:tickLblPos val="low"/>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88959888"/>
        <c:crosses val="autoZero"/>
        <c:auto val="1"/>
        <c:lblAlgn val="ctr"/>
        <c:lblOffset val="100"/>
        <c:noMultiLvlLbl val="0"/>
      </c:catAx>
      <c:valAx>
        <c:axId val="688959888"/>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88959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Sheet3!$A$10:$B$10</c:f>
              <c:strCache>
                <c:ptCount val="2"/>
                <c:pt idx="0">
                  <c:v>Current Ratio (A/C)</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Sheet3!$C$9:$G$9</c:f>
              <c:numCache>
                <c:formatCode>General</c:formatCode>
                <c:ptCount val="5"/>
                <c:pt idx="0">
                  <c:v>2020</c:v>
                </c:pt>
                <c:pt idx="1">
                  <c:v>2021</c:v>
                </c:pt>
                <c:pt idx="2">
                  <c:v>2022</c:v>
                </c:pt>
                <c:pt idx="3">
                  <c:v>2023</c:v>
                </c:pt>
                <c:pt idx="4">
                  <c:v>2024</c:v>
                </c:pt>
              </c:numCache>
            </c:numRef>
          </c:cat>
          <c:val>
            <c:numRef>
              <c:f>Sheet3!$C$10:$G$10</c:f>
              <c:numCache>
                <c:formatCode>General</c:formatCode>
                <c:ptCount val="5"/>
                <c:pt idx="0">
                  <c:v>0.44</c:v>
                </c:pt>
                <c:pt idx="1">
                  <c:v>0.64</c:v>
                </c:pt>
                <c:pt idx="2">
                  <c:v>0.65</c:v>
                </c:pt>
                <c:pt idx="3">
                  <c:v>0.65</c:v>
                </c:pt>
                <c:pt idx="4">
                  <c:v>0.68</c:v>
                </c:pt>
              </c:numCache>
            </c:numRef>
          </c:val>
          <c:extLst>
            <c:ext xmlns:c16="http://schemas.microsoft.com/office/drawing/2014/chart" uri="{C3380CC4-5D6E-409C-BE32-E72D297353CC}">
              <c16:uniqueId val="{00000000-34EF-4C4D-9D51-C48C1DB1539A}"/>
            </c:ext>
          </c:extLst>
        </c:ser>
        <c:ser>
          <c:idx val="1"/>
          <c:order val="1"/>
          <c:tx>
            <c:strRef>
              <c:f>Sheet3!$A$11:$B$11</c:f>
              <c:strCache>
                <c:ptCount val="2"/>
                <c:pt idx="0">
                  <c:v>Quick Ratio ((A−B)/C)</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Sheet3!$C$9:$G$9</c:f>
              <c:numCache>
                <c:formatCode>General</c:formatCode>
                <c:ptCount val="5"/>
                <c:pt idx="0">
                  <c:v>2020</c:v>
                </c:pt>
                <c:pt idx="1">
                  <c:v>2021</c:v>
                </c:pt>
                <c:pt idx="2">
                  <c:v>2022</c:v>
                </c:pt>
                <c:pt idx="3">
                  <c:v>2023</c:v>
                </c:pt>
                <c:pt idx="4">
                  <c:v>2024</c:v>
                </c:pt>
              </c:numCache>
            </c:numRef>
          </c:cat>
          <c:val>
            <c:numRef>
              <c:f>Sheet3!$C$11:$G$11</c:f>
              <c:numCache>
                <c:formatCode>General</c:formatCode>
                <c:ptCount val="5"/>
                <c:pt idx="0">
                  <c:v>0.34</c:v>
                </c:pt>
                <c:pt idx="1">
                  <c:v>0.55000000000000004</c:v>
                </c:pt>
                <c:pt idx="2">
                  <c:v>0.55000000000000004</c:v>
                </c:pt>
                <c:pt idx="3">
                  <c:v>0.54</c:v>
                </c:pt>
                <c:pt idx="4">
                  <c:v>0.56999999999999995</c:v>
                </c:pt>
              </c:numCache>
            </c:numRef>
          </c:val>
          <c:extLst>
            <c:ext xmlns:c16="http://schemas.microsoft.com/office/drawing/2014/chart" uri="{C3380CC4-5D6E-409C-BE32-E72D297353CC}">
              <c16:uniqueId val="{00000001-34EF-4C4D-9D51-C48C1DB1539A}"/>
            </c:ext>
          </c:extLst>
        </c:ser>
        <c:dLbls>
          <c:dLblPos val="outEnd"/>
          <c:showLegendKey val="0"/>
          <c:showVal val="1"/>
          <c:showCatName val="0"/>
          <c:showSerName val="0"/>
          <c:showPercent val="0"/>
          <c:showBubbleSize val="0"/>
        </c:dLbls>
        <c:gapWidth val="100"/>
        <c:overlap val="-24"/>
        <c:axId val="688963696"/>
        <c:axId val="688962608"/>
      </c:barChart>
      <c:catAx>
        <c:axId val="68896369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8962608"/>
        <c:crosses val="autoZero"/>
        <c:auto val="1"/>
        <c:lblAlgn val="ctr"/>
        <c:lblOffset val="100"/>
        <c:noMultiLvlLbl val="0"/>
      </c:catAx>
      <c:valAx>
        <c:axId val="68896260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8963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Sheet4!$A$20:$B$20</c:f>
              <c:strCache>
                <c:ptCount val="2"/>
                <c:pt idx="0">
                  <c:v>Inventory Turnover Days</c:v>
                </c:pt>
                <c:pt idx="1">
                  <c:v>365(B/E)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Sheet4!$C$19:$G$19</c:f>
              <c:numCache>
                <c:formatCode>General</c:formatCode>
                <c:ptCount val="5"/>
                <c:pt idx="0">
                  <c:v>2020</c:v>
                </c:pt>
                <c:pt idx="1">
                  <c:v>2021</c:v>
                </c:pt>
                <c:pt idx="2">
                  <c:v>2022</c:v>
                </c:pt>
                <c:pt idx="3">
                  <c:v>2023</c:v>
                </c:pt>
                <c:pt idx="4">
                  <c:v>2024</c:v>
                </c:pt>
              </c:numCache>
            </c:numRef>
          </c:cat>
          <c:val>
            <c:numRef>
              <c:f>Sheet4!$C$20:$G$20</c:f>
              <c:numCache>
                <c:formatCode>General</c:formatCode>
                <c:ptCount val="5"/>
                <c:pt idx="0">
                  <c:v>35</c:v>
                </c:pt>
                <c:pt idx="1">
                  <c:v>52</c:v>
                </c:pt>
                <c:pt idx="2">
                  <c:v>35</c:v>
                </c:pt>
                <c:pt idx="3">
                  <c:v>35</c:v>
                </c:pt>
                <c:pt idx="4">
                  <c:v>36</c:v>
                </c:pt>
              </c:numCache>
            </c:numRef>
          </c:val>
          <c:extLst>
            <c:ext xmlns:c16="http://schemas.microsoft.com/office/drawing/2014/chart" uri="{C3380CC4-5D6E-409C-BE32-E72D297353CC}">
              <c16:uniqueId val="{00000000-7D5A-4E02-86E8-52C99208FA15}"/>
            </c:ext>
          </c:extLst>
        </c:ser>
        <c:ser>
          <c:idx val="1"/>
          <c:order val="1"/>
          <c:tx>
            <c:strRef>
              <c:f>Sheet4!$A$21:$B$21</c:f>
              <c:strCache>
                <c:ptCount val="2"/>
                <c:pt idx="0">
                  <c:v>Receivables Turnover Days</c:v>
                </c:pt>
                <c:pt idx="1">
                  <c:v>365(A/H)</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Sheet4!$C$19:$G$19</c:f>
              <c:numCache>
                <c:formatCode>General</c:formatCode>
                <c:ptCount val="5"/>
                <c:pt idx="0">
                  <c:v>2020</c:v>
                </c:pt>
                <c:pt idx="1">
                  <c:v>2021</c:v>
                </c:pt>
                <c:pt idx="2">
                  <c:v>2022</c:v>
                </c:pt>
                <c:pt idx="3">
                  <c:v>2023</c:v>
                </c:pt>
                <c:pt idx="4">
                  <c:v>2024</c:v>
                </c:pt>
              </c:numCache>
            </c:numRef>
          </c:cat>
          <c:val>
            <c:numRef>
              <c:f>Sheet4!$C$21:$G$21</c:f>
              <c:numCache>
                <c:formatCode>General</c:formatCode>
                <c:ptCount val="5"/>
                <c:pt idx="0">
                  <c:v>13</c:v>
                </c:pt>
                <c:pt idx="1">
                  <c:v>20</c:v>
                </c:pt>
                <c:pt idx="2">
                  <c:v>15</c:v>
                </c:pt>
                <c:pt idx="3">
                  <c:v>14</c:v>
                </c:pt>
                <c:pt idx="4">
                  <c:v>15</c:v>
                </c:pt>
              </c:numCache>
            </c:numRef>
          </c:val>
          <c:extLst>
            <c:ext xmlns:c16="http://schemas.microsoft.com/office/drawing/2014/chart" uri="{C3380CC4-5D6E-409C-BE32-E72D297353CC}">
              <c16:uniqueId val="{00000001-7D5A-4E02-86E8-52C99208FA15}"/>
            </c:ext>
          </c:extLst>
        </c:ser>
        <c:ser>
          <c:idx val="2"/>
          <c:order val="2"/>
          <c:tx>
            <c:strRef>
              <c:f>Sheet4!$A$22:$B$22</c:f>
              <c:strCache>
                <c:ptCount val="2"/>
                <c:pt idx="0">
                  <c:v>Payables Turnover Days</c:v>
                </c:pt>
                <c:pt idx="1">
                  <c:v>365(B/K)</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Sheet4!$C$19:$G$19</c:f>
              <c:numCache>
                <c:formatCode>General</c:formatCode>
                <c:ptCount val="5"/>
                <c:pt idx="0">
                  <c:v>2020</c:v>
                </c:pt>
                <c:pt idx="1">
                  <c:v>2021</c:v>
                </c:pt>
                <c:pt idx="2">
                  <c:v>2022</c:v>
                </c:pt>
                <c:pt idx="3">
                  <c:v>2023</c:v>
                </c:pt>
                <c:pt idx="4">
                  <c:v>2024</c:v>
                </c:pt>
              </c:numCache>
            </c:numRef>
          </c:cat>
          <c:val>
            <c:numRef>
              <c:f>Sheet4!$C$22:$G$22</c:f>
              <c:numCache>
                <c:formatCode>General</c:formatCode>
                <c:ptCount val="5"/>
                <c:pt idx="0">
                  <c:v>137</c:v>
                </c:pt>
                <c:pt idx="1">
                  <c:v>208</c:v>
                </c:pt>
                <c:pt idx="2">
                  <c:v>139</c:v>
                </c:pt>
                <c:pt idx="3">
                  <c:v>135</c:v>
                </c:pt>
                <c:pt idx="4">
                  <c:v>136</c:v>
                </c:pt>
              </c:numCache>
            </c:numRef>
          </c:val>
          <c:extLst>
            <c:ext xmlns:c16="http://schemas.microsoft.com/office/drawing/2014/chart" uri="{C3380CC4-5D6E-409C-BE32-E72D297353CC}">
              <c16:uniqueId val="{00000002-7D5A-4E02-86E8-52C99208FA15}"/>
            </c:ext>
          </c:extLst>
        </c:ser>
        <c:dLbls>
          <c:dLblPos val="outEnd"/>
          <c:showLegendKey val="0"/>
          <c:showVal val="1"/>
          <c:showCatName val="0"/>
          <c:showSerName val="0"/>
          <c:showPercent val="0"/>
          <c:showBubbleSize val="0"/>
        </c:dLbls>
        <c:gapWidth val="164"/>
        <c:overlap val="-22"/>
        <c:axId val="680277568"/>
        <c:axId val="680273216"/>
      </c:barChart>
      <c:catAx>
        <c:axId val="680277568"/>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273216"/>
        <c:crosses val="autoZero"/>
        <c:auto val="1"/>
        <c:lblAlgn val="ctr"/>
        <c:lblOffset val="100"/>
        <c:noMultiLvlLbl val="0"/>
      </c:catAx>
      <c:valAx>
        <c:axId val="68027321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277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Sheet5!$A$10:$B$10</c:f>
              <c:strCache>
                <c:ptCount val="2"/>
                <c:pt idx="0">
                  <c:v>Debt/Equity Ratio</c:v>
                </c:pt>
                <c:pt idx="1">
                  <c:v>A/B</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Sheet5!$C$9:$G$9</c:f>
              <c:numCache>
                <c:formatCode>General</c:formatCode>
                <c:ptCount val="5"/>
                <c:pt idx="0">
                  <c:v>2020</c:v>
                </c:pt>
                <c:pt idx="1">
                  <c:v>2021</c:v>
                </c:pt>
                <c:pt idx="2">
                  <c:v>2022</c:v>
                </c:pt>
                <c:pt idx="3">
                  <c:v>2023</c:v>
                </c:pt>
                <c:pt idx="4">
                  <c:v>2024</c:v>
                </c:pt>
              </c:numCache>
            </c:numRef>
          </c:cat>
          <c:val>
            <c:numRef>
              <c:f>Sheet5!$C$10:$G$10</c:f>
              <c:numCache>
                <c:formatCode>General</c:formatCode>
                <c:ptCount val="5"/>
                <c:pt idx="0">
                  <c:v>5.05</c:v>
                </c:pt>
                <c:pt idx="1">
                  <c:v>4.7300000000000004</c:v>
                </c:pt>
                <c:pt idx="2">
                  <c:v>4.1500000000000004</c:v>
                </c:pt>
                <c:pt idx="3">
                  <c:v>3.97</c:v>
                </c:pt>
                <c:pt idx="4">
                  <c:v>4.47</c:v>
                </c:pt>
              </c:numCache>
            </c:numRef>
          </c:val>
          <c:extLst>
            <c:ext xmlns:c16="http://schemas.microsoft.com/office/drawing/2014/chart" uri="{C3380CC4-5D6E-409C-BE32-E72D297353CC}">
              <c16:uniqueId val="{00000000-464B-47AC-86F0-AEBA4198CF6B}"/>
            </c:ext>
          </c:extLst>
        </c:ser>
        <c:ser>
          <c:idx val="1"/>
          <c:order val="1"/>
          <c:tx>
            <c:strRef>
              <c:f>Sheet5!$A$11:$B$11</c:f>
              <c:strCache>
                <c:ptCount val="2"/>
                <c:pt idx="0">
                  <c:v>Interest Coverage Ratio</c:v>
                </c:pt>
                <c:pt idx="1">
                  <c:v>C/D</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Sheet5!$C$9:$G$9</c:f>
              <c:numCache>
                <c:formatCode>General</c:formatCode>
                <c:ptCount val="5"/>
                <c:pt idx="0">
                  <c:v>2020</c:v>
                </c:pt>
                <c:pt idx="1">
                  <c:v>2021</c:v>
                </c:pt>
                <c:pt idx="2">
                  <c:v>2022</c:v>
                </c:pt>
                <c:pt idx="3">
                  <c:v>2023</c:v>
                </c:pt>
                <c:pt idx="4">
                  <c:v>2024</c:v>
                </c:pt>
              </c:numCache>
            </c:numRef>
          </c:cat>
          <c:val>
            <c:numRef>
              <c:f>Sheet5!$C$11:$G$11</c:f>
              <c:numCache>
                <c:formatCode>General</c:formatCode>
                <c:ptCount val="5"/>
                <c:pt idx="0">
                  <c:v>1.74</c:v>
                </c:pt>
                <c:pt idx="1">
                  <c:v>0.48</c:v>
                </c:pt>
                <c:pt idx="2">
                  <c:v>1.98</c:v>
                </c:pt>
                <c:pt idx="3">
                  <c:v>1.28</c:v>
                </c:pt>
                <c:pt idx="4">
                  <c:v>-0.12</c:v>
                </c:pt>
              </c:numCache>
            </c:numRef>
          </c:val>
          <c:extLst>
            <c:ext xmlns:c16="http://schemas.microsoft.com/office/drawing/2014/chart" uri="{C3380CC4-5D6E-409C-BE32-E72D297353CC}">
              <c16:uniqueId val="{00000001-464B-47AC-86F0-AEBA4198CF6B}"/>
            </c:ext>
          </c:extLst>
        </c:ser>
        <c:dLbls>
          <c:dLblPos val="outEnd"/>
          <c:showLegendKey val="0"/>
          <c:showVal val="1"/>
          <c:showCatName val="0"/>
          <c:showSerName val="0"/>
          <c:showPercent val="0"/>
          <c:showBubbleSize val="0"/>
        </c:dLbls>
        <c:gapWidth val="100"/>
        <c:overlap val="-24"/>
        <c:axId val="680279200"/>
        <c:axId val="680275392"/>
      </c:barChart>
      <c:catAx>
        <c:axId val="680279200"/>
        <c:scaling>
          <c:orientation val="minMax"/>
        </c:scaling>
        <c:delete val="0"/>
        <c:axPos val="b"/>
        <c:numFmt formatCode="General" sourceLinked="1"/>
        <c:majorTickMark val="none"/>
        <c:minorTickMark val="none"/>
        <c:tickLblPos val="low"/>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0275392"/>
        <c:crosses val="autoZero"/>
        <c:auto val="1"/>
        <c:lblAlgn val="ctr"/>
        <c:lblOffset val="100"/>
        <c:noMultiLvlLbl val="0"/>
      </c:catAx>
      <c:valAx>
        <c:axId val="68027539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02792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1"/>
          <c:order val="1"/>
          <c:tx>
            <c:strRef>
              <c:f>Sheet6!$A$16:$B$16</c:f>
              <c:strCache>
                <c:ptCount val="2"/>
                <c:pt idx="0">
                  <c:v>Net Asset Value (NAV) per Share (£)</c:v>
                </c:pt>
                <c:pt idx="1">
                  <c:v>Equity/Shares</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Sheet6!$C$14:$G$14</c:f>
              <c:numCache>
                <c:formatCode>General</c:formatCode>
                <c:ptCount val="5"/>
                <c:pt idx="0">
                  <c:v>2020</c:v>
                </c:pt>
                <c:pt idx="1">
                  <c:v>2021</c:v>
                </c:pt>
                <c:pt idx="2">
                  <c:v>2022</c:v>
                </c:pt>
                <c:pt idx="3">
                  <c:v>2023</c:v>
                </c:pt>
                <c:pt idx="4">
                  <c:v>2024</c:v>
                </c:pt>
              </c:numCache>
            </c:numRef>
          </c:cat>
          <c:val>
            <c:numRef>
              <c:f>Sheet6!$C$16:$G$16</c:f>
              <c:numCache>
                <c:formatCode>General</c:formatCode>
                <c:ptCount val="5"/>
                <c:pt idx="0">
                  <c:v>2.4500000000000002</c:v>
                </c:pt>
                <c:pt idx="1">
                  <c:v>2.52</c:v>
                </c:pt>
                <c:pt idx="2">
                  <c:v>2.91</c:v>
                </c:pt>
                <c:pt idx="3">
                  <c:v>3.06</c:v>
                </c:pt>
                <c:pt idx="4">
                  <c:v>2.68</c:v>
                </c:pt>
              </c:numCache>
            </c:numRef>
          </c:val>
          <c:extLst>
            <c:ext xmlns:c16="http://schemas.microsoft.com/office/drawing/2014/chart" uri="{C3380CC4-5D6E-409C-BE32-E72D297353CC}">
              <c16:uniqueId val="{00000000-EAD3-4A05-BDC8-D0190E8A0844}"/>
            </c:ext>
          </c:extLst>
        </c:ser>
        <c:dLbls>
          <c:dLblPos val="outEnd"/>
          <c:showLegendKey val="0"/>
          <c:showVal val="1"/>
          <c:showCatName val="0"/>
          <c:showSerName val="0"/>
          <c:showPercent val="0"/>
          <c:showBubbleSize val="0"/>
        </c:dLbls>
        <c:gapWidth val="100"/>
        <c:overlap val="-24"/>
        <c:axId val="680273760"/>
        <c:axId val="680278112"/>
        <c:extLst>
          <c:ext xmlns:c15="http://schemas.microsoft.com/office/drawing/2012/chart" uri="{02D57815-91ED-43cb-92C2-25804820EDAC}">
            <c15:filteredBarSeries>
              <c15:ser>
                <c:idx val="0"/>
                <c:order val="0"/>
                <c:tx>
                  <c:strRef>
                    <c:extLst>
                      <c:ext uri="{02D57815-91ED-43cb-92C2-25804820EDAC}">
                        <c15:formulaRef>
                          <c15:sqref>Sheet6!$A$15:$B$15</c15:sqref>
                        </c15:formulaRef>
                      </c:ext>
                    </c:extLst>
                    <c:strCache>
                      <c:ptCount val="2"/>
                      <c:pt idx="0">
                        <c:v>Particulars</c:v>
                      </c:pt>
                      <c:pt idx="1">
                        <c:v>Details</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1">
                                <a:lumMod val="35000"/>
                                <a:lumOff val="65000"/>
                              </a:schemeClr>
                            </a:solidFill>
                          </a:ln>
                          <a:effectLst/>
                        </c:spPr>
                      </c15:leaderLines>
                    </c:ext>
                  </c:extLst>
                </c:dLbls>
                <c:cat>
                  <c:numRef>
                    <c:extLst>
                      <c:ext uri="{02D57815-91ED-43cb-92C2-25804820EDAC}">
                        <c15:formulaRef>
                          <c15:sqref>Sheet6!$C$14:$G$14</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Sheet6!$C$15:$G$15</c15:sqref>
                        </c15:formulaRef>
                      </c:ext>
                    </c:extLst>
                    <c:numCache>
                      <c:formatCode>General</c:formatCode>
                      <c:ptCount val="5"/>
                    </c:numCache>
                  </c:numRef>
                </c:val>
                <c:extLst>
                  <c:ext xmlns:c16="http://schemas.microsoft.com/office/drawing/2014/chart" uri="{C3380CC4-5D6E-409C-BE32-E72D297353CC}">
                    <c16:uniqueId val="{00000001-EAD3-4A05-BDC8-D0190E8A0844}"/>
                  </c:ext>
                </c:extLst>
              </c15:ser>
            </c15:filteredBarSeries>
          </c:ext>
        </c:extLst>
      </c:barChart>
      <c:catAx>
        <c:axId val="680273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80278112"/>
        <c:crosses val="autoZero"/>
        <c:auto val="1"/>
        <c:lblAlgn val="ctr"/>
        <c:lblOffset val="100"/>
        <c:noMultiLvlLbl val="0"/>
      </c:catAx>
      <c:valAx>
        <c:axId val="680278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680273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3.5893754486719311E-2"/>
          <c:y val="0.20079004208980922"/>
          <c:w val="0.94735582675281171"/>
          <c:h val="0.59350327687912252"/>
        </c:manualLayout>
      </c:layout>
      <c:barChart>
        <c:barDir val="col"/>
        <c:grouping val="clustered"/>
        <c:varyColors val="0"/>
        <c:ser>
          <c:idx val="0"/>
          <c:order val="0"/>
          <c:tx>
            <c:strRef>
              <c:f>Sheet7!$A$2</c:f>
              <c:strCache>
                <c:ptCount val="1"/>
                <c:pt idx="0">
                  <c:v>Net Cash from Operating Activities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Sheet7!$B$1:$F$1</c:f>
              <c:strCache>
                <c:ptCount val="5"/>
                <c:pt idx="0">
                  <c:v>2020 (£m)</c:v>
                </c:pt>
                <c:pt idx="1">
                  <c:v>2021 (£m)</c:v>
                </c:pt>
                <c:pt idx="2">
                  <c:v>2022 (£m)</c:v>
                </c:pt>
                <c:pt idx="3">
                  <c:v>2023 (£m)</c:v>
                </c:pt>
                <c:pt idx="4">
                  <c:v>2024 (£m)</c:v>
                </c:pt>
              </c:strCache>
            </c:strRef>
          </c:cat>
          <c:val>
            <c:numRef>
              <c:f>Sheet7!$B$2:$F$2</c:f>
              <c:numCache>
                <c:formatCode>General</c:formatCode>
                <c:ptCount val="5"/>
                <c:pt idx="0">
                  <c:v>313.60000000000002</c:v>
                </c:pt>
                <c:pt idx="1">
                  <c:v>262.39999999999998</c:v>
                </c:pt>
                <c:pt idx="2">
                  <c:v>406.8</c:v>
                </c:pt>
                <c:pt idx="3">
                  <c:v>423.5</c:v>
                </c:pt>
                <c:pt idx="4">
                  <c:v>389.7</c:v>
                </c:pt>
              </c:numCache>
            </c:numRef>
          </c:val>
          <c:extLst>
            <c:ext xmlns:c16="http://schemas.microsoft.com/office/drawing/2014/chart" uri="{C3380CC4-5D6E-409C-BE32-E72D297353CC}">
              <c16:uniqueId val="{00000000-A359-4DCF-9661-BF69CA301FDB}"/>
            </c:ext>
          </c:extLst>
        </c:ser>
        <c:ser>
          <c:idx val="1"/>
          <c:order val="1"/>
          <c:tx>
            <c:strRef>
              <c:f>Sheet7!$A$3</c:f>
              <c:strCache>
                <c:ptCount val="1"/>
                <c:pt idx="0">
                  <c:v>Net Cash Used in Investing Activities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Sheet7!$B$1:$F$1</c:f>
              <c:strCache>
                <c:ptCount val="5"/>
                <c:pt idx="0">
                  <c:v>2020 (£m)</c:v>
                </c:pt>
                <c:pt idx="1">
                  <c:v>2021 (£m)</c:v>
                </c:pt>
                <c:pt idx="2">
                  <c:v>2022 (£m)</c:v>
                </c:pt>
                <c:pt idx="3">
                  <c:v>2023 (£m)</c:v>
                </c:pt>
                <c:pt idx="4">
                  <c:v>2024 (£m)</c:v>
                </c:pt>
              </c:strCache>
            </c:strRef>
          </c:cat>
          <c:val>
            <c:numRef>
              <c:f>Sheet7!$B$3:$F$3</c:f>
              <c:numCache>
                <c:formatCode>General</c:formatCode>
                <c:ptCount val="5"/>
                <c:pt idx="0">
                  <c:v>-60.2</c:v>
                </c:pt>
                <c:pt idx="1">
                  <c:v>-114.7</c:v>
                </c:pt>
                <c:pt idx="2">
                  <c:v>-242.3</c:v>
                </c:pt>
                <c:pt idx="3">
                  <c:v>-215.1</c:v>
                </c:pt>
                <c:pt idx="4">
                  <c:v>-172.7</c:v>
                </c:pt>
              </c:numCache>
            </c:numRef>
          </c:val>
          <c:extLst>
            <c:ext xmlns:c16="http://schemas.microsoft.com/office/drawing/2014/chart" uri="{C3380CC4-5D6E-409C-BE32-E72D297353CC}">
              <c16:uniqueId val="{00000001-A359-4DCF-9661-BF69CA301FDB}"/>
            </c:ext>
          </c:extLst>
        </c:ser>
        <c:ser>
          <c:idx val="2"/>
          <c:order val="2"/>
          <c:tx>
            <c:strRef>
              <c:f>Sheet7!$A$4</c:f>
              <c:strCache>
                <c:ptCount val="1"/>
                <c:pt idx="0">
                  <c:v>Net Cash from/(Used in) Financing Activities</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Sheet7!$B$1:$F$1</c:f>
              <c:strCache>
                <c:ptCount val="5"/>
                <c:pt idx="0">
                  <c:v>2020 (£m)</c:v>
                </c:pt>
                <c:pt idx="1">
                  <c:v>2021 (£m)</c:v>
                </c:pt>
                <c:pt idx="2">
                  <c:v>2022 (£m)</c:v>
                </c:pt>
                <c:pt idx="3">
                  <c:v>2023 (£m)</c:v>
                </c:pt>
                <c:pt idx="4">
                  <c:v>2024 (£m)</c:v>
                </c:pt>
              </c:strCache>
            </c:strRef>
          </c:cat>
          <c:val>
            <c:numRef>
              <c:f>Sheet7!$B$4:$F$4</c:f>
              <c:numCache>
                <c:formatCode>General</c:formatCode>
                <c:ptCount val="5"/>
                <c:pt idx="0">
                  <c:v>-224.8</c:v>
                </c:pt>
                <c:pt idx="1">
                  <c:v>-140.5</c:v>
                </c:pt>
                <c:pt idx="2">
                  <c:v>-151.4</c:v>
                </c:pt>
                <c:pt idx="3">
                  <c:v>-198.8</c:v>
                </c:pt>
                <c:pt idx="4">
                  <c:v>-186.2</c:v>
                </c:pt>
              </c:numCache>
            </c:numRef>
          </c:val>
          <c:extLst>
            <c:ext xmlns:c16="http://schemas.microsoft.com/office/drawing/2014/chart" uri="{C3380CC4-5D6E-409C-BE32-E72D297353CC}">
              <c16:uniqueId val="{00000002-A359-4DCF-9661-BF69CA301FDB}"/>
            </c:ext>
          </c:extLst>
        </c:ser>
        <c:ser>
          <c:idx val="3"/>
          <c:order val="3"/>
          <c:tx>
            <c:strRef>
              <c:f>Sheet7!$A$5</c:f>
              <c:strCache>
                <c:ptCount val="1"/>
                <c:pt idx="0">
                  <c:v>Net Increase/(Decrease) in Cash &amp; Cash Equivalents</c:v>
                </c:pt>
              </c:strCache>
            </c:strRef>
          </c:tx>
          <c:spPr>
            <a:solidFill>
              <a:schemeClr val="accent4"/>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Sheet7!$B$1:$F$1</c:f>
              <c:strCache>
                <c:ptCount val="5"/>
                <c:pt idx="0">
                  <c:v>2020 (£m)</c:v>
                </c:pt>
                <c:pt idx="1">
                  <c:v>2021 (£m)</c:v>
                </c:pt>
                <c:pt idx="2">
                  <c:v>2022 (£m)</c:v>
                </c:pt>
                <c:pt idx="3">
                  <c:v>2023 (£m)</c:v>
                </c:pt>
                <c:pt idx="4">
                  <c:v>2024 (£m)</c:v>
                </c:pt>
              </c:strCache>
            </c:strRef>
          </c:cat>
          <c:val>
            <c:numRef>
              <c:f>Sheet7!$B$5:$F$5</c:f>
              <c:numCache>
                <c:formatCode>General</c:formatCode>
                <c:ptCount val="5"/>
                <c:pt idx="0">
                  <c:v>28.6</c:v>
                </c:pt>
                <c:pt idx="1">
                  <c:v>7.2</c:v>
                </c:pt>
                <c:pt idx="2">
                  <c:v>13.1</c:v>
                </c:pt>
                <c:pt idx="3">
                  <c:v>9.6</c:v>
                </c:pt>
                <c:pt idx="4">
                  <c:v>30.8</c:v>
                </c:pt>
              </c:numCache>
            </c:numRef>
          </c:val>
          <c:extLst>
            <c:ext xmlns:c16="http://schemas.microsoft.com/office/drawing/2014/chart" uri="{C3380CC4-5D6E-409C-BE32-E72D297353CC}">
              <c16:uniqueId val="{00000003-A359-4DCF-9661-BF69CA301FDB}"/>
            </c:ext>
          </c:extLst>
        </c:ser>
        <c:ser>
          <c:idx val="4"/>
          <c:order val="4"/>
          <c:tx>
            <c:strRef>
              <c:f>Sheet7!$A$6</c:f>
              <c:strCache>
                <c:ptCount val="1"/>
                <c:pt idx="0">
                  <c:v>Closing Cash &amp; Cash Equivalents</c:v>
                </c:pt>
              </c:strCache>
            </c:strRef>
          </c:tx>
          <c:spPr>
            <a:solidFill>
              <a:schemeClr val="accent5"/>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Sheet7!$B$1:$F$1</c:f>
              <c:strCache>
                <c:ptCount val="5"/>
                <c:pt idx="0">
                  <c:v>2020 (£m)</c:v>
                </c:pt>
                <c:pt idx="1">
                  <c:v>2021 (£m)</c:v>
                </c:pt>
                <c:pt idx="2">
                  <c:v>2022 (£m)</c:v>
                </c:pt>
                <c:pt idx="3">
                  <c:v>2023 (£m)</c:v>
                </c:pt>
                <c:pt idx="4">
                  <c:v>2024 (£m)</c:v>
                </c:pt>
              </c:strCache>
            </c:strRef>
          </c:cat>
          <c:val>
            <c:numRef>
              <c:f>Sheet7!$B$6:$F$6</c:f>
              <c:numCache>
                <c:formatCode>General</c:formatCode>
                <c:ptCount val="5"/>
                <c:pt idx="0">
                  <c:v>195.4</c:v>
                </c:pt>
                <c:pt idx="1">
                  <c:v>202.6</c:v>
                </c:pt>
                <c:pt idx="2">
                  <c:v>215.7</c:v>
                </c:pt>
                <c:pt idx="3">
                  <c:v>225.3</c:v>
                </c:pt>
                <c:pt idx="4">
                  <c:v>256.10000000000002</c:v>
                </c:pt>
              </c:numCache>
            </c:numRef>
          </c:val>
          <c:extLst>
            <c:ext xmlns:c16="http://schemas.microsoft.com/office/drawing/2014/chart" uri="{C3380CC4-5D6E-409C-BE32-E72D297353CC}">
              <c16:uniqueId val="{00000004-A359-4DCF-9661-BF69CA301FDB}"/>
            </c:ext>
          </c:extLst>
        </c:ser>
        <c:dLbls>
          <c:dLblPos val="outEnd"/>
          <c:showLegendKey val="0"/>
          <c:showVal val="1"/>
          <c:showCatName val="0"/>
          <c:showSerName val="0"/>
          <c:showPercent val="0"/>
          <c:showBubbleSize val="0"/>
        </c:dLbls>
        <c:gapWidth val="444"/>
        <c:overlap val="-90"/>
        <c:axId val="680278656"/>
        <c:axId val="680279744"/>
      </c:barChart>
      <c:catAx>
        <c:axId val="6802786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80279744"/>
        <c:crosses val="autoZero"/>
        <c:auto val="1"/>
        <c:lblAlgn val="ctr"/>
        <c:lblOffset val="500"/>
        <c:noMultiLvlLbl val="0"/>
      </c:catAx>
      <c:valAx>
        <c:axId val="680279744"/>
        <c:scaling>
          <c:orientation val="minMax"/>
        </c:scaling>
        <c:delete val="1"/>
        <c:axPos val="l"/>
        <c:numFmt formatCode="General" sourceLinked="1"/>
        <c:majorTickMark val="none"/>
        <c:minorTickMark val="none"/>
        <c:tickLblPos val="nextTo"/>
        <c:crossAx val="680278656"/>
        <c:crosses val="autoZero"/>
        <c:crossBetween val="between"/>
      </c:valAx>
      <c:spPr>
        <a:noFill/>
        <a:ln>
          <a:noFill/>
        </a:ln>
        <a:effectLst/>
      </c:spPr>
    </c:plotArea>
    <c:legend>
      <c:legendPos val="t"/>
      <c:layout>
        <c:manualLayout>
          <c:xMode val="edge"/>
          <c:yMode val="edge"/>
          <c:x val="2.0720023062443832E-2"/>
          <c:y val="2.0120724346076459E-2"/>
          <c:w val="0.95855995387511239"/>
          <c:h val="0.180669317743732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B013A-AC4C-433B-BA19-DD1C0567E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52</Pages>
  <Words>8052</Words>
  <Characters>45899</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Karankumar Rameshbhai Chaudhary (2538332)</cp:lastModifiedBy>
  <cp:revision>2</cp:revision>
  <dcterms:created xsi:type="dcterms:W3CDTF">2026-08-13T09:39:00Z</dcterms:created>
  <dcterms:modified xsi:type="dcterms:W3CDTF">2026-08-13T09:39:00Z</dcterms:modified>
</cp:coreProperties>
</file>