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248EB" w14:textId="77777777" w:rsidR="00A3574B" w:rsidRDefault="00A3574B" w:rsidP="00EE50A8">
      <w:pPr>
        <w:jc w:val="center"/>
        <w:rPr>
          <w:rStyle w:val="Strong"/>
          <w:sz w:val="32"/>
          <w:szCs w:val="32"/>
        </w:rPr>
      </w:pPr>
      <w:bookmarkStart w:id="0" w:name="_Hlk227489654"/>
      <w:bookmarkEnd w:id="0"/>
    </w:p>
    <w:p w14:paraId="1F944BF2" w14:textId="77777777" w:rsidR="00A3574B" w:rsidRDefault="00A3574B" w:rsidP="00EE50A8">
      <w:pPr>
        <w:jc w:val="center"/>
        <w:rPr>
          <w:rStyle w:val="Strong"/>
          <w:sz w:val="32"/>
          <w:szCs w:val="32"/>
        </w:rPr>
      </w:pPr>
    </w:p>
    <w:p w14:paraId="17323DF6" w14:textId="77777777" w:rsidR="00433677" w:rsidRPr="00B93F19" w:rsidRDefault="00BA3007" w:rsidP="00EE50A8">
      <w:pPr>
        <w:jc w:val="center"/>
        <w:rPr>
          <w:rStyle w:val="Strong"/>
          <w:sz w:val="32"/>
          <w:szCs w:val="32"/>
        </w:rPr>
      </w:pPr>
      <w:r w:rsidRPr="00B93F19">
        <w:rPr>
          <w:rStyle w:val="Strong"/>
          <w:sz w:val="32"/>
          <w:szCs w:val="32"/>
        </w:rPr>
        <w:t>University of Wales Trinity Saint David</w:t>
      </w:r>
    </w:p>
    <w:p w14:paraId="7D7FBEEF" w14:textId="77777777" w:rsidR="00213196" w:rsidRPr="00B93F19" w:rsidRDefault="00BA3007" w:rsidP="00EE50A8">
      <w:pPr>
        <w:jc w:val="center"/>
        <w:rPr>
          <w:rStyle w:val="Strong"/>
          <w:sz w:val="32"/>
          <w:szCs w:val="32"/>
        </w:rPr>
      </w:pPr>
      <w:r w:rsidRPr="00B93F19">
        <w:rPr>
          <w:rStyle w:val="Strong"/>
          <w:sz w:val="32"/>
          <w:szCs w:val="32"/>
        </w:rPr>
        <w:t>School of Engineering</w:t>
      </w:r>
    </w:p>
    <w:p w14:paraId="28CCDC59" w14:textId="77777777" w:rsidR="00213196" w:rsidRPr="00B93F19" w:rsidRDefault="00213196" w:rsidP="00EE50A8">
      <w:pPr>
        <w:jc w:val="center"/>
        <w:rPr>
          <w:rStyle w:val="Strong"/>
          <w:sz w:val="32"/>
          <w:szCs w:val="32"/>
        </w:rPr>
      </w:pPr>
    </w:p>
    <w:p w14:paraId="562E102E" w14:textId="77777777" w:rsidR="00597617" w:rsidRDefault="00BA3007" w:rsidP="00EE50A8">
      <w:pPr>
        <w:jc w:val="center"/>
        <w:rPr>
          <w:rStyle w:val="Strong"/>
          <w:sz w:val="32"/>
          <w:szCs w:val="32"/>
        </w:rPr>
      </w:pPr>
      <w:r>
        <w:rPr>
          <w:noProof/>
        </w:rPr>
        <w:drawing>
          <wp:inline distT="0" distB="0" distL="0" distR="0" wp14:anchorId="71B9EFEE" wp14:editId="0536787F">
            <wp:extent cx="2139950" cy="2139950"/>
            <wp:effectExtent l="95250" t="95250" r="88900" b="88900"/>
            <wp:docPr id="3" name="Picture 3" descr="UWTSD Institute of Management and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UWTSD Institute of Management and Health"/>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139950" cy="21399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FA6F8E9" w14:textId="63032E96" w:rsidR="00213196" w:rsidRDefault="00BA3007" w:rsidP="00EE50A8">
      <w:pPr>
        <w:jc w:val="center"/>
        <w:rPr>
          <w:rStyle w:val="Strong"/>
          <w:sz w:val="32"/>
          <w:szCs w:val="32"/>
        </w:rPr>
      </w:pPr>
      <w:r>
        <w:rPr>
          <w:rStyle w:val="Strong"/>
          <w:sz w:val="32"/>
          <w:szCs w:val="32"/>
        </w:rPr>
        <w:t>L</w:t>
      </w:r>
      <w:r w:rsidR="00697F49">
        <w:rPr>
          <w:rStyle w:val="Strong"/>
          <w:sz w:val="32"/>
          <w:szCs w:val="32"/>
        </w:rPr>
        <w:t>6</w:t>
      </w:r>
      <w:r>
        <w:rPr>
          <w:rStyle w:val="Strong"/>
          <w:sz w:val="32"/>
          <w:szCs w:val="32"/>
        </w:rPr>
        <w:t xml:space="preserve"> </w:t>
      </w:r>
      <w:r w:rsidR="0060029F">
        <w:rPr>
          <w:rStyle w:val="Strong"/>
          <w:sz w:val="32"/>
          <w:szCs w:val="32"/>
        </w:rPr>
        <w:t xml:space="preserve">Plant and Asset Engineering </w:t>
      </w:r>
    </w:p>
    <w:p w14:paraId="5629CD4E" w14:textId="7E0640A0" w:rsidR="00E970FC" w:rsidRPr="00E970FC" w:rsidRDefault="00E970FC" w:rsidP="00EE50A8">
      <w:pPr>
        <w:jc w:val="center"/>
        <w:rPr>
          <w:rStyle w:val="Strong"/>
          <w:bCs w:val="0"/>
          <w:sz w:val="32"/>
          <w:szCs w:val="32"/>
        </w:rPr>
      </w:pPr>
      <w:r w:rsidRPr="00E970FC">
        <w:rPr>
          <w:rStyle w:val="Strong"/>
          <w:bCs w:val="0"/>
          <w:sz w:val="32"/>
          <w:szCs w:val="32"/>
        </w:rPr>
        <w:t xml:space="preserve">Evaluating the Effectiveness of </w:t>
      </w:r>
      <w:r w:rsidR="00064418">
        <w:rPr>
          <w:rStyle w:val="Strong"/>
          <w:bCs w:val="0"/>
          <w:sz w:val="32"/>
          <w:szCs w:val="32"/>
        </w:rPr>
        <w:t>Coke Oven Guide Machine</w:t>
      </w:r>
      <w:r w:rsidR="00452F92">
        <w:rPr>
          <w:rStyle w:val="Strong"/>
          <w:bCs w:val="0"/>
          <w:sz w:val="32"/>
          <w:szCs w:val="32"/>
        </w:rPr>
        <w:t xml:space="preserve"> Maintenance</w:t>
      </w:r>
      <w:r w:rsidRPr="00E970FC">
        <w:rPr>
          <w:rStyle w:val="Strong"/>
          <w:bCs w:val="0"/>
          <w:sz w:val="32"/>
          <w:szCs w:val="32"/>
        </w:rPr>
        <w:t xml:space="preserve"> Strategies </w:t>
      </w:r>
      <w:r w:rsidR="00064418">
        <w:rPr>
          <w:rStyle w:val="Strong"/>
          <w:bCs w:val="0"/>
          <w:sz w:val="32"/>
          <w:szCs w:val="32"/>
        </w:rPr>
        <w:t>at TATA Steel</w:t>
      </w:r>
      <w:r w:rsidRPr="00E970FC">
        <w:rPr>
          <w:rStyle w:val="Strong"/>
          <w:bCs w:val="0"/>
          <w:sz w:val="32"/>
          <w:szCs w:val="32"/>
        </w:rPr>
        <w:t xml:space="preserve"> </w:t>
      </w:r>
    </w:p>
    <w:p w14:paraId="20486795" w14:textId="5BB3EA0D" w:rsidR="00466EC6" w:rsidRPr="00DD3A17" w:rsidRDefault="00BA3007" w:rsidP="00E970FC">
      <w:pPr>
        <w:jc w:val="center"/>
        <w:rPr>
          <w:rStyle w:val="Strong"/>
          <w:sz w:val="32"/>
          <w:szCs w:val="32"/>
        </w:rPr>
      </w:pPr>
      <w:r w:rsidRPr="00DD3A17">
        <w:rPr>
          <w:rStyle w:val="Strong"/>
          <w:sz w:val="32"/>
          <w:szCs w:val="32"/>
        </w:rPr>
        <w:t>AC</w:t>
      </w:r>
      <w:r w:rsidR="00967D33">
        <w:rPr>
          <w:rStyle w:val="Strong"/>
          <w:sz w:val="32"/>
          <w:szCs w:val="32"/>
        </w:rPr>
        <w:t>M</w:t>
      </w:r>
      <w:r w:rsidRPr="00DD3A17">
        <w:rPr>
          <w:rStyle w:val="Strong"/>
          <w:sz w:val="32"/>
          <w:szCs w:val="32"/>
        </w:rPr>
        <w:t>A</w:t>
      </w:r>
      <w:r w:rsidR="00DB4E44">
        <w:rPr>
          <w:rStyle w:val="Strong"/>
          <w:sz w:val="32"/>
          <w:szCs w:val="32"/>
        </w:rPr>
        <w:t>60</w:t>
      </w:r>
      <w:r w:rsidR="00B1611C">
        <w:rPr>
          <w:rStyle w:val="Strong"/>
          <w:sz w:val="32"/>
          <w:szCs w:val="32"/>
        </w:rPr>
        <w:t>0</w:t>
      </w:r>
      <w:r w:rsidR="0060029F">
        <w:rPr>
          <w:rStyle w:val="Strong"/>
          <w:sz w:val="32"/>
          <w:szCs w:val="32"/>
        </w:rPr>
        <w:t>7</w:t>
      </w:r>
    </w:p>
    <w:p w14:paraId="14BA88B6" w14:textId="77777777" w:rsidR="00597617" w:rsidRPr="00DD3A17" w:rsidRDefault="00597617" w:rsidP="006E355D">
      <w:pPr>
        <w:rPr>
          <w:rStyle w:val="Strong"/>
          <w:sz w:val="32"/>
          <w:szCs w:val="32"/>
        </w:rPr>
      </w:pPr>
    </w:p>
    <w:p w14:paraId="531B6FD4" w14:textId="786353FF" w:rsidR="00532EB0" w:rsidRPr="00B93F19" w:rsidRDefault="00BA3007" w:rsidP="00EE50A8">
      <w:pPr>
        <w:jc w:val="center"/>
        <w:rPr>
          <w:rStyle w:val="Strong"/>
          <w:sz w:val="32"/>
          <w:szCs w:val="32"/>
        </w:rPr>
      </w:pPr>
      <w:r>
        <w:rPr>
          <w:rStyle w:val="Strong"/>
          <w:sz w:val="32"/>
          <w:szCs w:val="32"/>
        </w:rPr>
        <w:t>Matthew Fre</w:t>
      </w:r>
      <w:r w:rsidR="00967D33">
        <w:rPr>
          <w:rStyle w:val="Strong"/>
          <w:sz w:val="32"/>
          <w:szCs w:val="32"/>
        </w:rPr>
        <w:t>y</w:t>
      </w:r>
    </w:p>
    <w:p w14:paraId="5E9DFD51" w14:textId="77777777" w:rsidR="00532EB0" w:rsidRPr="00B93F19" w:rsidRDefault="00BA3007" w:rsidP="00EE50A8">
      <w:pPr>
        <w:jc w:val="center"/>
        <w:rPr>
          <w:rStyle w:val="Strong"/>
          <w:sz w:val="32"/>
          <w:szCs w:val="32"/>
        </w:rPr>
      </w:pPr>
      <w:r>
        <w:rPr>
          <w:rStyle w:val="Strong"/>
          <w:sz w:val="32"/>
          <w:szCs w:val="32"/>
        </w:rPr>
        <w:t>1302960</w:t>
      </w:r>
    </w:p>
    <w:p w14:paraId="5CE06A18" w14:textId="040C02EC" w:rsidR="004F0CDE" w:rsidRPr="00C84189" w:rsidRDefault="007F56FE" w:rsidP="00C84189">
      <w:pPr>
        <w:jc w:val="center"/>
        <w:rPr>
          <w:rStyle w:val="Strong"/>
          <w:sz w:val="32"/>
          <w:szCs w:val="32"/>
        </w:rPr>
        <w:sectPr w:rsidR="004F0CDE" w:rsidRPr="00C84189" w:rsidSect="00CA5152">
          <w:footerReference w:type="even" r:id="rId9"/>
          <w:footerReference w:type="default" r:id="rId10"/>
          <w:footerReference w:type="first" r:id="rId11"/>
          <w:pgSz w:w="11906" w:h="16838"/>
          <w:pgMar w:top="1440" w:right="1440" w:bottom="1440" w:left="1440" w:header="709" w:footer="709" w:gutter="0"/>
          <w:pgNumType w:start="1"/>
          <w:cols w:space="708"/>
          <w:titlePg/>
          <w:docGrid w:linePitch="360"/>
        </w:sectPr>
      </w:pPr>
      <w:r>
        <w:rPr>
          <w:rStyle w:val="Strong"/>
          <w:sz w:val="32"/>
          <w:szCs w:val="32"/>
        </w:rPr>
        <w:t>1</w:t>
      </w:r>
      <w:r w:rsidR="0060029F">
        <w:rPr>
          <w:rStyle w:val="Strong"/>
          <w:sz w:val="32"/>
          <w:szCs w:val="32"/>
        </w:rPr>
        <w:t>9/</w:t>
      </w:r>
      <w:r w:rsidR="008119C4">
        <w:rPr>
          <w:rStyle w:val="Strong"/>
          <w:sz w:val="32"/>
          <w:szCs w:val="32"/>
        </w:rPr>
        <w:t>0</w:t>
      </w:r>
      <w:r>
        <w:rPr>
          <w:rStyle w:val="Strong"/>
          <w:sz w:val="32"/>
          <w:szCs w:val="32"/>
        </w:rPr>
        <w:t>4</w:t>
      </w:r>
      <w:r w:rsidR="008119C4">
        <w:rPr>
          <w:rStyle w:val="Strong"/>
          <w:sz w:val="32"/>
          <w:szCs w:val="32"/>
        </w:rPr>
        <w:t>/202</w:t>
      </w:r>
      <w:r w:rsidR="00DB4E44">
        <w:rPr>
          <w:rStyle w:val="Strong"/>
          <w:sz w:val="32"/>
          <w:szCs w:val="32"/>
        </w:rPr>
        <w:t>6</w:t>
      </w:r>
    </w:p>
    <w:p w14:paraId="2852FC0D" w14:textId="77777777" w:rsidR="00433677" w:rsidRPr="009E588B" w:rsidRDefault="00433677">
      <w:pPr>
        <w:spacing w:line="259" w:lineRule="auto"/>
        <w:rPr>
          <w:rStyle w:val="Strong"/>
          <w:rFonts w:cs="Arial"/>
        </w:rPr>
      </w:pPr>
    </w:p>
    <w:sdt>
      <w:sdtPr>
        <w:rPr>
          <w:rFonts w:eastAsiaTheme="minorHAnsi" w:cs="Arial"/>
          <w:b/>
          <w:bCs/>
          <w:sz w:val="22"/>
          <w:szCs w:val="22"/>
        </w:rPr>
        <w:id w:val="159975178"/>
        <w:docPartObj>
          <w:docPartGallery w:val="Table of Contents"/>
          <w:docPartUnique/>
        </w:docPartObj>
      </w:sdtPr>
      <w:sdtEndPr>
        <w:rPr>
          <w:rFonts w:cstheme="minorBidi"/>
          <w:noProof/>
        </w:rPr>
      </w:sdtEndPr>
      <w:sdtContent>
        <w:p w14:paraId="129C56B1" w14:textId="77777777" w:rsidR="006979B9" w:rsidRPr="00030717" w:rsidRDefault="00BA3007" w:rsidP="00597617">
          <w:pPr>
            <w:pStyle w:val="TOCHeading"/>
            <w:numPr>
              <w:ilvl w:val="0"/>
              <w:numId w:val="0"/>
            </w:numPr>
            <w:ind w:left="432"/>
            <w:rPr>
              <w:rFonts w:cs="Arial"/>
            </w:rPr>
          </w:pPr>
          <w:r w:rsidRPr="00030717">
            <w:rPr>
              <w:rFonts w:cs="Arial"/>
            </w:rPr>
            <w:t>Table of Contents</w:t>
          </w:r>
        </w:p>
        <w:p w14:paraId="53ED6024" w14:textId="13CC83B1" w:rsidR="0060029F" w:rsidRDefault="00BA3007">
          <w:pPr>
            <w:pStyle w:val="TOC1"/>
            <w:tabs>
              <w:tab w:val="left" w:pos="440"/>
              <w:tab w:val="right" w:leader="dot" w:pos="9016"/>
            </w:tabs>
            <w:rPr>
              <w:rFonts w:cstheme="minorBidi"/>
              <w:noProof/>
              <w:kern w:val="2"/>
              <w:sz w:val="24"/>
              <w:szCs w:val="24"/>
              <w:lang w:val="en-GB" w:eastAsia="en-GB"/>
              <w14:ligatures w14:val="standardContextual"/>
            </w:rPr>
          </w:pPr>
          <w:r w:rsidRPr="00030717">
            <w:rPr>
              <w:rFonts w:ascii="Arial" w:hAnsi="Arial" w:cs="Arial"/>
            </w:rPr>
            <w:fldChar w:fldCharType="begin"/>
          </w:r>
          <w:r w:rsidRPr="00030717">
            <w:rPr>
              <w:rFonts w:ascii="Arial" w:hAnsi="Arial" w:cs="Arial"/>
            </w:rPr>
            <w:instrText xml:space="preserve"> TOC \o "1-3" \h \z \u </w:instrText>
          </w:r>
          <w:r w:rsidRPr="00030717">
            <w:rPr>
              <w:rFonts w:ascii="Arial" w:hAnsi="Arial" w:cs="Arial"/>
            </w:rPr>
            <w:fldChar w:fldCharType="separate"/>
          </w:r>
          <w:hyperlink w:anchor="_Toc227502214" w:history="1">
            <w:r w:rsidR="0060029F" w:rsidRPr="00566D55">
              <w:rPr>
                <w:rStyle w:val="Hyperlink"/>
                <w:b/>
                <w:bCs/>
                <w:noProof/>
              </w:rPr>
              <w:t>1</w:t>
            </w:r>
            <w:r w:rsidR="0060029F">
              <w:rPr>
                <w:rFonts w:cstheme="minorBidi"/>
                <w:noProof/>
                <w:kern w:val="2"/>
                <w:sz w:val="24"/>
                <w:szCs w:val="24"/>
                <w:lang w:val="en-GB" w:eastAsia="en-GB"/>
                <w14:ligatures w14:val="standardContextual"/>
              </w:rPr>
              <w:tab/>
            </w:r>
            <w:r w:rsidR="0060029F" w:rsidRPr="00566D55">
              <w:rPr>
                <w:rStyle w:val="Hyperlink"/>
                <w:b/>
                <w:bCs/>
                <w:noProof/>
              </w:rPr>
              <w:t>Introduction</w:t>
            </w:r>
            <w:r w:rsidR="0060029F">
              <w:rPr>
                <w:noProof/>
                <w:webHidden/>
              </w:rPr>
              <w:tab/>
            </w:r>
            <w:r w:rsidR="0060029F">
              <w:rPr>
                <w:noProof/>
                <w:webHidden/>
              </w:rPr>
              <w:fldChar w:fldCharType="begin"/>
            </w:r>
            <w:r w:rsidR="0060029F">
              <w:rPr>
                <w:noProof/>
                <w:webHidden/>
              </w:rPr>
              <w:instrText xml:space="preserve"> PAGEREF _Toc227502214 \h </w:instrText>
            </w:r>
            <w:r w:rsidR="0060029F">
              <w:rPr>
                <w:noProof/>
                <w:webHidden/>
              </w:rPr>
            </w:r>
            <w:r w:rsidR="0060029F">
              <w:rPr>
                <w:noProof/>
                <w:webHidden/>
              </w:rPr>
              <w:fldChar w:fldCharType="separate"/>
            </w:r>
            <w:r w:rsidR="0060029F">
              <w:rPr>
                <w:noProof/>
                <w:webHidden/>
              </w:rPr>
              <w:t>4</w:t>
            </w:r>
            <w:r w:rsidR="0060029F">
              <w:rPr>
                <w:noProof/>
                <w:webHidden/>
              </w:rPr>
              <w:fldChar w:fldCharType="end"/>
            </w:r>
          </w:hyperlink>
        </w:p>
        <w:p w14:paraId="548E358B" w14:textId="0EBA4486" w:rsidR="0060029F" w:rsidRDefault="0060029F">
          <w:pPr>
            <w:pStyle w:val="TOC1"/>
            <w:tabs>
              <w:tab w:val="left" w:pos="440"/>
              <w:tab w:val="right" w:leader="dot" w:pos="9016"/>
            </w:tabs>
            <w:rPr>
              <w:rFonts w:cstheme="minorBidi"/>
              <w:noProof/>
              <w:kern w:val="2"/>
              <w:sz w:val="24"/>
              <w:szCs w:val="24"/>
              <w:lang w:val="en-GB" w:eastAsia="en-GB"/>
              <w14:ligatures w14:val="standardContextual"/>
            </w:rPr>
          </w:pPr>
          <w:hyperlink w:anchor="_Toc227502215" w:history="1">
            <w:r w:rsidRPr="00566D55">
              <w:rPr>
                <w:rStyle w:val="Hyperlink"/>
                <w:b/>
                <w:bCs/>
                <w:noProof/>
              </w:rPr>
              <w:t>2</w:t>
            </w:r>
            <w:r>
              <w:rPr>
                <w:rFonts w:cstheme="minorBidi"/>
                <w:noProof/>
                <w:kern w:val="2"/>
                <w:sz w:val="24"/>
                <w:szCs w:val="24"/>
                <w:lang w:val="en-GB" w:eastAsia="en-GB"/>
                <w14:ligatures w14:val="standardContextual"/>
              </w:rPr>
              <w:tab/>
            </w:r>
            <w:r w:rsidRPr="00566D55">
              <w:rPr>
                <w:rStyle w:val="Hyperlink"/>
                <w:b/>
                <w:bCs/>
                <w:noProof/>
              </w:rPr>
              <w:t>Background</w:t>
            </w:r>
            <w:r>
              <w:rPr>
                <w:noProof/>
                <w:webHidden/>
              </w:rPr>
              <w:tab/>
            </w:r>
            <w:r>
              <w:rPr>
                <w:noProof/>
                <w:webHidden/>
              </w:rPr>
              <w:fldChar w:fldCharType="begin"/>
            </w:r>
            <w:r>
              <w:rPr>
                <w:noProof/>
                <w:webHidden/>
              </w:rPr>
              <w:instrText xml:space="preserve"> PAGEREF _Toc227502215 \h </w:instrText>
            </w:r>
            <w:r>
              <w:rPr>
                <w:noProof/>
                <w:webHidden/>
              </w:rPr>
            </w:r>
            <w:r>
              <w:rPr>
                <w:noProof/>
                <w:webHidden/>
              </w:rPr>
              <w:fldChar w:fldCharType="separate"/>
            </w:r>
            <w:r>
              <w:rPr>
                <w:noProof/>
                <w:webHidden/>
              </w:rPr>
              <w:t>5</w:t>
            </w:r>
            <w:r>
              <w:rPr>
                <w:noProof/>
                <w:webHidden/>
              </w:rPr>
              <w:fldChar w:fldCharType="end"/>
            </w:r>
          </w:hyperlink>
        </w:p>
        <w:p w14:paraId="6EA907FC" w14:textId="229DAD89" w:rsidR="0060029F" w:rsidRDefault="0060029F">
          <w:pPr>
            <w:pStyle w:val="TOC1"/>
            <w:tabs>
              <w:tab w:val="left" w:pos="440"/>
              <w:tab w:val="right" w:leader="dot" w:pos="9016"/>
            </w:tabs>
            <w:rPr>
              <w:rFonts w:cstheme="minorBidi"/>
              <w:noProof/>
              <w:kern w:val="2"/>
              <w:sz w:val="24"/>
              <w:szCs w:val="24"/>
              <w:lang w:val="en-GB" w:eastAsia="en-GB"/>
              <w14:ligatures w14:val="standardContextual"/>
            </w:rPr>
          </w:pPr>
          <w:hyperlink w:anchor="_Toc227502216" w:history="1">
            <w:r w:rsidRPr="00566D55">
              <w:rPr>
                <w:rStyle w:val="Hyperlink"/>
                <w:b/>
                <w:bCs/>
                <w:noProof/>
              </w:rPr>
              <w:t>3</w:t>
            </w:r>
            <w:r>
              <w:rPr>
                <w:rFonts w:cstheme="minorBidi"/>
                <w:noProof/>
                <w:kern w:val="2"/>
                <w:sz w:val="24"/>
                <w:szCs w:val="24"/>
                <w:lang w:val="en-GB" w:eastAsia="en-GB"/>
                <w14:ligatures w14:val="standardContextual"/>
              </w:rPr>
              <w:tab/>
            </w:r>
            <w:r w:rsidRPr="00566D55">
              <w:rPr>
                <w:rStyle w:val="Hyperlink"/>
                <w:b/>
                <w:bCs/>
                <w:noProof/>
              </w:rPr>
              <w:t>Critical Review of Current Maintenance Practices</w:t>
            </w:r>
            <w:r>
              <w:rPr>
                <w:noProof/>
                <w:webHidden/>
              </w:rPr>
              <w:tab/>
            </w:r>
            <w:r>
              <w:rPr>
                <w:noProof/>
                <w:webHidden/>
              </w:rPr>
              <w:fldChar w:fldCharType="begin"/>
            </w:r>
            <w:r>
              <w:rPr>
                <w:noProof/>
                <w:webHidden/>
              </w:rPr>
              <w:instrText xml:space="preserve"> PAGEREF _Toc227502216 \h </w:instrText>
            </w:r>
            <w:r>
              <w:rPr>
                <w:noProof/>
                <w:webHidden/>
              </w:rPr>
            </w:r>
            <w:r>
              <w:rPr>
                <w:noProof/>
                <w:webHidden/>
              </w:rPr>
              <w:fldChar w:fldCharType="separate"/>
            </w:r>
            <w:r>
              <w:rPr>
                <w:noProof/>
                <w:webHidden/>
              </w:rPr>
              <w:t>6</w:t>
            </w:r>
            <w:r>
              <w:rPr>
                <w:noProof/>
                <w:webHidden/>
              </w:rPr>
              <w:fldChar w:fldCharType="end"/>
            </w:r>
          </w:hyperlink>
        </w:p>
        <w:p w14:paraId="65A43D5D" w14:textId="10A3ED37" w:rsidR="0060029F" w:rsidRDefault="0060029F">
          <w:pPr>
            <w:pStyle w:val="TOC1"/>
            <w:tabs>
              <w:tab w:val="left" w:pos="440"/>
              <w:tab w:val="right" w:leader="dot" w:pos="9016"/>
            </w:tabs>
            <w:rPr>
              <w:rFonts w:cstheme="minorBidi"/>
              <w:noProof/>
              <w:kern w:val="2"/>
              <w:sz w:val="24"/>
              <w:szCs w:val="24"/>
              <w:lang w:val="en-GB" w:eastAsia="en-GB"/>
              <w14:ligatures w14:val="standardContextual"/>
            </w:rPr>
          </w:pPr>
          <w:hyperlink w:anchor="_Toc227502217" w:history="1">
            <w:r w:rsidRPr="00566D55">
              <w:rPr>
                <w:rStyle w:val="Hyperlink"/>
                <w:b/>
                <w:bCs/>
                <w:noProof/>
              </w:rPr>
              <w:t>4</w:t>
            </w:r>
            <w:r>
              <w:rPr>
                <w:rFonts w:cstheme="minorBidi"/>
                <w:noProof/>
                <w:kern w:val="2"/>
                <w:sz w:val="24"/>
                <w:szCs w:val="24"/>
                <w:lang w:val="en-GB" w:eastAsia="en-GB"/>
                <w14:ligatures w14:val="standardContextual"/>
              </w:rPr>
              <w:tab/>
            </w:r>
            <w:r w:rsidRPr="00566D55">
              <w:rPr>
                <w:rStyle w:val="Hyperlink"/>
                <w:b/>
                <w:bCs/>
                <w:noProof/>
              </w:rPr>
              <w:t>Evaluation of Improvements to Maintenance Strategy</w:t>
            </w:r>
            <w:r>
              <w:rPr>
                <w:noProof/>
                <w:webHidden/>
              </w:rPr>
              <w:tab/>
            </w:r>
            <w:r>
              <w:rPr>
                <w:noProof/>
                <w:webHidden/>
              </w:rPr>
              <w:fldChar w:fldCharType="begin"/>
            </w:r>
            <w:r>
              <w:rPr>
                <w:noProof/>
                <w:webHidden/>
              </w:rPr>
              <w:instrText xml:space="preserve"> PAGEREF _Toc227502217 \h </w:instrText>
            </w:r>
            <w:r>
              <w:rPr>
                <w:noProof/>
                <w:webHidden/>
              </w:rPr>
            </w:r>
            <w:r>
              <w:rPr>
                <w:noProof/>
                <w:webHidden/>
              </w:rPr>
              <w:fldChar w:fldCharType="separate"/>
            </w:r>
            <w:r>
              <w:rPr>
                <w:noProof/>
                <w:webHidden/>
              </w:rPr>
              <w:t>10</w:t>
            </w:r>
            <w:r>
              <w:rPr>
                <w:noProof/>
                <w:webHidden/>
              </w:rPr>
              <w:fldChar w:fldCharType="end"/>
            </w:r>
          </w:hyperlink>
        </w:p>
        <w:p w14:paraId="68D30B80" w14:textId="76CC4092" w:rsidR="0060029F" w:rsidRDefault="0060029F">
          <w:pPr>
            <w:pStyle w:val="TOC1"/>
            <w:tabs>
              <w:tab w:val="left" w:pos="440"/>
              <w:tab w:val="right" w:leader="dot" w:pos="9016"/>
            </w:tabs>
            <w:rPr>
              <w:rFonts w:cstheme="minorBidi"/>
              <w:noProof/>
              <w:kern w:val="2"/>
              <w:sz w:val="24"/>
              <w:szCs w:val="24"/>
              <w:lang w:val="en-GB" w:eastAsia="en-GB"/>
              <w14:ligatures w14:val="standardContextual"/>
            </w:rPr>
          </w:pPr>
          <w:hyperlink w:anchor="_Toc227502218" w:history="1">
            <w:r w:rsidRPr="00566D55">
              <w:rPr>
                <w:rStyle w:val="Hyperlink"/>
                <w:b/>
                <w:bCs/>
                <w:noProof/>
              </w:rPr>
              <w:t>5</w:t>
            </w:r>
            <w:r>
              <w:rPr>
                <w:rFonts w:cstheme="minorBidi"/>
                <w:noProof/>
                <w:kern w:val="2"/>
                <w:sz w:val="24"/>
                <w:szCs w:val="24"/>
                <w:lang w:val="en-GB" w:eastAsia="en-GB"/>
                <w14:ligatures w14:val="standardContextual"/>
              </w:rPr>
              <w:tab/>
            </w:r>
            <w:r w:rsidRPr="00566D55">
              <w:rPr>
                <w:rStyle w:val="Hyperlink"/>
                <w:b/>
                <w:bCs/>
                <w:noProof/>
              </w:rPr>
              <w:t>Costs and Resources Required</w:t>
            </w:r>
            <w:r>
              <w:rPr>
                <w:noProof/>
                <w:webHidden/>
              </w:rPr>
              <w:tab/>
            </w:r>
            <w:r>
              <w:rPr>
                <w:noProof/>
                <w:webHidden/>
              </w:rPr>
              <w:fldChar w:fldCharType="begin"/>
            </w:r>
            <w:r>
              <w:rPr>
                <w:noProof/>
                <w:webHidden/>
              </w:rPr>
              <w:instrText xml:space="preserve"> PAGEREF _Toc227502218 \h </w:instrText>
            </w:r>
            <w:r>
              <w:rPr>
                <w:noProof/>
                <w:webHidden/>
              </w:rPr>
            </w:r>
            <w:r>
              <w:rPr>
                <w:noProof/>
                <w:webHidden/>
              </w:rPr>
              <w:fldChar w:fldCharType="separate"/>
            </w:r>
            <w:r>
              <w:rPr>
                <w:noProof/>
                <w:webHidden/>
              </w:rPr>
              <w:t>12</w:t>
            </w:r>
            <w:r>
              <w:rPr>
                <w:noProof/>
                <w:webHidden/>
              </w:rPr>
              <w:fldChar w:fldCharType="end"/>
            </w:r>
          </w:hyperlink>
        </w:p>
        <w:p w14:paraId="036D0ADD" w14:textId="73B53110" w:rsidR="0060029F" w:rsidRDefault="0060029F">
          <w:pPr>
            <w:pStyle w:val="TOC2"/>
            <w:tabs>
              <w:tab w:val="left" w:pos="960"/>
              <w:tab w:val="right" w:leader="dot" w:pos="9016"/>
            </w:tabs>
            <w:rPr>
              <w:rFonts w:cstheme="minorBidi"/>
              <w:noProof/>
              <w:kern w:val="2"/>
              <w:sz w:val="24"/>
              <w:szCs w:val="24"/>
              <w:lang w:val="en-GB" w:eastAsia="en-GB"/>
              <w14:ligatures w14:val="standardContextual"/>
            </w:rPr>
          </w:pPr>
          <w:hyperlink w:anchor="_Toc227502219" w:history="1">
            <w:r w:rsidRPr="00566D55">
              <w:rPr>
                <w:rStyle w:val="Hyperlink"/>
                <w:noProof/>
              </w:rPr>
              <w:t>5.1</w:t>
            </w:r>
            <w:r>
              <w:rPr>
                <w:rFonts w:cstheme="minorBidi"/>
                <w:noProof/>
                <w:kern w:val="2"/>
                <w:sz w:val="24"/>
                <w:szCs w:val="24"/>
                <w:lang w:val="en-GB" w:eastAsia="en-GB"/>
                <w14:ligatures w14:val="standardContextual"/>
              </w:rPr>
              <w:tab/>
            </w:r>
            <w:r w:rsidRPr="00566D55">
              <w:rPr>
                <w:rStyle w:val="Hyperlink"/>
                <w:noProof/>
              </w:rPr>
              <w:t>Current Maintenance Cost Baseline</w:t>
            </w:r>
            <w:r>
              <w:rPr>
                <w:noProof/>
                <w:webHidden/>
              </w:rPr>
              <w:tab/>
            </w:r>
            <w:r>
              <w:rPr>
                <w:noProof/>
                <w:webHidden/>
              </w:rPr>
              <w:fldChar w:fldCharType="begin"/>
            </w:r>
            <w:r>
              <w:rPr>
                <w:noProof/>
                <w:webHidden/>
              </w:rPr>
              <w:instrText xml:space="preserve"> PAGEREF _Toc227502219 \h </w:instrText>
            </w:r>
            <w:r>
              <w:rPr>
                <w:noProof/>
                <w:webHidden/>
              </w:rPr>
            </w:r>
            <w:r>
              <w:rPr>
                <w:noProof/>
                <w:webHidden/>
              </w:rPr>
              <w:fldChar w:fldCharType="separate"/>
            </w:r>
            <w:r>
              <w:rPr>
                <w:noProof/>
                <w:webHidden/>
              </w:rPr>
              <w:t>12</w:t>
            </w:r>
            <w:r>
              <w:rPr>
                <w:noProof/>
                <w:webHidden/>
              </w:rPr>
              <w:fldChar w:fldCharType="end"/>
            </w:r>
          </w:hyperlink>
        </w:p>
        <w:p w14:paraId="09468034" w14:textId="65DB1664" w:rsidR="0060029F" w:rsidRDefault="0060029F">
          <w:pPr>
            <w:pStyle w:val="TOC2"/>
            <w:tabs>
              <w:tab w:val="left" w:pos="960"/>
              <w:tab w:val="right" w:leader="dot" w:pos="9016"/>
            </w:tabs>
            <w:rPr>
              <w:rFonts w:cstheme="minorBidi"/>
              <w:noProof/>
              <w:kern w:val="2"/>
              <w:sz w:val="24"/>
              <w:szCs w:val="24"/>
              <w:lang w:val="en-GB" w:eastAsia="en-GB"/>
              <w14:ligatures w14:val="standardContextual"/>
            </w:rPr>
          </w:pPr>
          <w:hyperlink w:anchor="_Toc227502220" w:history="1">
            <w:r w:rsidRPr="00566D55">
              <w:rPr>
                <w:rStyle w:val="Hyperlink"/>
                <w:noProof/>
              </w:rPr>
              <w:t>5.2</w:t>
            </w:r>
            <w:r>
              <w:rPr>
                <w:rFonts w:cstheme="minorBidi"/>
                <w:noProof/>
                <w:kern w:val="2"/>
                <w:sz w:val="24"/>
                <w:szCs w:val="24"/>
                <w:lang w:val="en-GB" w:eastAsia="en-GB"/>
                <w14:ligatures w14:val="standardContextual"/>
              </w:rPr>
              <w:tab/>
            </w:r>
            <w:r w:rsidRPr="00566D55">
              <w:rPr>
                <w:rStyle w:val="Hyperlink"/>
                <w:noProof/>
              </w:rPr>
              <w:t>Hidden and Indirect Costs</w:t>
            </w:r>
            <w:r>
              <w:rPr>
                <w:noProof/>
                <w:webHidden/>
              </w:rPr>
              <w:tab/>
            </w:r>
            <w:r>
              <w:rPr>
                <w:noProof/>
                <w:webHidden/>
              </w:rPr>
              <w:fldChar w:fldCharType="begin"/>
            </w:r>
            <w:r>
              <w:rPr>
                <w:noProof/>
                <w:webHidden/>
              </w:rPr>
              <w:instrText xml:space="preserve"> PAGEREF _Toc227502220 \h </w:instrText>
            </w:r>
            <w:r>
              <w:rPr>
                <w:noProof/>
                <w:webHidden/>
              </w:rPr>
            </w:r>
            <w:r>
              <w:rPr>
                <w:noProof/>
                <w:webHidden/>
              </w:rPr>
              <w:fldChar w:fldCharType="separate"/>
            </w:r>
            <w:r>
              <w:rPr>
                <w:noProof/>
                <w:webHidden/>
              </w:rPr>
              <w:t>13</w:t>
            </w:r>
            <w:r>
              <w:rPr>
                <w:noProof/>
                <w:webHidden/>
              </w:rPr>
              <w:fldChar w:fldCharType="end"/>
            </w:r>
          </w:hyperlink>
        </w:p>
        <w:p w14:paraId="70B0FC0A" w14:textId="3B4703FD" w:rsidR="0060029F" w:rsidRDefault="0060029F">
          <w:pPr>
            <w:pStyle w:val="TOC2"/>
            <w:tabs>
              <w:tab w:val="left" w:pos="960"/>
              <w:tab w:val="right" w:leader="dot" w:pos="9016"/>
            </w:tabs>
            <w:rPr>
              <w:rFonts w:cstheme="minorBidi"/>
              <w:noProof/>
              <w:kern w:val="2"/>
              <w:sz w:val="24"/>
              <w:szCs w:val="24"/>
              <w:lang w:val="en-GB" w:eastAsia="en-GB"/>
              <w14:ligatures w14:val="standardContextual"/>
            </w:rPr>
          </w:pPr>
          <w:hyperlink w:anchor="_Toc227502221" w:history="1">
            <w:r w:rsidRPr="00566D55">
              <w:rPr>
                <w:rStyle w:val="Hyperlink"/>
                <w:noProof/>
              </w:rPr>
              <w:t>5.3</w:t>
            </w:r>
            <w:r>
              <w:rPr>
                <w:rFonts w:cstheme="minorBidi"/>
                <w:noProof/>
                <w:kern w:val="2"/>
                <w:sz w:val="24"/>
                <w:szCs w:val="24"/>
                <w:lang w:val="en-GB" w:eastAsia="en-GB"/>
                <w14:ligatures w14:val="standardContextual"/>
              </w:rPr>
              <w:tab/>
            </w:r>
            <w:r w:rsidRPr="00566D55">
              <w:rPr>
                <w:rStyle w:val="Hyperlink"/>
                <w:noProof/>
              </w:rPr>
              <w:t>Critical Evaluation of Cost Efficiency</w:t>
            </w:r>
            <w:r>
              <w:rPr>
                <w:noProof/>
                <w:webHidden/>
              </w:rPr>
              <w:tab/>
            </w:r>
            <w:r>
              <w:rPr>
                <w:noProof/>
                <w:webHidden/>
              </w:rPr>
              <w:fldChar w:fldCharType="begin"/>
            </w:r>
            <w:r>
              <w:rPr>
                <w:noProof/>
                <w:webHidden/>
              </w:rPr>
              <w:instrText xml:space="preserve"> PAGEREF _Toc227502221 \h </w:instrText>
            </w:r>
            <w:r>
              <w:rPr>
                <w:noProof/>
                <w:webHidden/>
              </w:rPr>
            </w:r>
            <w:r>
              <w:rPr>
                <w:noProof/>
                <w:webHidden/>
              </w:rPr>
              <w:fldChar w:fldCharType="separate"/>
            </w:r>
            <w:r>
              <w:rPr>
                <w:noProof/>
                <w:webHidden/>
              </w:rPr>
              <w:t>13</w:t>
            </w:r>
            <w:r>
              <w:rPr>
                <w:noProof/>
                <w:webHidden/>
              </w:rPr>
              <w:fldChar w:fldCharType="end"/>
            </w:r>
          </w:hyperlink>
        </w:p>
        <w:p w14:paraId="50C211D4" w14:textId="38937FCC" w:rsidR="0060029F" w:rsidRDefault="0060029F">
          <w:pPr>
            <w:pStyle w:val="TOC2"/>
            <w:tabs>
              <w:tab w:val="left" w:pos="960"/>
              <w:tab w:val="right" w:leader="dot" w:pos="9016"/>
            </w:tabs>
            <w:rPr>
              <w:rFonts w:cstheme="minorBidi"/>
              <w:noProof/>
              <w:kern w:val="2"/>
              <w:sz w:val="24"/>
              <w:szCs w:val="24"/>
              <w:lang w:val="en-GB" w:eastAsia="en-GB"/>
              <w14:ligatures w14:val="standardContextual"/>
            </w:rPr>
          </w:pPr>
          <w:hyperlink w:anchor="_Toc227502222" w:history="1">
            <w:r w:rsidRPr="00566D55">
              <w:rPr>
                <w:rStyle w:val="Hyperlink"/>
                <w:noProof/>
              </w:rPr>
              <w:t>5.4</w:t>
            </w:r>
            <w:r>
              <w:rPr>
                <w:rFonts w:cstheme="minorBidi"/>
                <w:noProof/>
                <w:kern w:val="2"/>
                <w:sz w:val="24"/>
                <w:szCs w:val="24"/>
                <w:lang w:val="en-GB" w:eastAsia="en-GB"/>
                <w14:ligatures w14:val="standardContextual"/>
              </w:rPr>
              <w:tab/>
            </w:r>
            <w:r w:rsidRPr="00566D55">
              <w:rPr>
                <w:rStyle w:val="Hyperlink"/>
                <w:noProof/>
              </w:rPr>
              <w:t>Cost Implications of Proposed Improvements</w:t>
            </w:r>
            <w:r>
              <w:rPr>
                <w:noProof/>
                <w:webHidden/>
              </w:rPr>
              <w:tab/>
            </w:r>
            <w:r>
              <w:rPr>
                <w:noProof/>
                <w:webHidden/>
              </w:rPr>
              <w:fldChar w:fldCharType="begin"/>
            </w:r>
            <w:r>
              <w:rPr>
                <w:noProof/>
                <w:webHidden/>
              </w:rPr>
              <w:instrText xml:space="preserve"> PAGEREF _Toc227502222 \h </w:instrText>
            </w:r>
            <w:r>
              <w:rPr>
                <w:noProof/>
                <w:webHidden/>
              </w:rPr>
            </w:r>
            <w:r>
              <w:rPr>
                <w:noProof/>
                <w:webHidden/>
              </w:rPr>
              <w:fldChar w:fldCharType="separate"/>
            </w:r>
            <w:r>
              <w:rPr>
                <w:noProof/>
                <w:webHidden/>
              </w:rPr>
              <w:t>14</w:t>
            </w:r>
            <w:r>
              <w:rPr>
                <w:noProof/>
                <w:webHidden/>
              </w:rPr>
              <w:fldChar w:fldCharType="end"/>
            </w:r>
          </w:hyperlink>
        </w:p>
        <w:p w14:paraId="4032D825" w14:textId="7AF54E45" w:rsidR="0060029F" w:rsidRDefault="0060029F">
          <w:pPr>
            <w:pStyle w:val="TOC2"/>
            <w:tabs>
              <w:tab w:val="left" w:pos="960"/>
              <w:tab w:val="right" w:leader="dot" w:pos="9016"/>
            </w:tabs>
            <w:rPr>
              <w:rFonts w:cstheme="minorBidi"/>
              <w:noProof/>
              <w:kern w:val="2"/>
              <w:sz w:val="24"/>
              <w:szCs w:val="24"/>
              <w:lang w:val="en-GB" w:eastAsia="en-GB"/>
              <w14:ligatures w14:val="standardContextual"/>
            </w:rPr>
          </w:pPr>
          <w:hyperlink w:anchor="_Toc227502223" w:history="1">
            <w:r w:rsidRPr="00566D55">
              <w:rPr>
                <w:rStyle w:val="Hyperlink"/>
                <w:noProof/>
              </w:rPr>
              <w:t>5.5</w:t>
            </w:r>
            <w:r>
              <w:rPr>
                <w:rFonts w:cstheme="minorBidi"/>
                <w:noProof/>
                <w:kern w:val="2"/>
                <w:sz w:val="24"/>
                <w:szCs w:val="24"/>
                <w:lang w:val="en-GB" w:eastAsia="en-GB"/>
                <w14:ligatures w14:val="standardContextual"/>
              </w:rPr>
              <w:tab/>
            </w:r>
            <w:r w:rsidRPr="00566D55">
              <w:rPr>
                <w:rStyle w:val="Hyperlink"/>
                <w:noProof/>
              </w:rPr>
              <w:t>Strategic Trade-Offs and Limitations</w:t>
            </w:r>
            <w:r>
              <w:rPr>
                <w:noProof/>
                <w:webHidden/>
              </w:rPr>
              <w:tab/>
            </w:r>
            <w:r>
              <w:rPr>
                <w:noProof/>
                <w:webHidden/>
              </w:rPr>
              <w:fldChar w:fldCharType="begin"/>
            </w:r>
            <w:r>
              <w:rPr>
                <w:noProof/>
                <w:webHidden/>
              </w:rPr>
              <w:instrText xml:space="preserve"> PAGEREF _Toc227502223 \h </w:instrText>
            </w:r>
            <w:r>
              <w:rPr>
                <w:noProof/>
                <w:webHidden/>
              </w:rPr>
            </w:r>
            <w:r>
              <w:rPr>
                <w:noProof/>
                <w:webHidden/>
              </w:rPr>
              <w:fldChar w:fldCharType="separate"/>
            </w:r>
            <w:r>
              <w:rPr>
                <w:noProof/>
                <w:webHidden/>
              </w:rPr>
              <w:t>15</w:t>
            </w:r>
            <w:r>
              <w:rPr>
                <w:noProof/>
                <w:webHidden/>
              </w:rPr>
              <w:fldChar w:fldCharType="end"/>
            </w:r>
          </w:hyperlink>
        </w:p>
        <w:p w14:paraId="799ACD05" w14:textId="3DE041F1" w:rsidR="0060029F" w:rsidRDefault="0060029F">
          <w:pPr>
            <w:pStyle w:val="TOC2"/>
            <w:tabs>
              <w:tab w:val="left" w:pos="960"/>
              <w:tab w:val="right" w:leader="dot" w:pos="9016"/>
            </w:tabs>
            <w:rPr>
              <w:rFonts w:cstheme="minorBidi"/>
              <w:noProof/>
              <w:kern w:val="2"/>
              <w:sz w:val="24"/>
              <w:szCs w:val="24"/>
              <w:lang w:val="en-GB" w:eastAsia="en-GB"/>
              <w14:ligatures w14:val="standardContextual"/>
            </w:rPr>
          </w:pPr>
          <w:hyperlink w:anchor="_Toc227502224" w:history="1">
            <w:r w:rsidRPr="00566D55">
              <w:rPr>
                <w:rStyle w:val="Hyperlink"/>
                <w:noProof/>
              </w:rPr>
              <w:t>5.6</w:t>
            </w:r>
            <w:r>
              <w:rPr>
                <w:rFonts w:cstheme="minorBidi"/>
                <w:noProof/>
                <w:kern w:val="2"/>
                <w:sz w:val="24"/>
                <w:szCs w:val="24"/>
                <w:lang w:val="en-GB" w:eastAsia="en-GB"/>
                <w14:ligatures w14:val="standardContextual"/>
              </w:rPr>
              <w:tab/>
            </w:r>
            <w:r w:rsidRPr="00566D55">
              <w:rPr>
                <w:rStyle w:val="Hyperlink"/>
                <w:noProof/>
              </w:rPr>
              <w:t>Recommended Cost Strategy</w:t>
            </w:r>
            <w:r>
              <w:rPr>
                <w:noProof/>
                <w:webHidden/>
              </w:rPr>
              <w:tab/>
            </w:r>
            <w:r>
              <w:rPr>
                <w:noProof/>
                <w:webHidden/>
              </w:rPr>
              <w:fldChar w:fldCharType="begin"/>
            </w:r>
            <w:r>
              <w:rPr>
                <w:noProof/>
                <w:webHidden/>
              </w:rPr>
              <w:instrText xml:space="preserve"> PAGEREF _Toc227502224 \h </w:instrText>
            </w:r>
            <w:r>
              <w:rPr>
                <w:noProof/>
                <w:webHidden/>
              </w:rPr>
            </w:r>
            <w:r>
              <w:rPr>
                <w:noProof/>
                <w:webHidden/>
              </w:rPr>
              <w:fldChar w:fldCharType="separate"/>
            </w:r>
            <w:r>
              <w:rPr>
                <w:noProof/>
                <w:webHidden/>
              </w:rPr>
              <w:t>16</w:t>
            </w:r>
            <w:r>
              <w:rPr>
                <w:noProof/>
                <w:webHidden/>
              </w:rPr>
              <w:fldChar w:fldCharType="end"/>
            </w:r>
          </w:hyperlink>
        </w:p>
        <w:p w14:paraId="42B820E4" w14:textId="631B8375" w:rsidR="0060029F" w:rsidRDefault="0060029F">
          <w:pPr>
            <w:pStyle w:val="TOC1"/>
            <w:tabs>
              <w:tab w:val="left" w:pos="440"/>
              <w:tab w:val="right" w:leader="dot" w:pos="9016"/>
            </w:tabs>
            <w:rPr>
              <w:rFonts w:cstheme="minorBidi"/>
              <w:noProof/>
              <w:kern w:val="2"/>
              <w:sz w:val="24"/>
              <w:szCs w:val="24"/>
              <w:lang w:val="en-GB" w:eastAsia="en-GB"/>
              <w14:ligatures w14:val="standardContextual"/>
            </w:rPr>
          </w:pPr>
          <w:hyperlink w:anchor="_Toc227502225" w:history="1">
            <w:r w:rsidRPr="00566D55">
              <w:rPr>
                <w:rStyle w:val="Hyperlink"/>
                <w:rFonts w:ascii="Times New Roman" w:hAnsi="Times New Roman"/>
                <w:b/>
                <w:bCs/>
                <w:noProof/>
              </w:rPr>
              <w:t>6</w:t>
            </w:r>
            <w:r>
              <w:rPr>
                <w:rFonts w:cstheme="minorBidi"/>
                <w:noProof/>
                <w:kern w:val="2"/>
                <w:sz w:val="24"/>
                <w:szCs w:val="24"/>
                <w:lang w:val="en-GB" w:eastAsia="en-GB"/>
                <w14:ligatures w14:val="standardContextual"/>
              </w:rPr>
              <w:tab/>
            </w:r>
            <w:r w:rsidRPr="00566D55">
              <w:rPr>
                <w:rStyle w:val="Hyperlink"/>
                <w:b/>
                <w:bCs/>
                <w:noProof/>
              </w:rPr>
              <w:t>Conclusions and Recommendations</w:t>
            </w:r>
            <w:r>
              <w:rPr>
                <w:noProof/>
                <w:webHidden/>
              </w:rPr>
              <w:tab/>
            </w:r>
            <w:r>
              <w:rPr>
                <w:noProof/>
                <w:webHidden/>
              </w:rPr>
              <w:fldChar w:fldCharType="begin"/>
            </w:r>
            <w:r>
              <w:rPr>
                <w:noProof/>
                <w:webHidden/>
              </w:rPr>
              <w:instrText xml:space="preserve"> PAGEREF _Toc227502225 \h </w:instrText>
            </w:r>
            <w:r>
              <w:rPr>
                <w:noProof/>
                <w:webHidden/>
              </w:rPr>
            </w:r>
            <w:r>
              <w:rPr>
                <w:noProof/>
                <w:webHidden/>
              </w:rPr>
              <w:fldChar w:fldCharType="separate"/>
            </w:r>
            <w:r>
              <w:rPr>
                <w:noProof/>
                <w:webHidden/>
              </w:rPr>
              <w:t>17</w:t>
            </w:r>
            <w:r>
              <w:rPr>
                <w:noProof/>
                <w:webHidden/>
              </w:rPr>
              <w:fldChar w:fldCharType="end"/>
            </w:r>
          </w:hyperlink>
        </w:p>
        <w:p w14:paraId="2CD2B035" w14:textId="57D1F62E" w:rsidR="0060029F" w:rsidRDefault="0060029F">
          <w:pPr>
            <w:pStyle w:val="TOC1"/>
            <w:tabs>
              <w:tab w:val="left" w:pos="440"/>
              <w:tab w:val="right" w:leader="dot" w:pos="9016"/>
            </w:tabs>
            <w:rPr>
              <w:rFonts w:cstheme="minorBidi"/>
              <w:noProof/>
              <w:kern w:val="2"/>
              <w:sz w:val="24"/>
              <w:szCs w:val="24"/>
              <w:lang w:val="en-GB" w:eastAsia="en-GB"/>
              <w14:ligatures w14:val="standardContextual"/>
            </w:rPr>
          </w:pPr>
          <w:hyperlink w:anchor="_Toc227502226" w:history="1">
            <w:r w:rsidRPr="00566D55">
              <w:rPr>
                <w:rStyle w:val="Hyperlink"/>
                <w:b/>
                <w:bCs/>
                <w:noProof/>
              </w:rPr>
              <w:t>7</w:t>
            </w:r>
            <w:r>
              <w:rPr>
                <w:rFonts w:cstheme="minorBidi"/>
                <w:noProof/>
                <w:kern w:val="2"/>
                <w:sz w:val="24"/>
                <w:szCs w:val="24"/>
                <w:lang w:val="en-GB" w:eastAsia="en-GB"/>
                <w14:ligatures w14:val="standardContextual"/>
              </w:rPr>
              <w:tab/>
            </w:r>
            <w:r w:rsidRPr="00566D55">
              <w:rPr>
                <w:rStyle w:val="Hyperlink"/>
                <w:b/>
                <w:bCs/>
                <w:noProof/>
              </w:rPr>
              <w:t>References</w:t>
            </w:r>
            <w:r>
              <w:rPr>
                <w:noProof/>
                <w:webHidden/>
              </w:rPr>
              <w:tab/>
            </w:r>
            <w:r>
              <w:rPr>
                <w:noProof/>
                <w:webHidden/>
              </w:rPr>
              <w:fldChar w:fldCharType="begin"/>
            </w:r>
            <w:r>
              <w:rPr>
                <w:noProof/>
                <w:webHidden/>
              </w:rPr>
              <w:instrText xml:space="preserve"> PAGEREF _Toc227502226 \h </w:instrText>
            </w:r>
            <w:r>
              <w:rPr>
                <w:noProof/>
                <w:webHidden/>
              </w:rPr>
            </w:r>
            <w:r>
              <w:rPr>
                <w:noProof/>
                <w:webHidden/>
              </w:rPr>
              <w:fldChar w:fldCharType="separate"/>
            </w:r>
            <w:r>
              <w:rPr>
                <w:noProof/>
                <w:webHidden/>
              </w:rPr>
              <w:t>18</w:t>
            </w:r>
            <w:r>
              <w:rPr>
                <w:noProof/>
                <w:webHidden/>
              </w:rPr>
              <w:fldChar w:fldCharType="end"/>
            </w:r>
          </w:hyperlink>
        </w:p>
        <w:p w14:paraId="29BEB1E1" w14:textId="601F7D36" w:rsidR="0060029F" w:rsidRDefault="0060029F">
          <w:pPr>
            <w:pStyle w:val="TOC1"/>
            <w:tabs>
              <w:tab w:val="left" w:pos="440"/>
              <w:tab w:val="right" w:leader="dot" w:pos="9016"/>
            </w:tabs>
            <w:rPr>
              <w:rFonts w:cstheme="minorBidi"/>
              <w:noProof/>
              <w:kern w:val="2"/>
              <w:sz w:val="24"/>
              <w:szCs w:val="24"/>
              <w:lang w:val="en-GB" w:eastAsia="en-GB"/>
              <w14:ligatures w14:val="standardContextual"/>
            </w:rPr>
          </w:pPr>
          <w:hyperlink w:anchor="_Toc227502227" w:history="1">
            <w:r w:rsidRPr="00566D55">
              <w:rPr>
                <w:rStyle w:val="Hyperlink"/>
                <w:b/>
                <w:bCs/>
                <w:noProof/>
              </w:rPr>
              <w:t>8</w:t>
            </w:r>
            <w:r>
              <w:rPr>
                <w:rFonts w:cstheme="minorBidi"/>
                <w:noProof/>
                <w:kern w:val="2"/>
                <w:sz w:val="24"/>
                <w:szCs w:val="24"/>
                <w:lang w:val="en-GB" w:eastAsia="en-GB"/>
                <w14:ligatures w14:val="standardContextual"/>
              </w:rPr>
              <w:tab/>
            </w:r>
            <w:r w:rsidRPr="00566D55">
              <w:rPr>
                <w:rStyle w:val="Hyperlink"/>
                <w:b/>
                <w:bCs/>
                <w:noProof/>
              </w:rPr>
              <w:t>Appendices</w:t>
            </w:r>
            <w:r>
              <w:rPr>
                <w:noProof/>
                <w:webHidden/>
              </w:rPr>
              <w:tab/>
            </w:r>
            <w:r>
              <w:rPr>
                <w:noProof/>
                <w:webHidden/>
              </w:rPr>
              <w:fldChar w:fldCharType="begin"/>
            </w:r>
            <w:r>
              <w:rPr>
                <w:noProof/>
                <w:webHidden/>
              </w:rPr>
              <w:instrText xml:space="preserve"> PAGEREF _Toc227502227 \h </w:instrText>
            </w:r>
            <w:r>
              <w:rPr>
                <w:noProof/>
                <w:webHidden/>
              </w:rPr>
            </w:r>
            <w:r>
              <w:rPr>
                <w:noProof/>
                <w:webHidden/>
              </w:rPr>
              <w:fldChar w:fldCharType="separate"/>
            </w:r>
            <w:r>
              <w:rPr>
                <w:noProof/>
                <w:webHidden/>
              </w:rPr>
              <w:t>19</w:t>
            </w:r>
            <w:r>
              <w:rPr>
                <w:noProof/>
                <w:webHidden/>
              </w:rPr>
              <w:fldChar w:fldCharType="end"/>
            </w:r>
          </w:hyperlink>
        </w:p>
        <w:p w14:paraId="13BAC94D" w14:textId="0BE904FE" w:rsidR="0060029F" w:rsidRDefault="0060029F">
          <w:pPr>
            <w:pStyle w:val="TOC2"/>
            <w:tabs>
              <w:tab w:val="left" w:pos="960"/>
              <w:tab w:val="right" w:leader="dot" w:pos="9016"/>
            </w:tabs>
            <w:rPr>
              <w:rFonts w:cstheme="minorBidi"/>
              <w:noProof/>
              <w:kern w:val="2"/>
              <w:sz w:val="24"/>
              <w:szCs w:val="24"/>
              <w:lang w:val="en-GB" w:eastAsia="en-GB"/>
              <w14:ligatures w14:val="standardContextual"/>
            </w:rPr>
          </w:pPr>
          <w:hyperlink w:anchor="_Toc227502228" w:history="1">
            <w:r w:rsidRPr="00566D55">
              <w:rPr>
                <w:rStyle w:val="Hyperlink"/>
                <w:noProof/>
              </w:rPr>
              <w:t>8.1</w:t>
            </w:r>
            <w:r>
              <w:rPr>
                <w:rFonts w:cstheme="minorBidi"/>
                <w:noProof/>
                <w:kern w:val="2"/>
                <w:sz w:val="24"/>
                <w:szCs w:val="24"/>
                <w:lang w:val="en-GB" w:eastAsia="en-GB"/>
                <w14:ligatures w14:val="standardContextual"/>
              </w:rPr>
              <w:tab/>
            </w:r>
            <w:r w:rsidRPr="00566D55">
              <w:rPr>
                <w:rStyle w:val="Hyperlink"/>
                <w:noProof/>
              </w:rPr>
              <w:t>Machine Maintenance Outage Plan (2020)</w:t>
            </w:r>
            <w:r>
              <w:rPr>
                <w:noProof/>
                <w:webHidden/>
              </w:rPr>
              <w:tab/>
            </w:r>
            <w:r>
              <w:rPr>
                <w:noProof/>
                <w:webHidden/>
              </w:rPr>
              <w:fldChar w:fldCharType="begin"/>
            </w:r>
            <w:r>
              <w:rPr>
                <w:noProof/>
                <w:webHidden/>
              </w:rPr>
              <w:instrText xml:space="preserve"> PAGEREF _Toc227502228 \h </w:instrText>
            </w:r>
            <w:r>
              <w:rPr>
                <w:noProof/>
                <w:webHidden/>
              </w:rPr>
            </w:r>
            <w:r>
              <w:rPr>
                <w:noProof/>
                <w:webHidden/>
              </w:rPr>
              <w:fldChar w:fldCharType="separate"/>
            </w:r>
            <w:r>
              <w:rPr>
                <w:noProof/>
                <w:webHidden/>
              </w:rPr>
              <w:t>19</w:t>
            </w:r>
            <w:r>
              <w:rPr>
                <w:noProof/>
                <w:webHidden/>
              </w:rPr>
              <w:fldChar w:fldCharType="end"/>
            </w:r>
          </w:hyperlink>
        </w:p>
        <w:p w14:paraId="5054A617" w14:textId="7FC94A2A" w:rsidR="006979B9" w:rsidRDefault="00BA3007">
          <w:pPr>
            <w:rPr>
              <w:b/>
              <w:bCs/>
              <w:noProof/>
            </w:rPr>
          </w:pPr>
          <w:r w:rsidRPr="00030717">
            <w:rPr>
              <w:rFonts w:cs="Arial"/>
              <w:noProof/>
            </w:rPr>
            <w:fldChar w:fldCharType="end"/>
          </w:r>
        </w:p>
      </w:sdtContent>
    </w:sdt>
    <w:p w14:paraId="76102874" w14:textId="222695CB" w:rsidR="00834B03" w:rsidRDefault="00834B0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rPr>
          <w:rFonts w:asciiTheme="minorHAnsi" w:eastAsiaTheme="minorEastAsia" w:hAnsiTheme="minorHAnsi"/>
          <w:noProof/>
          <w:lang w:eastAsia="en-GB"/>
        </w:rPr>
        <w:fldChar w:fldCharType="begin"/>
      </w:r>
      <w:r>
        <w:rPr>
          <w:rFonts w:asciiTheme="minorHAnsi" w:eastAsiaTheme="minorEastAsia" w:hAnsiTheme="minorHAnsi"/>
          <w:noProof/>
          <w:lang w:eastAsia="en-GB"/>
        </w:rPr>
        <w:instrText xml:space="preserve"> TOC \h \z \c "Figure" </w:instrText>
      </w:r>
      <w:r>
        <w:rPr>
          <w:rFonts w:asciiTheme="minorHAnsi" w:eastAsiaTheme="minorEastAsia" w:hAnsiTheme="minorHAnsi"/>
          <w:noProof/>
          <w:lang w:eastAsia="en-GB"/>
        </w:rPr>
        <w:fldChar w:fldCharType="separate"/>
      </w:r>
      <w:hyperlink w:anchor="_Toc227501623" w:history="1">
        <w:r w:rsidRPr="00F16E04">
          <w:rPr>
            <w:rStyle w:val="Hyperlink"/>
            <w:noProof/>
          </w:rPr>
          <w:t>Figure 1:Guide Machine Operation in Coke Oven Battery During Coke Discharge Process (Coke Fuel Equipment, no date)</w:t>
        </w:r>
        <w:r>
          <w:rPr>
            <w:noProof/>
            <w:webHidden/>
          </w:rPr>
          <w:tab/>
        </w:r>
        <w:r>
          <w:rPr>
            <w:noProof/>
            <w:webHidden/>
          </w:rPr>
          <w:fldChar w:fldCharType="begin"/>
        </w:r>
        <w:r>
          <w:rPr>
            <w:noProof/>
            <w:webHidden/>
          </w:rPr>
          <w:instrText xml:space="preserve"> PAGEREF _Toc227501623 \h </w:instrText>
        </w:r>
        <w:r>
          <w:rPr>
            <w:noProof/>
            <w:webHidden/>
          </w:rPr>
        </w:r>
        <w:r>
          <w:rPr>
            <w:noProof/>
            <w:webHidden/>
          </w:rPr>
          <w:fldChar w:fldCharType="separate"/>
        </w:r>
        <w:r>
          <w:rPr>
            <w:noProof/>
            <w:webHidden/>
          </w:rPr>
          <w:t>4</w:t>
        </w:r>
        <w:r>
          <w:rPr>
            <w:noProof/>
            <w:webHidden/>
          </w:rPr>
          <w:fldChar w:fldCharType="end"/>
        </w:r>
      </w:hyperlink>
    </w:p>
    <w:p w14:paraId="64ECEC4A" w14:textId="5B2C33C5" w:rsidR="00834B03" w:rsidRDefault="00834B0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7501624" w:history="1">
        <w:r w:rsidRPr="00F16E04">
          <w:rPr>
            <w:rStyle w:val="Hyperlink"/>
            <w:noProof/>
          </w:rPr>
          <w:t>Figure 2: Example of SAP maintenance work orders for the No.3 guide machine, illustrating recorded defects and maintenance activities (Jenkins, 2021, based on SAP data)</w:t>
        </w:r>
        <w:r>
          <w:rPr>
            <w:noProof/>
            <w:webHidden/>
          </w:rPr>
          <w:tab/>
        </w:r>
        <w:r>
          <w:rPr>
            <w:noProof/>
            <w:webHidden/>
          </w:rPr>
          <w:fldChar w:fldCharType="begin"/>
        </w:r>
        <w:r>
          <w:rPr>
            <w:noProof/>
            <w:webHidden/>
          </w:rPr>
          <w:instrText xml:space="preserve"> PAGEREF _Toc227501624 \h </w:instrText>
        </w:r>
        <w:r>
          <w:rPr>
            <w:noProof/>
            <w:webHidden/>
          </w:rPr>
        </w:r>
        <w:r>
          <w:rPr>
            <w:noProof/>
            <w:webHidden/>
          </w:rPr>
          <w:fldChar w:fldCharType="separate"/>
        </w:r>
        <w:r>
          <w:rPr>
            <w:noProof/>
            <w:webHidden/>
          </w:rPr>
          <w:t>6</w:t>
        </w:r>
        <w:r>
          <w:rPr>
            <w:noProof/>
            <w:webHidden/>
          </w:rPr>
          <w:fldChar w:fldCharType="end"/>
        </w:r>
      </w:hyperlink>
    </w:p>
    <w:p w14:paraId="7031C05A" w14:textId="09716463" w:rsidR="00834B03" w:rsidRDefault="00834B0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7501625" w:history="1">
        <w:r w:rsidRPr="00F16E04">
          <w:rPr>
            <w:rStyle w:val="Hyperlink"/>
            <w:noProof/>
          </w:rPr>
          <w:t>Figure 3: Monthly delay hours for No.3 guide machine comparing FY19–20 and FY20–21, illustrating variability in equipment performance (Jenkins, 2021)</w:t>
        </w:r>
        <w:r>
          <w:rPr>
            <w:noProof/>
            <w:webHidden/>
          </w:rPr>
          <w:tab/>
        </w:r>
        <w:r>
          <w:rPr>
            <w:noProof/>
            <w:webHidden/>
          </w:rPr>
          <w:fldChar w:fldCharType="begin"/>
        </w:r>
        <w:r>
          <w:rPr>
            <w:noProof/>
            <w:webHidden/>
          </w:rPr>
          <w:instrText xml:space="preserve"> PAGEREF _Toc227501625 \h </w:instrText>
        </w:r>
        <w:r>
          <w:rPr>
            <w:noProof/>
            <w:webHidden/>
          </w:rPr>
        </w:r>
        <w:r>
          <w:rPr>
            <w:noProof/>
            <w:webHidden/>
          </w:rPr>
          <w:fldChar w:fldCharType="separate"/>
        </w:r>
        <w:r>
          <w:rPr>
            <w:noProof/>
            <w:webHidden/>
          </w:rPr>
          <w:t>8</w:t>
        </w:r>
        <w:r>
          <w:rPr>
            <w:noProof/>
            <w:webHidden/>
          </w:rPr>
          <w:fldChar w:fldCharType="end"/>
        </w:r>
      </w:hyperlink>
    </w:p>
    <w:p w14:paraId="3FAD24FF" w14:textId="46365666" w:rsidR="00834B03" w:rsidRDefault="00834B0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7501626" w:history="1">
        <w:r w:rsidRPr="00F16E04">
          <w:rPr>
            <w:rStyle w:val="Hyperlink"/>
            <w:noProof/>
          </w:rPr>
          <w:t>Figure 4: P–F curve illustrating asset degradation and maintenance intervention (adapted from Aladon, n.d.; Moubray, 1997).</w:t>
        </w:r>
        <w:r>
          <w:rPr>
            <w:noProof/>
            <w:webHidden/>
          </w:rPr>
          <w:tab/>
        </w:r>
        <w:r>
          <w:rPr>
            <w:noProof/>
            <w:webHidden/>
          </w:rPr>
          <w:fldChar w:fldCharType="begin"/>
        </w:r>
        <w:r>
          <w:rPr>
            <w:noProof/>
            <w:webHidden/>
          </w:rPr>
          <w:instrText xml:space="preserve"> PAGEREF _Toc227501626 \h </w:instrText>
        </w:r>
        <w:r>
          <w:rPr>
            <w:noProof/>
            <w:webHidden/>
          </w:rPr>
        </w:r>
        <w:r>
          <w:rPr>
            <w:noProof/>
            <w:webHidden/>
          </w:rPr>
          <w:fldChar w:fldCharType="separate"/>
        </w:r>
        <w:r>
          <w:rPr>
            <w:noProof/>
            <w:webHidden/>
          </w:rPr>
          <w:t>11</w:t>
        </w:r>
        <w:r>
          <w:rPr>
            <w:noProof/>
            <w:webHidden/>
          </w:rPr>
          <w:fldChar w:fldCharType="end"/>
        </w:r>
      </w:hyperlink>
    </w:p>
    <w:p w14:paraId="70711E7B" w14:textId="06D222F1" w:rsidR="00834B03" w:rsidRDefault="00834B0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7501627" w:history="1">
        <w:r w:rsidRPr="00F16E04">
          <w:rPr>
            <w:rStyle w:val="Hyperlink"/>
            <w:noProof/>
          </w:rPr>
          <w:t>Figure 5: Breakdown of 8-weekly and 16-weekly planned maintenance spare costs for the guide machine (Chambers, 2023)</w:t>
        </w:r>
        <w:r>
          <w:rPr>
            <w:noProof/>
            <w:webHidden/>
          </w:rPr>
          <w:tab/>
        </w:r>
        <w:r>
          <w:rPr>
            <w:noProof/>
            <w:webHidden/>
          </w:rPr>
          <w:fldChar w:fldCharType="begin"/>
        </w:r>
        <w:r>
          <w:rPr>
            <w:noProof/>
            <w:webHidden/>
          </w:rPr>
          <w:instrText xml:space="preserve"> PAGEREF _Toc227501627 \h </w:instrText>
        </w:r>
        <w:r>
          <w:rPr>
            <w:noProof/>
            <w:webHidden/>
          </w:rPr>
        </w:r>
        <w:r>
          <w:rPr>
            <w:noProof/>
            <w:webHidden/>
          </w:rPr>
          <w:fldChar w:fldCharType="separate"/>
        </w:r>
        <w:r>
          <w:rPr>
            <w:noProof/>
            <w:webHidden/>
          </w:rPr>
          <w:t>12</w:t>
        </w:r>
        <w:r>
          <w:rPr>
            <w:noProof/>
            <w:webHidden/>
          </w:rPr>
          <w:fldChar w:fldCharType="end"/>
        </w:r>
      </w:hyperlink>
    </w:p>
    <w:p w14:paraId="3EAB3857" w14:textId="14C455CA" w:rsidR="00834B03" w:rsidRDefault="00834B0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7501628" w:history="1">
        <w:r w:rsidRPr="00F16E04">
          <w:rPr>
            <w:rStyle w:val="Hyperlink"/>
            <w:noProof/>
          </w:rPr>
          <w:t>Figure 6: Coke Oven Machine Maintenance Outage Plan for No.3 Guide Machine (Scott, 2020)</w:t>
        </w:r>
        <w:r>
          <w:rPr>
            <w:noProof/>
            <w:webHidden/>
          </w:rPr>
          <w:tab/>
        </w:r>
        <w:r>
          <w:rPr>
            <w:noProof/>
            <w:webHidden/>
          </w:rPr>
          <w:fldChar w:fldCharType="begin"/>
        </w:r>
        <w:r>
          <w:rPr>
            <w:noProof/>
            <w:webHidden/>
          </w:rPr>
          <w:instrText xml:space="preserve"> PAGEREF _Toc227501628 \h </w:instrText>
        </w:r>
        <w:r>
          <w:rPr>
            <w:noProof/>
            <w:webHidden/>
          </w:rPr>
        </w:r>
        <w:r>
          <w:rPr>
            <w:noProof/>
            <w:webHidden/>
          </w:rPr>
          <w:fldChar w:fldCharType="separate"/>
        </w:r>
        <w:r>
          <w:rPr>
            <w:noProof/>
            <w:webHidden/>
          </w:rPr>
          <w:t>19</w:t>
        </w:r>
        <w:r>
          <w:rPr>
            <w:noProof/>
            <w:webHidden/>
          </w:rPr>
          <w:fldChar w:fldCharType="end"/>
        </w:r>
      </w:hyperlink>
    </w:p>
    <w:p w14:paraId="35BC708E" w14:textId="499D2B69" w:rsidR="00C84189" w:rsidRDefault="00834B03">
      <w:pPr>
        <w:pStyle w:val="TableofFigures"/>
        <w:tabs>
          <w:tab w:val="right" w:leader="dot" w:pos="9016"/>
        </w:tabs>
        <w:rPr>
          <w:rFonts w:asciiTheme="minorHAnsi" w:eastAsiaTheme="minorEastAsia" w:hAnsiTheme="minorHAnsi"/>
          <w:noProof/>
          <w:lang w:eastAsia="en-GB"/>
        </w:rPr>
      </w:pPr>
      <w:r>
        <w:rPr>
          <w:rFonts w:asciiTheme="minorHAnsi" w:eastAsiaTheme="minorEastAsia" w:hAnsiTheme="minorHAnsi"/>
          <w:noProof/>
          <w:lang w:eastAsia="en-GB"/>
        </w:rPr>
        <w:fldChar w:fldCharType="end"/>
      </w:r>
    </w:p>
    <w:p w14:paraId="7001493E" w14:textId="05AAC1DA" w:rsidR="009567B5" w:rsidRDefault="009567B5">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rPr>
          <w:lang w:eastAsia="en-GB"/>
        </w:rPr>
        <w:fldChar w:fldCharType="begin"/>
      </w:r>
      <w:r>
        <w:rPr>
          <w:lang w:eastAsia="en-GB"/>
        </w:rPr>
        <w:instrText xml:space="preserve"> TOC \h \z \c "Table" </w:instrText>
      </w:r>
      <w:r>
        <w:rPr>
          <w:lang w:eastAsia="en-GB"/>
        </w:rPr>
        <w:fldChar w:fldCharType="separate"/>
      </w:r>
      <w:hyperlink w:anchor="_Toc227490812" w:history="1">
        <w:r w:rsidRPr="00FD7B23">
          <w:rPr>
            <w:rStyle w:val="Hyperlink"/>
            <w:noProof/>
          </w:rPr>
          <w:t>Table 1: Comparison of time-based and condition-based maintenance strategies, highlighting key advantages and limitations in terms of reliability, cost, and implementation complexity</w:t>
        </w:r>
        <w:r>
          <w:rPr>
            <w:noProof/>
            <w:webHidden/>
          </w:rPr>
          <w:tab/>
        </w:r>
        <w:r>
          <w:rPr>
            <w:noProof/>
            <w:webHidden/>
          </w:rPr>
          <w:fldChar w:fldCharType="begin"/>
        </w:r>
        <w:r>
          <w:rPr>
            <w:noProof/>
            <w:webHidden/>
          </w:rPr>
          <w:instrText xml:space="preserve"> PAGEREF _Toc227490812 \h </w:instrText>
        </w:r>
        <w:r>
          <w:rPr>
            <w:noProof/>
            <w:webHidden/>
          </w:rPr>
        </w:r>
        <w:r>
          <w:rPr>
            <w:noProof/>
            <w:webHidden/>
          </w:rPr>
          <w:fldChar w:fldCharType="separate"/>
        </w:r>
        <w:r>
          <w:rPr>
            <w:noProof/>
            <w:webHidden/>
          </w:rPr>
          <w:t>12</w:t>
        </w:r>
        <w:r>
          <w:rPr>
            <w:noProof/>
            <w:webHidden/>
          </w:rPr>
          <w:fldChar w:fldCharType="end"/>
        </w:r>
      </w:hyperlink>
    </w:p>
    <w:p w14:paraId="7611907E" w14:textId="7C63D1E5" w:rsidR="009567B5" w:rsidRPr="009567B5" w:rsidRDefault="009567B5" w:rsidP="009567B5">
      <w:pPr>
        <w:rPr>
          <w:lang w:eastAsia="en-GB"/>
        </w:rPr>
      </w:pPr>
      <w:r>
        <w:rPr>
          <w:lang w:eastAsia="en-GB"/>
        </w:rPr>
        <w:fldChar w:fldCharType="end"/>
      </w:r>
    </w:p>
    <w:p w14:paraId="3CC721B4" w14:textId="6AEE9059" w:rsidR="009E51B9" w:rsidRPr="009E51B9" w:rsidRDefault="009E51B9" w:rsidP="009E51B9">
      <w:pPr>
        <w:sectPr w:rsidR="009E51B9" w:rsidRPr="009E51B9" w:rsidSect="004F0CDE">
          <w:pgSz w:w="11906" w:h="16838"/>
          <w:pgMar w:top="1440" w:right="1440" w:bottom="1440" w:left="1440" w:header="709" w:footer="709" w:gutter="0"/>
          <w:pgNumType w:fmt="lowerRoman"/>
          <w:cols w:space="708"/>
          <w:docGrid w:linePitch="360"/>
        </w:sectPr>
      </w:pPr>
    </w:p>
    <w:p w14:paraId="3E64DB05" w14:textId="77777777" w:rsidR="00A50900" w:rsidRDefault="00BA3007" w:rsidP="00D52097">
      <w:pPr>
        <w:pStyle w:val="Heading1"/>
        <w:rPr>
          <w:rStyle w:val="Strong"/>
          <w:color w:val="0070C0"/>
        </w:rPr>
      </w:pPr>
      <w:bookmarkStart w:id="1" w:name="OLE_LINK1"/>
      <w:bookmarkStart w:id="2" w:name="_Toc227502214"/>
      <w:r w:rsidRPr="00772FEB">
        <w:rPr>
          <w:rStyle w:val="Strong"/>
          <w:color w:val="0070C0"/>
        </w:rPr>
        <w:lastRenderedPageBreak/>
        <w:t>Introduction</w:t>
      </w:r>
      <w:bookmarkEnd w:id="2"/>
    </w:p>
    <w:p w14:paraId="338D0425" w14:textId="28E29E77" w:rsidR="00CD48F9" w:rsidRDefault="00CD48F9" w:rsidP="00CD48F9">
      <w:pPr>
        <w:rPr>
          <w:rFonts w:ascii="Times New Roman" w:hAnsi="Times New Roman"/>
        </w:rPr>
      </w:pPr>
      <w:r>
        <w:t>Maintenance strategy selection is critical to ensuring the reliability, safety, and efficiency of industrial assets. In heavy industries such as coke production, equipment failure can lead to significant operational, financial, and safety consequences. Maintenance is therefore a strategic function</w:t>
      </w:r>
      <w:r w:rsidR="00624C0F">
        <w:t xml:space="preserve"> that</w:t>
      </w:r>
      <w:r>
        <w:t xml:space="preserve"> directly influenc</w:t>
      </w:r>
      <w:r w:rsidR="00624C0F">
        <w:t>es</w:t>
      </w:r>
      <w:r>
        <w:t xml:space="preserve"> asset performance and lifecycle outcomes (Moubray, 1997; ISO, 2014).</w:t>
      </w:r>
    </w:p>
    <w:p w14:paraId="43E4C0A1" w14:textId="7A2D57D0" w:rsidR="00CD48F9" w:rsidRDefault="00CD48F9" w:rsidP="00CD48F9">
      <w:r>
        <w:t>This report evaluates the effectiveness of the maintenance strategy used for the coke oven guide machine at Tata Steel UK’s Morfa Coke Ovens. The guide machine</w:t>
      </w:r>
      <w:r w:rsidR="005C4AD7">
        <w:t>, pictured in Figure 1,</w:t>
      </w:r>
      <w:r>
        <w:t xml:space="preserve"> is a production-critical asset responsible for positioning, guiding coke discharge, and handling oven doors. Its reliability directly impacts plant performance.</w:t>
      </w:r>
    </w:p>
    <w:p w14:paraId="39BEBB61" w14:textId="77777777" w:rsidR="00CD48F9" w:rsidRDefault="00CD48F9" w:rsidP="00CD48F9">
      <w:r>
        <w:t>The report reviews the current maintenance approach, identifies strengths and limitations, and evaluates improvements using condition-based maintenance (CBM) and reliability-centred maintenance (RCM). It also considers the cost and resource implications of these improvements and provides recommendations for future strategy development.</w:t>
      </w:r>
    </w:p>
    <w:p w14:paraId="434F44EE" w14:textId="1C54433E" w:rsidR="007F0217" w:rsidRDefault="00C72996" w:rsidP="007F0217">
      <w:r>
        <w:rPr>
          <w:noProof/>
        </w:rPr>
        <mc:AlternateContent>
          <mc:Choice Requires="wps">
            <w:drawing>
              <wp:anchor distT="0" distB="0" distL="114300" distR="114300" simplePos="0" relativeHeight="251661312" behindDoc="0" locked="0" layoutInCell="1" allowOverlap="1" wp14:anchorId="67A457C5" wp14:editId="3BB2518B">
                <wp:simplePos x="0" y="0"/>
                <wp:positionH relativeFrom="column">
                  <wp:posOffset>0</wp:posOffset>
                </wp:positionH>
                <wp:positionV relativeFrom="paragraph">
                  <wp:posOffset>3120390</wp:posOffset>
                </wp:positionV>
                <wp:extent cx="5731510" cy="635"/>
                <wp:effectExtent l="0" t="0" r="0" b="12065"/>
                <wp:wrapSquare wrapText="bothSides"/>
                <wp:docPr id="107794336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1E654E9" w14:textId="3AD03FC8" w:rsidR="00C72996" w:rsidRPr="005025EC" w:rsidRDefault="00C72996" w:rsidP="008C4E62">
                            <w:pPr>
                              <w:pStyle w:val="Caption"/>
                              <w:jc w:val="center"/>
                              <w:rPr>
                                <w:sz w:val="22"/>
                                <w:szCs w:val="22"/>
                              </w:rPr>
                            </w:pPr>
                            <w:bookmarkStart w:id="3" w:name="_Toc227435208"/>
                            <w:bookmarkStart w:id="4" w:name="_Toc227490785"/>
                            <w:bookmarkStart w:id="5" w:name="_Toc227501623"/>
                            <w:r>
                              <w:t xml:space="preserve">Figure </w:t>
                            </w:r>
                            <w:fldSimple w:instr=" SEQ Figure \* ARABIC ">
                              <w:r w:rsidR="00C46471">
                                <w:rPr>
                                  <w:noProof/>
                                </w:rPr>
                                <w:t>1</w:t>
                              </w:r>
                            </w:fldSimple>
                            <w:r>
                              <w:t>:</w:t>
                            </w:r>
                            <w:r w:rsidRPr="002562AB">
                              <w:t>Guide Machine Operation in Coke Oven Battery During Coke Discharge Process (Coke Fuel Equipment, no date)</w:t>
                            </w:r>
                            <w:bookmarkEnd w:id="3"/>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A457C5" id="_x0000_t202" coordsize="21600,21600" o:spt="202" path="m,l,21600r21600,l21600,xe">
                <v:stroke joinstyle="miter"/>
                <v:path gradientshapeok="t" o:connecttype="rect"/>
              </v:shapetype>
              <v:shape id="Text Box 1" o:spid="_x0000_s1026" type="#_x0000_t202" style="position:absolute;margin-left:0;margin-top:245.7pt;width:451.3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YIZPFQIAADgEAAAOAAAAZHJzL2Uyb0RvYy54bWysU8Fu2zAMvQ/YPwi6L05apBuMOEWWIsOA&#13;&#10;oC2QDj0rshwLkEWNUmJnXz9KtpOt22nYRaZF6lF872lx3zWGnRR6Dbbgs8mUM2UllNoeCv7tZfPh&#13;&#10;E2c+CFsKA1YV/Kw8v1++f7doXa5uoAZTKmQEYn3euoLXIbg8y7ysVSP8BJyylKwAGxHoFw9ZiaIl&#13;&#10;9MZkN9PpXdYClg5BKu9p96FP8mXCryolw1NVeRWYKTjdLaQV07qPa7ZciPyAwtVaDtcQ/3CLRmhL&#13;&#10;TS9QDyIIdkT9B1SjJYKHKkwkNBlUlZYqzUDTzKZvptnVwqk0C5Hj3YUm//9g5eNp556Rhe4zdCRg&#13;&#10;JKR1Pve0GefpKmzil27KKE8Uni+0qS4wSZvzj7ez+YxSknJ3t/OIkV2POvThi4KGxaDgSJokqsRp&#13;&#10;60NfOpbETh6MLjfamPgTE2uD7CRIv7bWQQ3gv1UZG2stxFM9YNzJrnPEKHT7bhhuD+WZZkbo7eCd&#13;&#10;3GhqtBU+PAsk/WkW8nR4oqUy0BYchoizGvDH3/ZjPclCWc5a8lPB/fejQMWZ+WpJsGi+McAx2I+B&#13;&#10;PTZroBFn9FqcTCEdwGDGsEJoXsnqq9iFUsJK6lXwMIbr0LuanopUq1UqIos5EbZ252SEHgl96V4F&#13;&#10;ukGOQCo+wug0kb9Rpa9NurjVMRDFSbJIaM/iwDPZM4k+PKXo/1//U9X1wS9/AgAA//8DAFBLAwQU&#13;&#10;AAYACAAAACEAqL3nQOQAAAANAQAADwAAAGRycy9kb3ducmV2LnhtbEyPMU/DMBCFdyT+g3VILKh1&#13;&#10;WkJE0zhVVWCgS0Xahc2Nr3EgPke204Z/j2GB5aS7p/fufcVqNB07o/OtJQGzaQIMqbaqpUbAYf8y&#13;&#10;eQTmgyQlO0so4As9rMrrq0Lmyl7oDc9VaFgMIZ9LATqEPufc1xqN9FPbI0XtZJ2RIa6u4crJSww3&#13;&#10;HZ8nScaNbCl+0LLHjcb6sxqMgF36vtN3w+l5u07v3eth2GQfTSXE7c34tIxjvQQWcAx/DvhhiP2h&#13;&#10;jMWOdiDlWScg0gQB6WKWAovyIplnwI6/lwfgZcH/U5TfAAAA//8DAFBLAQItABQABgAIAAAAIQC2&#13;&#10;gziS/gAAAOEBAAATAAAAAAAAAAAAAAAAAAAAAABbQ29udGVudF9UeXBlc10ueG1sUEsBAi0AFAAG&#13;&#10;AAgAAAAhADj9If/WAAAAlAEAAAsAAAAAAAAAAAAAAAAALwEAAF9yZWxzLy5yZWxzUEsBAi0AFAAG&#13;&#10;AAgAAAAhAINghk8VAgAAOAQAAA4AAAAAAAAAAAAAAAAALgIAAGRycy9lMm9Eb2MueG1sUEsBAi0A&#13;&#10;FAAGAAgAAAAhAKi950DkAAAADQEAAA8AAAAAAAAAAAAAAAAAbwQAAGRycy9kb3ducmV2LnhtbFBL&#13;&#10;BQYAAAAABAAEAPMAAACABQAAAAA=&#13;&#10;" stroked="f">
                <v:textbox style="mso-fit-shape-to-text:t" inset="0,0,0,0">
                  <w:txbxContent>
                    <w:p w14:paraId="21E654E9" w14:textId="3AD03FC8" w:rsidR="00C72996" w:rsidRPr="005025EC" w:rsidRDefault="00C72996" w:rsidP="008C4E62">
                      <w:pPr>
                        <w:pStyle w:val="Caption"/>
                        <w:jc w:val="center"/>
                        <w:rPr>
                          <w:sz w:val="22"/>
                          <w:szCs w:val="22"/>
                        </w:rPr>
                      </w:pPr>
                      <w:bookmarkStart w:id="6" w:name="_Toc227435208"/>
                      <w:bookmarkStart w:id="7" w:name="_Toc227490785"/>
                      <w:bookmarkStart w:id="8" w:name="_Toc227501623"/>
                      <w:r>
                        <w:t xml:space="preserve">Figure </w:t>
                      </w:r>
                      <w:fldSimple w:instr=" SEQ Figure \* ARABIC ">
                        <w:r w:rsidR="00C46471">
                          <w:rPr>
                            <w:noProof/>
                          </w:rPr>
                          <w:t>1</w:t>
                        </w:r>
                      </w:fldSimple>
                      <w:r>
                        <w:t>:</w:t>
                      </w:r>
                      <w:r w:rsidRPr="002562AB">
                        <w:t>Guide Machine Operation in Coke Oven Battery During Coke Discharge Process (Coke Fuel Equipment, no date)</w:t>
                      </w:r>
                      <w:bookmarkEnd w:id="6"/>
                      <w:bookmarkEnd w:id="7"/>
                      <w:bookmarkEnd w:id="8"/>
                    </w:p>
                  </w:txbxContent>
                </v:textbox>
                <w10:wrap type="square"/>
              </v:shape>
            </w:pict>
          </mc:Fallback>
        </mc:AlternateContent>
      </w:r>
      <w:r w:rsidR="00B56D46" w:rsidRPr="00B56D46">
        <w:rPr>
          <w:noProof/>
        </w:rPr>
        <w:drawing>
          <wp:anchor distT="0" distB="0" distL="114300" distR="114300" simplePos="0" relativeHeight="251659264" behindDoc="0" locked="0" layoutInCell="1" allowOverlap="1" wp14:anchorId="22A5CEBB" wp14:editId="4F4744A2">
            <wp:simplePos x="0" y="0"/>
            <wp:positionH relativeFrom="column">
              <wp:posOffset>0</wp:posOffset>
            </wp:positionH>
            <wp:positionV relativeFrom="paragraph">
              <wp:posOffset>189230</wp:posOffset>
            </wp:positionV>
            <wp:extent cx="5731510" cy="2874010"/>
            <wp:effectExtent l="12700" t="12700" r="8890" b="8890"/>
            <wp:wrapSquare wrapText="bothSides"/>
            <wp:docPr id="1313481531" name="Picture 1" descr="A diagram of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481531" name="Picture 1" descr="A diagram of a factory&#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74010"/>
                    </a:xfrm>
                    <a:prstGeom prst="rect">
                      <a:avLst/>
                    </a:prstGeom>
                    <a:ln>
                      <a:solidFill>
                        <a:schemeClr val="bg1">
                          <a:lumMod val="85000"/>
                        </a:schemeClr>
                      </a:solidFill>
                    </a:ln>
                  </pic:spPr>
                </pic:pic>
              </a:graphicData>
            </a:graphic>
            <wp14:sizeRelH relativeFrom="page">
              <wp14:pctWidth>0</wp14:pctWidth>
            </wp14:sizeRelH>
            <wp14:sizeRelV relativeFrom="page">
              <wp14:pctHeight>0</wp14:pctHeight>
            </wp14:sizeRelV>
          </wp:anchor>
        </w:drawing>
      </w:r>
    </w:p>
    <w:p w14:paraId="47E8323B" w14:textId="77777777" w:rsidR="00FE7163" w:rsidRDefault="00FE7163" w:rsidP="003725F2"/>
    <w:p w14:paraId="4C35B186" w14:textId="77777777" w:rsidR="00CD48F9" w:rsidRDefault="00CD48F9" w:rsidP="003725F2"/>
    <w:p w14:paraId="61153C70" w14:textId="77777777" w:rsidR="00CD48F9" w:rsidRDefault="00CD48F9" w:rsidP="003725F2"/>
    <w:p w14:paraId="2C65C597" w14:textId="097DB90A" w:rsidR="00FE7163" w:rsidRPr="004F4C50" w:rsidRDefault="00023C6A" w:rsidP="00FE7163">
      <w:pPr>
        <w:pStyle w:val="Heading1"/>
        <w:rPr>
          <w:b/>
          <w:bCs/>
          <w:color w:val="0070C0"/>
        </w:rPr>
      </w:pPr>
      <w:bookmarkStart w:id="9" w:name="_Toc227502215"/>
      <w:r>
        <w:rPr>
          <w:b/>
          <w:bCs/>
          <w:color w:val="0070C0"/>
        </w:rPr>
        <w:lastRenderedPageBreak/>
        <w:t>Background</w:t>
      </w:r>
      <w:bookmarkEnd w:id="9"/>
      <w:r>
        <w:rPr>
          <w:b/>
          <w:bCs/>
          <w:color w:val="0070C0"/>
        </w:rPr>
        <w:t xml:space="preserve"> </w:t>
      </w:r>
    </w:p>
    <w:p w14:paraId="50D2B869" w14:textId="255FE87B" w:rsidR="00CD48F9" w:rsidRDefault="00CD48F9" w:rsidP="00CD48F9">
      <w:pPr>
        <w:rPr>
          <w:rFonts w:ascii="Times New Roman" w:hAnsi="Times New Roman"/>
        </w:rPr>
      </w:pPr>
      <w:r>
        <w:t xml:space="preserve">Morfa Coke Ovens operated as part of a high-temperature process in which coal is heated </w:t>
      </w:r>
      <w:r w:rsidR="005C4AD7">
        <w:t>in the absence of</w:t>
      </w:r>
      <w:r>
        <w:t xml:space="preserve"> oxygen to produce coke for steelmaking. The process is continuous, meaning failure of critical equipment can disrupt production. This places strong emphasis on reliability and asset management (Campbell and Jardine, 2001).</w:t>
      </w:r>
    </w:p>
    <w:p w14:paraId="3EF97507" w14:textId="7B278696" w:rsidR="00CD48F9" w:rsidRDefault="00CD48F9" w:rsidP="00CD48F9">
      <w:r>
        <w:t>The guide machine operates alongside the coke oven battery</w:t>
      </w:r>
      <w:r w:rsidR="00834B03">
        <w:t>,</w:t>
      </w:r>
      <w:r>
        <w:t xml:space="preserve"> </w:t>
      </w:r>
      <w:r w:rsidR="005C4AD7">
        <w:t>aligns</w:t>
      </w:r>
      <w:r>
        <w:t xml:space="preserve"> with </w:t>
      </w:r>
      <w:r w:rsidR="00834B03">
        <w:t xml:space="preserve">the </w:t>
      </w:r>
      <w:r>
        <w:t>oven chambers, assist</w:t>
      </w:r>
      <w:r w:rsidR="005C4AD7">
        <w:t>s</w:t>
      </w:r>
      <w:r>
        <w:t xml:space="preserve"> with door removal, and guid</w:t>
      </w:r>
      <w:r w:rsidR="005C4AD7">
        <w:t>es</w:t>
      </w:r>
      <w:r>
        <w:t xml:space="preserve"> coke during discharge. These tasks require precision under harsh conditions, including high temperatures, dust, and mechanical stress.</w:t>
      </w:r>
    </w:p>
    <w:p w14:paraId="030B6211" w14:textId="77777777" w:rsidR="00CD48F9" w:rsidRDefault="00CD48F9" w:rsidP="00CD48F9">
      <w:r>
        <w:t>The machine consists of multiple subsystems, including structural elements, bogies, rollers, drive systems, braking systems, and hydraulics. This complexity increases both failure risk and maintenance requirements.</w:t>
      </w:r>
    </w:p>
    <w:p w14:paraId="66BDD574" w14:textId="77777777" w:rsidR="00CD48F9" w:rsidRDefault="00CD48F9" w:rsidP="00CD48F9">
      <w:r>
        <w:t>As a result, the guide machine is a high-criticality asset. Its failure can lead to production loss and safety risks, requiring maintenance strategies that prioritise reliability and risk reduction (ISO, 2014).</w:t>
      </w:r>
    </w:p>
    <w:p w14:paraId="3F4369B2" w14:textId="77777777" w:rsidR="005A0FD9" w:rsidRDefault="005A0FD9" w:rsidP="005E188F"/>
    <w:p w14:paraId="418B2612" w14:textId="77777777" w:rsidR="005A0FD9" w:rsidRDefault="005A0FD9" w:rsidP="005E188F"/>
    <w:p w14:paraId="5F748BD4" w14:textId="77777777" w:rsidR="005A0FD9" w:rsidRDefault="005A0FD9" w:rsidP="005E188F"/>
    <w:p w14:paraId="5BBFBF47" w14:textId="77777777" w:rsidR="005A0FD9" w:rsidRDefault="005A0FD9" w:rsidP="005E188F"/>
    <w:p w14:paraId="237A25C2" w14:textId="77777777" w:rsidR="005A0FD9" w:rsidRDefault="005A0FD9" w:rsidP="005E188F"/>
    <w:p w14:paraId="26A17E06" w14:textId="77777777" w:rsidR="005A0FD9" w:rsidRDefault="005A0FD9" w:rsidP="005E188F"/>
    <w:p w14:paraId="00622D74" w14:textId="77777777" w:rsidR="005A0FD9" w:rsidRDefault="005A0FD9" w:rsidP="005E188F"/>
    <w:p w14:paraId="1B8AB676" w14:textId="77777777" w:rsidR="00CD48F9" w:rsidRDefault="00CD48F9" w:rsidP="005E188F"/>
    <w:p w14:paraId="4CBF6191" w14:textId="77777777" w:rsidR="00CD48F9" w:rsidRDefault="00CD48F9" w:rsidP="005E188F"/>
    <w:p w14:paraId="06882F9C" w14:textId="77777777" w:rsidR="00CD48F9" w:rsidRDefault="00CD48F9" w:rsidP="005E188F"/>
    <w:p w14:paraId="639C03C2" w14:textId="77777777" w:rsidR="005A0FD9" w:rsidRDefault="005A0FD9" w:rsidP="005E188F"/>
    <w:p w14:paraId="28BCA75D" w14:textId="77777777" w:rsidR="00265F6A" w:rsidRDefault="00265F6A" w:rsidP="005E188F"/>
    <w:p w14:paraId="2BB9DFF0" w14:textId="77777777" w:rsidR="005C4AD7" w:rsidRPr="005E188F" w:rsidRDefault="005C4AD7" w:rsidP="005E188F"/>
    <w:p w14:paraId="3D2FBB8F" w14:textId="1F54EE06" w:rsidR="005E188F" w:rsidRDefault="007B0A5B" w:rsidP="006107E0">
      <w:pPr>
        <w:pStyle w:val="Heading1"/>
        <w:rPr>
          <w:b/>
          <w:bCs/>
          <w:color w:val="0070C0"/>
        </w:rPr>
      </w:pPr>
      <w:bookmarkStart w:id="10" w:name="_Toc227502216"/>
      <w:r w:rsidRPr="007B0A5B">
        <w:rPr>
          <w:b/>
          <w:bCs/>
          <w:color w:val="0070C0"/>
        </w:rPr>
        <w:lastRenderedPageBreak/>
        <w:t>Critical Review of Current Maintenance Practices</w:t>
      </w:r>
      <w:bookmarkEnd w:id="10"/>
      <w:r w:rsidRPr="007B0A5B">
        <w:rPr>
          <w:b/>
          <w:bCs/>
          <w:color w:val="0070C0"/>
        </w:rPr>
        <w:t xml:space="preserve"> </w:t>
      </w:r>
    </w:p>
    <w:p w14:paraId="7A118725" w14:textId="59D08D3D" w:rsidR="00C46471" w:rsidRDefault="00624C0F" w:rsidP="00B35731">
      <w:r>
        <w:t xml:space="preserve">The current maintenance strategy for the guide machine is based primarily on planned preventive maintenance. Tasks are scheduled at fixed intervals and include inspection, lubrication, and functional checks. </w:t>
      </w:r>
      <w:r w:rsidR="00C46471" w:rsidRPr="00C46471">
        <w:t xml:space="preserve">The structured nature of the maintenance strategy is further supported by detailed outage planning schedules (see Appendix </w:t>
      </w:r>
      <w:r w:rsidR="00C46471">
        <w:t>8.1</w:t>
      </w:r>
      <w:r w:rsidR="00C46471" w:rsidRPr="00C46471">
        <w:t>), which demonstrate a high level of planning and coordination. However, such schedules also reinforce the reliance on fixed maintenance intervals, which may not fully account for variable component degradation.</w:t>
      </w:r>
    </w:p>
    <w:p w14:paraId="07F4EF20" w14:textId="76CEE419" w:rsidR="00624C0F" w:rsidRDefault="00624C0F" w:rsidP="00B35731">
      <w:r>
        <w:t>Maintenance is managed through a computerised system (SAP)</w:t>
      </w:r>
      <w:r w:rsidR="00B35731">
        <w:t xml:space="preserve"> </w:t>
      </w:r>
      <w:r w:rsidR="00B35731" w:rsidRPr="00B35731">
        <w:t>and</w:t>
      </w:r>
      <w:r w:rsidRPr="00B35731">
        <w:t xml:space="preserve"> </w:t>
      </w:r>
      <w:r w:rsidR="00B35731" w:rsidRPr="00B35731">
        <w:t>is further illustrated by SAP-generated work orders, as shown in Figure 2. These records demonstrate a consistent and formalised approach to maintenance planning, with tasks covering a wide range of mechanical and structural issues. This supports the argument that the current strategy is well-organised and capable of managing routine maintenance activities effectively.</w:t>
      </w:r>
    </w:p>
    <w:p w14:paraId="1B84147C" w14:textId="77777777" w:rsidR="00B35731" w:rsidRDefault="00B35731" w:rsidP="00B35731">
      <w:pPr>
        <w:keepNext/>
        <w:jc w:val="center"/>
      </w:pPr>
      <w:r w:rsidRPr="00B35731">
        <w:drawing>
          <wp:inline distT="0" distB="0" distL="0" distR="0" wp14:anchorId="0CEC9EAB" wp14:editId="6C8FB027">
            <wp:extent cx="3096343" cy="3464688"/>
            <wp:effectExtent l="0" t="0" r="2540" b="2540"/>
            <wp:docPr id="1425469956" name="Picture 2" descr="A screenshot of a computer&#10;&#10;AI-generated content may be incorrect.">
              <a:extLst xmlns:a="http://schemas.openxmlformats.org/drawingml/2006/main">
                <a:ext uri="{FF2B5EF4-FFF2-40B4-BE49-F238E27FC236}">
                  <a16:creationId xmlns:a16="http://schemas.microsoft.com/office/drawing/2014/main" id="{34B22E9F-F36C-48BE-A601-C8A2F895AA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469956" name="Picture 2" descr="A screenshot of a computer&#10;&#10;AI-generated content may be incorrect.">
                      <a:extLst>
                        <a:ext uri="{FF2B5EF4-FFF2-40B4-BE49-F238E27FC236}">
                          <a16:creationId xmlns:a16="http://schemas.microsoft.com/office/drawing/2014/main" id="{34B22E9F-F36C-48BE-A601-C8A2F895AA3E}"/>
                        </a:ext>
                      </a:extLst>
                    </pic:cNvPr>
                    <pic:cNvPicPr>
                      <a:picLocks noChangeAspect="1"/>
                    </pic:cNvPicPr>
                  </pic:nvPicPr>
                  <pic:blipFill rotWithShape="1">
                    <a:blip r:embed="rId13"/>
                    <a:srcRect r="57444"/>
                    <a:stretch/>
                  </pic:blipFill>
                  <pic:spPr>
                    <a:xfrm>
                      <a:off x="0" y="0"/>
                      <a:ext cx="3096343" cy="3464688"/>
                    </a:xfrm>
                    <a:prstGeom prst="rect">
                      <a:avLst/>
                    </a:prstGeom>
                  </pic:spPr>
                </pic:pic>
              </a:graphicData>
            </a:graphic>
          </wp:inline>
        </w:drawing>
      </w:r>
    </w:p>
    <w:p w14:paraId="5291A6DE" w14:textId="6BE75EAC" w:rsidR="00B35731" w:rsidRDefault="00B35731" w:rsidP="00B35731">
      <w:pPr>
        <w:pStyle w:val="Caption"/>
        <w:jc w:val="center"/>
        <w:rPr>
          <w:rFonts w:ascii="Times New Roman" w:hAnsi="Times New Roman"/>
        </w:rPr>
      </w:pPr>
      <w:bookmarkStart w:id="11" w:name="_Toc227490786"/>
      <w:bookmarkStart w:id="12" w:name="_Toc227501624"/>
      <w:r>
        <w:t xml:space="preserve">Figure </w:t>
      </w:r>
      <w:fldSimple w:instr=" SEQ Figure \* ARABIC ">
        <w:r w:rsidR="00C46471">
          <w:rPr>
            <w:noProof/>
          </w:rPr>
          <w:t>2</w:t>
        </w:r>
      </w:fldSimple>
      <w:r>
        <w:t xml:space="preserve">: </w:t>
      </w:r>
      <w:r w:rsidRPr="00A859E2">
        <w:t>Example of SAP maintenance work orders for the No.3 guide machine, illustrating recorded defects and maintenance activities</w:t>
      </w:r>
      <w:bookmarkEnd w:id="11"/>
      <w:r w:rsidR="00C46471">
        <w:t xml:space="preserve"> </w:t>
      </w:r>
      <w:r w:rsidR="00C46471" w:rsidRPr="00C46471">
        <w:t>(Jenkins, 2021, based on SAP data)</w:t>
      </w:r>
      <w:bookmarkEnd w:id="12"/>
    </w:p>
    <w:p w14:paraId="01FD7559" w14:textId="77777777" w:rsidR="00B35731" w:rsidRDefault="00B35731" w:rsidP="00624C0F"/>
    <w:p w14:paraId="579D2FBD" w14:textId="673A960C" w:rsidR="00B35731" w:rsidRDefault="00955E2A" w:rsidP="00955E2A">
      <w:r>
        <w:t xml:space="preserve">However, the nature of the recorded tasks also highlights a limitation of the current strategy. Many of the work orders relate to reactive or corrective actions, such as repairs and component replacements, suggesting that maintenance is often driven by observed defects rather than early-stage condition monitoring. This reinforces the view that, despite its </w:t>
      </w:r>
      <w:r>
        <w:lastRenderedPageBreak/>
        <w:t xml:space="preserve">structured approach, the system remains partially reactive and could benefit from </w:t>
      </w:r>
      <w:r>
        <w:t>integrating</w:t>
      </w:r>
      <w:r>
        <w:t xml:space="preserve"> condition-based techniques to </w:t>
      </w:r>
      <w:r>
        <w:t>detect</w:t>
      </w:r>
      <w:r>
        <w:t xml:space="preserve"> degradation before failure.</w:t>
      </w:r>
    </w:p>
    <w:p w14:paraId="5A864E21" w14:textId="5033A027" w:rsidR="00624C0F" w:rsidRDefault="00624C0F" w:rsidP="00624C0F">
      <w:r>
        <w:t xml:space="preserve">A key strength of this approach is its structured nature. In a demanding industrial environment, time-based maintenance </w:t>
      </w:r>
      <w:r>
        <w:t>offer</w:t>
      </w:r>
      <w:r>
        <w:t>s predictability</w:t>
      </w:r>
      <w:r>
        <w:t>, enabling</w:t>
      </w:r>
      <w:r>
        <w:t xml:space="preserve"> work to be planned around shutdowns and resource availability. This reduces the likelihood </w:t>
      </w:r>
      <w:r w:rsidR="00955E2A">
        <w:t>that</w:t>
      </w:r>
      <w:r>
        <w:t xml:space="preserve"> severe degradation </w:t>
      </w:r>
      <w:r w:rsidR="00955E2A">
        <w:t>will go</w:t>
      </w:r>
      <w:r>
        <w:t xml:space="preserve"> unnoticed and supports consistent maintenance delivery (Kelly, 2006; Wireman, 2010).</w:t>
      </w:r>
    </w:p>
    <w:p w14:paraId="6D7027F8" w14:textId="77777777" w:rsidR="00624C0F" w:rsidRDefault="00624C0F" w:rsidP="00624C0F">
      <w:r>
        <w:t>The system also demonstrates a degree of maintenance maturity. The use of defined schedules and formal defect reporting indicates a move beyond purely reactive maintenance. As noted by Campbell and Jardine (2001), effective maintenance systems require structured processes to manage asset condition over time, and this approach contributes to that objective.</w:t>
      </w:r>
    </w:p>
    <w:p w14:paraId="02BA4916" w14:textId="09979625" w:rsidR="00624C0F" w:rsidRDefault="00624C0F" w:rsidP="00624C0F">
      <w:r>
        <w:t>Another strength is the recognition of the machine’s multi-system nature. Maintenance activities address a range of subsystems, including mechanical, hydraulic, and structural components. This is important because failures in industrial systems are often interconnected rather than isolated.</w:t>
      </w:r>
    </w:p>
    <w:p w14:paraId="3F928B5D" w14:textId="77777777" w:rsidR="00624C0F" w:rsidRDefault="00624C0F" w:rsidP="00624C0F">
      <w:r>
        <w:t>However, despite these strengths, the strategy has clear limitations. The most significant issue is the reliance on fixed maintenance intervals. Traditional preventive maintenance assumes that failure is primarily age-related, yet many industrial failures occur due to variable operating conditions rather than time alone (Moubray, 1997). In a harsh and unpredictable environment, components may degrade at different rates, making fixed intervals inefficient.</w:t>
      </w:r>
    </w:p>
    <w:p w14:paraId="05E0B1E1" w14:textId="77777777" w:rsidR="005C4AD7" w:rsidRDefault="005C4AD7" w:rsidP="005C4AD7">
      <w:pPr>
        <w:keepNext/>
        <w:jc w:val="center"/>
      </w:pPr>
      <w:r w:rsidRPr="005C4AD7">
        <w:lastRenderedPageBreak/>
        <w:drawing>
          <wp:inline distT="0" distB="0" distL="0" distR="0" wp14:anchorId="26985BD3" wp14:editId="3E078312">
            <wp:extent cx="4416126" cy="2777492"/>
            <wp:effectExtent l="0" t="0" r="16510" b="16510"/>
            <wp:docPr id="426449753" name="Chart 1">
              <a:extLst xmlns:a="http://schemas.openxmlformats.org/drawingml/2006/main">
                <a:ext uri="{FF2B5EF4-FFF2-40B4-BE49-F238E27FC236}">
                  <a16:creationId xmlns:a16="http://schemas.microsoft.com/office/drawing/2014/main" id="{6D64AEF6-0FAE-4166-9307-253B250327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0AA1293" w14:textId="532F51DE" w:rsidR="005C4AD7" w:rsidRDefault="005C4AD7" w:rsidP="005C4AD7">
      <w:pPr>
        <w:pStyle w:val="Caption"/>
        <w:jc w:val="center"/>
      </w:pPr>
      <w:bookmarkStart w:id="13" w:name="_Toc227490787"/>
      <w:bookmarkStart w:id="14" w:name="_Toc227501625"/>
      <w:r>
        <w:t xml:space="preserve">Figure </w:t>
      </w:r>
      <w:fldSimple w:instr=" SEQ Figure \* ARABIC ">
        <w:r w:rsidR="00C46471">
          <w:rPr>
            <w:noProof/>
          </w:rPr>
          <w:t>3</w:t>
        </w:r>
      </w:fldSimple>
      <w:r>
        <w:t xml:space="preserve">: </w:t>
      </w:r>
      <w:r w:rsidRPr="00820194">
        <w:t>Monthly delay hours for No.3 guide machine comparing FY19–20 and FY20–21, illustrating variability in equipment performance</w:t>
      </w:r>
      <w:r w:rsidR="00955E2A">
        <w:t xml:space="preserve"> </w:t>
      </w:r>
      <w:r w:rsidR="00955E2A" w:rsidRPr="00955E2A">
        <w:t>(Jenkins, 2021)</w:t>
      </w:r>
      <w:bookmarkEnd w:id="13"/>
      <w:bookmarkEnd w:id="14"/>
      <w:r w:rsidR="00955E2A">
        <w:t xml:space="preserve"> </w:t>
      </w:r>
    </w:p>
    <w:p w14:paraId="284EB854" w14:textId="77777777" w:rsidR="005C4AD7" w:rsidRDefault="005C4AD7" w:rsidP="00624C0F"/>
    <w:p w14:paraId="40D05415" w14:textId="2FAF8896" w:rsidR="005C4AD7" w:rsidRDefault="000642AE" w:rsidP="000642AE">
      <w:r>
        <w:t xml:space="preserve">The limitations of the current maintenance strategy are further supported by operational performance data. As shown in Figure </w:t>
      </w:r>
      <w:r w:rsidR="00955E2A">
        <w:t>3</w:t>
      </w:r>
      <w:r>
        <w:t>, monthly delay data for the No.</w:t>
      </w:r>
      <w:r>
        <w:t xml:space="preserve"> </w:t>
      </w:r>
      <w:r>
        <w:t xml:space="preserve">3 guide machine indicate consistently higher downtime in FY19–20 </w:t>
      </w:r>
      <w:r>
        <w:t>than</w:t>
      </w:r>
      <w:r>
        <w:t xml:space="preserve"> </w:t>
      </w:r>
      <w:r>
        <w:t>in</w:t>
      </w:r>
      <w:r>
        <w:t xml:space="preserve"> FY20–21, with several months showing significant peaks in delay hours. While some improvement is observed in FY20–21, recurring delays suggest that the existing time-based maintenance strategy does not fully prevent performance losses. This supports the argument that preventive maintenance alone is insufficient to manage failure behaviour effectively, particularly in a variable operating environment.</w:t>
      </w:r>
    </w:p>
    <w:p w14:paraId="73F9355E" w14:textId="6F022848" w:rsidR="00624C0F" w:rsidRDefault="00624C0F" w:rsidP="00624C0F">
      <w:r>
        <w:t>This creates two key risks. Maintenance may be carried out too early, resulting in unnecessary cost and reduced component life, or too late, increasing the likelihood of failure. In addition, frequent intervention</w:t>
      </w:r>
      <w:r w:rsidR="005C4AD7">
        <w:t>s</w:t>
      </w:r>
      <w:r>
        <w:t xml:space="preserve"> introduce the </w:t>
      </w:r>
      <w:r w:rsidR="005C4AD7">
        <w:t>risk</w:t>
      </w:r>
      <w:r>
        <w:t xml:space="preserve"> of maintenance-induced faults, such as misalignment or contamination. As RCM principles highlight, excessive maintenance can reduce reliability if not properly justified (Moubray, 1997).</w:t>
      </w:r>
    </w:p>
    <w:p w14:paraId="3A814C0A" w14:textId="77777777" w:rsidR="00624C0F" w:rsidRDefault="00624C0F" w:rsidP="00624C0F">
      <w:r>
        <w:t>Another limitation is the reliance on qualitative inspection methods. Visual checks are essential but depend heavily on human judgement and may not detect early-stage faults. Many failures develop gradually and can be identified through measurable changes in vibration, temperature, or lubrication condition before becoming visible (Mobley, 2002). Without these techniques, the system remains partly reactive.</w:t>
      </w:r>
    </w:p>
    <w:p w14:paraId="0D4EDCE6" w14:textId="77777777" w:rsidR="00624C0F" w:rsidRDefault="00624C0F" w:rsidP="00624C0F">
      <w:r>
        <w:t xml:space="preserve">A further issue is the lack of prioritisation based on failure consequence. RCM emphasises that maintenance should focus on the impact of failure rather than treating all components </w:t>
      </w:r>
      <w:r>
        <w:lastRenderedPageBreak/>
        <w:t>equally (Smith and Hawkins, 2004). The current approach does not clearly differentiate between high- and low-risk components, potentially leading to inefficient use of resources.</w:t>
      </w:r>
    </w:p>
    <w:p w14:paraId="257D1F0D" w14:textId="77777777" w:rsidR="00624C0F" w:rsidRDefault="00624C0F" w:rsidP="00624C0F">
      <w:r>
        <w:t>Finally, although SAP is used to record maintenance data, there is limited evidence of systematic analysis. Data is collected but not fully used to identify trends or improve decision-making. Effective maintenance requires converting data into actionable insights, which is currently underutilised (Jardine, Lin and Banjevic, 2006).</w:t>
      </w:r>
    </w:p>
    <w:p w14:paraId="4C1CF1BD" w14:textId="77777777" w:rsidR="00624C0F" w:rsidRDefault="00624C0F" w:rsidP="00624C0F">
      <w:r>
        <w:t>Overall, the existing strategy provides a structured and reliable foundation but lacks flexibility, prioritisation, and data-driven optimisation.</w:t>
      </w:r>
    </w:p>
    <w:p w14:paraId="5FF687E0" w14:textId="77777777" w:rsidR="00C017F2" w:rsidRPr="00C017F2" w:rsidRDefault="00C017F2" w:rsidP="00C017F2"/>
    <w:p w14:paraId="055E9E07" w14:textId="77777777" w:rsidR="00874D2C" w:rsidRPr="00874D2C" w:rsidRDefault="00874D2C" w:rsidP="00874D2C"/>
    <w:p w14:paraId="4774BB14" w14:textId="77777777" w:rsidR="00F703B3" w:rsidRDefault="00F703B3" w:rsidP="003725F2"/>
    <w:p w14:paraId="30D3B9ED" w14:textId="77777777" w:rsidR="00813DDD" w:rsidRDefault="00813DDD" w:rsidP="003725F2"/>
    <w:p w14:paraId="56EEAC85" w14:textId="77777777" w:rsidR="00813DDD" w:rsidRDefault="00813DDD" w:rsidP="003725F2"/>
    <w:p w14:paraId="31B0491C" w14:textId="77777777" w:rsidR="000642AE" w:rsidRDefault="000642AE" w:rsidP="003725F2"/>
    <w:p w14:paraId="68F425DF" w14:textId="77777777" w:rsidR="00C46471" w:rsidRDefault="00C46471" w:rsidP="003725F2"/>
    <w:p w14:paraId="1F774B6F" w14:textId="77777777" w:rsidR="00C46471" w:rsidRDefault="00C46471" w:rsidP="003725F2"/>
    <w:p w14:paraId="65DD7B72" w14:textId="77777777" w:rsidR="00C46471" w:rsidRDefault="00C46471" w:rsidP="003725F2"/>
    <w:p w14:paraId="4F5E875F" w14:textId="77777777" w:rsidR="00C46471" w:rsidRDefault="00C46471" w:rsidP="003725F2"/>
    <w:p w14:paraId="15F054A1" w14:textId="77777777" w:rsidR="00C46471" w:rsidRDefault="00C46471" w:rsidP="003725F2"/>
    <w:p w14:paraId="52D2605A" w14:textId="77777777" w:rsidR="00C46471" w:rsidRDefault="00C46471" w:rsidP="003725F2"/>
    <w:p w14:paraId="112BCD31" w14:textId="77777777" w:rsidR="00C46471" w:rsidRDefault="00C46471" w:rsidP="003725F2"/>
    <w:p w14:paraId="71E805D6" w14:textId="77777777" w:rsidR="00C46471" w:rsidRDefault="00C46471" w:rsidP="003725F2"/>
    <w:p w14:paraId="3E84CDDC" w14:textId="77777777" w:rsidR="00C46471" w:rsidRDefault="00C46471" w:rsidP="003725F2"/>
    <w:p w14:paraId="2F651AA7" w14:textId="77777777" w:rsidR="00C46471" w:rsidRDefault="00C46471" w:rsidP="003725F2"/>
    <w:p w14:paraId="02B4A36C" w14:textId="77777777" w:rsidR="00C46471" w:rsidRDefault="00C46471" w:rsidP="003725F2"/>
    <w:p w14:paraId="71130E26" w14:textId="77777777" w:rsidR="00C46471" w:rsidRDefault="00C46471" w:rsidP="003725F2"/>
    <w:p w14:paraId="72376DB0" w14:textId="3896BC7F" w:rsidR="00AA0A44" w:rsidRPr="00283878" w:rsidRDefault="00283878" w:rsidP="00283878">
      <w:pPr>
        <w:pStyle w:val="Heading1"/>
        <w:rPr>
          <w:b/>
          <w:bCs/>
          <w:color w:val="0070C0"/>
        </w:rPr>
      </w:pPr>
      <w:bookmarkStart w:id="15" w:name="_Toc227502217"/>
      <w:r w:rsidRPr="00283878">
        <w:rPr>
          <w:b/>
          <w:bCs/>
          <w:color w:val="0070C0"/>
        </w:rPr>
        <w:lastRenderedPageBreak/>
        <w:t>Evaluation of Improvements to Maintenance Strategy</w:t>
      </w:r>
      <w:bookmarkEnd w:id="15"/>
    </w:p>
    <w:p w14:paraId="2DAEE9F9" w14:textId="386C1096" w:rsidR="00624C0F" w:rsidRDefault="00624C0F" w:rsidP="00624C0F">
      <w:pPr>
        <w:rPr>
          <w:rFonts w:ascii="Times New Roman" w:hAnsi="Times New Roman"/>
        </w:rPr>
      </w:pPr>
      <w:r>
        <w:t>Improving the maintenance strategy does not require replacing the current system but refining it into a more targeted and adaptive approach. High-performing maintenance systems typically combine multiple strategies to balance reliability and cost (Campbell and Jardine, 2001; ISO, 2014).</w:t>
      </w:r>
    </w:p>
    <w:p w14:paraId="2A52BCB7" w14:textId="77777777" w:rsidR="00624C0F" w:rsidRDefault="00624C0F" w:rsidP="00624C0F">
      <w:r>
        <w:t>A key improvement is the introduction of component-specific maintenance strategies supported by condition monitoring.</w:t>
      </w:r>
    </w:p>
    <w:p w14:paraId="431E885B" w14:textId="2A76E7F4" w:rsidR="00624C0F" w:rsidRDefault="00624C0F" w:rsidP="00624C0F">
      <w:r>
        <w:t xml:space="preserve">Condition-based maintenance (CBM) should be applied selectively to critical components such as drive systems, braking systems, and hydraulics. Techniques </w:t>
      </w:r>
      <w:r w:rsidR="000642AE">
        <w:t>such as</w:t>
      </w:r>
      <w:r>
        <w:t xml:space="preserve"> vibration analysis, thermography, and oil analysis can detect early-stage faults and </w:t>
      </w:r>
      <w:r w:rsidR="000642AE">
        <w:t>enable</w:t>
      </w:r>
      <w:r>
        <w:t xml:space="preserve"> maintenance only when necessary (Jardine, Lin and Banjevic, 2006; Mobley, 2002).</w:t>
      </w:r>
    </w:p>
    <w:p w14:paraId="0561D6AA" w14:textId="331CF785" w:rsidR="00624C0F" w:rsidRDefault="00624C0F" w:rsidP="00624C0F">
      <w:r>
        <w:t xml:space="preserve">The P–F curve (Figure </w:t>
      </w:r>
      <w:r w:rsidR="00955E2A">
        <w:t>4</w:t>
      </w:r>
      <w:r>
        <w:t>) illustrates the interval between initial fault detection and functional failure. This interval represents the optimal window for maintenance intervention, allowing faults to be addressed before failure occurs (Moubray, 1997). Applying CBM within this window improves reliability while reducing unnecessary maintenance.</w:t>
      </w:r>
    </w:p>
    <w:p w14:paraId="1574F5CD" w14:textId="77777777" w:rsidR="00624C0F" w:rsidRDefault="00624C0F" w:rsidP="00624C0F">
      <w:r>
        <w:t>However, CBM has limitations. Not all failures are detectable, and some may occur suddenly without warning. This means CBM cannot fully replace preventive maintenance and must be applied selectively.</w:t>
      </w:r>
    </w:p>
    <w:p w14:paraId="43067C3C" w14:textId="77777777" w:rsidR="00624C0F" w:rsidRDefault="00624C0F" w:rsidP="00624C0F">
      <w:r>
        <w:t>Reliability-centred maintenance (RCM) provides a structured method for prioritising maintenance based on failure consequence. High-risk components require more intensive maintenance, while lower-risk components may be maintained less frequently. This ensures resources are used efficiently (Smith and Hawkins, 2004).</w:t>
      </w:r>
    </w:p>
    <w:p w14:paraId="6AD8DD90" w14:textId="478A85D3" w:rsidR="00624C0F" w:rsidRDefault="00624C0F" w:rsidP="00624C0F">
      <w:r>
        <w:t xml:space="preserve">Data-driven maintenance is another key improvement. By </w:t>
      </w:r>
      <w:r w:rsidR="000642AE">
        <w:t>leveraging</w:t>
      </w:r>
      <w:r>
        <w:t xml:space="preserve"> SAP data, maintenance teams can identify trends, predict failures, and optimise maintenance intervals. However, this requires accurate data and appropriate training.</w:t>
      </w:r>
    </w:p>
    <w:p w14:paraId="1CB8E05D" w14:textId="77777777" w:rsidR="00624C0F" w:rsidRDefault="00624C0F" w:rsidP="00624C0F">
      <w:r>
        <w:t>The most effective solution is a hybrid strategy combining preventive maintenance, CBM, and RCM. This approach provides a balance between reliability, cost efficiency, and practicality.</w:t>
      </w:r>
    </w:p>
    <w:p w14:paraId="3877EC0F" w14:textId="7B841DC8" w:rsidR="007F27EE" w:rsidRDefault="007F27EE" w:rsidP="00624C0F"/>
    <w:p w14:paraId="7D4D67D0" w14:textId="77777777" w:rsidR="007F27EE" w:rsidRDefault="00EA0212" w:rsidP="007F27EE">
      <w:pPr>
        <w:keepNext/>
      </w:pPr>
      <w:r>
        <w:lastRenderedPageBreak/>
        <w:fldChar w:fldCharType="begin"/>
      </w:r>
      <w:r>
        <w:instrText xml:space="preserve"> INCLUDEPICTURE "/Users/frey.m/Library/Group Containers/UBF8T346G9.ms/WebArchiveCopyPasteTempFiles/com.microsoft.Word/bAfWmz7Is0yajBacTK8P4sQ8m-PO4wkHAFM1cAaubJhcUqwPVJYwfsL4MZ2QKS6YcqryDvCTaNnvTLblixZpvP353c-2zdrgXdUTcKBYnf_-62JNNa64Vtfa2moNti7fX1E0iLoh" \* MERGEFORMATINET </w:instrText>
      </w:r>
      <w:r>
        <w:fldChar w:fldCharType="separate"/>
      </w:r>
      <w:r>
        <w:rPr>
          <w:noProof/>
        </w:rPr>
        <w:drawing>
          <wp:inline distT="0" distB="0" distL="0" distR="0" wp14:anchorId="0B1D3CE3" wp14:editId="1F00DF84">
            <wp:extent cx="5731510" cy="3221355"/>
            <wp:effectExtent l="12700" t="12700" r="8890" b="17145"/>
            <wp:docPr id="381873108" name="Picture 3" descr="A diagram of a performance indic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873108" name="Picture 3" descr="A diagram of a performance indicato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solidFill>
                        <a:schemeClr val="bg1">
                          <a:lumMod val="85000"/>
                        </a:schemeClr>
                      </a:solidFill>
                    </a:ln>
                  </pic:spPr>
                </pic:pic>
              </a:graphicData>
            </a:graphic>
          </wp:inline>
        </w:drawing>
      </w:r>
      <w:r>
        <w:fldChar w:fldCharType="end"/>
      </w:r>
    </w:p>
    <w:p w14:paraId="6E83A071" w14:textId="4094293B" w:rsidR="00EA0212" w:rsidRDefault="007F27EE" w:rsidP="007F27EE">
      <w:pPr>
        <w:pStyle w:val="Caption"/>
        <w:jc w:val="center"/>
      </w:pPr>
      <w:bookmarkStart w:id="16" w:name="_Toc227435209"/>
      <w:bookmarkStart w:id="17" w:name="_Toc227490788"/>
      <w:bookmarkStart w:id="18" w:name="_Toc227501626"/>
      <w:r>
        <w:t xml:space="preserve">Figure </w:t>
      </w:r>
      <w:fldSimple w:instr=" SEQ Figure \* ARABIC ">
        <w:r w:rsidR="00C46471">
          <w:rPr>
            <w:noProof/>
          </w:rPr>
          <w:t>4</w:t>
        </w:r>
      </w:fldSimple>
      <w:r>
        <w:t xml:space="preserve">: </w:t>
      </w:r>
      <w:r w:rsidRPr="00FD537F">
        <w:t xml:space="preserve">P–F curve illustrating asset degradation and maintenance intervention (adapted from </w:t>
      </w:r>
      <w:proofErr w:type="spellStart"/>
      <w:r w:rsidRPr="00FD537F">
        <w:t>Aladon</w:t>
      </w:r>
      <w:proofErr w:type="spellEnd"/>
      <w:r w:rsidRPr="00FD537F">
        <w:t>, n.d.; Moubray, 1997).</w:t>
      </w:r>
      <w:bookmarkEnd w:id="16"/>
      <w:bookmarkEnd w:id="17"/>
      <w:bookmarkEnd w:id="18"/>
    </w:p>
    <w:p w14:paraId="14C199F1" w14:textId="77777777" w:rsidR="007F27EE" w:rsidRDefault="007F27EE" w:rsidP="007F27EE"/>
    <w:p w14:paraId="1B756FD7" w14:textId="77777777" w:rsidR="007F27EE" w:rsidRDefault="007F27EE" w:rsidP="007F27EE"/>
    <w:p w14:paraId="21029E30" w14:textId="77777777" w:rsidR="00624C0F" w:rsidRDefault="00624C0F" w:rsidP="007F27EE"/>
    <w:p w14:paraId="4AA2F7C6" w14:textId="77777777" w:rsidR="00624C0F" w:rsidRDefault="00624C0F" w:rsidP="007F27EE"/>
    <w:p w14:paraId="0B7DDF36" w14:textId="77777777" w:rsidR="00624C0F" w:rsidRDefault="00624C0F" w:rsidP="007F27EE"/>
    <w:p w14:paraId="294ED052" w14:textId="77777777" w:rsidR="00624C0F" w:rsidRDefault="00624C0F" w:rsidP="007F27EE"/>
    <w:p w14:paraId="5955280C" w14:textId="77777777" w:rsidR="00624C0F" w:rsidRDefault="00624C0F" w:rsidP="007F27EE"/>
    <w:p w14:paraId="01B5C7B3" w14:textId="77777777" w:rsidR="00624C0F" w:rsidRDefault="00624C0F" w:rsidP="007F27EE"/>
    <w:p w14:paraId="12D1F4E9" w14:textId="77777777" w:rsidR="00624C0F" w:rsidRDefault="00624C0F" w:rsidP="007F27EE"/>
    <w:p w14:paraId="700034F4" w14:textId="77777777" w:rsidR="00624C0F" w:rsidRDefault="00624C0F" w:rsidP="007F27EE"/>
    <w:p w14:paraId="6F579C1B" w14:textId="77777777" w:rsidR="00624C0F" w:rsidRDefault="00624C0F" w:rsidP="007F27EE"/>
    <w:p w14:paraId="1CE1D820" w14:textId="77777777" w:rsidR="00624C0F" w:rsidRDefault="00624C0F" w:rsidP="007F27EE"/>
    <w:p w14:paraId="2F8D8EE2" w14:textId="77777777" w:rsidR="00624C0F" w:rsidRPr="007F27EE" w:rsidRDefault="00624C0F" w:rsidP="007F27EE"/>
    <w:p w14:paraId="02A87573" w14:textId="77777777" w:rsidR="00DB600E" w:rsidRPr="00DB600E" w:rsidRDefault="00C2617C" w:rsidP="00DB600E">
      <w:pPr>
        <w:pStyle w:val="Heading1"/>
        <w:rPr>
          <w:rStyle w:val="Strong"/>
          <w:b w:val="0"/>
          <w:bCs w:val="0"/>
          <w:color w:val="0070C0"/>
        </w:rPr>
      </w:pPr>
      <w:bookmarkStart w:id="19" w:name="_Toc227502218"/>
      <w:r w:rsidRPr="00C2617C">
        <w:rPr>
          <w:rStyle w:val="Strong"/>
          <w:color w:val="0070C0"/>
        </w:rPr>
        <w:lastRenderedPageBreak/>
        <w:t>Costs and Resources Required</w:t>
      </w:r>
      <w:bookmarkEnd w:id="19"/>
    </w:p>
    <w:p w14:paraId="47564829" w14:textId="2A77E07B" w:rsidR="00DB600E" w:rsidRPr="00DB600E" w:rsidRDefault="00DB600E" w:rsidP="00DB600E">
      <w:pPr>
        <w:rPr>
          <w:color w:val="0070C0"/>
        </w:rPr>
      </w:pPr>
      <w:r w:rsidRPr="00DB600E">
        <w:t xml:space="preserve">Any proposed improvement to the maintenance strategy must be justified not only </w:t>
      </w:r>
      <w:r>
        <w:t>o</w:t>
      </w:r>
      <w:r w:rsidRPr="00DB600E">
        <w:t xml:space="preserve">n technical </w:t>
      </w:r>
      <w:r>
        <w:t>ground</w:t>
      </w:r>
      <w:r w:rsidRPr="00DB600E">
        <w:t xml:space="preserve">s but also </w:t>
      </w:r>
      <w:r w:rsidR="00B703BE">
        <w:t>on</w:t>
      </w:r>
      <w:r w:rsidRPr="00DB600E">
        <w:t xml:space="preserve"> cost, resource availability, and operational impact. While advanced maintenance strategies such as condition-based maintenance (CBM) and reliability-centred maintenance (RCM) are often associated with improved reliability, their implementation introduces both</w:t>
      </w:r>
      <w:r w:rsidRPr="00DB600E">
        <w:rPr>
          <w:rStyle w:val="apple-converted-space"/>
          <w:rFonts w:eastAsiaTheme="majorEastAsia"/>
          <w:color w:val="000000"/>
        </w:rPr>
        <w:t> </w:t>
      </w:r>
      <w:r w:rsidRPr="00DB600E">
        <w:rPr>
          <w:rStyle w:val="Strong"/>
          <w:rFonts w:eastAsiaTheme="majorEastAsia"/>
          <w:b w:val="0"/>
          <w:bCs w:val="0"/>
          <w:color w:val="000000"/>
        </w:rPr>
        <w:t>direct and indirect costs</w:t>
      </w:r>
      <w:r w:rsidRPr="00DB600E">
        <w:rPr>
          <w:b/>
          <w:bCs/>
        </w:rPr>
        <w:t>,</w:t>
      </w:r>
      <w:r w:rsidRPr="00DB600E">
        <w:t xml:space="preserve"> as well as organisational challenges. Therefore, a critical evaluation must consider whether these improvements deliver genuine value when compared to the existing maintenance approach.</w:t>
      </w:r>
    </w:p>
    <w:p w14:paraId="325EB850" w14:textId="0B488111" w:rsidR="00DB600E" w:rsidRPr="00DB600E" w:rsidRDefault="00DB600E" w:rsidP="00DB600E">
      <w:pPr>
        <w:pStyle w:val="Heading2"/>
      </w:pPr>
      <w:bookmarkStart w:id="20" w:name="_Toc227502219"/>
      <w:r w:rsidRPr="00DB600E">
        <w:rPr>
          <w:rStyle w:val="Strong"/>
          <w:b w:val="0"/>
          <w:bCs w:val="0"/>
        </w:rPr>
        <w:t>Current Maintenance Cost Baseline</w:t>
      </w:r>
      <w:bookmarkEnd w:id="20"/>
    </w:p>
    <w:p w14:paraId="52E6E46C" w14:textId="7E6E4BA7" w:rsidR="00B80F50" w:rsidRDefault="00865203" w:rsidP="00DB600E">
      <w:r>
        <w:rPr>
          <w:noProof/>
        </w:rPr>
        <mc:AlternateContent>
          <mc:Choice Requires="wps">
            <w:drawing>
              <wp:anchor distT="0" distB="0" distL="114300" distR="114300" simplePos="0" relativeHeight="251663360" behindDoc="0" locked="0" layoutInCell="1" allowOverlap="1" wp14:anchorId="685942DF" wp14:editId="4A0C8B86">
                <wp:simplePos x="0" y="0"/>
                <wp:positionH relativeFrom="column">
                  <wp:posOffset>81280</wp:posOffset>
                </wp:positionH>
                <wp:positionV relativeFrom="paragraph">
                  <wp:posOffset>2437130</wp:posOffset>
                </wp:positionV>
                <wp:extent cx="5731510" cy="635"/>
                <wp:effectExtent l="0" t="0" r="0" b="12065"/>
                <wp:wrapSquare wrapText="bothSides"/>
                <wp:docPr id="23832946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99418A5" w14:textId="2FC24439" w:rsidR="00865203" w:rsidRPr="005600EC" w:rsidRDefault="00865203" w:rsidP="00865203">
                            <w:pPr>
                              <w:pStyle w:val="Caption"/>
                              <w:jc w:val="center"/>
                              <w:rPr>
                                <w:noProof/>
                                <w:sz w:val="22"/>
                                <w:szCs w:val="22"/>
                              </w:rPr>
                            </w:pPr>
                            <w:bookmarkStart w:id="21" w:name="_Toc227490789"/>
                            <w:bookmarkStart w:id="22" w:name="_Toc227501627"/>
                            <w:r>
                              <w:t xml:space="preserve">Figure </w:t>
                            </w:r>
                            <w:fldSimple w:instr=" SEQ Figure \* ARABIC ">
                              <w:r w:rsidR="00C46471">
                                <w:rPr>
                                  <w:noProof/>
                                </w:rPr>
                                <w:t>5</w:t>
                              </w:r>
                            </w:fldSimple>
                            <w:r>
                              <w:t xml:space="preserve">: </w:t>
                            </w:r>
                            <w:r w:rsidRPr="005A0B5E">
                              <w:t>Breakdown of 8-weekly and 16-weekly planned maintenance spare costs for the guide machine</w:t>
                            </w:r>
                            <w:r>
                              <w:t xml:space="preserve"> </w:t>
                            </w:r>
                            <w:r w:rsidRPr="005A0B5E">
                              <w:t>(Chambers, 2023)</w:t>
                            </w:r>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5942DF" id="_x0000_s1027" type="#_x0000_t202" style="position:absolute;margin-left:6.4pt;margin-top:191.9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43kaGAIAAD8EAAAOAAAAZHJzL2Uyb0RvYy54bWysU8Fu2zAMvQ/YPwi6L05apBuMOEWWIsOA&#13;&#10;oC2QFj0rshwLkEWNUmJ3Xz9KtpOu22nYRaZJihTfe1zcdo1hJ4Vegy34bDLlTFkJpbaHgj8/bT59&#13;&#10;4cwHYUthwKqCvyrPb5cfPyxal6srqMGUChkVsT5vXcHrEFyeZV7WqhF+Ak5ZClaAjQj0i4esRNFS&#13;&#10;9cZkV9PpTdYClg5BKu/Je9cH+TLVryolw0NVeRWYKTi9LaQT07mPZ7ZciPyAwtVaDs8Q//CKRmhL&#13;&#10;Tc+l7kQQ7Ij6j1KNlggeqjCR0GRQVVqqNANNM5u+m2ZXC6fSLASOd2eY/P8rK+9PO/eILHRfoSMC&#13;&#10;IyCt87knZ5ynq7CJX3opozhB+HqGTXWBSXLOP1/P5jMKSYrdXM9jjexy1aEP3xQ0LBoFR+IkQSVO&#13;&#10;Wx/61DEldvJgdLnRxsSfGFgbZCdB/LW1Dmoo/luWsTHXQrzVF4ye7DJHtEK375gu38y4h/KVRkfo&#13;&#10;VeGd3GjqtxU+PAokGdBIJO3wQEdloC04DBZnNeDPv/ljPrFDUc5aklXB/Y+jQMWZ+W6Jt6jB0cDR&#13;&#10;2I+GPTZroElntDROJpMuYDCjWSE0L6T4VexCIWEl9Sp4GM116MVNGyPVapWSSGlOhK3dORlLj7g+&#13;&#10;dS8C3cBKIDLvYRScyN+R0+cmetzqGAjpxFzEtUdxgJtUmrgfNiquwdv/lHXZ++UvAAAA//8DAFBL&#13;&#10;AwQUAAYACAAAACEA/QM9l+MAAAAPAQAADwAAAGRycy9kb3ducmV2LnhtbExPO0/DMBDekfgP1iGx&#13;&#10;IOq0CVWbxqmqAgNdKkIXNje+xoHYjmynDf+egwWW0333+B7FejQdO6MPrbMCppMEGNraqdY2Ag5v&#13;&#10;z/cLYCFKq2TnLAr4wgDr8vqqkLlyF/uK5yo2jEhsyKUAHWOfcx5qjUaGievR0u7kvJGRoG+48vJC&#13;&#10;5KbjsySZcyNbSwpa9rjVWH9WgxGwz973+m44Pe02WepfDsN2/tFUQtzejI8rKpsVsIhj/PuAnwzk&#13;&#10;H0oydnSDVYF1hGdkPwpIFyk1dLCcPmTAjr+TJfCy4P9zlN8AAAD//wMAUEsBAi0AFAAGAAgAAAAh&#13;&#10;ALaDOJL+AAAA4QEAABMAAAAAAAAAAAAAAAAAAAAAAFtDb250ZW50X1R5cGVzXS54bWxQSwECLQAU&#13;&#10;AAYACAAAACEAOP0h/9YAAACUAQAACwAAAAAAAAAAAAAAAAAvAQAAX3JlbHMvLnJlbHNQSwECLQAU&#13;&#10;AAYACAAAACEADON5GhgCAAA/BAAADgAAAAAAAAAAAAAAAAAuAgAAZHJzL2Uyb0RvYy54bWxQSwEC&#13;&#10;LQAUAAYACAAAACEA/QM9l+MAAAAPAQAADwAAAAAAAAAAAAAAAAByBAAAZHJzL2Rvd25yZXYueG1s&#13;&#10;UEsFBgAAAAAEAAQA8wAAAIIFAAAAAA==&#13;&#10;" stroked="f">
                <v:textbox style="mso-fit-shape-to-text:t" inset="0,0,0,0">
                  <w:txbxContent>
                    <w:p w14:paraId="399418A5" w14:textId="2FC24439" w:rsidR="00865203" w:rsidRPr="005600EC" w:rsidRDefault="00865203" w:rsidP="00865203">
                      <w:pPr>
                        <w:pStyle w:val="Caption"/>
                        <w:jc w:val="center"/>
                        <w:rPr>
                          <w:noProof/>
                          <w:sz w:val="22"/>
                          <w:szCs w:val="22"/>
                        </w:rPr>
                      </w:pPr>
                      <w:bookmarkStart w:id="23" w:name="_Toc227490789"/>
                      <w:bookmarkStart w:id="24" w:name="_Toc227501627"/>
                      <w:r>
                        <w:t xml:space="preserve">Figure </w:t>
                      </w:r>
                      <w:fldSimple w:instr=" SEQ Figure \* ARABIC ">
                        <w:r w:rsidR="00C46471">
                          <w:rPr>
                            <w:noProof/>
                          </w:rPr>
                          <w:t>5</w:t>
                        </w:r>
                      </w:fldSimple>
                      <w:r>
                        <w:t xml:space="preserve">: </w:t>
                      </w:r>
                      <w:r w:rsidRPr="005A0B5E">
                        <w:t>Breakdown of 8-weekly and 16-weekly planned maintenance spare costs for the guide machine</w:t>
                      </w:r>
                      <w:r>
                        <w:t xml:space="preserve"> </w:t>
                      </w:r>
                      <w:r w:rsidRPr="005A0B5E">
                        <w:t>(Chambers, 2023)</w:t>
                      </w:r>
                      <w:bookmarkEnd w:id="23"/>
                      <w:bookmarkEnd w:id="24"/>
                    </w:p>
                  </w:txbxContent>
                </v:textbox>
                <w10:wrap type="square"/>
              </v:shape>
            </w:pict>
          </mc:Fallback>
        </mc:AlternateContent>
      </w:r>
      <w:r w:rsidR="00013096" w:rsidRPr="00013096">
        <w:rPr>
          <w:noProof/>
        </w:rPr>
        <w:drawing>
          <wp:anchor distT="0" distB="0" distL="114300" distR="114300" simplePos="0" relativeHeight="251658240" behindDoc="0" locked="0" layoutInCell="1" allowOverlap="1" wp14:anchorId="2AB45EF6" wp14:editId="2DC08F54">
            <wp:simplePos x="0" y="0"/>
            <wp:positionH relativeFrom="column">
              <wp:posOffset>81280</wp:posOffset>
            </wp:positionH>
            <wp:positionV relativeFrom="paragraph">
              <wp:posOffset>675640</wp:posOffset>
            </wp:positionV>
            <wp:extent cx="5731510" cy="1704340"/>
            <wp:effectExtent l="0" t="0" r="0" b="0"/>
            <wp:wrapSquare wrapText="bothSides"/>
            <wp:docPr id="511843517"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843517" name="Picture 1" descr="A screenshot of a spreadshee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704340"/>
                    </a:xfrm>
                    <a:prstGeom prst="rect">
                      <a:avLst/>
                    </a:prstGeom>
                  </pic:spPr>
                </pic:pic>
              </a:graphicData>
            </a:graphic>
            <wp14:sizeRelH relativeFrom="page">
              <wp14:pctWidth>0</wp14:pctWidth>
            </wp14:sizeRelH>
            <wp14:sizeRelV relativeFrom="page">
              <wp14:pctHeight>0</wp14:pctHeight>
            </wp14:sizeRelV>
          </wp:anchor>
        </w:drawing>
      </w:r>
      <w:r w:rsidR="00DB600E">
        <w:t xml:space="preserve">The existing maintenance strategy already involves substantial planned expenditure, particularly due to the scheduled replacement of key components. </w:t>
      </w:r>
    </w:p>
    <w:p w14:paraId="76D1A1DC" w14:textId="7ED5DF78" w:rsidR="00DB600E" w:rsidRDefault="00DB600E" w:rsidP="00DB600E">
      <w:r>
        <w:t>Analysis of maintenance data indicates that the</w:t>
      </w:r>
      <w:r>
        <w:rPr>
          <w:rStyle w:val="apple-converted-space"/>
          <w:color w:val="000000"/>
        </w:rPr>
        <w:t> </w:t>
      </w:r>
      <w:r w:rsidRPr="00DB600E">
        <w:rPr>
          <w:rStyle w:val="Strong"/>
          <w:b w:val="0"/>
          <w:bCs w:val="0"/>
          <w:color w:val="000000"/>
        </w:rPr>
        <w:t>8-weekly maintenance cycle incurs an estimated cost of £11,747.06</w:t>
      </w:r>
      <w:r>
        <w:t>, driven largely by high-value components such as:</w:t>
      </w:r>
    </w:p>
    <w:p w14:paraId="2EFAC53D" w14:textId="77777777" w:rsidR="00DB600E" w:rsidRDefault="00DB600E" w:rsidP="00DB600E">
      <w:pPr>
        <w:pStyle w:val="ListParagraph"/>
        <w:numPr>
          <w:ilvl w:val="0"/>
          <w:numId w:val="8"/>
        </w:numPr>
      </w:pPr>
      <w:r>
        <w:t>Double roller (£2,844)</w:t>
      </w:r>
    </w:p>
    <w:p w14:paraId="7C147244" w14:textId="6EEA5639" w:rsidR="00DB600E" w:rsidRDefault="00DB600E" w:rsidP="00DB600E">
      <w:pPr>
        <w:pStyle w:val="ListParagraph"/>
        <w:numPr>
          <w:ilvl w:val="0"/>
          <w:numId w:val="8"/>
        </w:numPr>
      </w:pPr>
      <w:r>
        <w:t>Hydraulic hose set (~£3,000 estimated)</w:t>
      </w:r>
    </w:p>
    <w:p w14:paraId="37709AD5" w14:textId="77777777" w:rsidR="00DB600E" w:rsidRDefault="00DB600E" w:rsidP="00DB600E">
      <w:pPr>
        <w:pStyle w:val="ListParagraph"/>
        <w:numPr>
          <w:ilvl w:val="0"/>
          <w:numId w:val="8"/>
        </w:numPr>
      </w:pPr>
      <w:r>
        <w:t>Long slat components (£3,389.76)</w:t>
      </w:r>
    </w:p>
    <w:p w14:paraId="75F0A814" w14:textId="77777777" w:rsidR="00DB600E" w:rsidRDefault="00DB600E" w:rsidP="00DB600E">
      <w:pPr>
        <w:pStyle w:val="ListParagraph"/>
        <w:numPr>
          <w:ilvl w:val="0"/>
          <w:numId w:val="8"/>
        </w:numPr>
      </w:pPr>
      <w:r>
        <w:t>Brake shoes and structural cage elements</w:t>
      </w:r>
    </w:p>
    <w:p w14:paraId="2C6D0B24" w14:textId="77777777" w:rsidR="00DB600E" w:rsidRDefault="00DB600E" w:rsidP="00DB600E">
      <w:pPr>
        <w:pStyle w:val="ListParagraph"/>
        <w:numPr>
          <w:ilvl w:val="0"/>
          <w:numId w:val="8"/>
        </w:numPr>
      </w:pPr>
      <w:r>
        <w:t>In addition, the</w:t>
      </w:r>
      <w:r w:rsidRPr="00DB600E">
        <w:rPr>
          <w:rStyle w:val="apple-converted-space"/>
          <w:color w:val="000000"/>
        </w:rPr>
        <w:t> </w:t>
      </w:r>
      <w:r w:rsidRPr="00DB600E">
        <w:rPr>
          <w:rStyle w:val="Strong"/>
          <w:b w:val="0"/>
          <w:bCs w:val="0"/>
          <w:color w:val="000000"/>
        </w:rPr>
        <w:t>16-weekly maintenance introduces a further £3,998.92</w:t>
      </w:r>
      <w:r>
        <w:t>, including:</w:t>
      </w:r>
    </w:p>
    <w:p w14:paraId="6E5131ED" w14:textId="77777777" w:rsidR="00DB600E" w:rsidRDefault="00DB600E" w:rsidP="00DB600E">
      <w:pPr>
        <w:pStyle w:val="ListParagraph"/>
        <w:numPr>
          <w:ilvl w:val="0"/>
          <w:numId w:val="8"/>
        </w:numPr>
      </w:pPr>
      <w:r>
        <w:t>Hydraulic pump (£1,090.40)</w:t>
      </w:r>
    </w:p>
    <w:p w14:paraId="3BF546BC" w14:textId="77777777" w:rsidR="00DB600E" w:rsidRDefault="00DB600E" w:rsidP="00DB600E">
      <w:pPr>
        <w:pStyle w:val="ListParagraph"/>
        <w:numPr>
          <w:ilvl w:val="0"/>
          <w:numId w:val="8"/>
        </w:numPr>
      </w:pPr>
      <w:r>
        <w:t>Hydraulic stacks (£1,200)</w:t>
      </w:r>
    </w:p>
    <w:p w14:paraId="4BA77AE1" w14:textId="77777777" w:rsidR="00DB600E" w:rsidRDefault="00DB600E" w:rsidP="00DB600E">
      <w:pPr>
        <w:pStyle w:val="ListParagraph"/>
        <w:numPr>
          <w:ilvl w:val="0"/>
          <w:numId w:val="8"/>
        </w:numPr>
      </w:pPr>
      <w:r>
        <w:t>Slew cylinder (£698)</w:t>
      </w:r>
    </w:p>
    <w:p w14:paraId="7321E8BF" w14:textId="77777777" w:rsidR="00DB600E" w:rsidRDefault="00DB600E" w:rsidP="00DB600E">
      <w:pPr>
        <w:pStyle w:val="ListParagraph"/>
        <w:numPr>
          <w:ilvl w:val="0"/>
          <w:numId w:val="8"/>
        </w:numPr>
      </w:pPr>
      <w:r>
        <w:t>Latch cylinder (£531)</w:t>
      </w:r>
    </w:p>
    <w:p w14:paraId="76EACD83" w14:textId="77777777" w:rsidR="00DB600E" w:rsidRDefault="00DB600E" w:rsidP="00DB600E">
      <w:r>
        <w:t>This results in a</w:t>
      </w:r>
      <w:r>
        <w:rPr>
          <w:rStyle w:val="apple-converted-space"/>
          <w:color w:val="000000"/>
        </w:rPr>
        <w:t> </w:t>
      </w:r>
      <w:r w:rsidRPr="00DB600E">
        <w:rPr>
          <w:rStyle w:val="Strong"/>
          <w:b w:val="0"/>
          <w:bCs w:val="0"/>
          <w:color w:val="000000"/>
        </w:rPr>
        <w:t>combined maintenance cost of approximately £15,746 per 16-week cycle</w:t>
      </w:r>
      <w:r>
        <w:t>, excluding labour, downtime, and indirect costs.</w:t>
      </w:r>
    </w:p>
    <w:p w14:paraId="28DB0A9C" w14:textId="6FFC4AEC" w:rsidR="00DB600E" w:rsidRDefault="00DB600E" w:rsidP="00DB600E">
      <w:r>
        <w:lastRenderedPageBreak/>
        <w:t>When annualised, assuming three full 16-week cycles per year, this equates to a</w:t>
      </w:r>
      <w:r>
        <w:rPr>
          <w:rStyle w:val="apple-converted-space"/>
          <w:color w:val="000000"/>
        </w:rPr>
        <w:t> </w:t>
      </w:r>
      <w:r w:rsidRPr="00DB600E">
        <w:rPr>
          <w:rStyle w:val="Strong"/>
          <w:b w:val="0"/>
          <w:bCs w:val="0"/>
          <w:color w:val="000000"/>
        </w:rPr>
        <w:t xml:space="preserve">baseline annual planned maintenance cost </w:t>
      </w:r>
      <w:r>
        <w:rPr>
          <w:rStyle w:val="Strong"/>
          <w:b w:val="0"/>
          <w:bCs w:val="0"/>
          <w:color w:val="000000"/>
        </w:rPr>
        <w:t>of</w:t>
      </w:r>
      <w:r w:rsidRPr="00DB600E">
        <w:rPr>
          <w:rStyle w:val="Strong"/>
          <w:b w:val="0"/>
          <w:bCs w:val="0"/>
          <w:color w:val="000000"/>
        </w:rPr>
        <w:t xml:space="preserve"> o</w:t>
      </w:r>
      <w:r>
        <w:rPr>
          <w:rStyle w:val="Strong"/>
          <w:b w:val="0"/>
          <w:bCs w:val="0"/>
          <w:color w:val="000000"/>
        </w:rPr>
        <w:t>ver</w:t>
      </w:r>
      <w:r w:rsidRPr="00DB600E">
        <w:rPr>
          <w:rStyle w:val="Strong"/>
          <w:b w:val="0"/>
          <w:bCs w:val="0"/>
          <w:color w:val="000000"/>
        </w:rPr>
        <w:t xml:space="preserve"> £47,000</w:t>
      </w:r>
      <w:r>
        <w:t>, before labour and production impacts are considered.</w:t>
      </w:r>
    </w:p>
    <w:p w14:paraId="030FBCC6" w14:textId="210F23D8" w:rsidR="00865203" w:rsidRDefault="00865203" w:rsidP="00DB600E">
      <w:r>
        <w:t xml:space="preserve">As shown in Figure </w:t>
      </w:r>
      <w:r w:rsidR="00955E2A">
        <w:t>5</w:t>
      </w:r>
      <w:r>
        <w:t>, the maintenance cost profile is heavily influenced by a small number of high-value components, particularly hydraulic systems and rollers. This concentration of costs suggests that targeted condition-based maintenance for these components could yield disproportionate economic benefits by reducing unnecessary replacements.</w:t>
      </w:r>
    </w:p>
    <w:p w14:paraId="1ADD5A6C" w14:textId="77777777" w:rsidR="00960085" w:rsidRPr="00960085" w:rsidRDefault="00960085" w:rsidP="00960085">
      <w:pPr>
        <w:pStyle w:val="Heading2"/>
      </w:pPr>
      <w:bookmarkStart w:id="25" w:name="_Toc227502220"/>
      <w:r w:rsidRPr="00960085">
        <w:rPr>
          <w:rStyle w:val="Strong"/>
          <w:b w:val="0"/>
          <w:bCs w:val="0"/>
        </w:rPr>
        <w:t>Hidden and Indirect Costs</w:t>
      </w:r>
      <w:bookmarkEnd w:id="25"/>
    </w:p>
    <w:p w14:paraId="38E2A532" w14:textId="77777777" w:rsidR="00960085" w:rsidRPr="00960085" w:rsidRDefault="00960085" w:rsidP="00960085">
      <w:r w:rsidRPr="00960085">
        <w:t>While direct component costs are significant, they represent only part of the true maintenance cost. Several indirect costs must also be considered:</w:t>
      </w:r>
    </w:p>
    <w:p w14:paraId="69E84AD6" w14:textId="77777777" w:rsidR="00960085" w:rsidRPr="00960085" w:rsidRDefault="00960085" w:rsidP="00960085">
      <w:pPr>
        <w:pStyle w:val="ListParagraph"/>
        <w:numPr>
          <w:ilvl w:val="0"/>
          <w:numId w:val="10"/>
        </w:numPr>
      </w:pPr>
      <w:r w:rsidRPr="00960085">
        <w:t>Planned downtime during maintenance windows</w:t>
      </w:r>
    </w:p>
    <w:p w14:paraId="0F8BE9E8" w14:textId="77777777" w:rsidR="00960085" w:rsidRPr="00960085" w:rsidRDefault="00960085" w:rsidP="00960085">
      <w:pPr>
        <w:pStyle w:val="ListParagraph"/>
        <w:numPr>
          <w:ilvl w:val="0"/>
          <w:numId w:val="10"/>
        </w:numPr>
      </w:pPr>
      <w:r w:rsidRPr="00960085">
        <w:t>Labour costs (including skilled technicians)</w:t>
      </w:r>
    </w:p>
    <w:p w14:paraId="05992DEB" w14:textId="77777777" w:rsidR="00960085" w:rsidRPr="00960085" w:rsidRDefault="00960085" w:rsidP="00960085">
      <w:pPr>
        <w:pStyle w:val="ListParagraph"/>
        <w:numPr>
          <w:ilvl w:val="0"/>
          <w:numId w:val="10"/>
        </w:numPr>
      </w:pPr>
      <w:r w:rsidRPr="00960085">
        <w:t>Production losses during intervention</w:t>
      </w:r>
    </w:p>
    <w:p w14:paraId="60835288" w14:textId="77777777" w:rsidR="00960085" w:rsidRPr="00960085" w:rsidRDefault="00960085" w:rsidP="00960085">
      <w:pPr>
        <w:pStyle w:val="ListParagraph"/>
        <w:numPr>
          <w:ilvl w:val="0"/>
          <w:numId w:val="10"/>
        </w:numPr>
      </w:pPr>
      <w:r w:rsidRPr="00960085">
        <w:t>Risk of maintenance-induced failures</w:t>
      </w:r>
    </w:p>
    <w:p w14:paraId="29021428" w14:textId="77777777" w:rsidR="00960085" w:rsidRPr="00960085" w:rsidRDefault="00960085" w:rsidP="00960085">
      <w:pPr>
        <w:pStyle w:val="ListParagraph"/>
        <w:numPr>
          <w:ilvl w:val="0"/>
          <w:numId w:val="10"/>
        </w:numPr>
      </w:pPr>
      <w:r w:rsidRPr="00960085">
        <w:t>Inventory holding costs for spare parts</w:t>
      </w:r>
    </w:p>
    <w:p w14:paraId="4FCC19D2" w14:textId="3F7B8E06" w:rsidR="00960085" w:rsidRPr="00960085" w:rsidRDefault="00960085" w:rsidP="00960085">
      <w:r w:rsidRPr="00960085">
        <w:t xml:space="preserve">In heavy industrial environments, downtime can be particularly costly due to the sequential nature of operations. A delay in </w:t>
      </w:r>
      <w:r w:rsidR="00AA53F1">
        <w:t xml:space="preserve">the availability of the </w:t>
      </w:r>
      <w:r w:rsidRPr="00960085">
        <w:t>guide machine may disrupt coke</w:t>
      </w:r>
      <w:r w:rsidR="00AA53F1">
        <w:t>-</w:t>
      </w:r>
      <w:r w:rsidRPr="00960085">
        <w:t>pushing schedules, leading to knock-on effects across the process.</w:t>
      </w:r>
    </w:p>
    <w:p w14:paraId="64077E94" w14:textId="77777777" w:rsidR="00960085" w:rsidRDefault="00960085" w:rsidP="00960085">
      <w:r w:rsidRPr="00960085">
        <w:t>This highlights a key limitation of traditional cost analysis: focusing only on spare parts can underestimate the true economic impact of maintenance decisions (Campbell and Jardine, 2001).</w:t>
      </w:r>
    </w:p>
    <w:p w14:paraId="24204FB2" w14:textId="3460A3B5" w:rsidR="00B14758" w:rsidRDefault="00B14758" w:rsidP="00B14758">
      <w:pPr>
        <w:pStyle w:val="Heading2"/>
      </w:pPr>
      <w:bookmarkStart w:id="26" w:name="_Toc227502221"/>
      <w:r>
        <w:t>Critical Evaluation of Cost Efficiency</w:t>
      </w:r>
      <w:bookmarkEnd w:id="26"/>
    </w:p>
    <w:p w14:paraId="0ABA4AD0" w14:textId="77777777" w:rsidR="000213B7" w:rsidRPr="00B14758" w:rsidRDefault="000213B7" w:rsidP="00B14758">
      <w:r w:rsidRPr="00B14758">
        <w:t>From a critical perspective, the current maintenance regime appears to prioritise reliability through frequent scheduled replacement, but this may come at the expense of efficiency.</w:t>
      </w:r>
    </w:p>
    <w:p w14:paraId="27D4BFD7" w14:textId="77777777" w:rsidR="000213B7" w:rsidRPr="00B14758" w:rsidRDefault="000213B7" w:rsidP="00B14758">
      <w:r w:rsidRPr="00B14758">
        <w:t>A central issue is the potential for premature component replacement. Components such as hoses, rollers, and structural elements may be replaced based on time intervals rather than actual wear or degradation. This leads to:</w:t>
      </w:r>
    </w:p>
    <w:p w14:paraId="27D07060" w14:textId="77777777" w:rsidR="000213B7" w:rsidRPr="00B14758" w:rsidRDefault="000213B7" w:rsidP="00B14758">
      <w:pPr>
        <w:pStyle w:val="ListParagraph"/>
        <w:numPr>
          <w:ilvl w:val="0"/>
          <w:numId w:val="13"/>
        </w:numPr>
        <w:rPr>
          <w:lang w:eastAsia="en-GB"/>
        </w:rPr>
      </w:pPr>
      <w:r w:rsidRPr="00B14758">
        <w:rPr>
          <w:lang w:eastAsia="en-GB"/>
        </w:rPr>
        <w:t>underutilisation of component life</w:t>
      </w:r>
    </w:p>
    <w:p w14:paraId="0273E17B" w14:textId="77777777" w:rsidR="000213B7" w:rsidRPr="00B14758" w:rsidRDefault="000213B7" w:rsidP="00B14758">
      <w:pPr>
        <w:pStyle w:val="ListParagraph"/>
        <w:numPr>
          <w:ilvl w:val="0"/>
          <w:numId w:val="13"/>
        </w:numPr>
        <w:rPr>
          <w:lang w:eastAsia="en-GB"/>
        </w:rPr>
      </w:pPr>
      <w:r w:rsidRPr="00B14758">
        <w:rPr>
          <w:lang w:eastAsia="en-GB"/>
        </w:rPr>
        <w:t>unnecessary expenditure</w:t>
      </w:r>
    </w:p>
    <w:p w14:paraId="329DCD8D" w14:textId="77777777" w:rsidR="000213B7" w:rsidRPr="00B14758" w:rsidRDefault="000213B7" w:rsidP="00B14758">
      <w:pPr>
        <w:pStyle w:val="ListParagraph"/>
        <w:numPr>
          <w:ilvl w:val="0"/>
          <w:numId w:val="13"/>
        </w:numPr>
        <w:rPr>
          <w:lang w:eastAsia="en-GB"/>
        </w:rPr>
      </w:pPr>
      <w:r w:rsidRPr="00B14758">
        <w:rPr>
          <w:lang w:eastAsia="en-GB"/>
        </w:rPr>
        <w:t>increased waste</w:t>
      </w:r>
    </w:p>
    <w:p w14:paraId="510A1E71" w14:textId="77777777" w:rsidR="00EC2480" w:rsidRDefault="00EC2480" w:rsidP="00EC2480">
      <w:pPr>
        <w:rPr>
          <w:rFonts w:ascii="Times New Roman" w:hAnsi="Times New Roman"/>
        </w:rPr>
      </w:pPr>
      <w:r>
        <w:lastRenderedPageBreak/>
        <w:t>Premature component replacement reduces asset utilisation and can introduce unnecessary cost, a recognised limitation of time-based maintenance where failure behaviour is not strictly age-related (Moubray, 1997).</w:t>
      </w:r>
    </w:p>
    <w:p w14:paraId="0C3EBC88" w14:textId="77777777" w:rsidR="00EC2480" w:rsidRDefault="00EC2480" w:rsidP="00EC2480">
      <w:r>
        <w:t>However, it would be overly simplistic to conclude that this approach is inefficient. A valid counterargument is that the guide machine operates in a severe environment, where component degradation may be difficult to predict and failure consequences are high. In such cases, conservative maintenance intervals may be justified as a risk mitigation strategy.</w:t>
      </w:r>
    </w:p>
    <w:p w14:paraId="1D9CA4FA" w14:textId="5A9F105E" w:rsidR="0034750B" w:rsidRDefault="0034750B" w:rsidP="00B14758">
      <w:r>
        <w:t>Th</w:t>
      </w:r>
      <w:r w:rsidR="00E32705">
        <w:t>is</w:t>
      </w:r>
      <w:r>
        <w:t xml:space="preserve"> creates </w:t>
      </w:r>
      <w:r w:rsidR="00E32705">
        <w:t>a classic engineering trade</w:t>
      </w:r>
      <w:r w:rsidR="009E371E">
        <w:t>-</w:t>
      </w:r>
      <w:r w:rsidR="00E32705">
        <w:t>off:</w:t>
      </w:r>
    </w:p>
    <w:p w14:paraId="1E010FCE" w14:textId="77777777" w:rsidR="00865203" w:rsidRDefault="00865203" w:rsidP="00B14758"/>
    <w:p w14:paraId="1ACAB56A" w14:textId="79FC4D37" w:rsidR="00865203" w:rsidRDefault="00865203" w:rsidP="00865203">
      <w:pPr>
        <w:pStyle w:val="Caption"/>
        <w:keepNext/>
        <w:jc w:val="center"/>
      </w:pPr>
      <w:bookmarkStart w:id="27" w:name="_Toc227490812"/>
      <w:r>
        <w:t xml:space="preserve">Table </w:t>
      </w:r>
      <w:fldSimple w:instr=" SEQ Table \* ARABIC ">
        <w:r w:rsidR="003B62C3">
          <w:rPr>
            <w:noProof/>
          </w:rPr>
          <w:t>1</w:t>
        </w:r>
      </w:fldSimple>
      <w:r>
        <w:t xml:space="preserve">: </w:t>
      </w:r>
      <w:r w:rsidRPr="00152646">
        <w:t>Comparison of time-based and condition-based maintenance strategies, highlighting key advantages and limitations in terms of reliability, cost, and implementation complexity</w:t>
      </w:r>
      <w:bookmarkEnd w:id="27"/>
    </w:p>
    <w:tbl>
      <w:tblPr>
        <w:tblStyle w:val="TableGrid"/>
        <w:tblW w:w="0" w:type="auto"/>
        <w:tblLook w:val="04A0" w:firstRow="1" w:lastRow="0" w:firstColumn="1" w:lastColumn="0" w:noHBand="0" w:noVBand="1"/>
      </w:tblPr>
      <w:tblGrid>
        <w:gridCol w:w="2889"/>
        <w:gridCol w:w="2922"/>
        <w:gridCol w:w="3205"/>
      </w:tblGrid>
      <w:tr w:rsidR="00E32705" w:rsidRPr="00E32705" w14:paraId="153274FC" w14:textId="77777777" w:rsidTr="009E371E">
        <w:tc>
          <w:tcPr>
            <w:tcW w:w="0" w:type="auto"/>
            <w:shd w:val="clear" w:color="auto" w:fill="BFBFBF" w:themeFill="background1" w:themeFillShade="BF"/>
            <w:hideMark/>
          </w:tcPr>
          <w:p w14:paraId="4E134882" w14:textId="77777777" w:rsidR="00E32705" w:rsidRPr="00E32705" w:rsidRDefault="00E32705" w:rsidP="00E32705">
            <w:pPr>
              <w:spacing w:line="240" w:lineRule="auto"/>
              <w:jc w:val="center"/>
              <w:rPr>
                <w:rFonts w:ascii="Times New Roman" w:eastAsia="Times New Roman" w:hAnsi="Times New Roman" w:cs="Times New Roman"/>
                <w:b/>
                <w:bCs/>
                <w:color w:val="000000"/>
                <w:sz w:val="24"/>
                <w:szCs w:val="24"/>
                <w:lang w:eastAsia="en-GB"/>
              </w:rPr>
            </w:pPr>
            <w:r w:rsidRPr="00E32705">
              <w:rPr>
                <w:rFonts w:ascii="Times New Roman" w:eastAsia="Times New Roman" w:hAnsi="Times New Roman" w:cs="Times New Roman"/>
                <w:b/>
                <w:bCs/>
                <w:color w:val="000000"/>
                <w:sz w:val="24"/>
                <w:szCs w:val="24"/>
                <w:lang w:eastAsia="en-GB"/>
              </w:rPr>
              <w:t>Strategy</w:t>
            </w:r>
          </w:p>
        </w:tc>
        <w:tc>
          <w:tcPr>
            <w:tcW w:w="0" w:type="auto"/>
            <w:shd w:val="clear" w:color="auto" w:fill="BFBFBF" w:themeFill="background1" w:themeFillShade="BF"/>
            <w:hideMark/>
          </w:tcPr>
          <w:p w14:paraId="54D172F3" w14:textId="77777777" w:rsidR="00E32705" w:rsidRPr="00E32705" w:rsidRDefault="00E32705" w:rsidP="00E32705">
            <w:pPr>
              <w:spacing w:line="240" w:lineRule="auto"/>
              <w:jc w:val="center"/>
              <w:rPr>
                <w:rFonts w:ascii="Times New Roman" w:eastAsia="Times New Roman" w:hAnsi="Times New Roman" w:cs="Times New Roman"/>
                <w:b/>
                <w:bCs/>
                <w:color w:val="000000"/>
                <w:sz w:val="24"/>
                <w:szCs w:val="24"/>
                <w:lang w:eastAsia="en-GB"/>
              </w:rPr>
            </w:pPr>
            <w:r w:rsidRPr="00E32705">
              <w:rPr>
                <w:rFonts w:ascii="Times New Roman" w:eastAsia="Times New Roman" w:hAnsi="Times New Roman" w:cs="Times New Roman"/>
                <w:b/>
                <w:bCs/>
                <w:color w:val="000000"/>
                <w:sz w:val="24"/>
                <w:szCs w:val="24"/>
                <w:lang w:eastAsia="en-GB"/>
              </w:rPr>
              <w:t>Advantage</w:t>
            </w:r>
          </w:p>
        </w:tc>
        <w:tc>
          <w:tcPr>
            <w:tcW w:w="0" w:type="auto"/>
            <w:shd w:val="clear" w:color="auto" w:fill="BFBFBF" w:themeFill="background1" w:themeFillShade="BF"/>
            <w:hideMark/>
          </w:tcPr>
          <w:p w14:paraId="0233B850" w14:textId="77777777" w:rsidR="00E32705" w:rsidRPr="00E32705" w:rsidRDefault="00E32705" w:rsidP="00E32705">
            <w:pPr>
              <w:spacing w:line="240" w:lineRule="auto"/>
              <w:jc w:val="center"/>
              <w:rPr>
                <w:rFonts w:ascii="Times New Roman" w:eastAsia="Times New Roman" w:hAnsi="Times New Roman" w:cs="Times New Roman"/>
                <w:b/>
                <w:bCs/>
                <w:color w:val="000000"/>
                <w:sz w:val="24"/>
                <w:szCs w:val="24"/>
                <w:lang w:eastAsia="en-GB"/>
              </w:rPr>
            </w:pPr>
            <w:r w:rsidRPr="00E32705">
              <w:rPr>
                <w:rFonts w:ascii="Times New Roman" w:eastAsia="Times New Roman" w:hAnsi="Times New Roman" w:cs="Times New Roman"/>
                <w:b/>
                <w:bCs/>
                <w:color w:val="000000"/>
                <w:sz w:val="24"/>
                <w:szCs w:val="24"/>
                <w:lang w:eastAsia="en-GB"/>
              </w:rPr>
              <w:t>Disadvantage</w:t>
            </w:r>
          </w:p>
        </w:tc>
      </w:tr>
      <w:tr w:rsidR="00E32705" w:rsidRPr="00E32705" w14:paraId="063AB67E" w14:textId="77777777" w:rsidTr="00E32705">
        <w:tc>
          <w:tcPr>
            <w:tcW w:w="0" w:type="auto"/>
            <w:hideMark/>
          </w:tcPr>
          <w:p w14:paraId="4BBEA990" w14:textId="77777777" w:rsidR="00E32705" w:rsidRPr="00E32705" w:rsidRDefault="00E32705" w:rsidP="00E32705">
            <w:pPr>
              <w:spacing w:line="240" w:lineRule="auto"/>
              <w:rPr>
                <w:rFonts w:ascii="Times New Roman" w:eastAsia="Times New Roman" w:hAnsi="Times New Roman" w:cs="Times New Roman"/>
                <w:color w:val="000000"/>
                <w:sz w:val="24"/>
                <w:szCs w:val="24"/>
                <w:lang w:eastAsia="en-GB"/>
              </w:rPr>
            </w:pPr>
            <w:r w:rsidRPr="00E32705">
              <w:rPr>
                <w:rFonts w:ascii="Times New Roman" w:eastAsia="Times New Roman" w:hAnsi="Times New Roman" w:cs="Times New Roman"/>
                <w:color w:val="000000"/>
                <w:sz w:val="24"/>
                <w:szCs w:val="24"/>
                <w:lang w:eastAsia="en-GB"/>
              </w:rPr>
              <w:t>Time-based maintenance</w:t>
            </w:r>
          </w:p>
        </w:tc>
        <w:tc>
          <w:tcPr>
            <w:tcW w:w="0" w:type="auto"/>
            <w:hideMark/>
          </w:tcPr>
          <w:p w14:paraId="6C7BC4C3" w14:textId="77777777" w:rsidR="00E32705" w:rsidRPr="00E32705" w:rsidRDefault="00E32705" w:rsidP="00E32705">
            <w:pPr>
              <w:spacing w:line="240" w:lineRule="auto"/>
              <w:rPr>
                <w:rFonts w:ascii="Times New Roman" w:eastAsia="Times New Roman" w:hAnsi="Times New Roman" w:cs="Times New Roman"/>
                <w:color w:val="000000"/>
                <w:sz w:val="24"/>
                <w:szCs w:val="24"/>
                <w:lang w:eastAsia="en-GB"/>
              </w:rPr>
            </w:pPr>
            <w:r w:rsidRPr="00E32705">
              <w:rPr>
                <w:rFonts w:ascii="Times New Roman" w:eastAsia="Times New Roman" w:hAnsi="Times New Roman" w:cs="Times New Roman"/>
                <w:color w:val="000000"/>
                <w:sz w:val="24"/>
                <w:szCs w:val="24"/>
                <w:lang w:eastAsia="en-GB"/>
              </w:rPr>
              <w:t>Predictability, low failure risk</w:t>
            </w:r>
          </w:p>
        </w:tc>
        <w:tc>
          <w:tcPr>
            <w:tcW w:w="0" w:type="auto"/>
            <w:hideMark/>
          </w:tcPr>
          <w:p w14:paraId="633869AB" w14:textId="77777777" w:rsidR="00E32705" w:rsidRPr="00E32705" w:rsidRDefault="00E32705" w:rsidP="00E32705">
            <w:pPr>
              <w:spacing w:line="240" w:lineRule="auto"/>
              <w:rPr>
                <w:rFonts w:ascii="Times New Roman" w:eastAsia="Times New Roman" w:hAnsi="Times New Roman" w:cs="Times New Roman"/>
                <w:color w:val="000000"/>
                <w:sz w:val="24"/>
                <w:szCs w:val="24"/>
                <w:lang w:eastAsia="en-GB"/>
              </w:rPr>
            </w:pPr>
            <w:r w:rsidRPr="00E32705">
              <w:rPr>
                <w:rFonts w:ascii="Times New Roman" w:eastAsia="Times New Roman" w:hAnsi="Times New Roman" w:cs="Times New Roman"/>
                <w:color w:val="000000"/>
                <w:sz w:val="24"/>
                <w:szCs w:val="24"/>
                <w:lang w:eastAsia="en-GB"/>
              </w:rPr>
              <w:t>High cost, inefficiency</w:t>
            </w:r>
          </w:p>
        </w:tc>
      </w:tr>
      <w:tr w:rsidR="00E32705" w:rsidRPr="00E32705" w14:paraId="572D3966" w14:textId="77777777" w:rsidTr="00E32705">
        <w:tc>
          <w:tcPr>
            <w:tcW w:w="0" w:type="auto"/>
            <w:hideMark/>
          </w:tcPr>
          <w:p w14:paraId="1577AC6F" w14:textId="77777777" w:rsidR="00E32705" w:rsidRPr="00E32705" w:rsidRDefault="00E32705" w:rsidP="00E32705">
            <w:pPr>
              <w:spacing w:line="240" w:lineRule="auto"/>
              <w:rPr>
                <w:rFonts w:ascii="Times New Roman" w:eastAsia="Times New Roman" w:hAnsi="Times New Roman" w:cs="Times New Roman"/>
                <w:color w:val="000000"/>
                <w:sz w:val="24"/>
                <w:szCs w:val="24"/>
                <w:lang w:eastAsia="en-GB"/>
              </w:rPr>
            </w:pPr>
            <w:r w:rsidRPr="00E32705">
              <w:rPr>
                <w:rFonts w:ascii="Times New Roman" w:eastAsia="Times New Roman" w:hAnsi="Times New Roman" w:cs="Times New Roman"/>
                <w:color w:val="000000"/>
                <w:sz w:val="24"/>
                <w:szCs w:val="24"/>
                <w:lang w:eastAsia="en-GB"/>
              </w:rPr>
              <w:t>Condition-based maintenance</w:t>
            </w:r>
          </w:p>
        </w:tc>
        <w:tc>
          <w:tcPr>
            <w:tcW w:w="0" w:type="auto"/>
            <w:hideMark/>
          </w:tcPr>
          <w:p w14:paraId="2B1EDBB1" w14:textId="77777777" w:rsidR="00E32705" w:rsidRPr="00E32705" w:rsidRDefault="00E32705" w:rsidP="00E32705">
            <w:pPr>
              <w:spacing w:line="240" w:lineRule="auto"/>
              <w:rPr>
                <w:rFonts w:ascii="Times New Roman" w:eastAsia="Times New Roman" w:hAnsi="Times New Roman" w:cs="Times New Roman"/>
                <w:color w:val="000000"/>
                <w:sz w:val="24"/>
                <w:szCs w:val="24"/>
                <w:lang w:eastAsia="en-GB"/>
              </w:rPr>
            </w:pPr>
            <w:r w:rsidRPr="00E32705">
              <w:rPr>
                <w:rFonts w:ascii="Times New Roman" w:eastAsia="Times New Roman" w:hAnsi="Times New Roman" w:cs="Times New Roman"/>
                <w:color w:val="000000"/>
                <w:sz w:val="24"/>
                <w:szCs w:val="24"/>
                <w:lang w:eastAsia="en-GB"/>
              </w:rPr>
              <w:t>Cost efficiency, optimisation</w:t>
            </w:r>
          </w:p>
        </w:tc>
        <w:tc>
          <w:tcPr>
            <w:tcW w:w="0" w:type="auto"/>
            <w:hideMark/>
          </w:tcPr>
          <w:p w14:paraId="59DEE612" w14:textId="77777777" w:rsidR="00E32705" w:rsidRPr="00E32705" w:rsidRDefault="00E32705" w:rsidP="00E32705">
            <w:pPr>
              <w:spacing w:line="240" w:lineRule="auto"/>
              <w:rPr>
                <w:rFonts w:ascii="Times New Roman" w:eastAsia="Times New Roman" w:hAnsi="Times New Roman" w:cs="Times New Roman"/>
                <w:color w:val="000000"/>
                <w:sz w:val="24"/>
                <w:szCs w:val="24"/>
                <w:lang w:eastAsia="en-GB"/>
              </w:rPr>
            </w:pPr>
            <w:r w:rsidRPr="00E32705">
              <w:rPr>
                <w:rFonts w:ascii="Times New Roman" w:eastAsia="Times New Roman" w:hAnsi="Times New Roman" w:cs="Times New Roman"/>
                <w:color w:val="000000"/>
                <w:sz w:val="24"/>
                <w:szCs w:val="24"/>
                <w:lang w:eastAsia="en-GB"/>
              </w:rPr>
              <w:t>Complexity, implementation risk</w:t>
            </w:r>
          </w:p>
        </w:tc>
      </w:tr>
    </w:tbl>
    <w:p w14:paraId="6C69A2F7" w14:textId="77777777" w:rsidR="00E32705" w:rsidRDefault="00E32705" w:rsidP="00B14758"/>
    <w:p w14:paraId="5AAB31FA" w14:textId="23AED3D1" w:rsidR="000E37A0" w:rsidRDefault="000E37A0" w:rsidP="000E37A0">
      <w:r w:rsidRPr="000E37A0">
        <w:t>The limitation of the current strategy is not that it is incorrect, but that it lacks optimisation. It does not distinguish sufficiently between components that genuinely require frequent replacement and those that could operate safely for longer periods.</w:t>
      </w:r>
    </w:p>
    <w:p w14:paraId="6F410648" w14:textId="66B916D9" w:rsidR="00AB1900" w:rsidRPr="00AB1900" w:rsidRDefault="00AB1900" w:rsidP="00AB1900">
      <w:pPr>
        <w:pStyle w:val="Heading2"/>
      </w:pPr>
      <w:bookmarkStart w:id="28" w:name="_Toc227502222"/>
      <w:r w:rsidRPr="00AB1900">
        <w:rPr>
          <w:rStyle w:val="Strong"/>
          <w:b w:val="0"/>
          <w:bCs w:val="0"/>
        </w:rPr>
        <w:t>Cost Implications of Proposed Improvements</w:t>
      </w:r>
      <w:bookmarkEnd w:id="28"/>
    </w:p>
    <w:p w14:paraId="2C9AF2BE" w14:textId="77777777" w:rsidR="00AB1900" w:rsidRPr="00AB1900" w:rsidRDefault="00AB1900" w:rsidP="00AB1900">
      <w:r w:rsidRPr="00AB1900">
        <w:t>The introduction of CBM and RCM would require initial investment, including:</w:t>
      </w:r>
    </w:p>
    <w:p w14:paraId="4F5F1CCB" w14:textId="77777777" w:rsidR="00AB1900" w:rsidRPr="00AB1900" w:rsidRDefault="00AB1900" w:rsidP="00AB1900">
      <w:pPr>
        <w:pStyle w:val="ListParagraph"/>
        <w:numPr>
          <w:ilvl w:val="0"/>
          <w:numId w:val="22"/>
        </w:numPr>
      </w:pPr>
      <w:r w:rsidRPr="00AB1900">
        <w:t>Monitoring equipment (vibration, thermography)</w:t>
      </w:r>
    </w:p>
    <w:p w14:paraId="0EE07350" w14:textId="77777777" w:rsidR="00AB1900" w:rsidRPr="00AB1900" w:rsidRDefault="00AB1900" w:rsidP="00AB1900">
      <w:pPr>
        <w:pStyle w:val="ListParagraph"/>
        <w:numPr>
          <w:ilvl w:val="0"/>
          <w:numId w:val="22"/>
        </w:numPr>
      </w:pPr>
      <w:r w:rsidRPr="00AB1900">
        <w:t>Staff training and upskilling</w:t>
      </w:r>
    </w:p>
    <w:p w14:paraId="53B47630" w14:textId="77777777" w:rsidR="00AB1900" w:rsidRPr="00AB1900" w:rsidRDefault="00AB1900" w:rsidP="00AB1900">
      <w:pPr>
        <w:pStyle w:val="ListParagraph"/>
        <w:numPr>
          <w:ilvl w:val="0"/>
          <w:numId w:val="22"/>
        </w:numPr>
      </w:pPr>
      <w:r w:rsidRPr="00AB1900">
        <w:t>Data management improvements</w:t>
      </w:r>
    </w:p>
    <w:p w14:paraId="4D26FD22" w14:textId="77777777" w:rsidR="00AB1900" w:rsidRPr="00AB1900" w:rsidRDefault="00AB1900" w:rsidP="00AB1900">
      <w:pPr>
        <w:pStyle w:val="ListParagraph"/>
        <w:numPr>
          <w:ilvl w:val="0"/>
          <w:numId w:val="22"/>
        </w:numPr>
      </w:pPr>
      <w:r w:rsidRPr="00AB1900">
        <w:t>Time required for implementation and analysis</w:t>
      </w:r>
    </w:p>
    <w:p w14:paraId="6BC9D831" w14:textId="08DF777C" w:rsidR="00AB1900" w:rsidRPr="00AB1900" w:rsidRDefault="00AB1900" w:rsidP="00AB1900">
      <w:r w:rsidRPr="00AB1900">
        <w:t xml:space="preserve">However, compared </w:t>
      </w:r>
      <w:r>
        <w:t>with</w:t>
      </w:r>
      <w:r w:rsidRPr="00AB1900">
        <w:t xml:space="preserve"> the existing annual maintenance cost (~£</w:t>
      </w:r>
      <w:r>
        <w:t xml:space="preserve"> 47,000</w:t>
      </w:r>
      <w:r w:rsidRPr="00AB1900">
        <w:t>), these investments are relatively modest and have the potential to generate significant long-term savings.</w:t>
      </w:r>
    </w:p>
    <w:p w14:paraId="3977BDA5" w14:textId="77777777" w:rsidR="00AB1900" w:rsidRPr="00AB1900" w:rsidRDefault="00AB1900" w:rsidP="00AB1900">
      <w:r w:rsidRPr="00AB1900">
        <w:t>The key economic benefit lies in reducing unnecessary maintenance interventions. For example:</w:t>
      </w:r>
    </w:p>
    <w:p w14:paraId="41B347B8" w14:textId="77777777" w:rsidR="00AB1900" w:rsidRPr="00AB1900" w:rsidRDefault="00AB1900" w:rsidP="00AB1900">
      <w:pPr>
        <w:pStyle w:val="ListParagraph"/>
        <w:numPr>
          <w:ilvl w:val="0"/>
          <w:numId w:val="23"/>
        </w:numPr>
      </w:pPr>
      <w:r w:rsidRPr="00AB1900">
        <w:t>Extending component life by even 10–20% could result in measurable cost savings</w:t>
      </w:r>
    </w:p>
    <w:p w14:paraId="15D34373" w14:textId="77777777" w:rsidR="00AB1900" w:rsidRPr="00AB1900" w:rsidRDefault="00AB1900" w:rsidP="00AB1900">
      <w:pPr>
        <w:pStyle w:val="ListParagraph"/>
        <w:numPr>
          <w:ilvl w:val="0"/>
          <w:numId w:val="23"/>
        </w:numPr>
      </w:pPr>
      <w:r w:rsidRPr="00AB1900">
        <w:lastRenderedPageBreak/>
        <w:t>Avoiding premature replacement of high-value items (e.g. rollers, pumps) has a disproportionate financial impact</w:t>
      </w:r>
    </w:p>
    <w:p w14:paraId="64CF51F1" w14:textId="77777777" w:rsidR="00AB1900" w:rsidRPr="00AB1900" w:rsidRDefault="00AB1900" w:rsidP="00AB1900">
      <w:pPr>
        <w:pStyle w:val="ListParagraph"/>
        <w:numPr>
          <w:ilvl w:val="0"/>
          <w:numId w:val="23"/>
        </w:numPr>
      </w:pPr>
      <w:r w:rsidRPr="00AB1900">
        <w:t>Reducing downtime improves production efficiency and throughput</w:t>
      </w:r>
    </w:p>
    <w:p w14:paraId="0EAD1953" w14:textId="77777777" w:rsidR="00EC2480" w:rsidRDefault="00EC2480" w:rsidP="00EC2480">
      <w:pPr>
        <w:rPr>
          <w:rFonts w:ascii="Times New Roman" w:hAnsi="Times New Roman"/>
        </w:rPr>
      </w:pPr>
      <w:r>
        <w:t>Condition-based maintenance improves cost efficiency by enabling maintenance to be performed based on actual equipment condition rather than fixed intervals, reducing unnecessary interventions and extending component life (Jardine, Lin and Banjevic, 2006).</w:t>
      </w:r>
    </w:p>
    <w:p w14:paraId="21B14E49" w14:textId="77777777" w:rsidR="00EC2480" w:rsidRDefault="00EC2480" w:rsidP="00EC2480">
      <w:r>
        <w:t>Reactive maintenance is significantly more expensive than planned maintenance due to production losses, emergency repairs, and inefficiencies in labour and resource allocation (Wireman, 2010; Mobley, 2002).</w:t>
      </w:r>
    </w:p>
    <w:p w14:paraId="2A1504C9" w14:textId="30652024" w:rsidR="00EC2480" w:rsidRDefault="00EC2480" w:rsidP="00EC2480">
      <w:r>
        <w:t>Importantly, CBM does not eliminate maintenance</w:t>
      </w:r>
      <w:r>
        <w:t xml:space="preserve">; </w:t>
      </w:r>
      <w:r>
        <w:t>it improves decision quality, ensuring that interventions are carried out when needed rather than when scheduled.</w:t>
      </w:r>
    </w:p>
    <w:p w14:paraId="167A6F19" w14:textId="1BC1E582" w:rsidR="00C407CE" w:rsidRPr="001E2094" w:rsidRDefault="00C407CE" w:rsidP="001E2094">
      <w:pPr>
        <w:pStyle w:val="Heading2"/>
      </w:pPr>
      <w:bookmarkStart w:id="29" w:name="_Toc227502223"/>
      <w:r w:rsidRPr="001E2094">
        <w:rPr>
          <w:rStyle w:val="Strong"/>
          <w:b w:val="0"/>
          <w:bCs w:val="0"/>
        </w:rPr>
        <w:t>Strategic Trade-Offs and Limitations</w:t>
      </w:r>
      <w:bookmarkEnd w:id="29"/>
    </w:p>
    <w:p w14:paraId="7204C76E" w14:textId="77777777" w:rsidR="00C407CE" w:rsidRPr="005E48A9" w:rsidRDefault="00C407CE" w:rsidP="005E48A9">
      <w:r w:rsidRPr="005E48A9">
        <w:t>Despite the potential benefits, several limitations must be considered.</w:t>
      </w:r>
    </w:p>
    <w:p w14:paraId="3C63AD63" w14:textId="3A42D2E7" w:rsidR="00C407CE" w:rsidRPr="005E48A9" w:rsidRDefault="00C407CE" w:rsidP="005E48A9">
      <w:r w:rsidRPr="005E48A9">
        <w:t xml:space="preserve">Firstly, CBM assumes that failures are detectable before they occur. </w:t>
      </w:r>
      <w:r w:rsidR="001343E6" w:rsidRPr="005E48A9">
        <w:t>Some</w:t>
      </w:r>
      <w:r w:rsidRPr="005E48A9">
        <w:t xml:space="preserve"> failures are random or rapid, meaning that monitoring may not always provide sufficient warning. This limits the effectiveness of predictive approaches.</w:t>
      </w:r>
    </w:p>
    <w:p w14:paraId="56FF947E" w14:textId="03801461" w:rsidR="00C407CE" w:rsidRPr="005E48A9" w:rsidRDefault="00C407CE" w:rsidP="005E48A9">
      <w:r w:rsidRPr="005E48A9">
        <w:t xml:space="preserve">Secondly, the success of CBM </w:t>
      </w:r>
      <w:r w:rsidR="001343E6">
        <w:t>depends</w:t>
      </w:r>
      <w:r w:rsidRPr="005E48A9">
        <w:t xml:space="preserve"> </w:t>
      </w:r>
      <w:r w:rsidR="001343E6">
        <w:t>heavily</w:t>
      </w:r>
      <w:r w:rsidRPr="005E48A9">
        <w:t xml:space="preserve"> on data quality and interpretation. Poor data or incorrect analysis can lead to false confidence or missed faults. This introduces a new type of risk: decision error based on incorrect data.</w:t>
      </w:r>
    </w:p>
    <w:p w14:paraId="25F08456" w14:textId="1B7D563F" w:rsidR="00C407CE" w:rsidRPr="005E48A9" w:rsidRDefault="00C407CE" w:rsidP="005E48A9">
      <w:r w:rsidRPr="005E48A9">
        <w:t xml:space="preserve">Thirdly, </w:t>
      </w:r>
      <w:r w:rsidR="001343E6">
        <w:t>implementing</w:t>
      </w:r>
      <w:r w:rsidRPr="005E48A9">
        <w:t xml:space="preserve"> advanced maintenance strategies requires organisational change. Resistance from maintenance personnel, lack of training, or insufficient management support may limit effectiveness. As Smith and Hawkins (2004) note, maintenance improvements often fail due to organisational rather than technical factors.</w:t>
      </w:r>
    </w:p>
    <w:p w14:paraId="17119390" w14:textId="77777777" w:rsidR="00C407CE" w:rsidRPr="005E48A9" w:rsidRDefault="00C407CE" w:rsidP="005E48A9">
      <w:r w:rsidRPr="005E48A9">
        <w:t>A further limitation is the potential for over-investment in technology. Installing extensive monitoring systems across all components may not be economically justified. Not all parts of the guide machine require advanced monitoring, and excessive data collection can create inefficiencies.</w:t>
      </w:r>
    </w:p>
    <w:p w14:paraId="7FB8FC51" w14:textId="6C6BC409" w:rsidR="00C407CE" w:rsidRDefault="00C407CE" w:rsidP="00C407CE">
      <w:r w:rsidRPr="005E48A9">
        <w:t>Finally, there is inherent uncertainty in cost-benefit predictions. Savings from avoided failures are difficult to quantify precisely, as they depend on hypothetical scenarios. This means that financial justification must be treated with caution and supported by realistic assumptions.</w:t>
      </w:r>
    </w:p>
    <w:p w14:paraId="78B9A91E" w14:textId="49552B96" w:rsidR="00C407CE" w:rsidRPr="001E2094" w:rsidRDefault="00C407CE" w:rsidP="001E2094">
      <w:pPr>
        <w:pStyle w:val="Heading2"/>
      </w:pPr>
      <w:bookmarkStart w:id="30" w:name="_Toc227502224"/>
      <w:r w:rsidRPr="001E2094">
        <w:rPr>
          <w:rStyle w:val="Strong"/>
          <w:b w:val="0"/>
          <w:bCs w:val="0"/>
        </w:rPr>
        <w:lastRenderedPageBreak/>
        <w:t>Recommended Cost Strategy</w:t>
      </w:r>
      <w:bookmarkEnd w:id="30"/>
    </w:p>
    <w:p w14:paraId="0599DC76" w14:textId="77777777" w:rsidR="00C407CE" w:rsidRPr="005E48A9" w:rsidRDefault="00C407CE" w:rsidP="005E48A9">
      <w:r w:rsidRPr="005E48A9">
        <w:t>Given these considerations, the most appropriate approach is a targeted and phased implementation strategy.</w:t>
      </w:r>
    </w:p>
    <w:p w14:paraId="7AAB5861" w14:textId="77777777" w:rsidR="00C407CE" w:rsidRPr="005E48A9" w:rsidRDefault="00C407CE" w:rsidP="005E48A9">
      <w:pPr>
        <w:rPr>
          <w:b/>
          <w:bCs/>
          <w:i/>
          <w:iCs/>
        </w:rPr>
      </w:pPr>
      <w:r w:rsidRPr="005E48A9">
        <w:rPr>
          <w:b/>
          <w:bCs/>
          <w:i/>
          <w:iCs/>
        </w:rPr>
        <w:t>Short-term:</w:t>
      </w:r>
    </w:p>
    <w:p w14:paraId="1A6A8650" w14:textId="77777777" w:rsidR="00C407CE" w:rsidRPr="005E48A9" w:rsidRDefault="00C407CE" w:rsidP="005E48A9">
      <w:pPr>
        <w:pStyle w:val="ListParagraph"/>
        <w:numPr>
          <w:ilvl w:val="0"/>
          <w:numId w:val="17"/>
        </w:numPr>
      </w:pPr>
      <w:r w:rsidRPr="005E48A9">
        <w:t>Improve inspection accuracy and decision-making</w:t>
      </w:r>
    </w:p>
    <w:p w14:paraId="03AF7552" w14:textId="77777777" w:rsidR="00C407CE" w:rsidRPr="005E48A9" w:rsidRDefault="00C407CE" w:rsidP="005E48A9">
      <w:pPr>
        <w:pStyle w:val="ListParagraph"/>
        <w:numPr>
          <w:ilvl w:val="0"/>
          <w:numId w:val="17"/>
        </w:numPr>
      </w:pPr>
      <w:r w:rsidRPr="005E48A9">
        <w:t>Reduce unnecessary component replacement</w:t>
      </w:r>
    </w:p>
    <w:p w14:paraId="7D347E7C" w14:textId="77777777" w:rsidR="00C407CE" w:rsidRPr="005E48A9" w:rsidRDefault="00C407CE" w:rsidP="005E48A9">
      <w:pPr>
        <w:pStyle w:val="ListParagraph"/>
        <w:numPr>
          <w:ilvl w:val="0"/>
          <w:numId w:val="17"/>
        </w:numPr>
      </w:pPr>
      <w:r w:rsidRPr="005E48A9">
        <w:t>Enhance use of existing maintenance data</w:t>
      </w:r>
    </w:p>
    <w:p w14:paraId="61E567FC" w14:textId="77777777" w:rsidR="00C407CE" w:rsidRPr="005E48A9" w:rsidRDefault="00C407CE" w:rsidP="005E48A9">
      <w:pPr>
        <w:rPr>
          <w:b/>
          <w:bCs/>
          <w:i/>
          <w:iCs/>
        </w:rPr>
      </w:pPr>
      <w:r w:rsidRPr="005E48A9">
        <w:rPr>
          <w:b/>
          <w:bCs/>
          <w:i/>
          <w:iCs/>
        </w:rPr>
        <w:t>Medium-term:</w:t>
      </w:r>
    </w:p>
    <w:p w14:paraId="38D32203" w14:textId="77777777" w:rsidR="00C407CE" w:rsidRPr="005E48A9" w:rsidRDefault="00C407CE" w:rsidP="005E48A9">
      <w:pPr>
        <w:pStyle w:val="ListParagraph"/>
        <w:numPr>
          <w:ilvl w:val="0"/>
          <w:numId w:val="18"/>
        </w:numPr>
      </w:pPr>
      <w:r w:rsidRPr="005E48A9">
        <w:t>Introduce CBM for high-cost, high-risk components (e.g. rollers, hydraulics, drive systems)</w:t>
      </w:r>
    </w:p>
    <w:p w14:paraId="16CCA369" w14:textId="77777777" w:rsidR="00C407CE" w:rsidRPr="005E48A9" w:rsidRDefault="00C407CE" w:rsidP="005E48A9">
      <w:pPr>
        <w:pStyle w:val="ListParagraph"/>
        <w:numPr>
          <w:ilvl w:val="0"/>
          <w:numId w:val="18"/>
        </w:numPr>
      </w:pPr>
      <w:r w:rsidRPr="005E48A9">
        <w:t>Begin collecting condition data to support future decisions</w:t>
      </w:r>
    </w:p>
    <w:p w14:paraId="43A5B036" w14:textId="77777777" w:rsidR="00C407CE" w:rsidRPr="005E48A9" w:rsidRDefault="00C407CE" w:rsidP="005E48A9">
      <w:pPr>
        <w:rPr>
          <w:b/>
          <w:bCs/>
          <w:i/>
          <w:iCs/>
        </w:rPr>
      </w:pPr>
      <w:r w:rsidRPr="005E48A9">
        <w:rPr>
          <w:b/>
          <w:bCs/>
          <w:i/>
          <w:iCs/>
        </w:rPr>
        <w:t>Long-term:</w:t>
      </w:r>
    </w:p>
    <w:p w14:paraId="4665E2E1" w14:textId="77777777" w:rsidR="00C407CE" w:rsidRPr="005E48A9" w:rsidRDefault="00C407CE" w:rsidP="005E48A9">
      <w:pPr>
        <w:pStyle w:val="ListParagraph"/>
        <w:numPr>
          <w:ilvl w:val="0"/>
          <w:numId w:val="19"/>
        </w:numPr>
      </w:pPr>
      <w:r w:rsidRPr="005E48A9">
        <w:t>Use accumulated data to optimise maintenance intervals</w:t>
      </w:r>
    </w:p>
    <w:p w14:paraId="4DBDB4B8" w14:textId="41775F2B" w:rsidR="00C407CE" w:rsidRPr="005E48A9" w:rsidRDefault="00C407CE" w:rsidP="005E48A9">
      <w:pPr>
        <w:pStyle w:val="ListParagraph"/>
        <w:numPr>
          <w:ilvl w:val="0"/>
          <w:numId w:val="19"/>
        </w:numPr>
      </w:pPr>
      <w:r w:rsidRPr="005E48A9">
        <w:t>Transition towards predictive maintenance</w:t>
      </w:r>
      <w:r w:rsidR="00EC2480">
        <w:t>,</w:t>
      </w:r>
      <w:r w:rsidRPr="005E48A9">
        <w:t xml:space="preserve"> where justified</w:t>
      </w:r>
    </w:p>
    <w:p w14:paraId="01CACEAA" w14:textId="77777777" w:rsidR="00C407CE" w:rsidRPr="005E48A9" w:rsidRDefault="00C407CE" w:rsidP="005E48A9">
      <w:r w:rsidRPr="005E48A9">
        <w:t>This approach balances cost, risk, and practicality. It avoids the extremes of both over-maintenance and over-investment, instead focusing on incremental improvement and evidence-based decision-making.</w:t>
      </w:r>
    </w:p>
    <w:bookmarkEnd w:id="1"/>
    <w:p w14:paraId="67803A3B" w14:textId="77777777" w:rsidR="00960085" w:rsidRPr="00960085" w:rsidRDefault="00960085" w:rsidP="00960085"/>
    <w:p w14:paraId="53867B9E" w14:textId="77777777" w:rsidR="00813DDD" w:rsidRDefault="00813DDD" w:rsidP="00813DDD"/>
    <w:p w14:paraId="05F5B1E5" w14:textId="77777777" w:rsidR="00813DDD" w:rsidRDefault="00813DDD" w:rsidP="00813DDD"/>
    <w:p w14:paraId="5B40FD9C" w14:textId="77777777" w:rsidR="001A60BA" w:rsidRDefault="001A60BA" w:rsidP="00813DDD"/>
    <w:p w14:paraId="0314629D" w14:textId="77777777" w:rsidR="001A60BA" w:rsidRDefault="001A60BA" w:rsidP="00813DDD"/>
    <w:p w14:paraId="6DEA0FA2" w14:textId="77777777" w:rsidR="001A60BA" w:rsidRDefault="001A60BA" w:rsidP="00813DDD"/>
    <w:p w14:paraId="46ACAE7E" w14:textId="77777777" w:rsidR="001A60BA" w:rsidRDefault="001A60BA" w:rsidP="00813DDD"/>
    <w:p w14:paraId="79E1E9E6" w14:textId="77777777" w:rsidR="001A60BA" w:rsidRDefault="001A60BA" w:rsidP="00813DDD"/>
    <w:p w14:paraId="58D8F743" w14:textId="77777777" w:rsidR="001A60BA" w:rsidRDefault="001A60BA" w:rsidP="00813DDD"/>
    <w:p w14:paraId="115C001C" w14:textId="77777777" w:rsidR="001A60BA" w:rsidRDefault="001A60BA" w:rsidP="00813DDD"/>
    <w:p w14:paraId="53829256" w14:textId="77777777" w:rsidR="003A6FB8" w:rsidRDefault="003A6FB8" w:rsidP="00813DDD"/>
    <w:p w14:paraId="434F21DE" w14:textId="27CF279E" w:rsidR="00B31942" w:rsidRPr="00B31942" w:rsidRDefault="00B31942" w:rsidP="00B31942">
      <w:pPr>
        <w:pStyle w:val="Heading1"/>
        <w:rPr>
          <w:rFonts w:ascii="Times New Roman" w:hAnsi="Times New Roman"/>
          <w:color w:val="0070C0"/>
        </w:rPr>
      </w:pPr>
      <w:bookmarkStart w:id="31" w:name="_Toc227502225"/>
      <w:r w:rsidRPr="00B31942">
        <w:rPr>
          <w:rStyle w:val="Strong"/>
          <w:color w:val="0070C0"/>
        </w:rPr>
        <w:lastRenderedPageBreak/>
        <w:t>Conclusions and Recommendations</w:t>
      </w:r>
      <w:bookmarkEnd w:id="31"/>
    </w:p>
    <w:p w14:paraId="56991DD8" w14:textId="77777777" w:rsidR="0060029F" w:rsidRDefault="0060029F" w:rsidP="0060029F">
      <w:pPr>
        <w:rPr>
          <w:rFonts w:ascii="Times New Roman" w:hAnsi="Times New Roman"/>
        </w:rPr>
      </w:pPr>
      <w:r>
        <w:t>The evaluation of the maintenance strategy for the coke oven guide machine shows that the current approach is structured and generally reliable, which is essential in a harsh, production-critical environment. Planned preventive maintenance, supported by SAP systems and routine inspections, helps maintain consistency and reduces the risk of major failures. However, it is not fully optimised. Its reliance on fixed intervals and visual inspections limits its ability to respond to variable component degradation (Moubray, 1997).</w:t>
      </w:r>
    </w:p>
    <w:p w14:paraId="4B1ABFA9" w14:textId="77777777" w:rsidR="0060029F" w:rsidRDefault="0060029F" w:rsidP="0060029F">
      <w:r>
        <w:t>Performance and maintenance data indicate that, while the system functions effectively, it does not prevent all failures or delays. Maintenance remains partly reactive, with many interventions driven by visible defects rather than early-stage condition monitoring. This results in both premature component replacement and missed degradation, meaning the strategy delivers reliability but not efficiency.</w:t>
      </w:r>
    </w:p>
    <w:p w14:paraId="5C378837" w14:textId="77777777" w:rsidR="0060029F" w:rsidRDefault="0060029F" w:rsidP="0060029F">
      <w:r>
        <w:t>Condition-based maintenance (CBM) and reliability-centred maintenance (RCM) offer clear improvements. CBM enables earlier fault detection through measurable indicators, while RCM ensures maintenance effort is focused on high-risk components. However, these approaches have practical limitations. Not all failures are predictable, and implementing monitoring across all systems would be costly and complex. A fully predictive strategy is therefore unrealistic.</w:t>
      </w:r>
    </w:p>
    <w:p w14:paraId="59718D4E" w14:textId="77777777" w:rsidR="0060029F" w:rsidRDefault="0060029F" w:rsidP="0060029F">
      <w:r>
        <w:t>A more effective solution is to refine rather than replace the current system. A hybrid approach—combining time-based maintenance with targeted condition monitoring and risk-based prioritisation—provides the best balance between reliability and cost. From a cost perspective, maintenance expenditure is heavily concentrated in a small number of high-value components, creating clear opportunities for optimisation.</w:t>
      </w:r>
    </w:p>
    <w:p w14:paraId="7446D5AE" w14:textId="1AA4D252" w:rsidR="0060029F" w:rsidRDefault="0060029F" w:rsidP="0060029F">
      <w:r>
        <w:t>Overall, the current strategy is effective but inefficient. A phased approach</w:t>
      </w:r>
      <w:r>
        <w:t xml:space="preserve">, </w:t>
      </w:r>
      <w:r>
        <w:t>improving data use in the short term, introducing targeted CBM in the medium term, and optimising maintenance intervals over time</w:t>
      </w:r>
      <w:r>
        <w:t xml:space="preserve">, </w:t>
      </w:r>
      <w:r>
        <w:t>offers a practical and achievable path forward, aligned with the operational constraints of the guide machine and the wider coke oven process (ISO, 2014).</w:t>
      </w:r>
    </w:p>
    <w:p w14:paraId="0777E408" w14:textId="77777777" w:rsidR="00813DDD" w:rsidRDefault="00813DDD" w:rsidP="00813DDD"/>
    <w:p w14:paraId="7C09F009" w14:textId="77777777" w:rsidR="00813DDD" w:rsidRDefault="00813DDD" w:rsidP="00813DDD"/>
    <w:p w14:paraId="36FC1148" w14:textId="77777777" w:rsidR="00813DDD" w:rsidRDefault="00813DDD" w:rsidP="00813DDD"/>
    <w:p w14:paraId="5345EEF2" w14:textId="77777777" w:rsidR="0060029F" w:rsidRPr="00813DDD" w:rsidRDefault="0060029F" w:rsidP="00813DDD"/>
    <w:p w14:paraId="1A5CEF87" w14:textId="19E5726C" w:rsidR="009733FF" w:rsidRPr="007604DE" w:rsidRDefault="00B31942" w:rsidP="009733FF">
      <w:pPr>
        <w:pStyle w:val="Heading1"/>
        <w:rPr>
          <w:b/>
          <w:bCs/>
          <w:color w:val="0070C0"/>
        </w:rPr>
      </w:pPr>
      <w:bookmarkStart w:id="32" w:name="_Toc227502226"/>
      <w:r w:rsidRPr="00034F87">
        <w:rPr>
          <w:b/>
          <w:bCs/>
          <w:color w:val="0070C0"/>
        </w:rPr>
        <w:lastRenderedPageBreak/>
        <w:t>Reference</w:t>
      </w:r>
      <w:r w:rsidR="009733FF">
        <w:rPr>
          <w:b/>
          <w:bCs/>
          <w:color w:val="0070C0"/>
        </w:rPr>
        <w:t>s</w:t>
      </w:r>
      <w:bookmarkEnd w:id="32"/>
    </w:p>
    <w:p w14:paraId="4A0FE177" w14:textId="77777777" w:rsidR="00316C88" w:rsidRDefault="00316C88" w:rsidP="00316C88">
      <w:pPr>
        <w:rPr>
          <w:rFonts w:ascii="Times New Roman" w:hAnsi="Times New Roman"/>
        </w:rPr>
      </w:pPr>
      <w:proofErr w:type="spellStart"/>
      <w:r>
        <w:t>Aladon</w:t>
      </w:r>
      <w:proofErr w:type="spellEnd"/>
      <w:r>
        <w:t xml:space="preserve"> (n.d.)</w:t>
      </w:r>
      <w:r>
        <w:rPr>
          <w:rStyle w:val="apple-converted-space"/>
          <w:color w:val="000000"/>
        </w:rPr>
        <w:t> </w:t>
      </w:r>
      <w:r>
        <w:rPr>
          <w:rStyle w:val="Emphasis"/>
          <w:color w:val="000000"/>
        </w:rPr>
        <w:t>Why the original model of the P-F curve is the correct model</w:t>
      </w:r>
      <w:r>
        <w:t>. Available at:</w:t>
      </w:r>
      <w:r>
        <w:rPr>
          <w:rStyle w:val="apple-converted-space"/>
          <w:color w:val="000000"/>
        </w:rPr>
        <w:t> </w:t>
      </w:r>
      <w:hyperlink r:id="rId17" w:tgtFrame="_new" w:history="1">
        <w:r>
          <w:rPr>
            <w:rStyle w:val="Hyperlink"/>
          </w:rPr>
          <w:t>https://www.aladon.com/why-the-original-model-of-the-p-f-curve-is-the-correct-model/</w:t>
        </w:r>
      </w:hyperlink>
      <w:r>
        <w:rPr>
          <w:rStyle w:val="apple-converted-space"/>
          <w:color w:val="000000"/>
        </w:rPr>
        <w:t> </w:t>
      </w:r>
      <w:r>
        <w:t>(Accessed: 18 April 2026).</w:t>
      </w:r>
    </w:p>
    <w:p w14:paraId="5E495F41" w14:textId="77777777" w:rsidR="00316C88" w:rsidRDefault="00316C88" w:rsidP="00316C88">
      <w:r>
        <w:t>Campbell, J.D. and Jardine, A.K.S. (2001)</w:t>
      </w:r>
      <w:r>
        <w:rPr>
          <w:rStyle w:val="apple-converted-space"/>
          <w:color w:val="000000"/>
        </w:rPr>
        <w:t> </w:t>
      </w:r>
      <w:r>
        <w:rPr>
          <w:rStyle w:val="Emphasis"/>
          <w:color w:val="000000"/>
        </w:rPr>
        <w:t>Maintenance excellence: Optimizing equipment life-cycle decisions</w:t>
      </w:r>
      <w:r>
        <w:t>. New York: Marcel Dekker.</w:t>
      </w:r>
    </w:p>
    <w:p w14:paraId="3FD83653" w14:textId="77777777" w:rsidR="00316C88" w:rsidRDefault="00316C88" w:rsidP="00316C88">
      <w:r>
        <w:t>Coke Fuel Equipment (n.d.)</w:t>
      </w:r>
      <w:r>
        <w:rPr>
          <w:rStyle w:val="apple-converted-space"/>
          <w:color w:val="000000"/>
        </w:rPr>
        <w:t> </w:t>
      </w:r>
      <w:r>
        <w:rPr>
          <w:rStyle w:val="Emphasis"/>
          <w:color w:val="000000"/>
        </w:rPr>
        <w:t>Coke oven equipment</w:t>
      </w:r>
      <w:r>
        <w:t>. Available at:</w:t>
      </w:r>
      <w:r>
        <w:rPr>
          <w:rStyle w:val="apple-converted-space"/>
          <w:color w:val="000000"/>
        </w:rPr>
        <w:t> </w:t>
      </w:r>
      <w:hyperlink r:id="rId18" w:tgtFrame="_new" w:history="1">
        <w:r>
          <w:rPr>
            <w:rStyle w:val="Hyperlink"/>
          </w:rPr>
          <w:t>https://www.cokefuelequipment.com/products/coke-oven-equipment/</w:t>
        </w:r>
      </w:hyperlink>
      <w:r>
        <w:rPr>
          <w:rStyle w:val="apple-converted-space"/>
          <w:color w:val="000000"/>
        </w:rPr>
        <w:t> </w:t>
      </w:r>
      <w:r>
        <w:t>(Accessed: 11 April 2026).</w:t>
      </w:r>
    </w:p>
    <w:p w14:paraId="64A8F5B4" w14:textId="77777777" w:rsidR="00316C88" w:rsidRDefault="00316C88" w:rsidP="00316C88">
      <w:r>
        <w:t>ISO (2014)</w:t>
      </w:r>
      <w:r>
        <w:rPr>
          <w:rStyle w:val="apple-converted-space"/>
          <w:color w:val="000000"/>
        </w:rPr>
        <w:t> </w:t>
      </w:r>
      <w:r>
        <w:rPr>
          <w:rStyle w:val="Emphasis"/>
          <w:color w:val="000000"/>
        </w:rPr>
        <w:t>ISO 55000: Asset management – Overview, principles and terminology</w:t>
      </w:r>
      <w:r>
        <w:t>. Geneva: International Organization for Standardization.</w:t>
      </w:r>
    </w:p>
    <w:p w14:paraId="40E6D547" w14:textId="77777777" w:rsidR="00316C88" w:rsidRDefault="00316C88" w:rsidP="00316C88">
      <w:r>
        <w:t xml:space="preserve">Jardine, A.K.S., Lin, D. and </w:t>
      </w:r>
      <w:proofErr w:type="spellStart"/>
      <w:r>
        <w:t>Banjevic</w:t>
      </w:r>
      <w:proofErr w:type="spellEnd"/>
      <w:r>
        <w:t>, D. (2006) ‘A review on machinery diagnostics and prognostics implementing condition-based maintenance’,</w:t>
      </w:r>
      <w:r>
        <w:rPr>
          <w:rStyle w:val="apple-converted-space"/>
          <w:color w:val="000000"/>
        </w:rPr>
        <w:t> </w:t>
      </w:r>
      <w:r>
        <w:rPr>
          <w:rStyle w:val="Emphasis"/>
          <w:color w:val="000000"/>
        </w:rPr>
        <w:t>Mechanical Systems and Signal Processing</w:t>
      </w:r>
      <w:r>
        <w:t>, 20(7), pp. 1483–1510.</w:t>
      </w:r>
    </w:p>
    <w:p w14:paraId="7290EB4B" w14:textId="77777777" w:rsidR="00316C88" w:rsidRDefault="00316C88" w:rsidP="00316C88">
      <w:r>
        <w:t>Jenkins, C. (2021a)</w:t>
      </w:r>
      <w:r>
        <w:rPr>
          <w:rStyle w:val="apple-converted-space"/>
          <w:color w:val="000000"/>
        </w:rPr>
        <w:t> </w:t>
      </w:r>
      <w:r>
        <w:rPr>
          <w:rStyle w:val="Emphasis"/>
          <w:color w:val="000000"/>
        </w:rPr>
        <w:t>No.3 guide machine monthly delay data</w:t>
      </w:r>
      <w:r>
        <w:t>. Unpublished internal data, Tata Steel UK.</w:t>
      </w:r>
    </w:p>
    <w:p w14:paraId="3C9F88AB" w14:textId="77777777" w:rsidR="00316C88" w:rsidRDefault="00316C88" w:rsidP="00316C88">
      <w:r>
        <w:t>Jenkins, C. (2021b)</w:t>
      </w:r>
      <w:r>
        <w:rPr>
          <w:rStyle w:val="apple-converted-space"/>
          <w:color w:val="000000"/>
        </w:rPr>
        <w:t> </w:t>
      </w:r>
      <w:r>
        <w:rPr>
          <w:rStyle w:val="Emphasis"/>
          <w:color w:val="000000"/>
        </w:rPr>
        <w:t>SAP maintenance work order data for No.3 guide machine</w:t>
      </w:r>
      <w:r>
        <w:t>. Unpublished internal data, Tata Steel UK.</w:t>
      </w:r>
    </w:p>
    <w:p w14:paraId="4F4ADBAA" w14:textId="77777777" w:rsidR="00316C88" w:rsidRDefault="00316C88" w:rsidP="00316C88">
      <w:r>
        <w:t>Mobley, R.K. (2002)</w:t>
      </w:r>
      <w:r>
        <w:rPr>
          <w:rStyle w:val="apple-converted-space"/>
          <w:color w:val="000000"/>
        </w:rPr>
        <w:t> </w:t>
      </w:r>
      <w:r>
        <w:rPr>
          <w:rStyle w:val="Emphasis"/>
          <w:color w:val="000000"/>
        </w:rPr>
        <w:t>An introduction to predictive maintenance</w:t>
      </w:r>
      <w:r>
        <w:t xml:space="preserve">. 2nd </w:t>
      </w:r>
      <w:proofErr w:type="spellStart"/>
      <w:r>
        <w:t>edn</w:t>
      </w:r>
      <w:proofErr w:type="spellEnd"/>
      <w:r>
        <w:t>. Oxford: Butterworth-Heinemann.</w:t>
      </w:r>
    </w:p>
    <w:p w14:paraId="05D9F6E8" w14:textId="77777777" w:rsidR="00316C88" w:rsidRDefault="00316C88" w:rsidP="00316C88">
      <w:r>
        <w:t>Moubray, J. (1997)</w:t>
      </w:r>
      <w:r>
        <w:rPr>
          <w:rStyle w:val="apple-converted-space"/>
          <w:color w:val="000000"/>
        </w:rPr>
        <w:t> </w:t>
      </w:r>
      <w:r>
        <w:rPr>
          <w:rStyle w:val="Emphasis"/>
          <w:color w:val="000000"/>
        </w:rPr>
        <w:t>Reliability-centred maintenance</w:t>
      </w:r>
      <w:r>
        <w:t xml:space="preserve">. 2nd </w:t>
      </w:r>
      <w:proofErr w:type="spellStart"/>
      <w:r>
        <w:t>edn</w:t>
      </w:r>
      <w:proofErr w:type="spellEnd"/>
      <w:r>
        <w:t>. Oxford: Butterworth-Heinemann.</w:t>
      </w:r>
    </w:p>
    <w:p w14:paraId="15E1D636" w14:textId="77777777" w:rsidR="00316C88" w:rsidRDefault="00316C88" w:rsidP="00316C88">
      <w:r>
        <w:t>Randall, R.B. (2011)</w:t>
      </w:r>
      <w:r>
        <w:rPr>
          <w:rStyle w:val="apple-converted-space"/>
          <w:color w:val="000000"/>
        </w:rPr>
        <w:t> </w:t>
      </w:r>
      <w:r>
        <w:rPr>
          <w:rStyle w:val="Emphasis"/>
          <w:color w:val="000000"/>
        </w:rPr>
        <w:t>Vibration-based condition monitoring</w:t>
      </w:r>
      <w:r>
        <w:t>. Chichester: Wiley.</w:t>
      </w:r>
    </w:p>
    <w:p w14:paraId="13E38460" w14:textId="77777777" w:rsidR="00316C88" w:rsidRDefault="00316C88" w:rsidP="00316C88">
      <w:r>
        <w:t>Scott, J. (2020)</w:t>
      </w:r>
      <w:r>
        <w:rPr>
          <w:rStyle w:val="apple-converted-space"/>
          <w:color w:val="000000"/>
        </w:rPr>
        <w:t> </w:t>
      </w:r>
      <w:r>
        <w:rPr>
          <w:rStyle w:val="Emphasis"/>
          <w:color w:val="000000"/>
        </w:rPr>
        <w:t>Machine maintenance outage plan for No.3 guide machine</w:t>
      </w:r>
      <w:r>
        <w:t>. Unpublished internal data, Tata Steel UK.</w:t>
      </w:r>
    </w:p>
    <w:p w14:paraId="1A5A178A" w14:textId="77777777" w:rsidR="00316C88" w:rsidRDefault="00316C88" w:rsidP="00316C88">
      <w:r>
        <w:t>Smith, A.M. and Hawkins, B. (2004)</w:t>
      </w:r>
      <w:r>
        <w:rPr>
          <w:rStyle w:val="apple-converted-space"/>
          <w:color w:val="000000"/>
        </w:rPr>
        <w:t> </w:t>
      </w:r>
      <w:r>
        <w:rPr>
          <w:rStyle w:val="Emphasis"/>
          <w:color w:val="000000"/>
        </w:rPr>
        <w:t>Lean maintenance</w:t>
      </w:r>
      <w:r>
        <w:t>. Oxford: Elsevier.</w:t>
      </w:r>
    </w:p>
    <w:p w14:paraId="0D45D99C" w14:textId="77777777" w:rsidR="00316C88" w:rsidRDefault="00316C88" w:rsidP="00316C88">
      <w:r>
        <w:t>Wireman, T. (2010)</w:t>
      </w:r>
      <w:r>
        <w:rPr>
          <w:rStyle w:val="apple-converted-space"/>
          <w:color w:val="000000"/>
        </w:rPr>
        <w:t> </w:t>
      </w:r>
      <w:r>
        <w:rPr>
          <w:rStyle w:val="Emphasis"/>
          <w:color w:val="000000"/>
        </w:rPr>
        <w:t>Total productive maintenance</w:t>
      </w:r>
      <w:r>
        <w:t xml:space="preserve">. 2nd </w:t>
      </w:r>
      <w:proofErr w:type="spellStart"/>
      <w:r>
        <w:t>edn</w:t>
      </w:r>
      <w:proofErr w:type="spellEnd"/>
      <w:r>
        <w:t>. New York: Industrial Press.</w:t>
      </w:r>
    </w:p>
    <w:p w14:paraId="0A465D9A" w14:textId="77777777" w:rsidR="00955E2A" w:rsidRDefault="00955E2A" w:rsidP="00BF4BC0"/>
    <w:p w14:paraId="683BE884" w14:textId="77777777" w:rsidR="00C46471" w:rsidRDefault="00C46471" w:rsidP="001343E6">
      <w:pPr>
        <w:pStyle w:val="NormalWeb"/>
        <w:rPr>
          <w:color w:val="000000"/>
        </w:rPr>
        <w:sectPr w:rsidR="00C46471" w:rsidSect="009E51B9">
          <w:pgSz w:w="11906" w:h="16838"/>
          <w:pgMar w:top="1440" w:right="1440" w:bottom="1440" w:left="1440" w:header="709" w:footer="709" w:gutter="0"/>
          <w:cols w:space="708"/>
          <w:titlePg/>
          <w:docGrid w:linePitch="360"/>
        </w:sectPr>
      </w:pPr>
    </w:p>
    <w:p w14:paraId="2E8EE918" w14:textId="23486C6B" w:rsidR="00EC2480" w:rsidRDefault="00C46471" w:rsidP="00C46471">
      <w:pPr>
        <w:pStyle w:val="Heading1"/>
        <w:rPr>
          <w:b/>
          <w:bCs/>
          <w:color w:val="0070C0"/>
        </w:rPr>
      </w:pPr>
      <w:bookmarkStart w:id="33" w:name="_Toc227502227"/>
      <w:r w:rsidRPr="00C46471">
        <w:rPr>
          <w:b/>
          <w:bCs/>
          <w:color w:val="0070C0"/>
        </w:rPr>
        <w:lastRenderedPageBreak/>
        <w:t>Appendices</w:t>
      </w:r>
      <w:bookmarkEnd w:id="33"/>
      <w:r w:rsidRPr="00C46471">
        <w:rPr>
          <w:b/>
          <w:bCs/>
          <w:color w:val="0070C0"/>
        </w:rPr>
        <w:t xml:space="preserve"> </w:t>
      </w:r>
    </w:p>
    <w:p w14:paraId="7AF3BE81" w14:textId="7E24ACA2" w:rsidR="00C46471" w:rsidRPr="00C46471" w:rsidRDefault="00C46471" w:rsidP="00C46471">
      <w:pPr>
        <w:pStyle w:val="Heading2"/>
      </w:pPr>
      <w:bookmarkStart w:id="34" w:name="_Toc227502228"/>
      <w:r w:rsidRPr="00C46471">
        <w:t>Machine Maintenance Outage Plan (2020)</w:t>
      </w:r>
      <w:bookmarkEnd w:id="34"/>
    </w:p>
    <w:p w14:paraId="782801DF" w14:textId="77777777" w:rsidR="00C46471" w:rsidRDefault="00C46471" w:rsidP="00C46471">
      <w:pPr>
        <w:keepNext/>
      </w:pPr>
      <w:r w:rsidRPr="00C46471">
        <w:drawing>
          <wp:inline distT="0" distB="0" distL="0" distR="0" wp14:anchorId="3398CCAA" wp14:editId="2E765B7B">
            <wp:extent cx="8585200" cy="4688434"/>
            <wp:effectExtent l="0" t="0" r="0" b="0"/>
            <wp:docPr id="24" name="Picture 23" descr="A multicolored chart with numbers and symbols&#10;&#10;AI-generated content may be incorrect.">
              <a:extLst xmlns:a="http://schemas.openxmlformats.org/drawingml/2006/main">
                <a:ext uri="{FF2B5EF4-FFF2-40B4-BE49-F238E27FC236}">
                  <a16:creationId xmlns:a16="http://schemas.microsoft.com/office/drawing/2014/main" id="{9DDD264A-474F-4A24-B751-3D9BD0575B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descr="A multicolored chart with numbers and symbols&#10;&#10;AI-generated content may be incorrect.">
                      <a:extLst>
                        <a:ext uri="{FF2B5EF4-FFF2-40B4-BE49-F238E27FC236}">
                          <a16:creationId xmlns:a16="http://schemas.microsoft.com/office/drawing/2014/main" id="{9DDD264A-474F-4A24-B751-3D9BD0575BA3}"/>
                        </a:ext>
                      </a:extLst>
                    </pic:cNvPr>
                    <pic:cNvPicPr>
                      <a:picLocks noChangeAspect="1"/>
                    </pic:cNvPicPr>
                  </pic:nvPicPr>
                  <pic:blipFill>
                    <a:blip r:embed="rId19"/>
                    <a:stretch>
                      <a:fillRect/>
                    </a:stretch>
                  </pic:blipFill>
                  <pic:spPr>
                    <a:xfrm>
                      <a:off x="0" y="0"/>
                      <a:ext cx="8618933" cy="4706856"/>
                    </a:xfrm>
                    <a:prstGeom prst="rect">
                      <a:avLst/>
                    </a:prstGeom>
                  </pic:spPr>
                </pic:pic>
              </a:graphicData>
            </a:graphic>
          </wp:inline>
        </w:drawing>
      </w:r>
    </w:p>
    <w:p w14:paraId="146A1B68" w14:textId="4710FBE0" w:rsidR="0041403C" w:rsidRPr="0041403C" w:rsidRDefault="00C46471" w:rsidP="0060029F">
      <w:pPr>
        <w:pStyle w:val="Caption"/>
        <w:jc w:val="center"/>
      </w:pPr>
      <w:bookmarkStart w:id="35" w:name="_Toc227501628"/>
      <w:r>
        <w:t xml:space="preserve">Figure </w:t>
      </w:r>
      <w:fldSimple w:instr=" SEQ Figure \* ARABIC ">
        <w:r>
          <w:rPr>
            <w:noProof/>
          </w:rPr>
          <w:t>6</w:t>
        </w:r>
      </w:fldSimple>
      <w:r>
        <w:t xml:space="preserve">: Coke Oven </w:t>
      </w:r>
      <w:r w:rsidRPr="00350C41">
        <w:t>Machine Maintenance Outage Plan for No.3 Guide Machine (</w:t>
      </w:r>
      <w:r>
        <w:t xml:space="preserve">Scott, </w:t>
      </w:r>
      <w:r w:rsidRPr="00350C41">
        <w:t>2020)</w:t>
      </w:r>
      <w:bookmarkEnd w:id="35"/>
    </w:p>
    <w:sectPr w:rsidR="0041403C" w:rsidRPr="0041403C" w:rsidSect="00C46471">
      <w:pgSz w:w="16838" w:h="11906"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6E792" w14:textId="77777777" w:rsidR="0055018A" w:rsidRDefault="0055018A">
      <w:pPr>
        <w:spacing w:after="0" w:line="240" w:lineRule="auto"/>
      </w:pPr>
      <w:r>
        <w:separator/>
      </w:r>
    </w:p>
  </w:endnote>
  <w:endnote w:type="continuationSeparator" w:id="0">
    <w:p w14:paraId="63B5963B" w14:textId="77777777" w:rsidR="0055018A" w:rsidRDefault="00550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2D8C8" w14:textId="77777777" w:rsidR="00A50900" w:rsidRDefault="00BA3007">
    <w:pPr>
      <w:pStyle w:val="Footer"/>
    </w:pPr>
    <w:r>
      <w:rPr>
        <w:noProof/>
      </w:rPr>
      <mc:AlternateContent>
        <mc:Choice Requires="wps">
          <w:drawing>
            <wp:anchor distT="0" distB="0" distL="0" distR="0" simplePos="0" relativeHeight="251658240" behindDoc="0" locked="0" layoutInCell="1" allowOverlap="1" wp14:anchorId="28C96117" wp14:editId="509E769D">
              <wp:simplePos x="0" y="0"/>
              <wp:positionH relativeFrom="leftMargin">
                <wp:align>left</wp:align>
              </wp:positionH>
              <wp:positionV relativeFrom="paragraph">
                <wp:posOffset>635</wp:posOffset>
              </wp:positionV>
              <wp:extent cx="443865" cy="443865"/>
              <wp:effectExtent l="0" t="635" r="3810" b="3175"/>
              <wp:wrapSquare wrapText="bothSides"/>
              <wp:docPr id="8" name="Text Box 2" descr="Sensitivity: gener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 cy="443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0A0856" w14:textId="77777777" w:rsidR="00A50900" w:rsidRPr="00A50900" w:rsidRDefault="00BA3007">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wps:txbx>
                    <wps:bodyPr rot="0" vert="horz" wrap="none" lIns="19050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8C96117" id="_x0000_t202" coordsize="21600,21600" o:spt="202" path="m,l,21600r21600,l21600,xe">
              <v:stroke joinstyle="miter"/>
              <v:path gradientshapeok="t" o:connecttype="rect"/>
            </v:shapetype>
            <v:shape id="Text Box 2" o:spid="_x0000_s1028" type="#_x0000_t202" alt="Sensitivity: general" style="position:absolute;margin-left:0;margin-top:.05pt;width:34.95pt;height:34.95pt;z-index:251658240;visibility:visible;mso-wrap-style:none;mso-width-percent:0;mso-height-percent:0;mso-wrap-distance-left:0;mso-wrap-distance-top:0;mso-wrap-distance-right:0;mso-wrap-distance-bottom:0;mso-position-horizontal:left;mso-position-horizontal-relative:left-margin-area;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HWRq1AEAAJMDAAAOAAAAZHJzL2Uyb0RvYy54bWysU9tu2zAMfR+wfxD0vtjp2qIz4hRdiwwD&#13;&#10;unVAtw+QZTkWZosCqcTOvn6UbKe7vA17EShKOjznkNrcjn0njgbJgivlepVLYZyG2rp9Kb993b25&#13;&#10;kYKCcrXqwJlSngzJ2+3rV5vBF+YCWuhqg4JBHBWDL2Ubgi+yjHRrekUr8MbxYQPYq8Bb3Gc1qoHR&#13;&#10;+y67yPPrbACsPYI2RJx9mA7lNuE3jdHhqWnIBNGVkrmFtGJaq7hm240q9qh8a/VMQ/0Di15Zx0XP&#13;&#10;UA8qKHFA+xdUbzUCQRNWGvoMmsZqkzSwmnX+h5rnVnmTtLA55M820f+D1Z+Pz/4LijC+h5EbmESQ&#13;&#10;fwT9nYSD+1a5vblDhKE1qubC62hZNngq5qfRaiooglTDJ6i5yeoQIAGNDfbRFdYpGJ0bcDqbbsYg&#13;&#10;NCcvL9/eXF9JoflojmMFVSyPPVL4YKAXMSglck8TuDo+UpiuLldiLQc723Wpr537LcGYMZPIR74T&#13;&#10;8zBWI9+OIiqoTywDYRoTHmsOWsAfUgw8IqV0PMNSdB9dNOJdfpXHkUo7DnAJqiVQTvPrUgYppvA+&#13;&#10;TKN38Gj3LYMvft+xYzub1LwQmaly55Mf85TG0fp1n269/KXtTwAAAP//AwBQSwMEFAAGAAgAAAAh&#13;&#10;AO77Nr/bAAAACAEAAA8AAABkcnMvZG93bnJldi54bWxMj0FPwzAMhe9I/IfISNxY0h3G1jWdJtiO&#13;&#10;CG3APWtMWy1xqiTryr/HO8HFkv30nt9XbSbvxIgx9YE0FDMFAqkJtqdWw+fH/mkJImVD1rhAqOEH&#13;&#10;E2zq+7vKlDZc6YDjMbeCQyiVRkOX81BKmZoOvUmzMCCx9h2iN5nX2EobzZXDvZNzpRbSm574Q2cG&#13;&#10;fOmwOR8vXsNw2Lk3UlFN4/J9l7/mRej3hdaPD9Prmsd2DSLjlP8ccGPg/lBzsVO4kE3CaWCafLsK&#13;&#10;1harFYiThmelQNaV/A9Q/wIAAP//AwBQSwECLQAUAAYACAAAACEAtoM4kv4AAADhAQAAEwAAAAAA&#13;&#10;AAAAAAAAAAAAAAAAW0NvbnRlbnRfVHlwZXNdLnhtbFBLAQItABQABgAIAAAAIQA4/SH/1gAAAJQB&#13;&#10;AAALAAAAAAAAAAAAAAAAAC8BAABfcmVscy8ucmVsc1BLAQItABQABgAIAAAAIQDjHWRq1AEAAJMD&#13;&#10;AAAOAAAAAAAAAAAAAAAAAC4CAABkcnMvZTJvRG9jLnhtbFBLAQItABQABgAIAAAAIQDu+za/2wAA&#13;&#10;AAgBAAAPAAAAAAAAAAAAAAAAAC4EAABkcnMvZG93bnJldi54bWxQSwUGAAAAAAQABADzAAAANgUA&#13;&#10;AAAA&#13;&#10;" filled="f" stroked="f">
              <v:textbox style="mso-fit-shape-to-text:t" inset="15pt,0,0,0">
                <w:txbxContent>
                  <w:p w14:paraId="160A0856" w14:textId="77777777" w:rsidR="00A50900" w:rsidRPr="00A50900" w:rsidRDefault="00BA3007">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3922565"/>
      <w:docPartObj>
        <w:docPartGallery w:val="Page Numbers (Bottom of Page)"/>
        <w:docPartUnique/>
      </w:docPartObj>
    </w:sdtPr>
    <w:sdtEndPr>
      <w:rPr>
        <w:noProof/>
      </w:rPr>
    </w:sdtEndPr>
    <w:sdtContent>
      <w:p w14:paraId="72F164AC" w14:textId="77777777" w:rsidR="00433677" w:rsidRDefault="00BA30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B01824" w14:textId="77777777" w:rsidR="00A50900" w:rsidRDefault="00A509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07951"/>
      <w:docPartObj>
        <w:docPartGallery w:val="Page Numbers (Bottom of Page)"/>
        <w:docPartUnique/>
      </w:docPartObj>
    </w:sdtPr>
    <w:sdtEndPr>
      <w:rPr>
        <w:noProof/>
      </w:rPr>
    </w:sdtEndPr>
    <w:sdtContent>
      <w:p w14:paraId="10C640A7" w14:textId="77777777" w:rsidR="00CA5152" w:rsidRDefault="00000000">
        <w:pPr>
          <w:pStyle w:val="Footer"/>
          <w:jc w:val="center"/>
        </w:pPr>
      </w:p>
    </w:sdtContent>
  </w:sdt>
  <w:p w14:paraId="20AB0409" w14:textId="77777777" w:rsidR="004F0CDE" w:rsidRDefault="004F0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92CE8" w14:textId="77777777" w:rsidR="0055018A" w:rsidRDefault="0055018A">
      <w:pPr>
        <w:spacing w:after="0" w:line="240" w:lineRule="auto"/>
      </w:pPr>
      <w:r>
        <w:separator/>
      </w:r>
    </w:p>
  </w:footnote>
  <w:footnote w:type="continuationSeparator" w:id="0">
    <w:p w14:paraId="66F946CC" w14:textId="77777777" w:rsidR="0055018A" w:rsidRDefault="00550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28FE"/>
    <w:multiLevelType w:val="multilevel"/>
    <w:tmpl w:val="B338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54FB1"/>
    <w:multiLevelType w:val="hybridMultilevel"/>
    <w:tmpl w:val="FC469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F4806"/>
    <w:multiLevelType w:val="multilevel"/>
    <w:tmpl w:val="B45A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931A3"/>
    <w:multiLevelType w:val="hybridMultilevel"/>
    <w:tmpl w:val="04FC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B4F62"/>
    <w:multiLevelType w:val="multilevel"/>
    <w:tmpl w:val="04EC3910"/>
    <w:lvl w:ilvl="0">
      <w:start w:val="1"/>
      <w:numFmt w:val="decimal"/>
      <w:pStyle w:val="Heading1"/>
      <w:lvlText w:val="%1"/>
      <w:lvlJc w:val="left"/>
      <w:pPr>
        <w:ind w:left="432" w:hanging="432"/>
      </w:pPr>
      <w:rPr>
        <w:b/>
        <w:bCs/>
        <w:color w:val="0070C0"/>
      </w:rPr>
    </w:lvl>
    <w:lvl w:ilvl="1">
      <w:start w:val="1"/>
      <w:numFmt w:val="decimal"/>
      <w:pStyle w:val="Heading2"/>
      <w:lvlText w:val="%1.%2"/>
      <w:lvlJc w:val="left"/>
      <w:pPr>
        <w:ind w:left="2987"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0EAF154C"/>
    <w:multiLevelType w:val="multilevel"/>
    <w:tmpl w:val="5E6EF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7E6458"/>
    <w:multiLevelType w:val="hybridMultilevel"/>
    <w:tmpl w:val="BF6C4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B836CC"/>
    <w:multiLevelType w:val="multilevel"/>
    <w:tmpl w:val="D748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E71632"/>
    <w:multiLevelType w:val="hybridMultilevel"/>
    <w:tmpl w:val="8752D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0331D0"/>
    <w:multiLevelType w:val="multilevel"/>
    <w:tmpl w:val="9136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AF666D"/>
    <w:multiLevelType w:val="hybridMultilevel"/>
    <w:tmpl w:val="6C020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8D4D5E"/>
    <w:multiLevelType w:val="multilevel"/>
    <w:tmpl w:val="A2E4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EF7931"/>
    <w:multiLevelType w:val="multilevel"/>
    <w:tmpl w:val="56FA3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0173BB"/>
    <w:multiLevelType w:val="hybridMultilevel"/>
    <w:tmpl w:val="51F80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CB3F97"/>
    <w:multiLevelType w:val="hybridMultilevel"/>
    <w:tmpl w:val="6FF2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C80077"/>
    <w:multiLevelType w:val="multilevel"/>
    <w:tmpl w:val="226E1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D00210"/>
    <w:multiLevelType w:val="hybridMultilevel"/>
    <w:tmpl w:val="66E82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775CC1"/>
    <w:multiLevelType w:val="multilevel"/>
    <w:tmpl w:val="677C8B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933EFD"/>
    <w:multiLevelType w:val="multilevel"/>
    <w:tmpl w:val="5840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C166FB"/>
    <w:multiLevelType w:val="multilevel"/>
    <w:tmpl w:val="D9FC4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C11543"/>
    <w:multiLevelType w:val="hybridMultilevel"/>
    <w:tmpl w:val="CFF21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F64D64"/>
    <w:multiLevelType w:val="hybridMultilevel"/>
    <w:tmpl w:val="53681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E91F3E"/>
    <w:multiLevelType w:val="multilevel"/>
    <w:tmpl w:val="7B02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E142EA"/>
    <w:multiLevelType w:val="hybridMultilevel"/>
    <w:tmpl w:val="8F6CA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652522"/>
    <w:multiLevelType w:val="multilevel"/>
    <w:tmpl w:val="67A80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8A40E4"/>
    <w:multiLevelType w:val="hybridMultilevel"/>
    <w:tmpl w:val="B6A2F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6142B5"/>
    <w:multiLevelType w:val="multilevel"/>
    <w:tmpl w:val="CCA8D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5545F8"/>
    <w:multiLevelType w:val="hybridMultilevel"/>
    <w:tmpl w:val="EE886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6F13D4"/>
    <w:multiLevelType w:val="multilevel"/>
    <w:tmpl w:val="BF189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885CA2"/>
    <w:multiLevelType w:val="multilevel"/>
    <w:tmpl w:val="FDCE6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A7154F"/>
    <w:multiLevelType w:val="hybridMultilevel"/>
    <w:tmpl w:val="327C3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E3126F"/>
    <w:multiLevelType w:val="hybridMultilevel"/>
    <w:tmpl w:val="C9CAF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F44D5F"/>
    <w:multiLevelType w:val="hybridMultilevel"/>
    <w:tmpl w:val="36E2E0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596DB5"/>
    <w:multiLevelType w:val="hybridMultilevel"/>
    <w:tmpl w:val="2826A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C34998"/>
    <w:multiLevelType w:val="multilevel"/>
    <w:tmpl w:val="3A42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E963CF"/>
    <w:multiLevelType w:val="hybridMultilevel"/>
    <w:tmpl w:val="809E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8A794B"/>
    <w:multiLevelType w:val="multilevel"/>
    <w:tmpl w:val="00028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DB37FD"/>
    <w:multiLevelType w:val="multilevel"/>
    <w:tmpl w:val="3C028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718907">
    <w:abstractNumId w:val="4"/>
  </w:num>
  <w:num w:numId="2" w16cid:durableId="636372298">
    <w:abstractNumId w:val="33"/>
  </w:num>
  <w:num w:numId="3" w16cid:durableId="900949112">
    <w:abstractNumId w:val="5"/>
  </w:num>
  <w:num w:numId="4" w16cid:durableId="2051874282">
    <w:abstractNumId w:val="11"/>
  </w:num>
  <w:num w:numId="5" w16cid:durableId="1383484415">
    <w:abstractNumId w:val="28"/>
  </w:num>
  <w:num w:numId="6" w16cid:durableId="451631343">
    <w:abstractNumId w:val="37"/>
  </w:num>
  <w:num w:numId="7" w16cid:durableId="1223366960">
    <w:abstractNumId w:val="7"/>
  </w:num>
  <w:num w:numId="8" w16cid:durableId="465438955">
    <w:abstractNumId w:val="23"/>
  </w:num>
  <w:num w:numId="9" w16cid:durableId="1267737976">
    <w:abstractNumId w:val="22"/>
  </w:num>
  <w:num w:numId="10" w16cid:durableId="1334720642">
    <w:abstractNumId w:val="6"/>
  </w:num>
  <w:num w:numId="11" w16cid:durableId="1819422038">
    <w:abstractNumId w:val="2"/>
  </w:num>
  <w:num w:numId="12" w16cid:durableId="1605647018">
    <w:abstractNumId w:val="21"/>
  </w:num>
  <w:num w:numId="13" w16cid:durableId="1240140487">
    <w:abstractNumId w:val="14"/>
  </w:num>
  <w:num w:numId="14" w16cid:durableId="1959480859">
    <w:abstractNumId w:val="36"/>
  </w:num>
  <w:num w:numId="15" w16cid:durableId="1705447163">
    <w:abstractNumId w:val="15"/>
  </w:num>
  <w:num w:numId="16" w16cid:durableId="527528401">
    <w:abstractNumId w:val="34"/>
  </w:num>
  <w:num w:numId="17" w16cid:durableId="1184828188">
    <w:abstractNumId w:val="30"/>
  </w:num>
  <w:num w:numId="18" w16cid:durableId="1381788954">
    <w:abstractNumId w:val="25"/>
  </w:num>
  <w:num w:numId="19" w16cid:durableId="354691297">
    <w:abstractNumId w:val="1"/>
  </w:num>
  <w:num w:numId="20" w16cid:durableId="2098750538">
    <w:abstractNumId w:val="12"/>
  </w:num>
  <w:num w:numId="21" w16cid:durableId="805707697">
    <w:abstractNumId w:val="18"/>
  </w:num>
  <w:num w:numId="22" w16cid:durableId="766270523">
    <w:abstractNumId w:val="35"/>
  </w:num>
  <w:num w:numId="23" w16cid:durableId="1121151623">
    <w:abstractNumId w:val="8"/>
  </w:num>
  <w:num w:numId="24" w16cid:durableId="199899147">
    <w:abstractNumId w:val="0"/>
  </w:num>
  <w:num w:numId="25" w16cid:durableId="1050769297">
    <w:abstractNumId w:val="20"/>
  </w:num>
  <w:num w:numId="26" w16cid:durableId="1550652671">
    <w:abstractNumId w:val="19"/>
  </w:num>
  <w:num w:numId="27" w16cid:durableId="1481651532">
    <w:abstractNumId w:val="32"/>
  </w:num>
  <w:num w:numId="28" w16cid:durableId="335039897">
    <w:abstractNumId w:val="24"/>
  </w:num>
  <w:num w:numId="29" w16cid:durableId="1516531680">
    <w:abstractNumId w:val="13"/>
  </w:num>
  <w:num w:numId="30" w16cid:durableId="1419523531">
    <w:abstractNumId w:val="17"/>
  </w:num>
  <w:num w:numId="31" w16cid:durableId="1570383979">
    <w:abstractNumId w:val="27"/>
  </w:num>
  <w:num w:numId="32" w16cid:durableId="797913366">
    <w:abstractNumId w:val="31"/>
  </w:num>
  <w:num w:numId="33" w16cid:durableId="1643577654">
    <w:abstractNumId w:val="16"/>
  </w:num>
  <w:num w:numId="34" w16cid:durableId="2035380983">
    <w:abstractNumId w:val="26"/>
  </w:num>
  <w:num w:numId="35" w16cid:durableId="1118178878">
    <w:abstractNumId w:val="29"/>
  </w:num>
  <w:num w:numId="36" w16cid:durableId="86846533">
    <w:abstractNumId w:val="9"/>
  </w:num>
  <w:num w:numId="37" w16cid:durableId="1927104659">
    <w:abstractNumId w:val="3"/>
  </w:num>
  <w:num w:numId="38" w16cid:durableId="711538755">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900"/>
    <w:rsid w:val="0000028C"/>
    <w:rsid w:val="0000102B"/>
    <w:rsid w:val="00001371"/>
    <w:rsid w:val="00002CBC"/>
    <w:rsid w:val="00002CE7"/>
    <w:rsid w:val="000037F2"/>
    <w:rsid w:val="000038F9"/>
    <w:rsid w:val="00003F0F"/>
    <w:rsid w:val="00004760"/>
    <w:rsid w:val="0000486B"/>
    <w:rsid w:val="00004977"/>
    <w:rsid w:val="00005603"/>
    <w:rsid w:val="00006BDB"/>
    <w:rsid w:val="0000794A"/>
    <w:rsid w:val="00010AF4"/>
    <w:rsid w:val="00012081"/>
    <w:rsid w:val="00012A6D"/>
    <w:rsid w:val="00012D47"/>
    <w:rsid w:val="00013096"/>
    <w:rsid w:val="000137F5"/>
    <w:rsid w:val="00014566"/>
    <w:rsid w:val="00015079"/>
    <w:rsid w:val="00015897"/>
    <w:rsid w:val="00015C24"/>
    <w:rsid w:val="00015E6B"/>
    <w:rsid w:val="000170FB"/>
    <w:rsid w:val="00020492"/>
    <w:rsid w:val="00020D96"/>
    <w:rsid w:val="000213B7"/>
    <w:rsid w:val="00021DF3"/>
    <w:rsid w:val="00022033"/>
    <w:rsid w:val="000229F3"/>
    <w:rsid w:val="00022DC9"/>
    <w:rsid w:val="00022E96"/>
    <w:rsid w:val="00023C6A"/>
    <w:rsid w:val="0002426B"/>
    <w:rsid w:val="00024605"/>
    <w:rsid w:val="000259D4"/>
    <w:rsid w:val="00030717"/>
    <w:rsid w:val="000316C9"/>
    <w:rsid w:val="00032C6E"/>
    <w:rsid w:val="00032E9B"/>
    <w:rsid w:val="0003336F"/>
    <w:rsid w:val="00033F44"/>
    <w:rsid w:val="00034937"/>
    <w:rsid w:val="00034F87"/>
    <w:rsid w:val="000357E5"/>
    <w:rsid w:val="00035AA3"/>
    <w:rsid w:val="00036AE4"/>
    <w:rsid w:val="00037E1C"/>
    <w:rsid w:val="00037FF3"/>
    <w:rsid w:val="000401D8"/>
    <w:rsid w:val="0004031E"/>
    <w:rsid w:val="0004279A"/>
    <w:rsid w:val="000437D9"/>
    <w:rsid w:val="00043DEC"/>
    <w:rsid w:val="000441D7"/>
    <w:rsid w:val="0004473C"/>
    <w:rsid w:val="00045935"/>
    <w:rsid w:val="000466BD"/>
    <w:rsid w:val="00051519"/>
    <w:rsid w:val="000516E0"/>
    <w:rsid w:val="00051E35"/>
    <w:rsid w:val="0005250E"/>
    <w:rsid w:val="0005346C"/>
    <w:rsid w:val="00053765"/>
    <w:rsid w:val="000553E1"/>
    <w:rsid w:val="00055E08"/>
    <w:rsid w:val="00055E99"/>
    <w:rsid w:val="00056E5D"/>
    <w:rsid w:val="00057454"/>
    <w:rsid w:val="0006000F"/>
    <w:rsid w:val="00060FEF"/>
    <w:rsid w:val="000610A7"/>
    <w:rsid w:val="000610E7"/>
    <w:rsid w:val="00061281"/>
    <w:rsid w:val="000613D9"/>
    <w:rsid w:val="0006186E"/>
    <w:rsid w:val="000618A7"/>
    <w:rsid w:val="0006235F"/>
    <w:rsid w:val="00062CC8"/>
    <w:rsid w:val="00063387"/>
    <w:rsid w:val="00063E4B"/>
    <w:rsid w:val="000642AE"/>
    <w:rsid w:val="00064418"/>
    <w:rsid w:val="00065064"/>
    <w:rsid w:val="00066E3B"/>
    <w:rsid w:val="000671C0"/>
    <w:rsid w:val="000675A0"/>
    <w:rsid w:val="000678EE"/>
    <w:rsid w:val="00070027"/>
    <w:rsid w:val="00070412"/>
    <w:rsid w:val="00070B81"/>
    <w:rsid w:val="00070FA0"/>
    <w:rsid w:val="000711A6"/>
    <w:rsid w:val="000711F5"/>
    <w:rsid w:val="00071BC5"/>
    <w:rsid w:val="0007316B"/>
    <w:rsid w:val="000738A6"/>
    <w:rsid w:val="000743A3"/>
    <w:rsid w:val="0007478D"/>
    <w:rsid w:val="00074F73"/>
    <w:rsid w:val="0007694A"/>
    <w:rsid w:val="000771D3"/>
    <w:rsid w:val="00077B88"/>
    <w:rsid w:val="00077FE2"/>
    <w:rsid w:val="00080B9F"/>
    <w:rsid w:val="00080BE2"/>
    <w:rsid w:val="00081364"/>
    <w:rsid w:val="000813B1"/>
    <w:rsid w:val="00082877"/>
    <w:rsid w:val="00083080"/>
    <w:rsid w:val="00083320"/>
    <w:rsid w:val="00083DA7"/>
    <w:rsid w:val="00084ABB"/>
    <w:rsid w:val="00084B33"/>
    <w:rsid w:val="00084CF5"/>
    <w:rsid w:val="000854FD"/>
    <w:rsid w:val="00085C1B"/>
    <w:rsid w:val="00086739"/>
    <w:rsid w:val="00086F59"/>
    <w:rsid w:val="000872E7"/>
    <w:rsid w:val="00087712"/>
    <w:rsid w:val="00087A44"/>
    <w:rsid w:val="000901DD"/>
    <w:rsid w:val="00090565"/>
    <w:rsid w:val="00090B9A"/>
    <w:rsid w:val="00091872"/>
    <w:rsid w:val="00093CC4"/>
    <w:rsid w:val="00094440"/>
    <w:rsid w:val="00094847"/>
    <w:rsid w:val="00094F4F"/>
    <w:rsid w:val="0009605E"/>
    <w:rsid w:val="00096FAE"/>
    <w:rsid w:val="000A01C2"/>
    <w:rsid w:val="000A04BD"/>
    <w:rsid w:val="000A1436"/>
    <w:rsid w:val="000A2010"/>
    <w:rsid w:val="000A229F"/>
    <w:rsid w:val="000A2B4E"/>
    <w:rsid w:val="000A344D"/>
    <w:rsid w:val="000A594C"/>
    <w:rsid w:val="000A5BDA"/>
    <w:rsid w:val="000A5F3C"/>
    <w:rsid w:val="000A62C1"/>
    <w:rsid w:val="000A64BC"/>
    <w:rsid w:val="000A7760"/>
    <w:rsid w:val="000B1609"/>
    <w:rsid w:val="000B1B2C"/>
    <w:rsid w:val="000B1CAC"/>
    <w:rsid w:val="000B29B2"/>
    <w:rsid w:val="000B3125"/>
    <w:rsid w:val="000B38AE"/>
    <w:rsid w:val="000B45FD"/>
    <w:rsid w:val="000B4C27"/>
    <w:rsid w:val="000B58BF"/>
    <w:rsid w:val="000B608C"/>
    <w:rsid w:val="000C0C75"/>
    <w:rsid w:val="000C1644"/>
    <w:rsid w:val="000C1A85"/>
    <w:rsid w:val="000C2E18"/>
    <w:rsid w:val="000C3BB8"/>
    <w:rsid w:val="000C3F8E"/>
    <w:rsid w:val="000C479A"/>
    <w:rsid w:val="000C4994"/>
    <w:rsid w:val="000C4D3D"/>
    <w:rsid w:val="000C552C"/>
    <w:rsid w:val="000C6966"/>
    <w:rsid w:val="000C6CC2"/>
    <w:rsid w:val="000C72C5"/>
    <w:rsid w:val="000C7F1F"/>
    <w:rsid w:val="000D0E8C"/>
    <w:rsid w:val="000D155C"/>
    <w:rsid w:val="000D173F"/>
    <w:rsid w:val="000D2640"/>
    <w:rsid w:val="000D4622"/>
    <w:rsid w:val="000D5758"/>
    <w:rsid w:val="000D5C1B"/>
    <w:rsid w:val="000D5F61"/>
    <w:rsid w:val="000D763F"/>
    <w:rsid w:val="000D78CA"/>
    <w:rsid w:val="000E00C2"/>
    <w:rsid w:val="000E0901"/>
    <w:rsid w:val="000E0C2D"/>
    <w:rsid w:val="000E162B"/>
    <w:rsid w:val="000E2BAB"/>
    <w:rsid w:val="000E31E5"/>
    <w:rsid w:val="000E37A0"/>
    <w:rsid w:val="000E4114"/>
    <w:rsid w:val="000E4BFB"/>
    <w:rsid w:val="000E568F"/>
    <w:rsid w:val="000E596E"/>
    <w:rsid w:val="000E6808"/>
    <w:rsid w:val="000E78C6"/>
    <w:rsid w:val="000E7912"/>
    <w:rsid w:val="000F0DB0"/>
    <w:rsid w:val="000F0F58"/>
    <w:rsid w:val="000F13C5"/>
    <w:rsid w:val="000F2332"/>
    <w:rsid w:val="000F2856"/>
    <w:rsid w:val="000F28A1"/>
    <w:rsid w:val="000F3515"/>
    <w:rsid w:val="000F461F"/>
    <w:rsid w:val="000F4CAA"/>
    <w:rsid w:val="000F576D"/>
    <w:rsid w:val="000F695A"/>
    <w:rsid w:val="000F787D"/>
    <w:rsid w:val="000F7D59"/>
    <w:rsid w:val="000F7DF2"/>
    <w:rsid w:val="001001FC"/>
    <w:rsid w:val="00101D8A"/>
    <w:rsid w:val="001023E6"/>
    <w:rsid w:val="00102717"/>
    <w:rsid w:val="0010453C"/>
    <w:rsid w:val="00104667"/>
    <w:rsid w:val="00106552"/>
    <w:rsid w:val="0010764F"/>
    <w:rsid w:val="00107963"/>
    <w:rsid w:val="001101E3"/>
    <w:rsid w:val="00110D07"/>
    <w:rsid w:val="00110E51"/>
    <w:rsid w:val="00111C72"/>
    <w:rsid w:val="00113061"/>
    <w:rsid w:val="00113970"/>
    <w:rsid w:val="00113CA1"/>
    <w:rsid w:val="00113D41"/>
    <w:rsid w:val="0011514E"/>
    <w:rsid w:val="00115A99"/>
    <w:rsid w:val="00117151"/>
    <w:rsid w:val="001179EA"/>
    <w:rsid w:val="00120FF1"/>
    <w:rsid w:val="001218B1"/>
    <w:rsid w:val="00121DB3"/>
    <w:rsid w:val="00121E53"/>
    <w:rsid w:val="001220FE"/>
    <w:rsid w:val="0012231B"/>
    <w:rsid w:val="00123795"/>
    <w:rsid w:val="001239EE"/>
    <w:rsid w:val="00123F91"/>
    <w:rsid w:val="001247E4"/>
    <w:rsid w:val="001254EB"/>
    <w:rsid w:val="00125F27"/>
    <w:rsid w:val="00126B28"/>
    <w:rsid w:val="00126DF5"/>
    <w:rsid w:val="00127E7D"/>
    <w:rsid w:val="00130080"/>
    <w:rsid w:val="0013052B"/>
    <w:rsid w:val="00130F4C"/>
    <w:rsid w:val="001313EF"/>
    <w:rsid w:val="00131550"/>
    <w:rsid w:val="00132B0C"/>
    <w:rsid w:val="00132C63"/>
    <w:rsid w:val="00133875"/>
    <w:rsid w:val="00133ACA"/>
    <w:rsid w:val="00133CBE"/>
    <w:rsid w:val="001343E6"/>
    <w:rsid w:val="00134809"/>
    <w:rsid w:val="001354E8"/>
    <w:rsid w:val="00136C63"/>
    <w:rsid w:val="00136CA6"/>
    <w:rsid w:val="0013716F"/>
    <w:rsid w:val="0013758C"/>
    <w:rsid w:val="00140090"/>
    <w:rsid w:val="0014079E"/>
    <w:rsid w:val="00140813"/>
    <w:rsid w:val="00141FA6"/>
    <w:rsid w:val="00143733"/>
    <w:rsid w:val="00144357"/>
    <w:rsid w:val="00144948"/>
    <w:rsid w:val="00145DA4"/>
    <w:rsid w:val="00147977"/>
    <w:rsid w:val="00147C6A"/>
    <w:rsid w:val="00150134"/>
    <w:rsid w:val="0015027F"/>
    <w:rsid w:val="001504DA"/>
    <w:rsid w:val="0015079B"/>
    <w:rsid w:val="001508DE"/>
    <w:rsid w:val="00150EDD"/>
    <w:rsid w:val="001514C5"/>
    <w:rsid w:val="00151DE5"/>
    <w:rsid w:val="00152D7D"/>
    <w:rsid w:val="00153F1D"/>
    <w:rsid w:val="00154CF1"/>
    <w:rsid w:val="001558D0"/>
    <w:rsid w:val="00155D45"/>
    <w:rsid w:val="00155F9B"/>
    <w:rsid w:val="00156F12"/>
    <w:rsid w:val="001605AD"/>
    <w:rsid w:val="00161433"/>
    <w:rsid w:val="00163774"/>
    <w:rsid w:val="0016441A"/>
    <w:rsid w:val="001654FC"/>
    <w:rsid w:val="001662A4"/>
    <w:rsid w:val="00166DF9"/>
    <w:rsid w:val="00166EC7"/>
    <w:rsid w:val="00171651"/>
    <w:rsid w:val="00172F63"/>
    <w:rsid w:val="00173C24"/>
    <w:rsid w:val="00174DE5"/>
    <w:rsid w:val="00176602"/>
    <w:rsid w:val="0018163C"/>
    <w:rsid w:val="0018171F"/>
    <w:rsid w:val="0018389C"/>
    <w:rsid w:val="00183E45"/>
    <w:rsid w:val="00184E93"/>
    <w:rsid w:val="001851A2"/>
    <w:rsid w:val="00185642"/>
    <w:rsid w:val="0018628C"/>
    <w:rsid w:val="00190D19"/>
    <w:rsid w:val="00192B72"/>
    <w:rsid w:val="00192C60"/>
    <w:rsid w:val="001935AB"/>
    <w:rsid w:val="00193871"/>
    <w:rsid w:val="001938AD"/>
    <w:rsid w:val="00193B52"/>
    <w:rsid w:val="00195BDD"/>
    <w:rsid w:val="001960A3"/>
    <w:rsid w:val="0019618A"/>
    <w:rsid w:val="00196468"/>
    <w:rsid w:val="0019651B"/>
    <w:rsid w:val="001A002C"/>
    <w:rsid w:val="001A057C"/>
    <w:rsid w:val="001A14E6"/>
    <w:rsid w:val="001A2826"/>
    <w:rsid w:val="001A29A8"/>
    <w:rsid w:val="001A3277"/>
    <w:rsid w:val="001A36F6"/>
    <w:rsid w:val="001A3ACF"/>
    <w:rsid w:val="001A3C6A"/>
    <w:rsid w:val="001A512E"/>
    <w:rsid w:val="001A5FBF"/>
    <w:rsid w:val="001A60BA"/>
    <w:rsid w:val="001A62BF"/>
    <w:rsid w:val="001A6A88"/>
    <w:rsid w:val="001A6E4F"/>
    <w:rsid w:val="001B08F8"/>
    <w:rsid w:val="001B0A97"/>
    <w:rsid w:val="001B2D78"/>
    <w:rsid w:val="001B3437"/>
    <w:rsid w:val="001B3BFD"/>
    <w:rsid w:val="001B4E58"/>
    <w:rsid w:val="001B5657"/>
    <w:rsid w:val="001B5C19"/>
    <w:rsid w:val="001B6E14"/>
    <w:rsid w:val="001B72EE"/>
    <w:rsid w:val="001B7682"/>
    <w:rsid w:val="001B7CC5"/>
    <w:rsid w:val="001C00E5"/>
    <w:rsid w:val="001C03D6"/>
    <w:rsid w:val="001C0CFA"/>
    <w:rsid w:val="001C1906"/>
    <w:rsid w:val="001C2028"/>
    <w:rsid w:val="001C34EB"/>
    <w:rsid w:val="001C3CDF"/>
    <w:rsid w:val="001C40F5"/>
    <w:rsid w:val="001C4BE3"/>
    <w:rsid w:val="001C596A"/>
    <w:rsid w:val="001C67E3"/>
    <w:rsid w:val="001C6948"/>
    <w:rsid w:val="001C7162"/>
    <w:rsid w:val="001C7276"/>
    <w:rsid w:val="001C7678"/>
    <w:rsid w:val="001D076E"/>
    <w:rsid w:val="001D1418"/>
    <w:rsid w:val="001D222B"/>
    <w:rsid w:val="001D2817"/>
    <w:rsid w:val="001D2B94"/>
    <w:rsid w:val="001D2FE6"/>
    <w:rsid w:val="001D339D"/>
    <w:rsid w:val="001D47B0"/>
    <w:rsid w:val="001D5D53"/>
    <w:rsid w:val="001D5D67"/>
    <w:rsid w:val="001D5F49"/>
    <w:rsid w:val="001D7A3B"/>
    <w:rsid w:val="001D7CA5"/>
    <w:rsid w:val="001E0230"/>
    <w:rsid w:val="001E1707"/>
    <w:rsid w:val="001E2094"/>
    <w:rsid w:val="001E27F0"/>
    <w:rsid w:val="001E3109"/>
    <w:rsid w:val="001E3AE0"/>
    <w:rsid w:val="001E4859"/>
    <w:rsid w:val="001E57C2"/>
    <w:rsid w:val="001E5F16"/>
    <w:rsid w:val="001E6710"/>
    <w:rsid w:val="001E7129"/>
    <w:rsid w:val="001E718C"/>
    <w:rsid w:val="001E7A0F"/>
    <w:rsid w:val="001F0914"/>
    <w:rsid w:val="001F2303"/>
    <w:rsid w:val="001F2C8F"/>
    <w:rsid w:val="001F309D"/>
    <w:rsid w:val="001F36C3"/>
    <w:rsid w:val="001F4B6E"/>
    <w:rsid w:val="001F5695"/>
    <w:rsid w:val="001F5CF4"/>
    <w:rsid w:val="001F5F5D"/>
    <w:rsid w:val="001F66AF"/>
    <w:rsid w:val="00200349"/>
    <w:rsid w:val="002009EF"/>
    <w:rsid w:val="002011E5"/>
    <w:rsid w:val="002012B0"/>
    <w:rsid w:val="00202FD7"/>
    <w:rsid w:val="0020339D"/>
    <w:rsid w:val="0020353C"/>
    <w:rsid w:val="00203845"/>
    <w:rsid w:val="00203CBD"/>
    <w:rsid w:val="002062F9"/>
    <w:rsid w:val="00207129"/>
    <w:rsid w:val="00207C10"/>
    <w:rsid w:val="002109EE"/>
    <w:rsid w:val="00210A39"/>
    <w:rsid w:val="0021182D"/>
    <w:rsid w:val="00211D72"/>
    <w:rsid w:val="002124DB"/>
    <w:rsid w:val="00213196"/>
    <w:rsid w:val="0021364B"/>
    <w:rsid w:val="00214638"/>
    <w:rsid w:val="002157F7"/>
    <w:rsid w:val="00215E31"/>
    <w:rsid w:val="002165A1"/>
    <w:rsid w:val="0021664A"/>
    <w:rsid w:val="00217C29"/>
    <w:rsid w:val="00217CE9"/>
    <w:rsid w:val="0022117F"/>
    <w:rsid w:val="00221BF7"/>
    <w:rsid w:val="00221DCF"/>
    <w:rsid w:val="002236FF"/>
    <w:rsid w:val="0022565D"/>
    <w:rsid w:val="00225676"/>
    <w:rsid w:val="0022567F"/>
    <w:rsid w:val="00225761"/>
    <w:rsid w:val="00226314"/>
    <w:rsid w:val="0022659C"/>
    <w:rsid w:val="00226D68"/>
    <w:rsid w:val="00226F45"/>
    <w:rsid w:val="00231EB9"/>
    <w:rsid w:val="002320ED"/>
    <w:rsid w:val="00232995"/>
    <w:rsid w:val="0023346A"/>
    <w:rsid w:val="002334DA"/>
    <w:rsid w:val="00233DCB"/>
    <w:rsid w:val="00234050"/>
    <w:rsid w:val="00234697"/>
    <w:rsid w:val="00235239"/>
    <w:rsid w:val="00235A16"/>
    <w:rsid w:val="00235CAB"/>
    <w:rsid w:val="00236002"/>
    <w:rsid w:val="00236248"/>
    <w:rsid w:val="002425DF"/>
    <w:rsid w:val="00242C60"/>
    <w:rsid w:val="002433B8"/>
    <w:rsid w:val="00244DFB"/>
    <w:rsid w:val="00245125"/>
    <w:rsid w:val="00245F95"/>
    <w:rsid w:val="00246249"/>
    <w:rsid w:val="0025001D"/>
    <w:rsid w:val="002508E0"/>
    <w:rsid w:val="00251E32"/>
    <w:rsid w:val="00252C9C"/>
    <w:rsid w:val="002537CF"/>
    <w:rsid w:val="00253864"/>
    <w:rsid w:val="002548EF"/>
    <w:rsid w:val="00254C41"/>
    <w:rsid w:val="00255682"/>
    <w:rsid w:val="00257FB7"/>
    <w:rsid w:val="00260284"/>
    <w:rsid w:val="002604C1"/>
    <w:rsid w:val="00260654"/>
    <w:rsid w:val="00260D97"/>
    <w:rsid w:val="002619D5"/>
    <w:rsid w:val="00262A1C"/>
    <w:rsid w:val="00262AF4"/>
    <w:rsid w:val="00262BF2"/>
    <w:rsid w:val="002644DE"/>
    <w:rsid w:val="00264F67"/>
    <w:rsid w:val="002650BD"/>
    <w:rsid w:val="00265F6A"/>
    <w:rsid w:val="00266959"/>
    <w:rsid w:val="00266E31"/>
    <w:rsid w:val="00266EB9"/>
    <w:rsid w:val="00267106"/>
    <w:rsid w:val="00267969"/>
    <w:rsid w:val="00267B4E"/>
    <w:rsid w:val="00267C11"/>
    <w:rsid w:val="00267E69"/>
    <w:rsid w:val="002704C9"/>
    <w:rsid w:val="00270A65"/>
    <w:rsid w:val="00270C82"/>
    <w:rsid w:val="00270E6F"/>
    <w:rsid w:val="00270EF9"/>
    <w:rsid w:val="00273D77"/>
    <w:rsid w:val="00274E75"/>
    <w:rsid w:val="00275013"/>
    <w:rsid w:val="0027561F"/>
    <w:rsid w:val="0027701A"/>
    <w:rsid w:val="00277426"/>
    <w:rsid w:val="0027754C"/>
    <w:rsid w:val="00280DA8"/>
    <w:rsid w:val="002810DD"/>
    <w:rsid w:val="00281195"/>
    <w:rsid w:val="002815B3"/>
    <w:rsid w:val="00282541"/>
    <w:rsid w:val="00282778"/>
    <w:rsid w:val="00282B71"/>
    <w:rsid w:val="00283878"/>
    <w:rsid w:val="00283F5B"/>
    <w:rsid w:val="002851FC"/>
    <w:rsid w:val="002854F5"/>
    <w:rsid w:val="00285935"/>
    <w:rsid w:val="00292BD8"/>
    <w:rsid w:val="00292C6E"/>
    <w:rsid w:val="00292D56"/>
    <w:rsid w:val="00292D9F"/>
    <w:rsid w:val="00293480"/>
    <w:rsid w:val="00293A04"/>
    <w:rsid w:val="00293ACA"/>
    <w:rsid w:val="00294B5B"/>
    <w:rsid w:val="00294DA3"/>
    <w:rsid w:val="00296427"/>
    <w:rsid w:val="00296E29"/>
    <w:rsid w:val="00297188"/>
    <w:rsid w:val="00297A5E"/>
    <w:rsid w:val="00297F65"/>
    <w:rsid w:val="002A0783"/>
    <w:rsid w:val="002A1A50"/>
    <w:rsid w:val="002A2326"/>
    <w:rsid w:val="002A28DC"/>
    <w:rsid w:val="002A3A88"/>
    <w:rsid w:val="002A47C5"/>
    <w:rsid w:val="002A4FD7"/>
    <w:rsid w:val="002A53DE"/>
    <w:rsid w:val="002A5A87"/>
    <w:rsid w:val="002A5C32"/>
    <w:rsid w:val="002A5E91"/>
    <w:rsid w:val="002A74D1"/>
    <w:rsid w:val="002A7CED"/>
    <w:rsid w:val="002B1D97"/>
    <w:rsid w:val="002B1EF2"/>
    <w:rsid w:val="002B1FE4"/>
    <w:rsid w:val="002B25C5"/>
    <w:rsid w:val="002B302C"/>
    <w:rsid w:val="002B354F"/>
    <w:rsid w:val="002B396C"/>
    <w:rsid w:val="002B3ABA"/>
    <w:rsid w:val="002B4BA3"/>
    <w:rsid w:val="002B69D8"/>
    <w:rsid w:val="002B6DBC"/>
    <w:rsid w:val="002B71C4"/>
    <w:rsid w:val="002B7E14"/>
    <w:rsid w:val="002B7F22"/>
    <w:rsid w:val="002C02A1"/>
    <w:rsid w:val="002C066E"/>
    <w:rsid w:val="002C0F81"/>
    <w:rsid w:val="002C10C1"/>
    <w:rsid w:val="002C1141"/>
    <w:rsid w:val="002C1FCA"/>
    <w:rsid w:val="002C207E"/>
    <w:rsid w:val="002C2453"/>
    <w:rsid w:val="002C24D1"/>
    <w:rsid w:val="002C2C42"/>
    <w:rsid w:val="002C3BD5"/>
    <w:rsid w:val="002C4FE6"/>
    <w:rsid w:val="002C670E"/>
    <w:rsid w:val="002C6775"/>
    <w:rsid w:val="002C77E0"/>
    <w:rsid w:val="002C7E33"/>
    <w:rsid w:val="002D1115"/>
    <w:rsid w:val="002D113F"/>
    <w:rsid w:val="002D322C"/>
    <w:rsid w:val="002D5108"/>
    <w:rsid w:val="002D582F"/>
    <w:rsid w:val="002D5B5D"/>
    <w:rsid w:val="002D7959"/>
    <w:rsid w:val="002D7A95"/>
    <w:rsid w:val="002E076D"/>
    <w:rsid w:val="002E309E"/>
    <w:rsid w:val="002E32A6"/>
    <w:rsid w:val="002E4E0D"/>
    <w:rsid w:val="002E4F64"/>
    <w:rsid w:val="002E5172"/>
    <w:rsid w:val="002E55E2"/>
    <w:rsid w:val="002E6306"/>
    <w:rsid w:val="002E7891"/>
    <w:rsid w:val="002E7967"/>
    <w:rsid w:val="002F08E2"/>
    <w:rsid w:val="002F1616"/>
    <w:rsid w:val="002F2660"/>
    <w:rsid w:val="002F2CD8"/>
    <w:rsid w:val="002F3110"/>
    <w:rsid w:val="002F37BF"/>
    <w:rsid w:val="002F3F2F"/>
    <w:rsid w:val="002F4F34"/>
    <w:rsid w:val="002F6114"/>
    <w:rsid w:val="002F6266"/>
    <w:rsid w:val="002F6408"/>
    <w:rsid w:val="002F6F65"/>
    <w:rsid w:val="002F70EA"/>
    <w:rsid w:val="002F77E0"/>
    <w:rsid w:val="002F7ABE"/>
    <w:rsid w:val="002F7DFB"/>
    <w:rsid w:val="0030049F"/>
    <w:rsid w:val="00300727"/>
    <w:rsid w:val="00301A4B"/>
    <w:rsid w:val="003027DB"/>
    <w:rsid w:val="003033B3"/>
    <w:rsid w:val="00303930"/>
    <w:rsid w:val="00304834"/>
    <w:rsid w:val="003048A4"/>
    <w:rsid w:val="00305AFE"/>
    <w:rsid w:val="00310CE5"/>
    <w:rsid w:val="00310FEC"/>
    <w:rsid w:val="00311574"/>
    <w:rsid w:val="00311BCB"/>
    <w:rsid w:val="00311BF2"/>
    <w:rsid w:val="003126AC"/>
    <w:rsid w:val="003140EB"/>
    <w:rsid w:val="0031458E"/>
    <w:rsid w:val="00314A1B"/>
    <w:rsid w:val="00314ACE"/>
    <w:rsid w:val="003152A3"/>
    <w:rsid w:val="0031566C"/>
    <w:rsid w:val="00315FB5"/>
    <w:rsid w:val="00316C88"/>
    <w:rsid w:val="00316D3A"/>
    <w:rsid w:val="003201CF"/>
    <w:rsid w:val="0032077F"/>
    <w:rsid w:val="003214E0"/>
    <w:rsid w:val="0032285C"/>
    <w:rsid w:val="00325029"/>
    <w:rsid w:val="00326D72"/>
    <w:rsid w:val="003271E9"/>
    <w:rsid w:val="00330936"/>
    <w:rsid w:val="00330D65"/>
    <w:rsid w:val="00331751"/>
    <w:rsid w:val="00331CC9"/>
    <w:rsid w:val="0033234A"/>
    <w:rsid w:val="00332666"/>
    <w:rsid w:val="0033297A"/>
    <w:rsid w:val="00332C61"/>
    <w:rsid w:val="00332CDC"/>
    <w:rsid w:val="00332F3B"/>
    <w:rsid w:val="00333AF5"/>
    <w:rsid w:val="00333CEA"/>
    <w:rsid w:val="0033455B"/>
    <w:rsid w:val="00334725"/>
    <w:rsid w:val="00335633"/>
    <w:rsid w:val="0033641E"/>
    <w:rsid w:val="00340F43"/>
    <w:rsid w:val="00341D82"/>
    <w:rsid w:val="003420E1"/>
    <w:rsid w:val="00342A10"/>
    <w:rsid w:val="00342AB8"/>
    <w:rsid w:val="00342F18"/>
    <w:rsid w:val="003443AB"/>
    <w:rsid w:val="003449EF"/>
    <w:rsid w:val="00346068"/>
    <w:rsid w:val="00346717"/>
    <w:rsid w:val="00346CFA"/>
    <w:rsid w:val="0034712F"/>
    <w:rsid w:val="00347222"/>
    <w:rsid w:val="0034726B"/>
    <w:rsid w:val="0034750B"/>
    <w:rsid w:val="00347C1C"/>
    <w:rsid w:val="00347E62"/>
    <w:rsid w:val="00350A5A"/>
    <w:rsid w:val="00351157"/>
    <w:rsid w:val="00351A86"/>
    <w:rsid w:val="00352BDB"/>
    <w:rsid w:val="003547BC"/>
    <w:rsid w:val="003553C3"/>
    <w:rsid w:val="0035570A"/>
    <w:rsid w:val="003558FC"/>
    <w:rsid w:val="00355A8F"/>
    <w:rsid w:val="003569DA"/>
    <w:rsid w:val="0035744A"/>
    <w:rsid w:val="00357EED"/>
    <w:rsid w:val="00361631"/>
    <w:rsid w:val="00361C49"/>
    <w:rsid w:val="00361E73"/>
    <w:rsid w:val="0036278F"/>
    <w:rsid w:val="0036279C"/>
    <w:rsid w:val="003632A3"/>
    <w:rsid w:val="0036392C"/>
    <w:rsid w:val="00363F04"/>
    <w:rsid w:val="00363F5B"/>
    <w:rsid w:val="00365C73"/>
    <w:rsid w:val="00365D2C"/>
    <w:rsid w:val="00365EAA"/>
    <w:rsid w:val="00367D80"/>
    <w:rsid w:val="003725F2"/>
    <w:rsid w:val="00373307"/>
    <w:rsid w:val="0037395A"/>
    <w:rsid w:val="00374A5A"/>
    <w:rsid w:val="00374D25"/>
    <w:rsid w:val="0037563F"/>
    <w:rsid w:val="003761EE"/>
    <w:rsid w:val="00376C41"/>
    <w:rsid w:val="00381D85"/>
    <w:rsid w:val="00382C10"/>
    <w:rsid w:val="00383771"/>
    <w:rsid w:val="00383FC4"/>
    <w:rsid w:val="003859F1"/>
    <w:rsid w:val="00386DF8"/>
    <w:rsid w:val="003904C9"/>
    <w:rsid w:val="003908E0"/>
    <w:rsid w:val="0039139E"/>
    <w:rsid w:val="00391708"/>
    <w:rsid w:val="0039240B"/>
    <w:rsid w:val="00393A3A"/>
    <w:rsid w:val="00393D55"/>
    <w:rsid w:val="00394269"/>
    <w:rsid w:val="00394420"/>
    <w:rsid w:val="003948E5"/>
    <w:rsid w:val="003956A1"/>
    <w:rsid w:val="003A050E"/>
    <w:rsid w:val="003A1AB7"/>
    <w:rsid w:val="003A4301"/>
    <w:rsid w:val="003A43CA"/>
    <w:rsid w:val="003A4D2C"/>
    <w:rsid w:val="003A4F31"/>
    <w:rsid w:val="003A57EB"/>
    <w:rsid w:val="003A6FB8"/>
    <w:rsid w:val="003A702C"/>
    <w:rsid w:val="003A72AF"/>
    <w:rsid w:val="003A7725"/>
    <w:rsid w:val="003B02BE"/>
    <w:rsid w:val="003B0E80"/>
    <w:rsid w:val="003B187D"/>
    <w:rsid w:val="003B25B5"/>
    <w:rsid w:val="003B2AF9"/>
    <w:rsid w:val="003B2FFB"/>
    <w:rsid w:val="003B309B"/>
    <w:rsid w:val="003B33CA"/>
    <w:rsid w:val="003B3499"/>
    <w:rsid w:val="003B3839"/>
    <w:rsid w:val="003B3C8C"/>
    <w:rsid w:val="003B3EA7"/>
    <w:rsid w:val="003B4BA1"/>
    <w:rsid w:val="003B4C7C"/>
    <w:rsid w:val="003B5D89"/>
    <w:rsid w:val="003B62C3"/>
    <w:rsid w:val="003B64AC"/>
    <w:rsid w:val="003B70CF"/>
    <w:rsid w:val="003B7E53"/>
    <w:rsid w:val="003C07C4"/>
    <w:rsid w:val="003C0831"/>
    <w:rsid w:val="003C1FC2"/>
    <w:rsid w:val="003C31A7"/>
    <w:rsid w:val="003C3379"/>
    <w:rsid w:val="003C36CA"/>
    <w:rsid w:val="003C476B"/>
    <w:rsid w:val="003C5B83"/>
    <w:rsid w:val="003C5F26"/>
    <w:rsid w:val="003C6437"/>
    <w:rsid w:val="003C67C7"/>
    <w:rsid w:val="003C730B"/>
    <w:rsid w:val="003D0053"/>
    <w:rsid w:val="003D08A4"/>
    <w:rsid w:val="003D0A64"/>
    <w:rsid w:val="003D0DAF"/>
    <w:rsid w:val="003D17CB"/>
    <w:rsid w:val="003D2352"/>
    <w:rsid w:val="003D2C1F"/>
    <w:rsid w:val="003D345A"/>
    <w:rsid w:val="003D3662"/>
    <w:rsid w:val="003D3A81"/>
    <w:rsid w:val="003D43A6"/>
    <w:rsid w:val="003D46BE"/>
    <w:rsid w:val="003D5196"/>
    <w:rsid w:val="003D6E54"/>
    <w:rsid w:val="003D6F09"/>
    <w:rsid w:val="003E08FA"/>
    <w:rsid w:val="003E0D0C"/>
    <w:rsid w:val="003E1084"/>
    <w:rsid w:val="003E10EE"/>
    <w:rsid w:val="003E12B0"/>
    <w:rsid w:val="003E20E1"/>
    <w:rsid w:val="003E2DF0"/>
    <w:rsid w:val="003E2F17"/>
    <w:rsid w:val="003E362A"/>
    <w:rsid w:val="003E39DB"/>
    <w:rsid w:val="003E4D71"/>
    <w:rsid w:val="003E5D14"/>
    <w:rsid w:val="003E5EE8"/>
    <w:rsid w:val="003E74FB"/>
    <w:rsid w:val="003F0481"/>
    <w:rsid w:val="003F082A"/>
    <w:rsid w:val="003F1FBA"/>
    <w:rsid w:val="003F2003"/>
    <w:rsid w:val="003F297B"/>
    <w:rsid w:val="003F2B9C"/>
    <w:rsid w:val="003F2DDB"/>
    <w:rsid w:val="003F2E52"/>
    <w:rsid w:val="003F324F"/>
    <w:rsid w:val="003F3DD3"/>
    <w:rsid w:val="003F408C"/>
    <w:rsid w:val="003F472F"/>
    <w:rsid w:val="003F5701"/>
    <w:rsid w:val="003F58B1"/>
    <w:rsid w:val="003F5C50"/>
    <w:rsid w:val="003F5C66"/>
    <w:rsid w:val="003F6B9F"/>
    <w:rsid w:val="004001E9"/>
    <w:rsid w:val="00401E5D"/>
    <w:rsid w:val="00402D0E"/>
    <w:rsid w:val="00403215"/>
    <w:rsid w:val="00403A03"/>
    <w:rsid w:val="00404550"/>
    <w:rsid w:val="0040553A"/>
    <w:rsid w:val="00407593"/>
    <w:rsid w:val="0041043B"/>
    <w:rsid w:val="004109B4"/>
    <w:rsid w:val="00410C98"/>
    <w:rsid w:val="004126FE"/>
    <w:rsid w:val="0041403C"/>
    <w:rsid w:val="00414B4C"/>
    <w:rsid w:val="00414BBE"/>
    <w:rsid w:val="004154E2"/>
    <w:rsid w:val="00415D9E"/>
    <w:rsid w:val="004162D6"/>
    <w:rsid w:val="0041668D"/>
    <w:rsid w:val="00417E11"/>
    <w:rsid w:val="004217B4"/>
    <w:rsid w:val="00421E4E"/>
    <w:rsid w:val="004223EB"/>
    <w:rsid w:val="0042263A"/>
    <w:rsid w:val="00422E09"/>
    <w:rsid w:val="0042445D"/>
    <w:rsid w:val="00424530"/>
    <w:rsid w:val="00424CF7"/>
    <w:rsid w:val="0042565F"/>
    <w:rsid w:val="00426586"/>
    <w:rsid w:val="00430190"/>
    <w:rsid w:val="00430CF6"/>
    <w:rsid w:val="00432364"/>
    <w:rsid w:val="00432707"/>
    <w:rsid w:val="00433677"/>
    <w:rsid w:val="00433A5D"/>
    <w:rsid w:val="00433B37"/>
    <w:rsid w:val="004343AA"/>
    <w:rsid w:val="004346A1"/>
    <w:rsid w:val="00434973"/>
    <w:rsid w:val="004359FF"/>
    <w:rsid w:val="00435AD2"/>
    <w:rsid w:val="00435EE5"/>
    <w:rsid w:val="00435FB4"/>
    <w:rsid w:val="00436242"/>
    <w:rsid w:val="00436F3A"/>
    <w:rsid w:val="0043774C"/>
    <w:rsid w:val="00440862"/>
    <w:rsid w:val="00441219"/>
    <w:rsid w:val="00442865"/>
    <w:rsid w:val="00443385"/>
    <w:rsid w:val="004442B8"/>
    <w:rsid w:val="00444300"/>
    <w:rsid w:val="00445167"/>
    <w:rsid w:val="0044574A"/>
    <w:rsid w:val="00445EF2"/>
    <w:rsid w:val="004462D2"/>
    <w:rsid w:val="00446DD4"/>
    <w:rsid w:val="004471F5"/>
    <w:rsid w:val="00447258"/>
    <w:rsid w:val="00447903"/>
    <w:rsid w:val="00447BED"/>
    <w:rsid w:val="00447F55"/>
    <w:rsid w:val="00450021"/>
    <w:rsid w:val="004500A7"/>
    <w:rsid w:val="00450A88"/>
    <w:rsid w:val="00451123"/>
    <w:rsid w:val="00451887"/>
    <w:rsid w:val="00451C0E"/>
    <w:rsid w:val="00452AC4"/>
    <w:rsid w:val="00452F92"/>
    <w:rsid w:val="004537FB"/>
    <w:rsid w:val="00455891"/>
    <w:rsid w:val="00456540"/>
    <w:rsid w:val="00456A1A"/>
    <w:rsid w:val="00457672"/>
    <w:rsid w:val="004605EB"/>
    <w:rsid w:val="00461353"/>
    <w:rsid w:val="00462299"/>
    <w:rsid w:val="00463395"/>
    <w:rsid w:val="00463E67"/>
    <w:rsid w:val="004640D3"/>
    <w:rsid w:val="00464175"/>
    <w:rsid w:val="0046618D"/>
    <w:rsid w:val="0046638B"/>
    <w:rsid w:val="00466EC6"/>
    <w:rsid w:val="00467DB1"/>
    <w:rsid w:val="00470321"/>
    <w:rsid w:val="00470F46"/>
    <w:rsid w:val="004719BE"/>
    <w:rsid w:val="00471C2F"/>
    <w:rsid w:val="004721AB"/>
    <w:rsid w:val="004729E7"/>
    <w:rsid w:val="00473C65"/>
    <w:rsid w:val="00474A9C"/>
    <w:rsid w:val="0047566D"/>
    <w:rsid w:val="00475E67"/>
    <w:rsid w:val="0048039D"/>
    <w:rsid w:val="00480935"/>
    <w:rsid w:val="00480961"/>
    <w:rsid w:val="00481382"/>
    <w:rsid w:val="004819B7"/>
    <w:rsid w:val="00483293"/>
    <w:rsid w:val="00483478"/>
    <w:rsid w:val="0048394F"/>
    <w:rsid w:val="004842E6"/>
    <w:rsid w:val="00485F6E"/>
    <w:rsid w:val="0048613E"/>
    <w:rsid w:val="00486168"/>
    <w:rsid w:val="004872D4"/>
    <w:rsid w:val="0048752A"/>
    <w:rsid w:val="0049064F"/>
    <w:rsid w:val="00490708"/>
    <w:rsid w:val="00490FAE"/>
    <w:rsid w:val="00492BC9"/>
    <w:rsid w:val="00492C1B"/>
    <w:rsid w:val="004939F4"/>
    <w:rsid w:val="00494E95"/>
    <w:rsid w:val="00495BA6"/>
    <w:rsid w:val="0049626E"/>
    <w:rsid w:val="00496D27"/>
    <w:rsid w:val="004979BF"/>
    <w:rsid w:val="004A006E"/>
    <w:rsid w:val="004A0222"/>
    <w:rsid w:val="004A12FE"/>
    <w:rsid w:val="004A23F1"/>
    <w:rsid w:val="004A3E99"/>
    <w:rsid w:val="004A4EE4"/>
    <w:rsid w:val="004A57A3"/>
    <w:rsid w:val="004A5D86"/>
    <w:rsid w:val="004A6AA0"/>
    <w:rsid w:val="004A6BDD"/>
    <w:rsid w:val="004A6F7B"/>
    <w:rsid w:val="004A7860"/>
    <w:rsid w:val="004B0041"/>
    <w:rsid w:val="004B0296"/>
    <w:rsid w:val="004B158B"/>
    <w:rsid w:val="004B1BC2"/>
    <w:rsid w:val="004B2DE8"/>
    <w:rsid w:val="004B2EE4"/>
    <w:rsid w:val="004B3C09"/>
    <w:rsid w:val="004B44B2"/>
    <w:rsid w:val="004B6080"/>
    <w:rsid w:val="004B637C"/>
    <w:rsid w:val="004B7E22"/>
    <w:rsid w:val="004B7FD6"/>
    <w:rsid w:val="004C0097"/>
    <w:rsid w:val="004C0258"/>
    <w:rsid w:val="004C08BB"/>
    <w:rsid w:val="004C12A7"/>
    <w:rsid w:val="004C1B1F"/>
    <w:rsid w:val="004C1D49"/>
    <w:rsid w:val="004C22A7"/>
    <w:rsid w:val="004C354E"/>
    <w:rsid w:val="004C35E9"/>
    <w:rsid w:val="004C365A"/>
    <w:rsid w:val="004C4256"/>
    <w:rsid w:val="004C7DD3"/>
    <w:rsid w:val="004D0274"/>
    <w:rsid w:val="004D030B"/>
    <w:rsid w:val="004D0C59"/>
    <w:rsid w:val="004D1C9B"/>
    <w:rsid w:val="004D2FF0"/>
    <w:rsid w:val="004D3E68"/>
    <w:rsid w:val="004D46B7"/>
    <w:rsid w:val="004D4A06"/>
    <w:rsid w:val="004D505B"/>
    <w:rsid w:val="004D5A85"/>
    <w:rsid w:val="004D7A1E"/>
    <w:rsid w:val="004D7EC2"/>
    <w:rsid w:val="004E13B4"/>
    <w:rsid w:val="004E1659"/>
    <w:rsid w:val="004E2044"/>
    <w:rsid w:val="004E2E3A"/>
    <w:rsid w:val="004E3158"/>
    <w:rsid w:val="004E4EDF"/>
    <w:rsid w:val="004E624A"/>
    <w:rsid w:val="004E6A38"/>
    <w:rsid w:val="004E6BA9"/>
    <w:rsid w:val="004E76BE"/>
    <w:rsid w:val="004F0CDE"/>
    <w:rsid w:val="004F159A"/>
    <w:rsid w:val="004F1954"/>
    <w:rsid w:val="004F390D"/>
    <w:rsid w:val="004F41D1"/>
    <w:rsid w:val="004F4C50"/>
    <w:rsid w:val="004F4D80"/>
    <w:rsid w:val="004F55F8"/>
    <w:rsid w:val="004F73BC"/>
    <w:rsid w:val="00501B65"/>
    <w:rsid w:val="00501C11"/>
    <w:rsid w:val="0050289B"/>
    <w:rsid w:val="00502E2B"/>
    <w:rsid w:val="005036CB"/>
    <w:rsid w:val="00503ECE"/>
    <w:rsid w:val="00504AD4"/>
    <w:rsid w:val="005050AE"/>
    <w:rsid w:val="00505D53"/>
    <w:rsid w:val="00510CE8"/>
    <w:rsid w:val="00512AAC"/>
    <w:rsid w:val="005147BA"/>
    <w:rsid w:val="00514917"/>
    <w:rsid w:val="005150FF"/>
    <w:rsid w:val="005151AC"/>
    <w:rsid w:val="0051612C"/>
    <w:rsid w:val="00516F8B"/>
    <w:rsid w:val="00517F1D"/>
    <w:rsid w:val="00520DFD"/>
    <w:rsid w:val="00521CC5"/>
    <w:rsid w:val="00521CEF"/>
    <w:rsid w:val="00522430"/>
    <w:rsid w:val="0052362E"/>
    <w:rsid w:val="00523653"/>
    <w:rsid w:val="00523FCB"/>
    <w:rsid w:val="00525223"/>
    <w:rsid w:val="00525587"/>
    <w:rsid w:val="00525A8C"/>
    <w:rsid w:val="00526BD1"/>
    <w:rsid w:val="0052755A"/>
    <w:rsid w:val="0053008B"/>
    <w:rsid w:val="00532A5A"/>
    <w:rsid w:val="00532EB0"/>
    <w:rsid w:val="0053337B"/>
    <w:rsid w:val="00533A8E"/>
    <w:rsid w:val="005341B6"/>
    <w:rsid w:val="005355A9"/>
    <w:rsid w:val="00535967"/>
    <w:rsid w:val="00535C4B"/>
    <w:rsid w:val="00537044"/>
    <w:rsid w:val="00537E8A"/>
    <w:rsid w:val="00541C09"/>
    <w:rsid w:val="005433AE"/>
    <w:rsid w:val="005439A2"/>
    <w:rsid w:val="00544488"/>
    <w:rsid w:val="00544868"/>
    <w:rsid w:val="00544D83"/>
    <w:rsid w:val="00545309"/>
    <w:rsid w:val="005456B5"/>
    <w:rsid w:val="00545C6B"/>
    <w:rsid w:val="00547227"/>
    <w:rsid w:val="00547408"/>
    <w:rsid w:val="005477CE"/>
    <w:rsid w:val="0055018A"/>
    <w:rsid w:val="00552460"/>
    <w:rsid w:val="00552C7B"/>
    <w:rsid w:val="0055303B"/>
    <w:rsid w:val="005549A1"/>
    <w:rsid w:val="0055558D"/>
    <w:rsid w:val="005555CD"/>
    <w:rsid w:val="00556209"/>
    <w:rsid w:val="005565DC"/>
    <w:rsid w:val="0055690E"/>
    <w:rsid w:val="00560C3A"/>
    <w:rsid w:val="005628E5"/>
    <w:rsid w:val="00563BDF"/>
    <w:rsid w:val="00565CE7"/>
    <w:rsid w:val="005667FB"/>
    <w:rsid w:val="00566EB3"/>
    <w:rsid w:val="0056722B"/>
    <w:rsid w:val="005675E3"/>
    <w:rsid w:val="00567C57"/>
    <w:rsid w:val="00570FFF"/>
    <w:rsid w:val="00571043"/>
    <w:rsid w:val="00571B23"/>
    <w:rsid w:val="00571EA0"/>
    <w:rsid w:val="00572828"/>
    <w:rsid w:val="005730FF"/>
    <w:rsid w:val="0057475E"/>
    <w:rsid w:val="0057671F"/>
    <w:rsid w:val="00577336"/>
    <w:rsid w:val="005778E4"/>
    <w:rsid w:val="005800A3"/>
    <w:rsid w:val="00580449"/>
    <w:rsid w:val="005805C9"/>
    <w:rsid w:val="005811A7"/>
    <w:rsid w:val="005812A0"/>
    <w:rsid w:val="0058146F"/>
    <w:rsid w:val="005823CF"/>
    <w:rsid w:val="005823F5"/>
    <w:rsid w:val="00583566"/>
    <w:rsid w:val="00584165"/>
    <w:rsid w:val="0058483B"/>
    <w:rsid w:val="00585598"/>
    <w:rsid w:val="00585826"/>
    <w:rsid w:val="005865E1"/>
    <w:rsid w:val="005871A6"/>
    <w:rsid w:val="005878CB"/>
    <w:rsid w:val="005910CE"/>
    <w:rsid w:val="0059167D"/>
    <w:rsid w:val="00591906"/>
    <w:rsid w:val="005920CA"/>
    <w:rsid w:val="005922EC"/>
    <w:rsid w:val="00592CBC"/>
    <w:rsid w:val="005936D8"/>
    <w:rsid w:val="00596C47"/>
    <w:rsid w:val="00596C9C"/>
    <w:rsid w:val="00596EA7"/>
    <w:rsid w:val="00596F3C"/>
    <w:rsid w:val="00597617"/>
    <w:rsid w:val="005A0FD9"/>
    <w:rsid w:val="005A1148"/>
    <w:rsid w:val="005A3EA6"/>
    <w:rsid w:val="005A4202"/>
    <w:rsid w:val="005A572F"/>
    <w:rsid w:val="005A59F3"/>
    <w:rsid w:val="005A6B8E"/>
    <w:rsid w:val="005A71F4"/>
    <w:rsid w:val="005B00D3"/>
    <w:rsid w:val="005B0F6E"/>
    <w:rsid w:val="005B1D51"/>
    <w:rsid w:val="005B2D53"/>
    <w:rsid w:val="005B2D62"/>
    <w:rsid w:val="005B4519"/>
    <w:rsid w:val="005B59B4"/>
    <w:rsid w:val="005B5A9E"/>
    <w:rsid w:val="005B7A4E"/>
    <w:rsid w:val="005C074C"/>
    <w:rsid w:val="005C0BB7"/>
    <w:rsid w:val="005C1E47"/>
    <w:rsid w:val="005C29A0"/>
    <w:rsid w:val="005C2AA5"/>
    <w:rsid w:val="005C2BB4"/>
    <w:rsid w:val="005C44E5"/>
    <w:rsid w:val="005C47D8"/>
    <w:rsid w:val="005C4AD7"/>
    <w:rsid w:val="005C5CE9"/>
    <w:rsid w:val="005D0075"/>
    <w:rsid w:val="005D2055"/>
    <w:rsid w:val="005D251E"/>
    <w:rsid w:val="005D257E"/>
    <w:rsid w:val="005D3687"/>
    <w:rsid w:val="005D3E6B"/>
    <w:rsid w:val="005D4A1E"/>
    <w:rsid w:val="005D68FC"/>
    <w:rsid w:val="005D6B01"/>
    <w:rsid w:val="005D6BD6"/>
    <w:rsid w:val="005D6DFD"/>
    <w:rsid w:val="005D74D3"/>
    <w:rsid w:val="005D7946"/>
    <w:rsid w:val="005D7A30"/>
    <w:rsid w:val="005E0907"/>
    <w:rsid w:val="005E1225"/>
    <w:rsid w:val="005E162B"/>
    <w:rsid w:val="005E188F"/>
    <w:rsid w:val="005E48A9"/>
    <w:rsid w:val="005E4D44"/>
    <w:rsid w:val="005E534D"/>
    <w:rsid w:val="005E6594"/>
    <w:rsid w:val="005E65A7"/>
    <w:rsid w:val="005E6C16"/>
    <w:rsid w:val="005E6D76"/>
    <w:rsid w:val="005E71C3"/>
    <w:rsid w:val="005E7D19"/>
    <w:rsid w:val="005E7D4C"/>
    <w:rsid w:val="005F0261"/>
    <w:rsid w:val="005F0263"/>
    <w:rsid w:val="005F02A4"/>
    <w:rsid w:val="005F0548"/>
    <w:rsid w:val="005F1B29"/>
    <w:rsid w:val="005F2C87"/>
    <w:rsid w:val="005F3A3D"/>
    <w:rsid w:val="005F3BCA"/>
    <w:rsid w:val="005F4A4E"/>
    <w:rsid w:val="005F5067"/>
    <w:rsid w:val="005F5C82"/>
    <w:rsid w:val="005F6B04"/>
    <w:rsid w:val="0060029F"/>
    <w:rsid w:val="00602225"/>
    <w:rsid w:val="0060282E"/>
    <w:rsid w:val="006033EA"/>
    <w:rsid w:val="00603F52"/>
    <w:rsid w:val="00604ED9"/>
    <w:rsid w:val="00607B67"/>
    <w:rsid w:val="00607C75"/>
    <w:rsid w:val="00607D25"/>
    <w:rsid w:val="006107E0"/>
    <w:rsid w:val="0061245D"/>
    <w:rsid w:val="00614F12"/>
    <w:rsid w:val="006156DB"/>
    <w:rsid w:val="00615C31"/>
    <w:rsid w:val="00616350"/>
    <w:rsid w:val="00616DB7"/>
    <w:rsid w:val="00621D4B"/>
    <w:rsid w:val="0062380B"/>
    <w:rsid w:val="00623A27"/>
    <w:rsid w:val="00624383"/>
    <w:rsid w:val="00624B15"/>
    <w:rsid w:val="00624BB9"/>
    <w:rsid w:val="00624C0F"/>
    <w:rsid w:val="006252C6"/>
    <w:rsid w:val="00625AC5"/>
    <w:rsid w:val="0062683E"/>
    <w:rsid w:val="00626D09"/>
    <w:rsid w:val="00627A48"/>
    <w:rsid w:val="00631FF4"/>
    <w:rsid w:val="00632502"/>
    <w:rsid w:val="0063258A"/>
    <w:rsid w:val="0063268D"/>
    <w:rsid w:val="00632DB4"/>
    <w:rsid w:val="00632E02"/>
    <w:rsid w:val="00633084"/>
    <w:rsid w:val="00634338"/>
    <w:rsid w:val="00634772"/>
    <w:rsid w:val="00635276"/>
    <w:rsid w:val="006358BB"/>
    <w:rsid w:val="00636B47"/>
    <w:rsid w:val="006403CB"/>
    <w:rsid w:val="00641D4D"/>
    <w:rsid w:val="00642DF1"/>
    <w:rsid w:val="00643D2B"/>
    <w:rsid w:val="00644FFC"/>
    <w:rsid w:val="00645EF6"/>
    <w:rsid w:val="00646186"/>
    <w:rsid w:val="006468C2"/>
    <w:rsid w:val="0064709B"/>
    <w:rsid w:val="00647B89"/>
    <w:rsid w:val="0065006A"/>
    <w:rsid w:val="0065006B"/>
    <w:rsid w:val="00650601"/>
    <w:rsid w:val="00651006"/>
    <w:rsid w:val="00651E51"/>
    <w:rsid w:val="00652674"/>
    <w:rsid w:val="00653A50"/>
    <w:rsid w:val="00654238"/>
    <w:rsid w:val="00654DDF"/>
    <w:rsid w:val="00655A72"/>
    <w:rsid w:val="00655E97"/>
    <w:rsid w:val="006561F6"/>
    <w:rsid w:val="006565AF"/>
    <w:rsid w:val="00657BB7"/>
    <w:rsid w:val="00657C8E"/>
    <w:rsid w:val="00657F2F"/>
    <w:rsid w:val="00660952"/>
    <w:rsid w:val="00660960"/>
    <w:rsid w:val="006616B5"/>
    <w:rsid w:val="00661D9E"/>
    <w:rsid w:val="00662250"/>
    <w:rsid w:val="00662586"/>
    <w:rsid w:val="006632EA"/>
    <w:rsid w:val="006641C3"/>
    <w:rsid w:val="0066443F"/>
    <w:rsid w:val="00664B58"/>
    <w:rsid w:val="0066512C"/>
    <w:rsid w:val="00666776"/>
    <w:rsid w:val="006676BC"/>
    <w:rsid w:val="00667F20"/>
    <w:rsid w:val="0067009D"/>
    <w:rsid w:val="00670971"/>
    <w:rsid w:val="00670DFF"/>
    <w:rsid w:val="0067119B"/>
    <w:rsid w:val="0067175A"/>
    <w:rsid w:val="00672FA6"/>
    <w:rsid w:val="006745A5"/>
    <w:rsid w:val="00674E08"/>
    <w:rsid w:val="006762D5"/>
    <w:rsid w:val="006803ED"/>
    <w:rsid w:val="0068110A"/>
    <w:rsid w:val="0068245F"/>
    <w:rsid w:val="00683221"/>
    <w:rsid w:val="006838A4"/>
    <w:rsid w:val="006839FF"/>
    <w:rsid w:val="00683CAA"/>
    <w:rsid w:val="006855F2"/>
    <w:rsid w:val="00685C0C"/>
    <w:rsid w:val="006861BB"/>
    <w:rsid w:val="00687400"/>
    <w:rsid w:val="00687448"/>
    <w:rsid w:val="00690248"/>
    <w:rsid w:val="00690609"/>
    <w:rsid w:val="00690A52"/>
    <w:rsid w:val="00690F98"/>
    <w:rsid w:val="006913E0"/>
    <w:rsid w:val="00691587"/>
    <w:rsid w:val="006926BB"/>
    <w:rsid w:val="00692723"/>
    <w:rsid w:val="00692910"/>
    <w:rsid w:val="00693CD5"/>
    <w:rsid w:val="00693FB0"/>
    <w:rsid w:val="00694276"/>
    <w:rsid w:val="00694751"/>
    <w:rsid w:val="006949AD"/>
    <w:rsid w:val="00695630"/>
    <w:rsid w:val="00695FA9"/>
    <w:rsid w:val="00696019"/>
    <w:rsid w:val="006975D6"/>
    <w:rsid w:val="006979B9"/>
    <w:rsid w:val="00697F49"/>
    <w:rsid w:val="006A1760"/>
    <w:rsid w:val="006A211D"/>
    <w:rsid w:val="006A346C"/>
    <w:rsid w:val="006A3507"/>
    <w:rsid w:val="006A3746"/>
    <w:rsid w:val="006A3BB4"/>
    <w:rsid w:val="006A3F81"/>
    <w:rsid w:val="006A448A"/>
    <w:rsid w:val="006A4636"/>
    <w:rsid w:val="006A467B"/>
    <w:rsid w:val="006A4D98"/>
    <w:rsid w:val="006A516A"/>
    <w:rsid w:val="006A53FB"/>
    <w:rsid w:val="006A55D6"/>
    <w:rsid w:val="006A600E"/>
    <w:rsid w:val="006A6258"/>
    <w:rsid w:val="006A6C78"/>
    <w:rsid w:val="006A761E"/>
    <w:rsid w:val="006A7656"/>
    <w:rsid w:val="006A7ED1"/>
    <w:rsid w:val="006B05BF"/>
    <w:rsid w:val="006B2758"/>
    <w:rsid w:val="006B29CD"/>
    <w:rsid w:val="006B2BA1"/>
    <w:rsid w:val="006B4794"/>
    <w:rsid w:val="006B5275"/>
    <w:rsid w:val="006B5C1F"/>
    <w:rsid w:val="006C16C8"/>
    <w:rsid w:val="006C1DB7"/>
    <w:rsid w:val="006C2C8F"/>
    <w:rsid w:val="006C2CA2"/>
    <w:rsid w:val="006C2E64"/>
    <w:rsid w:val="006C4AE6"/>
    <w:rsid w:val="006C5F9C"/>
    <w:rsid w:val="006D0808"/>
    <w:rsid w:val="006D0A15"/>
    <w:rsid w:val="006D2911"/>
    <w:rsid w:val="006D2AF9"/>
    <w:rsid w:val="006D36D4"/>
    <w:rsid w:val="006D3FE8"/>
    <w:rsid w:val="006D6654"/>
    <w:rsid w:val="006D6B81"/>
    <w:rsid w:val="006D6DF5"/>
    <w:rsid w:val="006E00F7"/>
    <w:rsid w:val="006E02FA"/>
    <w:rsid w:val="006E04EA"/>
    <w:rsid w:val="006E137C"/>
    <w:rsid w:val="006E1470"/>
    <w:rsid w:val="006E2098"/>
    <w:rsid w:val="006E22C2"/>
    <w:rsid w:val="006E2F60"/>
    <w:rsid w:val="006E31DB"/>
    <w:rsid w:val="006E340C"/>
    <w:rsid w:val="006E355D"/>
    <w:rsid w:val="006E4388"/>
    <w:rsid w:val="006E5761"/>
    <w:rsid w:val="006E773F"/>
    <w:rsid w:val="006F030C"/>
    <w:rsid w:val="006F130B"/>
    <w:rsid w:val="006F247D"/>
    <w:rsid w:val="006F3626"/>
    <w:rsid w:val="006F3D72"/>
    <w:rsid w:val="006F3E51"/>
    <w:rsid w:val="006F4090"/>
    <w:rsid w:val="006F466C"/>
    <w:rsid w:val="006F509A"/>
    <w:rsid w:val="006F568B"/>
    <w:rsid w:val="006F6512"/>
    <w:rsid w:val="00701140"/>
    <w:rsid w:val="007011E5"/>
    <w:rsid w:val="0070125B"/>
    <w:rsid w:val="0070247E"/>
    <w:rsid w:val="00703E98"/>
    <w:rsid w:val="007046C1"/>
    <w:rsid w:val="0070512A"/>
    <w:rsid w:val="0070530F"/>
    <w:rsid w:val="00706989"/>
    <w:rsid w:val="00707729"/>
    <w:rsid w:val="007104EE"/>
    <w:rsid w:val="00710A61"/>
    <w:rsid w:val="00710FC5"/>
    <w:rsid w:val="00711490"/>
    <w:rsid w:val="00711498"/>
    <w:rsid w:val="00712798"/>
    <w:rsid w:val="007129CB"/>
    <w:rsid w:val="007129ED"/>
    <w:rsid w:val="00712C17"/>
    <w:rsid w:val="007133FA"/>
    <w:rsid w:val="007135B8"/>
    <w:rsid w:val="00713B1D"/>
    <w:rsid w:val="0071480D"/>
    <w:rsid w:val="00715ACE"/>
    <w:rsid w:val="0071742A"/>
    <w:rsid w:val="00717B20"/>
    <w:rsid w:val="00717D5E"/>
    <w:rsid w:val="007212A1"/>
    <w:rsid w:val="00723304"/>
    <w:rsid w:val="0072443D"/>
    <w:rsid w:val="00724E43"/>
    <w:rsid w:val="0072533B"/>
    <w:rsid w:val="00725AD4"/>
    <w:rsid w:val="00725F16"/>
    <w:rsid w:val="00726498"/>
    <w:rsid w:val="0072680D"/>
    <w:rsid w:val="00726F52"/>
    <w:rsid w:val="0072794F"/>
    <w:rsid w:val="00727A90"/>
    <w:rsid w:val="0073253F"/>
    <w:rsid w:val="007336AA"/>
    <w:rsid w:val="00733E63"/>
    <w:rsid w:val="00734564"/>
    <w:rsid w:val="00736533"/>
    <w:rsid w:val="00736809"/>
    <w:rsid w:val="00737824"/>
    <w:rsid w:val="00737F01"/>
    <w:rsid w:val="00740E2F"/>
    <w:rsid w:val="00740E49"/>
    <w:rsid w:val="00741415"/>
    <w:rsid w:val="00741B14"/>
    <w:rsid w:val="007427F2"/>
    <w:rsid w:val="007429B1"/>
    <w:rsid w:val="00743366"/>
    <w:rsid w:val="00743D1A"/>
    <w:rsid w:val="00743E77"/>
    <w:rsid w:val="007443E6"/>
    <w:rsid w:val="00744FCA"/>
    <w:rsid w:val="00745A06"/>
    <w:rsid w:val="00745BC4"/>
    <w:rsid w:val="0074721A"/>
    <w:rsid w:val="00747B4A"/>
    <w:rsid w:val="00747FAC"/>
    <w:rsid w:val="00750ED1"/>
    <w:rsid w:val="007510AA"/>
    <w:rsid w:val="00751510"/>
    <w:rsid w:val="00751A78"/>
    <w:rsid w:val="0075202B"/>
    <w:rsid w:val="00752BAA"/>
    <w:rsid w:val="007532A4"/>
    <w:rsid w:val="0075389D"/>
    <w:rsid w:val="00754860"/>
    <w:rsid w:val="00755067"/>
    <w:rsid w:val="007552E3"/>
    <w:rsid w:val="00757B6E"/>
    <w:rsid w:val="007604DE"/>
    <w:rsid w:val="00760FC2"/>
    <w:rsid w:val="0076106B"/>
    <w:rsid w:val="007613A7"/>
    <w:rsid w:val="00762002"/>
    <w:rsid w:val="00762836"/>
    <w:rsid w:val="00762CD8"/>
    <w:rsid w:val="0076301E"/>
    <w:rsid w:val="00763302"/>
    <w:rsid w:val="007633F0"/>
    <w:rsid w:val="00765530"/>
    <w:rsid w:val="0076621D"/>
    <w:rsid w:val="007670E3"/>
    <w:rsid w:val="00767768"/>
    <w:rsid w:val="007678B0"/>
    <w:rsid w:val="00770217"/>
    <w:rsid w:val="007708A7"/>
    <w:rsid w:val="00770AB7"/>
    <w:rsid w:val="00770B5C"/>
    <w:rsid w:val="00771664"/>
    <w:rsid w:val="00772FEB"/>
    <w:rsid w:val="0077458D"/>
    <w:rsid w:val="00776679"/>
    <w:rsid w:val="00776A45"/>
    <w:rsid w:val="00777614"/>
    <w:rsid w:val="007776C3"/>
    <w:rsid w:val="007776E7"/>
    <w:rsid w:val="007800B7"/>
    <w:rsid w:val="00780561"/>
    <w:rsid w:val="00780D09"/>
    <w:rsid w:val="00780D83"/>
    <w:rsid w:val="00781270"/>
    <w:rsid w:val="00782253"/>
    <w:rsid w:val="00782555"/>
    <w:rsid w:val="00782A8C"/>
    <w:rsid w:val="007831EF"/>
    <w:rsid w:val="00783273"/>
    <w:rsid w:val="007835EA"/>
    <w:rsid w:val="00784642"/>
    <w:rsid w:val="00785421"/>
    <w:rsid w:val="00785C13"/>
    <w:rsid w:val="00785F5B"/>
    <w:rsid w:val="007871E3"/>
    <w:rsid w:val="007875CC"/>
    <w:rsid w:val="007878C3"/>
    <w:rsid w:val="00790992"/>
    <w:rsid w:val="00791538"/>
    <w:rsid w:val="00791583"/>
    <w:rsid w:val="0079326C"/>
    <w:rsid w:val="0079378D"/>
    <w:rsid w:val="007937BE"/>
    <w:rsid w:val="00794B2B"/>
    <w:rsid w:val="00794E47"/>
    <w:rsid w:val="0079555F"/>
    <w:rsid w:val="00795820"/>
    <w:rsid w:val="0079597D"/>
    <w:rsid w:val="0079706C"/>
    <w:rsid w:val="007A02E0"/>
    <w:rsid w:val="007A0760"/>
    <w:rsid w:val="007A14BD"/>
    <w:rsid w:val="007A1502"/>
    <w:rsid w:val="007A1AB7"/>
    <w:rsid w:val="007A1F4A"/>
    <w:rsid w:val="007A4AFB"/>
    <w:rsid w:val="007A55E3"/>
    <w:rsid w:val="007A6156"/>
    <w:rsid w:val="007A620A"/>
    <w:rsid w:val="007A63F5"/>
    <w:rsid w:val="007A7237"/>
    <w:rsid w:val="007A733D"/>
    <w:rsid w:val="007B0A5B"/>
    <w:rsid w:val="007B13B0"/>
    <w:rsid w:val="007B16D8"/>
    <w:rsid w:val="007B1F10"/>
    <w:rsid w:val="007B23ED"/>
    <w:rsid w:val="007B2650"/>
    <w:rsid w:val="007B2B42"/>
    <w:rsid w:val="007B38D5"/>
    <w:rsid w:val="007B4477"/>
    <w:rsid w:val="007B462F"/>
    <w:rsid w:val="007B4BDC"/>
    <w:rsid w:val="007B5180"/>
    <w:rsid w:val="007B5B27"/>
    <w:rsid w:val="007B5F1B"/>
    <w:rsid w:val="007B69E0"/>
    <w:rsid w:val="007B6D63"/>
    <w:rsid w:val="007B7086"/>
    <w:rsid w:val="007B7BA2"/>
    <w:rsid w:val="007B7C27"/>
    <w:rsid w:val="007C00EA"/>
    <w:rsid w:val="007C0664"/>
    <w:rsid w:val="007C0757"/>
    <w:rsid w:val="007C0FDC"/>
    <w:rsid w:val="007C0FFB"/>
    <w:rsid w:val="007C1EE9"/>
    <w:rsid w:val="007C28F4"/>
    <w:rsid w:val="007C31F1"/>
    <w:rsid w:val="007C3A6F"/>
    <w:rsid w:val="007C3C2C"/>
    <w:rsid w:val="007C53E1"/>
    <w:rsid w:val="007C59D4"/>
    <w:rsid w:val="007C69F6"/>
    <w:rsid w:val="007C73D2"/>
    <w:rsid w:val="007D0ADB"/>
    <w:rsid w:val="007D15B9"/>
    <w:rsid w:val="007D1686"/>
    <w:rsid w:val="007D2BC4"/>
    <w:rsid w:val="007D3611"/>
    <w:rsid w:val="007D39A5"/>
    <w:rsid w:val="007D3D04"/>
    <w:rsid w:val="007D4602"/>
    <w:rsid w:val="007D5139"/>
    <w:rsid w:val="007D6A4F"/>
    <w:rsid w:val="007D6F6A"/>
    <w:rsid w:val="007E0D7B"/>
    <w:rsid w:val="007E1C67"/>
    <w:rsid w:val="007E1FFE"/>
    <w:rsid w:val="007E450D"/>
    <w:rsid w:val="007E4A1D"/>
    <w:rsid w:val="007E5461"/>
    <w:rsid w:val="007E6D7A"/>
    <w:rsid w:val="007F0217"/>
    <w:rsid w:val="007F0EFE"/>
    <w:rsid w:val="007F27EE"/>
    <w:rsid w:val="007F29CB"/>
    <w:rsid w:val="007F39BC"/>
    <w:rsid w:val="007F4101"/>
    <w:rsid w:val="007F4B06"/>
    <w:rsid w:val="007F5088"/>
    <w:rsid w:val="007F56FE"/>
    <w:rsid w:val="007F6918"/>
    <w:rsid w:val="00801526"/>
    <w:rsid w:val="00802061"/>
    <w:rsid w:val="0080356C"/>
    <w:rsid w:val="00803758"/>
    <w:rsid w:val="008038EA"/>
    <w:rsid w:val="00804488"/>
    <w:rsid w:val="0080454D"/>
    <w:rsid w:val="008047D7"/>
    <w:rsid w:val="00805370"/>
    <w:rsid w:val="00810BCE"/>
    <w:rsid w:val="008119C4"/>
    <w:rsid w:val="00811E2F"/>
    <w:rsid w:val="0081239E"/>
    <w:rsid w:val="00812443"/>
    <w:rsid w:val="00812C8C"/>
    <w:rsid w:val="00812D31"/>
    <w:rsid w:val="00813DDD"/>
    <w:rsid w:val="0081418B"/>
    <w:rsid w:val="008157A6"/>
    <w:rsid w:val="00815A94"/>
    <w:rsid w:val="00815CCB"/>
    <w:rsid w:val="008163A6"/>
    <w:rsid w:val="00816B2F"/>
    <w:rsid w:val="008176F9"/>
    <w:rsid w:val="00817873"/>
    <w:rsid w:val="00817DB4"/>
    <w:rsid w:val="0082026C"/>
    <w:rsid w:val="00820AEC"/>
    <w:rsid w:val="00822302"/>
    <w:rsid w:val="008224D3"/>
    <w:rsid w:val="008226B7"/>
    <w:rsid w:val="00823316"/>
    <w:rsid w:val="00824C40"/>
    <w:rsid w:val="00826020"/>
    <w:rsid w:val="0082648E"/>
    <w:rsid w:val="0082659B"/>
    <w:rsid w:val="00826BB8"/>
    <w:rsid w:val="00826D82"/>
    <w:rsid w:val="00826E53"/>
    <w:rsid w:val="00827EF1"/>
    <w:rsid w:val="00827F6F"/>
    <w:rsid w:val="008320A4"/>
    <w:rsid w:val="00832216"/>
    <w:rsid w:val="00833E31"/>
    <w:rsid w:val="00834B03"/>
    <w:rsid w:val="00834C6F"/>
    <w:rsid w:val="00835825"/>
    <w:rsid w:val="008363B5"/>
    <w:rsid w:val="0083797D"/>
    <w:rsid w:val="00840581"/>
    <w:rsid w:val="008406D0"/>
    <w:rsid w:val="00841926"/>
    <w:rsid w:val="00842EA8"/>
    <w:rsid w:val="00843A2A"/>
    <w:rsid w:val="00844080"/>
    <w:rsid w:val="00844941"/>
    <w:rsid w:val="00845F27"/>
    <w:rsid w:val="00846134"/>
    <w:rsid w:val="0084652B"/>
    <w:rsid w:val="00847745"/>
    <w:rsid w:val="008502F2"/>
    <w:rsid w:val="008523BD"/>
    <w:rsid w:val="00852BB0"/>
    <w:rsid w:val="0085428F"/>
    <w:rsid w:val="008548B9"/>
    <w:rsid w:val="00854CC4"/>
    <w:rsid w:val="00856265"/>
    <w:rsid w:val="008562A6"/>
    <w:rsid w:val="0085769E"/>
    <w:rsid w:val="00857981"/>
    <w:rsid w:val="00860737"/>
    <w:rsid w:val="0086087A"/>
    <w:rsid w:val="0086116D"/>
    <w:rsid w:val="00862943"/>
    <w:rsid w:val="00862F0D"/>
    <w:rsid w:val="00863B44"/>
    <w:rsid w:val="0086469F"/>
    <w:rsid w:val="00865203"/>
    <w:rsid w:val="00866550"/>
    <w:rsid w:val="00866D43"/>
    <w:rsid w:val="0086753B"/>
    <w:rsid w:val="0086787C"/>
    <w:rsid w:val="008709FD"/>
    <w:rsid w:val="00871761"/>
    <w:rsid w:val="00872B09"/>
    <w:rsid w:val="00872DDF"/>
    <w:rsid w:val="008745B5"/>
    <w:rsid w:val="00874D2C"/>
    <w:rsid w:val="00874D78"/>
    <w:rsid w:val="00874E68"/>
    <w:rsid w:val="00875741"/>
    <w:rsid w:val="00875A61"/>
    <w:rsid w:val="008760BD"/>
    <w:rsid w:val="00876176"/>
    <w:rsid w:val="008761A2"/>
    <w:rsid w:val="008768E1"/>
    <w:rsid w:val="00876F78"/>
    <w:rsid w:val="00877450"/>
    <w:rsid w:val="00877A3E"/>
    <w:rsid w:val="00880AB7"/>
    <w:rsid w:val="00881384"/>
    <w:rsid w:val="008813C0"/>
    <w:rsid w:val="00881E46"/>
    <w:rsid w:val="00882574"/>
    <w:rsid w:val="008833F3"/>
    <w:rsid w:val="008835D4"/>
    <w:rsid w:val="00883DDD"/>
    <w:rsid w:val="00883E6A"/>
    <w:rsid w:val="0088416D"/>
    <w:rsid w:val="008847E8"/>
    <w:rsid w:val="00884E3C"/>
    <w:rsid w:val="00885494"/>
    <w:rsid w:val="00887E57"/>
    <w:rsid w:val="00890E0D"/>
    <w:rsid w:val="00891633"/>
    <w:rsid w:val="00891665"/>
    <w:rsid w:val="0089169C"/>
    <w:rsid w:val="00892BE3"/>
    <w:rsid w:val="00893D47"/>
    <w:rsid w:val="0089414D"/>
    <w:rsid w:val="008941CA"/>
    <w:rsid w:val="00895EDF"/>
    <w:rsid w:val="00896098"/>
    <w:rsid w:val="0089748C"/>
    <w:rsid w:val="00897DF9"/>
    <w:rsid w:val="00897ED6"/>
    <w:rsid w:val="008A0376"/>
    <w:rsid w:val="008A0BC8"/>
    <w:rsid w:val="008A16DC"/>
    <w:rsid w:val="008A16F6"/>
    <w:rsid w:val="008A416C"/>
    <w:rsid w:val="008A44E0"/>
    <w:rsid w:val="008A4A73"/>
    <w:rsid w:val="008A514C"/>
    <w:rsid w:val="008A53B5"/>
    <w:rsid w:val="008A5756"/>
    <w:rsid w:val="008A5CDB"/>
    <w:rsid w:val="008A5FE0"/>
    <w:rsid w:val="008A632F"/>
    <w:rsid w:val="008A742A"/>
    <w:rsid w:val="008B24AA"/>
    <w:rsid w:val="008B3BBB"/>
    <w:rsid w:val="008B3C56"/>
    <w:rsid w:val="008B4A98"/>
    <w:rsid w:val="008B596B"/>
    <w:rsid w:val="008B6093"/>
    <w:rsid w:val="008B68A6"/>
    <w:rsid w:val="008B6E33"/>
    <w:rsid w:val="008C08FE"/>
    <w:rsid w:val="008C18D6"/>
    <w:rsid w:val="008C33F7"/>
    <w:rsid w:val="008C3A4A"/>
    <w:rsid w:val="008C3CC6"/>
    <w:rsid w:val="008C3CF4"/>
    <w:rsid w:val="008C3DE9"/>
    <w:rsid w:val="008C4AB5"/>
    <w:rsid w:val="008C4E62"/>
    <w:rsid w:val="008C4FFA"/>
    <w:rsid w:val="008C666F"/>
    <w:rsid w:val="008D07A6"/>
    <w:rsid w:val="008D09D9"/>
    <w:rsid w:val="008D0A9D"/>
    <w:rsid w:val="008D1C14"/>
    <w:rsid w:val="008D1D57"/>
    <w:rsid w:val="008D2251"/>
    <w:rsid w:val="008D3579"/>
    <w:rsid w:val="008D414F"/>
    <w:rsid w:val="008D42C6"/>
    <w:rsid w:val="008D6DB9"/>
    <w:rsid w:val="008D7AA5"/>
    <w:rsid w:val="008D7F61"/>
    <w:rsid w:val="008E07EC"/>
    <w:rsid w:val="008E085A"/>
    <w:rsid w:val="008E1DC7"/>
    <w:rsid w:val="008E30CC"/>
    <w:rsid w:val="008E332B"/>
    <w:rsid w:val="008E391A"/>
    <w:rsid w:val="008E43C2"/>
    <w:rsid w:val="008E5AE3"/>
    <w:rsid w:val="008E5D05"/>
    <w:rsid w:val="008E695F"/>
    <w:rsid w:val="008E6D79"/>
    <w:rsid w:val="008E718C"/>
    <w:rsid w:val="008F0FF3"/>
    <w:rsid w:val="008F20C0"/>
    <w:rsid w:val="008F2569"/>
    <w:rsid w:val="008F32F6"/>
    <w:rsid w:val="008F47DB"/>
    <w:rsid w:val="008F48B2"/>
    <w:rsid w:val="008F618A"/>
    <w:rsid w:val="008F6231"/>
    <w:rsid w:val="008F62D2"/>
    <w:rsid w:val="008F65EA"/>
    <w:rsid w:val="009014FE"/>
    <w:rsid w:val="009026AE"/>
    <w:rsid w:val="0090398C"/>
    <w:rsid w:val="00904714"/>
    <w:rsid w:val="00904837"/>
    <w:rsid w:val="009059F4"/>
    <w:rsid w:val="00905A9B"/>
    <w:rsid w:val="00905BA3"/>
    <w:rsid w:val="0090604A"/>
    <w:rsid w:val="00907211"/>
    <w:rsid w:val="009072C6"/>
    <w:rsid w:val="00910A64"/>
    <w:rsid w:val="00910B9C"/>
    <w:rsid w:val="00910D23"/>
    <w:rsid w:val="009120BA"/>
    <w:rsid w:val="009126CB"/>
    <w:rsid w:val="00912DE0"/>
    <w:rsid w:val="0091443E"/>
    <w:rsid w:val="00915532"/>
    <w:rsid w:val="009158CA"/>
    <w:rsid w:val="00916931"/>
    <w:rsid w:val="00916DC4"/>
    <w:rsid w:val="00917549"/>
    <w:rsid w:val="00917664"/>
    <w:rsid w:val="00917FE5"/>
    <w:rsid w:val="009218EB"/>
    <w:rsid w:val="00921FD6"/>
    <w:rsid w:val="009225C2"/>
    <w:rsid w:val="00922B73"/>
    <w:rsid w:val="00923278"/>
    <w:rsid w:val="009246CD"/>
    <w:rsid w:val="00924987"/>
    <w:rsid w:val="00924A84"/>
    <w:rsid w:val="00924D6B"/>
    <w:rsid w:val="00927DF6"/>
    <w:rsid w:val="00930024"/>
    <w:rsid w:val="00931083"/>
    <w:rsid w:val="00931163"/>
    <w:rsid w:val="009325FC"/>
    <w:rsid w:val="00935259"/>
    <w:rsid w:val="009353D7"/>
    <w:rsid w:val="00935A8D"/>
    <w:rsid w:val="00935CD9"/>
    <w:rsid w:val="00936109"/>
    <w:rsid w:val="00936256"/>
    <w:rsid w:val="00936534"/>
    <w:rsid w:val="0093721B"/>
    <w:rsid w:val="00937541"/>
    <w:rsid w:val="00937C99"/>
    <w:rsid w:val="00941F5C"/>
    <w:rsid w:val="00942766"/>
    <w:rsid w:val="00946049"/>
    <w:rsid w:val="00951217"/>
    <w:rsid w:val="00952796"/>
    <w:rsid w:val="00952CA5"/>
    <w:rsid w:val="00952DB5"/>
    <w:rsid w:val="009534BA"/>
    <w:rsid w:val="00953E51"/>
    <w:rsid w:val="00954E18"/>
    <w:rsid w:val="00955E2A"/>
    <w:rsid w:val="009567B5"/>
    <w:rsid w:val="00960085"/>
    <w:rsid w:val="00960093"/>
    <w:rsid w:val="009603E1"/>
    <w:rsid w:val="00961263"/>
    <w:rsid w:val="00961762"/>
    <w:rsid w:val="00961D06"/>
    <w:rsid w:val="00962934"/>
    <w:rsid w:val="00962FBF"/>
    <w:rsid w:val="00963E55"/>
    <w:rsid w:val="0096628B"/>
    <w:rsid w:val="00966D0D"/>
    <w:rsid w:val="009673FC"/>
    <w:rsid w:val="00967526"/>
    <w:rsid w:val="00967D33"/>
    <w:rsid w:val="00970370"/>
    <w:rsid w:val="009711C2"/>
    <w:rsid w:val="00971DDC"/>
    <w:rsid w:val="00972618"/>
    <w:rsid w:val="009731A0"/>
    <w:rsid w:val="009733FF"/>
    <w:rsid w:val="00973883"/>
    <w:rsid w:val="00973910"/>
    <w:rsid w:val="00973A42"/>
    <w:rsid w:val="009740B7"/>
    <w:rsid w:val="00974926"/>
    <w:rsid w:val="0097534D"/>
    <w:rsid w:val="0097546D"/>
    <w:rsid w:val="00980852"/>
    <w:rsid w:val="00980D6C"/>
    <w:rsid w:val="0098254A"/>
    <w:rsid w:val="009827BD"/>
    <w:rsid w:val="00982E5F"/>
    <w:rsid w:val="0098378A"/>
    <w:rsid w:val="0098441D"/>
    <w:rsid w:val="00985519"/>
    <w:rsid w:val="009860FE"/>
    <w:rsid w:val="00986436"/>
    <w:rsid w:val="00986C4F"/>
    <w:rsid w:val="00987093"/>
    <w:rsid w:val="00987C8E"/>
    <w:rsid w:val="00990037"/>
    <w:rsid w:val="009900E5"/>
    <w:rsid w:val="009921B1"/>
    <w:rsid w:val="009944C2"/>
    <w:rsid w:val="009946F5"/>
    <w:rsid w:val="00996A7B"/>
    <w:rsid w:val="00997C23"/>
    <w:rsid w:val="009A0535"/>
    <w:rsid w:val="009A0DB8"/>
    <w:rsid w:val="009A1302"/>
    <w:rsid w:val="009A1424"/>
    <w:rsid w:val="009A207D"/>
    <w:rsid w:val="009A392F"/>
    <w:rsid w:val="009A5223"/>
    <w:rsid w:val="009A54C7"/>
    <w:rsid w:val="009A6568"/>
    <w:rsid w:val="009A69EE"/>
    <w:rsid w:val="009A6B3E"/>
    <w:rsid w:val="009A70B9"/>
    <w:rsid w:val="009B0C73"/>
    <w:rsid w:val="009B2701"/>
    <w:rsid w:val="009B2923"/>
    <w:rsid w:val="009B46F2"/>
    <w:rsid w:val="009B5241"/>
    <w:rsid w:val="009B5841"/>
    <w:rsid w:val="009B5BC4"/>
    <w:rsid w:val="009B6E16"/>
    <w:rsid w:val="009B7892"/>
    <w:rsid w:val="009C0542"/>
    <w:rsid w:val="009C0BDE"/>
    <w:rsid w:val="009C0F31"/>
    <w:rsid w:val="009C17F7"/>
    <w:rsid w:val="009C255C"/>
    <w:rsid w:val="009C2618"/>
    <w:rsid w:val="009C2D9E"/>
    <w:rsid w:val="009C5EE3"/>
    <w:rsid w:val="009C65D7"/>
    <w:rsid w:val="009C7254"/>
    <w:rsid w:val="009C759F"/>
    <w:rsid w:val="009C7924"/>
    <w:rsid w:val="009C7CB5"/>
    <w:rsid w:val="009C7E37"/>
    <w:rsid w:val="009D02EA"/>
    <w:rsid w:val="009D0C9A"/>
    <w:rsid w:val="009D0DA7"/>
    <w:rsid w:val="009D0EAF"/>
    <w:rsid w:val="009D23F1"/>
    <w:rsid w:val="009D253B"/>
    <w:rsid w:val="009D398E"/>
    <w:rsid w:val="009D4B6F"/>
    <w:rsid w:val="009D5161"/>
    <w:rsid w:val="009D5235"/>
    <w:rsid w:val="009D56AB"/>
    <w:rsid w:val="009D7D31"/>
    <w:rsid w:val="009E14BB"/>
    <w:rsid w:val="009E2647"/>
    <w:rsid w:val="009E2A17"/>
    <w:rsid w:val="009E371E"/>
    <w:rsid w:val="009E4019"/>
    <w:rsid w:val="009E46AD"/>
    <w:rsid w:val="009E4ED2"/>
    <w:rsid w:val="009E51B9"/>
    <w:rsid w:val="009E5837"/>
    <w:rsid w:val="009E588B"/>
    <w:rsid w:val="009E67BD"/>
    <w:rsid w:val="009E6B65"/>
    <w:rsid w:val="009E721E"/>
    <w:rsid w:val="009E7297"/>
    <w:rsid w:val="009E7913"/>
    <w:rsid w:val="009F1E8E"/>
    <w:rsid w:val="009F46F6"/>
    <w:rsid w:val="009F499D"/>
    <w:rsid w:val="009F511A"/>
    <w:rsid w:val="009F60E2"/>
    <w:rsid w:val="009F7979"/>
    <w:rsid w:val="009F7E6E"/>
    <w:rsid w:val="00A0033E"/>
    <w:rsid w:val="00A01514"/>
    <w:rsid w:val="00A01FB6"/>
    <w:rsid w:val="00A023D4"/>
    <w:rsid w:val="00A03BCC"/>
    <w:rsid w:val="00A04700"/>
    <w:rsid w:val="00A0472C"/>
    <w:rsid w:val="00A047F8"/>
    <w:rsid w:val="00A04C7F"/>
    <w:rsid w:val="00A062DD"/>
    <w:rsid w:val="00A10615"/>
    <w:rsid w:val="00A10717"/>
    <w:rsid w:val="00A10B92"/>
    <w:rsid w:val="00A11406"/>
    <w:rsid w:val="00A11C71"/>
    <w:rsid w:val="00A127CB"/>
    <w:rsid w:val="00A128C1"/>
    <w:rsid w:val="00A1372B"/>
    <w:rsid w:val="00A13F47"/>
    <w:rsid w:val="00A13F58"/>
    <w:rsid w:val="00A14152"/>
    <w:rsid w:val="00A151CA"/>
    <w:rsid w:val="00A1575E"/>
    <w:rsid w:val="00A15793"/>
    <w:rsid w:val="00A1596A"/>
    <w:rsid w:val="00A15F1A"/>
    <w:rsid w:val="00A167D8"/>
    <w:rsid w:val="00A16ABD"/>
    <w:rsid w:val="00A16D85"/>
    <w:rsid w:val="00A16D9C"/>
    <w:rsid w:val="00A17684"/>
    <w:rsid w:val="00A205F3"/>
    <w:rsid w:val="00A21045"/>
    <w:rsid w:val="00A215C6"/>
    <w:rsid w:val="00A23A99"/>
    <w:rsid w:val="00A25953"/>
    <w:rsid w:val="00A25BD0"/>
    <w:rsid w:val="00A266E9"/>
    <w:rsid w:val="00A27258"/>
    <w:rsid w:val="00A3020D"/>
    <w:rsid w:val="00A32B33"/>
    <w:rsid w:val="00A330A6"/>
    <w:rsid w:val="00A339AD"/>
    <w:rsid w:val="00A33D98"/>
    <w:rsid w:val="00A34099"/>
    <w:rsid w:val="00A34A2C"/>
    <w:rsid w:val="00A3574B"/>
    <w:rsid w:val="00A36B9B"/>
    <w:rsid w:val="00A378ED"/>
    <w:rsid w:val="00A40089"/>
    <w:rsid w:val="00A427B8"/>
    <w:rsid w:val="00A42827"/>
    <w:rsid w:val="00A42BCB"/>
    <w:rsid w:val="00A4303D"/>
    <w:rsid w:val="00A43E2A"/>
    <w:rsid w:val="00A44497"/>
    <w:rsid w:val="00A4459E"/>
    <w:rsid w:val="00A4467D"/>
    <w:rsid w:val="00A45282"/>
    <w:rsid w:val="00A4571F"/>
    <w:rsid w:val="00A46DF3"/>
    <w:rsid w:val="00A4787C"/>
    <w:rsid w:val="00A50900"/>
    <w:rsid w:val="00A5147E"/>
    <w:rsid w:val="00A51524"/>
    <w:rsid w:val="00A51880"/>
    <w:rsid w:val="00A520A2"/>
    <w:rsid w:val="00A52F69"/>
    <w:rsid w:val="00A5349B"/>
    <w:rsid w:val="00A53BCD"/>
    <w:rsid w:val="00A543DD"/>
    <w:rsid w:val="00A54DC6"/>
    <w:rsid w:val="00A55BED"/>
    <w:rsid w:val="00A60A31"/>
    <w:rsid w:val="00A61671"/>
    <w:rsid w:val="00A6241C"/>
    <w:rsid w:val="00A6260D"/>
    <w:rsid w:val="00A62EA4"/>
    <w:rsid w:val="00A6435E"/>
    <w:rsid w:val="00A64908"/>
    <w:rsid w:val="00A650D7"/>
    <w:rsid w:val="00A656DC"/>
    <w:rsid w:val="00A662BC"/>
    <w:rsid w:val="00A663E7"/>
    <w:rsid w:val="00A669C7"/>
    <w:rsid w:val="00A67A7D"/>
    <w:rsid w:val="00A67F71"/>
    <w:rsid w:val="00A70920"/>
    <w:rsid w:val="00A70D5C"/>
    <w:rsid w:val="00A71E6D"/>
    <w:rsid w:val="00A73086"/>
    <w:rsid w:val="00A73283"/>
    <w:rsid w:val="00A74BE1"/>
    <w:rsid w:val="00A75458"/>
    <w:rsid w:val="00A76D27"/>
    <w:rsid w:val="00A77036"/>
    <w:rsid w:val="00A774C2"/>
    <w:rsid w:val="00A8108D"/>
    <w:rsid w:val="00A8133A"/>
    <w:rsid w:val="00A81C55"/>
    <w:rsid w:val="00A82E2C"/>
    <w:rsid w:val="00A82F74"/>
    <w:rsid w:val="00A8326D"/>
    <w:rsid w:val="00A8431E"/>
    <w:rsid w:val="00A84DD3"/>
    <w:rsid w:val="00A85640"/>
    <w:rsid w:val="00A85973"/>
    <w:rsid w:val="00A85C6F"/>
    <w:rsid w:val="00A863C6"/>
    <w:rsid w:val="00A868E3"/>
    <w:rsid w:val="00A868E5"/>
    <w:rsid w:val="00A873D2"/>
    <w:rsid w:val="00A87EC4"/>
    <w:rsid w:val="00A9018B"/>
    <w:rsid w:val="00A90959"/>
    <w:rsid w:val="00A90A74"/>
    <w:rsid w:val="00A90AE7"/>
    <w:rsid w:val="00A91E67"/>
    <w:rsid w:val="00A92C11"/>
    <w:rsid w:val="00A933D7"/>
    <w:rsid w:val="00A9405B"/>
    <w:rsid w:val="00A94079"/>
    <w:rsid w:val="00A94D5B"/>
    <w:rsid w:val="00A95377"/>
    <w:rsid w:val="00A95E0D"/>
    <w:rsid w:val="00A96027"/>
    <w:rsid w:val="00A9726C"/>
    <w:rsid w:val="00A97F53"/>
    <w:rsid w:val="00AA0A44"/>
    <w:rsid w:val="00AA0D52"/>
    <w:rsid w:val="00AA1060"/>
    <w:rsid w:val="00AA112F"/>
    <w:rsid w:val="00AA288F"/>
    <w:rsid w:val="00AA2A33"/>
    <w:rsid w:val="00AA2CF2"/>
    <w:rsid w:val="00AA32CC"/>
    <w:rsid w:val="00AA363A"/>
    <w:rsid w:val="00AA3D08"/>
    <w:rsid w:val="00AA48A3"/>
    <w:rsid w:val="00AA5066"/>
    <w:rsid w:val="00AA53F1"/>
    <w:rsid w:val="00AA57F3"/>
    <w:rsid w:val="00AA5FD5"/>
    <w:rsid w:val="00AA7062"/>
    <w:rsid w:val="00AA7BDE"/>
    <w:rsid w:val="00AA7E1F"/>
    <w:rsid w:val="00AB12F8"/>
    <w:rsid w:val="00AB1336"/>
    <w:rsid w:val="00AB13EE"/>
    <w:rsid w:val="00AB1900"/>
    <w:rsid w:val="00AB1A24"/>
    <w:rsid w:val="00AB2733"/>
    <w:rsid w:val="00AB46BD"/>
    <w:rsid w:val="00AB4A2A"/>
    <w:rsid w:val="00AB5A8B"/>
    <w:rsid w:val="00AB5ACB"/>
    <w:rsid w:val="00AB62CB"/>
    <w:rsid w:val="00AB7511"/>
    <w:rsid w:val="00AC0D17"/>
    <w:rsid w:val="00AC25A3"/>
    <w:rsid w:val="00AC2E7E"/>
    <w:rsid w:val="00AC2FEB"/>
    <w:rsid w:val="00AC3284"/>
    <w:rsid w:val="00AC3762"/>
    <w:rsid w:val="00AC6C63"/>
    <w:rsid w:val="00AC6F74"/>
    <w:rsid w:val="00AC71F3"/>
    <w:rsid w:val="00AD280F"/>
    <w:rsid w:val="00AD2D11"/>
    <w:rsid w:val="00AD310E"/>
    <w:rsid w:val="00AD36CF"/>
    <w:rsid w:val="00AD44DC"/>
    <w:rsid w:val="00AD4883"/>
    <w:rsid w:val="00AD51A2"/>
    <w:rsid w:val="00AD58C1"/>
    <w:rsid w:val="00AD5AB1"/>
    <w:rsid w:val="00AD5CFE"/>
    <w:rsid w:val="00AD71F5"/>
    <w:rsid w:val="00AE0609"/>
    <w:rsid w:val="00AE0ED8"/>
    <w:rsid w:val="00AE108A"/>
    <w:rsid w:val="00AE14E7"/>
    <w:rsid w:val="00AE2B68"/>
    <w:rsid w:val="00AE3F12"/>
    <w:rsid w:val="00AE6055"/>
    <w:rsid w:val="00AE6479"/>
    <w:rsid w:val="00AE6F92"/>
    <w:rsid w:val="00AE72F4"/>
    <w:rsid w:val="00AE7AA6"/>
    <w:rsid w:val="00AF067B"/>
    <w:rsid w:val="00AF0D6A"/>
    <w:rsid w:val="00AF3242"/>
    <w:rsid w:val="00AF3389"/>
    <w:rsid w:val="00AF3B30"/>
    <w:rsid w:val="00AF3E77"/>
    <w:rsid w:val="00AF4710"/>
    <w:rsid w:val="00AF4CAC"/>
    <w:rsid w:val="00AF51D8"/>
    <w:rsid w:val="00AF5C6F"/>
    <w:rsid w:val="00AF614C"/>
    <w:rsid w:val="00AF6A35"/>
    <w:rsid w:val="00AF7178"/>
    <w:rsid w:val="00B007C2"/>
    <w:rsid w:val="00B022B9"/>
    <w:rsid w:val="00B03E85"/>
    <w:rsid w:val="00B04E64"/>
    <w:rsid w:val="00B0553F"/>
    <w:rsid w:val="00B1053F"/>
    <w:rsid w:val="00B10EA4"/>
    <w:rsid w:val="00B110DF"/>
    <w:rsid w:val="00B1129D"/>
    <w:rsid w:val="00B1169D"/>
    <w:rsid w:val="00B118B4"/>
    <w:rsid w:val="00B12695"/>
    <w:rsid w:val="00B14758"/>
    <w:rsid w:val="00B14786"/>
    <w:rsid w:val="00B14EF1"/>
    <w:rsid w:val="00B1611C"/>
    <w:rsid w:val="00B20906"/>
    <w:rsid w:val="00B209A2"/>
    <w:rsid w:val="00B20C60"/>
    <w:rsid w:val="00B20E90"/>
    <w:rsid w:val="00B215D5"/>
    <w:rsid w:val="00B22BD0"/>
    <w:rsid w:val="00B23159"/>
    <w:rsid w:val="00B238E5"/>
    <w:rsid w:val="00B23CD9"/>
    <w:rsid w:val="00B24D32"/>
    <w:rsid w:val="00B26CAF"/>
    <w:rsid w:val="00B26D60"/>
    <w:rsid w:val="00B26DD4"/>
    <w:rsid w:val="00B2722C"/>
    <w:rsid w:val="00B27E2B"/>
    <w:rsid w:val="00B27F9A"/>
    <w:rsid w:val="00B3159D"/>
    <w:rsid w:val="00B31715"/>
    <w:rsid w:val="00B31942"/>
    <w:rsid w:val="00B31FA8"/>
    <w:rsid w:val="00B31FE7"/>
    <w:rsid w:val="00B32EFF"/>
    <w:rsid w:val="00B330FE"/>
    <w:rsid w:val="00B33C0C"/>
    <w:rsid w:val="00B33C0E"/>
    <w:rsid w:val="00B34383"/>
    <w:rsid w:val="00B34E99"/>
    <w:rsid w:val="00B353D6"/>
    <w:rsid w:val="00B35731"/>
    <w:rsid w:val="00B35D9F"/>
    <w:rsid w:val="00B35E94"/>
    <w:rsid w:val="00B3616D"/>
    <w:rsid w:val="00B36EA0"/>
    <w:rsid w:val="00B408A8"/>
    <w:rsid w:val="00B41741"/>
    <w:rsid w:val="00B41E72"/>
    <w:rsid w:val="00B42D1C"/>
    <w:rsid w:val="00B431CD"/>
    <w:rsid w:val="00B43298"/>
    <w:rsid w:val="00B43CC5"/>
    <w:rsid w:val="00B43D33"/>
    <w:rsid w:val="00B45850"/>
    <w:rsid w:val="00B45921"/>
    <w:rsid w:val="00B45D84"/>
    <w:rsid w:val="00B51F9B"/>
    <w:rsid w:val="00B53DB5"/>
    <w:rsid w:val="00B54033"/>
    <w:rsid w:val="00B548A3"/>
    <w:rsid w:val="00B5516E"/>
    <w:rsid w:val="00B551BC"/>
    <w:rsid w:val="00B563BF"/>
    <w:rsid w:val="00B5664C"/>
    <w:rsid w:val="00B56D46"/>
    <w:rsid w:val="00B5772B"/>
    <w:rsid w:val="00B607B8"/>
    <w:rsid w:val="00B60C7C"/>
    <w:rsid w:val="00B61290"/>
    <w:rsid w:val="00B61DD1"/>
    <w:rsid w:val="00B622EB"/>
    <w:rsid w:val="00B63031"/>
    <w:rsid w:val="00B6317D"/>
    <w:rsid w:val="00B634FC"/>
    <w:rsid w:val="00B63E7E"/>
    <w:rsid w:val="00B64F28"/>
    <w:rsid w:val="00B650E3"/>
    <w:rsid w:val="00B65597"/>
    <w:rsid w:val="00B667CA"/>
    <w:rsid w:val="00B703BE"/>
    <w:rsid w:val="00B706EC"/>
    <w:rsid w:val="00B70A49"/>
    <w:rsid w:val="00B70C8A"/>
    <w:rsid w:val="00B71B93"/>
    <w:rsid w:val="00B723D7"/>
    <w:rsid w:val="00B7476B"/>
    <w:rsid w:val="00B747AF"/>
    <w:rsid w:val="00B74A3C"/>
    <w:rsid w:val="00B75133"/>
    <w:rsid w:val="00B760BC"/>
    <w:rsid w:val="00B76A38"/>
    <w:rsid w:val="00B770BA"/>
    <w:rsid w:val="00B77BA4"/>
    <w:rsid w:val="00B80500"/>
    <w:rsid w:val="00B80F50"/>
    <w:rsid w:val="00B82051"/>
    <w:rsid w:val="00B828DE"/>
    <w:rsid w:val="00B83CDD"/>
    <w:rsid w:val="00B84F71"/>
    <w:rsid w:val="00B85973"/>
    <w:rsid w:val="00B85D98"/>
    <w:rsid w:val="00B873D6"/>
    <w:rsid w:val="00B90DFF"/>
    <w:rsid w:val="00B90EE4"/>
    <w:rsid w:val="00B92037"/>
    <w:rsid w:val="00B9214B"/>
    <w:rsid w:val="00B92404"/>
    <w:rsid w:val="00B93DD5"/>
    <w:rsid w:val="00B93F19"/>
    <w:rsid w:val="00B95B08"/>
    <w:rsid w:val="00B9641B"/>
    <w:rsid w:val="00B965A1"/>
    <w:rsid w:val="00B96C92"/>
    <w:rsid w:val="00BA13C5"/>
    <w:rsid w:val="00BA150D"/>
    <w:rsid w:val="00BA1F15"/>
    <w:rsid w:val="00BA2D27"/>
    <w:rsid w:val="00BA3007"/>
    <w:rsid w:val="00BA3117"/>
    <w:rsid w:val="00BA4094"/>
    <w:rsid w:val="00BA41FA"/>
    <w:rsid w:val="00BA43A5"/>
    <w:rsid w:val="00BA67E6"/>
    <w:rsid w:val="00BA69B9"/>
    <w:rsid w:val="00BA72B2"/>
    <w:rsid w:val="00BA7D54"/>
    <w:rsid w:val="00BB1065"/>
    <w:rsid w:val="00BB1968"/>
    <w:rsid w:val="00BB19F2"/>
    <w:rsid w:val="00BB1D24"/>
    <w:rsid w:val="00BB2086"/>
    <w:rsid w:val="00BB223E"/>
    <w:rsid w:val="00BB26E8"/>
    <w:rsid w:val="00BB2865"/>
    <w:rsid w:val="00BB2AA6"/>
    <w:rsid w:val="00BB3E58"/>
    <w:rsid w:val="00BB42F7"/>
    <w:rsid w:val="00BB690A"/>
    <w:rsid w:val="00BB6BA6"/>
    <w:rsid w:val="00BB6C34"/>
    <w:rsid w:val="00BB6F9A"/>
    <w:rsid w:val="00BB7005"/>
    <w:rsid w:val="00BC0B8C"/>
    <w:rsid w:val="00BC0E4B"/>
    <w:rsid w:val="00BC3134"/>
    <w:rsid w:val="00BC3230"/>
    <w:rsid w:val="00BC3470"/>
    <w:rsid w:val="00BC4268"/>
    <w:rsid w:val="00BC4921"/>
    <w:rsid w:val="00BC4C34"/>
    <w:rsid w:val="00BC50AF"/>
    <w:rsid w:val="00BC539A"/>
    <w:rsid w:val="00BC5680"/>
    <w:rsid w:val="00BC5EBF"/>
    <w:rsid w:val="00BC6265"/>
    <w:rsid w:val="00BC6CBC"/>
    <w:rsid w:val="00BC6F5E"/>
    <w:rsid w:val="00BD04B9"/>
    <w:rsid w:val="00BD0521"/>
    <w:rsid w:val="00BD0551"/>
    <w:rsid w:val="00BD0D49"/>
    <w:rsid w:val="00BD1363"/>
    <w:rsid w:val="00BD160C"/>
    <w:rsid w:val="00BD1782"/>
    <w:rsid w:val="00BD209F"/>
    <w:rsid w:val="00BD220C"/>
    <w:rsid w:val="00BD2418"/>
    <w:rsid w:val="00BD2487"/>
    <w:rsid w:val="00BD35BF"/>
    <w:rsid w:val="00BD3FAA"/>
    <w:rsid w:val="00BD4FBE"/>
    <w:rsid w:val="00BD5CD4"/>
    <w:rsid w:val="00BD6191"/>
    <w:rsid w:val="00BD6AE7"/>
    <w:rsid w:val="00BD6EE5"/>
    <w:rsid w:val="00BD77B1"/>
    <w:rsid w:val="00BD799C"/>
    <w:rsid w:val="00BD7CF3"/>
    <w:rsid w:val="00BE1642"/>
    <w:rsid w:val="00BE17BB"/>
    <w:rsid w:val="00BE3518"/>
    <w:rsid w:val="00BE3826"/>
    <w:rsid w:val="00BE63D3"/>
    <w:rsid w:val="00BF0E08"/>
    <w:rsid w:val="00BF0F17"/>
    <w:rsid w:val="00BF11D8"/>
    <w:rsid w:val="00BF1F4E"/>
    <w:rsid w:val="00BF2B8E"/>
    <w:rsid w:val="00BF336E"/>
    <w:rsid w:val="00BF33D6"/>
    <w:rsid w:val="00BF3AAB"/>
    <w:rsid w:val="00BF3B07"/>
    <w:rsid w:val="00BF4779"/>
    <w:rsid w:val="00BF4BC0"/>
    <w:rsid w:val="00BF5ACF"/>
    <w:rsid w:val="00BF607F"/>
    <w:rsid w:val="00BF7758"/>
    <w:rsid w:val="00BF7A5F"/>
    <w:rsid w:val="00C00943"/>
    <w:rsid w:val="00C0135A"/>
    <w:rsid w:val="00C017F2"/>
    <w:rsid w:val="00C01BF2"/>
    <w:rsid w:val="00C024B0"/>
    <w:rsid w:val="00C03218"/>
    <w:rsid w:val="00C047E0"/>
    <w:rsid w:val="00C0483E"/>
    <w:rsid w:val="00C04B86"/>
    <w:rsid w:val="00C05860"/>
    <w:rsid w:val="00C05B73"/>
    <w:rsid w:val="00C06946"/>
    <w:rsid w:val="00C07C87"/>
    <w:rsid w:val="00C07D13"/>
    <w:rsid w:val="00C10AE9"/>
    <w:rsid w:val="00C11A5E"/>
    <w:rsid w:val="00C11FD3"/>
    <w:rsid w:val="00C12238"/>
    <w:rsid w:val="00C12667"/>
    <w:rsid w:val="00C128B5"/>
    <w:rsid w:val="00C13148"/>
    <w:rsid w:val="00C13BDB"/>
    <w:rsid w:val="00C14556"/>
    <w:rsid w:val="00C14AAA"/>
    <w:rsid w:val="00C215FB"/>
    <w:rsid w:val="00C2331E"/>
    <w:rsid w:val="00C23F74"/>
    <w:rsid w:val="00C24097"/>
    <w:rsid w:val="00C24A95"/>
    <w:rsid w:val="00C25C56"/>
    <w:rsid w:val="00C25F66"/>
    <w:rsid w:val="00C2617C"/>
    <w:rsid w:val="00C2624A"/>
    <w:rsid w:val="00C26E22"/>
    <w:rsid w:val="00C27F12"/>
    <w:rsid w:val="00C30DB1"/>
    <w:rsid w:val="00C30E54"/>
    <w:rsid w:val="00C31B81"/>
    <w:rsid w:val="00C31EEE"/>
    <w:rsid w:val="00C32852"/>
    <w:rsid w:val="00C32B53"/>
    <w:rsid w:val="00C34AC8"/>
    <w:rsid w:val="00C34AE9"/>
    <w:rsid w:val="00C35BA7"/>
    <w:rsid w:val="00C35BB1"/>
    <w:rsid w:val="00C37417"/>
    <w:rsid w:val="00C407CE"/>
    <w:rsid w:val="00C422B5"/>
    <w:rsid w:val="00C42564"/>
    <w:rsid w:val="00C42A04"/>
    <w:rsid w:val="00C42E4D"/>
    <w:rsid w:val="00C43233"/>
    <w:rsid w:val="00C44DA8"/>
    <w:rsid w:val="00C45B3E"/>
    <w:rsid w:val="00C46471"/>
    <w:rsid w:val="00C47D96"/>
    <w:rsid w:val="00C503C0"/>
    <w:rsid w:val="00C51628"/>
    <w:rsid w:val="00C54B84"/>
    <w:rsid w:val="00C55031"/>
    <w:rsid w:val="00C55181"/>
    <w:rsid w:val="00C55431"/>
    <w:rsid w:val="00C56690"/>
    <w:rsid w:val="00C56DDA"/>
    <w:rsid w:val="00C623C8"/>
    <w:rsid w:val="00C62EBE"/>
    <w:rsid w:val="00C63F30"/>
    <w:rsid w:val="00C64F04"/>
    <w:rsid w:val="00C6580C"/>
    <w:rsid w:val="00C67E2F"/>
    <w:rsid w:val="00C7048A"/>
    <w:rsid w:val="00C7161B"/>
    <w:rsid w:val="00C72468"/>
    <w:rsid w:val="00C72996"/>
    <w:rsid w:val="00C731CC"/>
    <w:rsid w:val="00C733ED"/>
    <w:rsid w:val="00C7354F"/>
    <w:rsid w:val="00C7425B"/>
    <w:rsid w:val="00C75367"/>
    <w:rsid w:val="00C75423"/>
    <w:rsid w:val="00C75ADF"/>
    <w:rsid w:val="00C76762"/>
    <w:rsid w:val="00C77CA2"/>
    <w:rsid w:val="00C805FB"/>
    <w:rsid w:val="00C81702"/>
    <w:rsid w:val="00C8172B"/>
    <w:rsid w:val="00C81B82"/>
    <w:rsid w:val="00C82511"/>
    <w:rsid w:val="00C826BB"/>
    <w:rsid w:val="00C82816"/>
    <w:rsid w:val="00C82DE1"/>
    <w:rsid w:val="00C834C9"/>
    <w:rsid w:val="00C84189"/>
    <w:rsid w:val="00C8465B"/>
    <w:rsid w:val="00C84EC5"/>
    <w:rsid w:val="00C85DBC"/>
    <w:rsid w:val="00C87B9B"/>
    <w:rsid w:val="00C90864"/>
    <w:rsid w:val="00C910EF"/>
    <w:rsid w:val="00C93F52"/>
    <w:rsid w:val="00C95319"/>
    <w:rsid w:val="00C9655C"/>
    <w:rsid w:val="00C96C2B"/>
    <w:rsid w:val="00C97501"/>
    <w:rsid w:val="00C97A47"/>
    <w:rsid w:val="00CA216A"/>
    <w:rsid w:val="00CA26B3"/>
    <w:rsid w:val="00CA2704"/>
    <w:rsid w:val="00CA2B61"/>
    <w:rsid w:val="00CA2C19"/>
    <w:rsid w:val="00CA385C"/>
    <w:rsid w:val="00CA4420"/>
    <w:rsid w:val="00CA466D"/>
    <w:rsid w:val="00CA491B"/>
    <w:rsid w:val="00CA5152"/>
    <w:rsid w:val="00CA537E"/>
    <w:rsid w:val="00CA57CD"/>
    <w:rsid w:val="00CA5892"/>
    <w:rsid w:val="00CA5AF2"/>
    <w:rsid w:val="00CA622E"/>
    <w:rsid w:val="00CA627C"/>
    <w:rsid w:val="00CA7C5E"/>
    <w:rsid w:val="00CA7D31"/>
    <w:rsid w:val="00CB0059"/>
    <w:rsid w:val="00CB03DD"/>
    <w:rsid w:val="00CB0943"/>
    <w:rsid w:val="00CB0ADC"/>
    <w:rsid w:val="00CB193F"/>
    <w:rsid w:val="00CB2660"/>
    <w:rsid w:val="00CB31D3"/>
    <w:rsid w:val="00CB470E"/>
    <w:rsid w:val="00CB4EBC"/>
    <w:rsid w:val="00CB4F18"/>
    <w:rsid w:val="00CB5A93"/>
    <w:rsid w:val="00CB6506"/>
    <w:rsid w:val="00CB660F"/>
    <w:rsid w:val="00CB6BAD"/>
    <w:rsid w:val="00CB764E"/>
    <w:rsid w:val="00CC0334"/>
    <w:rsid w:val="00CC0F5E"/>
    <w:rsid w:val="00CC1809"/>
    <w:rsid w:val="00CC371D"/>
    <w:rsid w:val="00CC3918"/>
    <w:rsid w:val="00CC3F2F"/>
    <w:rsid w:val="00CC4AE0"/>
    <w:rsid w:val="00CC55EF"/>
    <w:rsid w:val="00CC5C32"/>
    <w:rsid w:val="00CC69C1"/>
    <w:rsid w:val="00CD070E"/>
    <w:rsid w:val="00CD1DB2"/>
    <w:rsid w:val="00CD23E6"/>
    <w:rsid w:val="00CD36CF"/>
    <w:rsid w:val="00CD48F9"/>
    <w:rsid w:val="00CD5D90"/>
    <w:rsid w:val="00CD7E04"/>
    <w:rsid w:val="00CE0EC7"/>
    <w:rsid w:val="00CE16D0"/>
    <w:rsid w:val="00CE1B1E"/>
    <w:rsid w:val="00CE2406"/>
    <w:rsid w:val="00CE2449"/>
    <w:rsid w:val="00CE2DE4"/>
    <w:rsid w:val="00CE36E1"/>
    <w:rsid w:val="00CE418B"/>
    <w:rsid w:val="00CE4702"/>
    <w:rsid w:val="00CE5770"/>
    <w:rsid w:val="00CE64B9"/>
    <w:rsid w:val="00CF00B6"/>
    <w:rsid w:val="00CF0103"/>
    <w:rsid w:val="00CF123F"/>
    <w:rsid w:val="00CF138F"/>
    <w:rsid w:val="00CF2601"/>
    <w:rsid w:val="00CF2978"/>
    <w:rsid w:val="00CF2E77"/>
    <w:rsid w:val="00CF31DF"/>
    <w:rsid w:val="00CF325F"/>
    <w:rsid w:val="00CF32F5"/>
    <w:rsid w:val="00CF3EB0"/>
    <w:rsid w:val="00CF439F"/>
    <w:rsid w:val="00CF4E00"/>
    <w:rsid w:val="00CF5A18"/>
    <w:rsid w:val="00CF72E7"/>
    <w:rsid w:val="00CF77CC"/>
    <w:rsid w:val="00D0051E"/>
    <w:rsid w:val="00D01B3A"/>
    <w:rsid w:val="00D01C1E"/>
    <w:rsid w:val="00D0280C"/>
    <w:rsid w:val="00D02933"/>
    <w:rsid w:val="00D02D34"/>
    <w:rsid w:val="00D031D8"/>
    <w:rsid w:val="00D03A64"/>
    <w:rsid w:val="00D0406A"/>
    <w:rsid w:val="00D046EC"/>
    <w:rsid w:val="00D04B54"/>
    <w:rsid w:val="00D04D29"/>
    <w:rsid w:val="00D04F3A"/>
    <w:rsid w:val="00D05B8E"/>
    <w:rsid w:val="00D05F24"/>
    <w:rsid w:val="00D06CB3"/>
    <w:rsid w:val="00D06E37"/>
    <w:rsid w:val="00D07126"/>
    <w:rsid w:val="00D077AD"/>
    <w:rsid w:val="00D102CA"/>
    <w:rsid w:val="00D10A33"/>
    <w:rsid w:val="00D112A6"/>
    <w:rsid w:val="00D113BD"/>
    <w:rsid w:val="00D1196C"/>
    <w:rsid w:val="00D11A24"/>
    <w:rsid w:val="00D11FBF"/>
    <w:rsid w:val="00D123AC"/>
    <w:rsid w:val="00D124BD"/>
    <w:rsid w:val="00D125F4"/>
    <w:rsid w:val="00D1413F"/>
    <w:rsid w:val="00D144EE"/>
    <w:rsid w:val="00D14C76"/>
    <w:rsid w:val="00D15278"/>
    <w:rsid w:val="00D160CA"/>
    <w:rsid w:val="00D17179"/>
    <w:rsid w:val="00D17565"/>
    <w:rsid w:val="00D20358"/>
    <w:rsid w:val="00D213A5"/>
    <w:rsid w:val="00D21591"/>
    <w:rsid w:val="00D22156"/>
    <w:rsid w:val="00D237BB"/>
    <w:rsid w:val="00D23CB7"/>
    <w:rsid w:val="00D244A3"/>
    <w:rsid w:val="00D24AE6"/>
    <w:rsid w:val="00D25713"/>
    <w:rsid w:val="00D25BE1"/>
    <w:rsid w:val="00D263AE"/>
    <w:rsid w:val="00D27211"/>
    <w:rsid w:val="00D274EF"/>
    <w:rsid w:val="00D27749"/>
    <w:rsid w:val="00D31004"/>
    <w:rsid w:val="00D33D5C"/>
    <w:rsid w:val="00D345A7"/>
    <w:rsid w:val="00D34DD9"/>
    <w:rsid w:val="00D358DF"/>
    <w:rsid w:val="00D366A3"/>
    <w:rsid w:val="00D3793F"/>
    <w:rsid w:val="00D41BEA"/>
    <w:rsid w:val="00D42066"/>
    <w:rsid w:val="00D4222B"/>
    <w:rsid w:val="00D42E0F"/>
    <w:rsid w:val="00D4303F"/>
    <w:rsid w:val="00D4362B"/>
    <w:rsid w:val="00D43AE5"/>
    <w:rsid w:val="00D44017"/>
    <w:rsid w:val="00D45B23"/>
    <w:rsid w:val="00D45C3E"/>
    <w:rsid w:val="00D45E04"/>
    <w:rsid w:val="00D46218"/>
    <w:rsid w:val="00D47277"/>
    <w:rsid w:val="00D473AB"/>
    <w:rsid w:val="00D475B9"/>
    <w:rsid w:val="00D4780F"/>
    <w:rsid w:val="00D504A1"/>
    <w:rsid w:val="00D50790"/>
    <w:rsid w:val="00D50971"/>
    <w:rsid w:val="00D50C25"/>
    <w:rsid w:val="00D50D7B"/>
    <w:rsid w:val="00D516AB"/>
    <w:rsid w:val="00D51885"/>
    <w:rsid w:val="00D51A27"/>
    <w:rsid w:val="00D51EF7"/>
    <w:rsid w:val="00D52097"/>
    <w:rsid w:val="00D529AB"/>
    <w:rsid w:val="00D549F7"/>
    <w:rsid w:val="00D57621"/>
    <w:rsid w:val="00D6060D"/>
    <w:rsid w:val="00D61080"/>
    <w:rsid w:val="00D61809"/>
    <w:rsid w:val="00D63A31"/>
    <w:rsid w:val="00D6450C"/>
    <w:rsid w:val="00D647A6"/>
    <w:rsid w:val="00D65305"/>
    <w:rsid w:val="00D65E8A"/>
    <w:rsid w:val="00D66615"/>
    <w:rsid w:val="00D717F0"/>
    <w:rsid w:val="00D71F30"/>
    <w:rsid w:val="00D72308"/>
    <w:rsid w:val="00D731B9"/>
    <w:rsid w:val="00D74061"/>
    <w:rsid w:val="00D74B69"/>
    <w:rsid w:val="00D74D29"/>
    <w:rsid w:val="00D75695"/>
    <w:rsid w:val="00D7570E"/>
    <w:rsid w:val="00D75A04"/>
    <w:rsid w:val="00D76696"/>
    <w:rsid w:val="00D76DA0"/>
    <w:rsid w:val="00D76E7F"/>
    <w:rsid w:val="00D773B4"/>
    <w:rsid w:val="00D77EC2"/>
    <w:rsid w:val="00D80792"/>
    <w:rsid w:val="00D80A15"/>
    <w:rsid w:val="00D80D62"/>
    <w:rsid w:val="00D81C63"/>
    <w:rsid w:val="00D81FEB"/>
    <w:rsid w:val="00D8254A"/>
    <w:rsid w:val="00D8281B"/>
    <w:rsid w:val="00D831F2"/>
    <w:rsid w:val="00D83C7A"/>
    <w:rsid w:val="00D83DAB"/>
    <w:rsid w:val="00D8406F"/>
    <w:rsid w:val="00D84ECC"/>
    <w:rsid w:val="00D856DE"/>
    <w:rsid w:val="00D8591A"/>
    <w:rsid w:val="00D866D8"/>
    <w:rsid w:val="00D909F8"/>
    <w:rsid w:val="00D91330"/>
    <w:rsid w:val="00D91883"/>
    <w:rsid w:val="00D927EB"/>
    <w:rsid w:val="00D92B55"/>
    <w:rsid w:val="00D92DBB"/>
    <w:rsid w:val="00D930F7"/>
    <w:rsid w:val="00D9354F"/>
    <w:rsid w:val="00D95747"/>
    <w:rsid w:val="00D9585E"/>
    <w:rsid w:val="00D96048"/>
    <w:rsid w:val="00D979D0"/>
    <w:rsid w:val="00D97BC7"/>
    <w:rsid w:val="00DA03A4"/>
    <w:rsid w:val="00DA0A7C"/>
    <w:rsid w:val="00DA11BB"/>
    <w:rsid w:val="00DA15C1"/>
    <w:rsid w:val="00DA1AF6"/>
    <w:rsid w:val="00DA2270"/>
    <w:rsid w:val="00DA3A93"/>
    <w:rsid w:val="00DA4050"/>
    <w:rsid w:val="00DA411F"/>
    <w:rsid w:val="00DA41D9"/>
    <w:rsid w:val="00DA477A"/>
    <w:rsid w:val="00DA5096"/>
    <w:rsid w:val="00DA53E4"/>
    <w:rsid w:val="00DA669F"/>
    <w:rsid w:val="00DB0C9D"/>
    <w:rsid w:val="00DB0CCA"/>
    <w:rsid w:val="00DB1EA5"/>
    <w:rsid w:val="00DB2113"/>
    <w:rsid w:val="00DB28C0"/>
    <w:rsid w:val="00DB2E46"/>
    <w:rsid w:val="00DB3640"/>
    <w:rsid w:val="00DB4CC2"/>
    <w:rsid w:val="00DB4E44"/>
    <w:rsid w:val="00DB5C31"/>
    <w:rsid w:val="00DB600E"/>
    <w:rsid w:val="00DB7B49"/>
    <w:rsid w:val="00DC08F0"/>
    <w:rsid w:val="00DC1867"/>
    <w:rsid w:val="00DC220E"/>
    <w:rsid w:val="00DC2C48"/>
    <w:rsid w:val="00DC4642"/>
    <w:rsid w:val="00DC5D3F"/>
    <w:rsid w:val="00DC5DF9"/>
    <w:rsid w:val="00DC682C"/>
    <w:rsid w:val="00DC6CC5"/>
    <w:rsid w:val="00DC7984"/>
    <w:rsid w:val="00DC7F43"/>
    <w:rsid w:val="00DD0027"/>
    <w:rsid w:val="00DD0734"/>
    <w:rsid w:val="00DD082A"/>
    <w:rsid w:val="00DD0B29"/>
    <w:rsid w:val="00DD0DE2"/>
    <w:rsid w:val="00DD1839"/>
    <w:rsid w:val="00DD1A6E"/>
    <w:rsid w:val="00DD2036"/>
    <w:rsid w:val="00DD2A02"/>
    <w:rsid w:val="00DD36D6"/>
    <w:rsid w:val="00DD3A17"/>
    <w:rsid w:val="00DD5287"/>
    <w:rsid w:val="00DD544B"/>
    <w:rsid w:val="00DD678E"/>
    <w:rsid w:val="00DD7500"/>
    <w:rsid w:val="00DD7C2E"/>
    <w:rsid w:val="00DE0161"/>
    <w:rsid w:val="00DE3676"/>
    <w:rsid w:val="00DE4450"/>
    <w:rsid w:val="00DE488C"/>
    <w:rsid w:val="00DE4B81"/>
    <w:rsid w:val="00DE5301"/>
    <w:rsid w:val="00DE67D7"/>
    <w:rsid w:val="00DE705D"/>
    <w:rsid w:val="00DE719A"/>
    <w:rsid w:val="00DE74CC"/>
    <w:rsid w:val="00DE7C9F"/>
    <w:rsid w:val="00DE7DB8"/>
    <w:rsid w:val="00DF02FB"/>
    <w:rsid w:val="00DF073C"/>
    <w:rsid w:val="00DF2F2B"/>
    <w:rsid w:val="00DF376F"/>
    <w:rsid w:val="00DF37F0"/>
    <w:rsid w:val="00DF3F06"/>
    <w:rsid w:val="00DF6B8A"/>
    <w:rsid w:val="00DF6D90"/>
    <w:rsid w:val="00E00631"/>
    <w:rsid w:val="00E02402"/>
    <w:rsid w:val="00E02818"/>
    <w:rsid w:val="00E04491"/>
    <w:rsid w:val="00E04FD6"/>
    <w:rsid w:val="00E05136"/>
    <w:rsid w:val="00E06F9C"/>
    <w:rsid w:val="00E0795B"/>
    <w:rsid w:val="00E07B28"/>
    <w:rsid w:val="00E101D0"/>
    <w:rsid w:val="00E1036C"/>
    <w:rsid w:val="00E1078F"/>
    <w:rsid w:val="00E11B39"/>
    <w:rsid w:val="00E13351"/>
    <w:rsid w:val="00E134A3"/>
    <w:rsid w:val="00E134CD"/>
    <w:rsid w:val="00E13B48"/>
    <w:rsid w:val="00E14397"/>
    <w:rsid w:val="00E149DF"/>
    <w:rsid w:val="00E15425"/>
    <w:rsid w:val="00E21163"/>
    <w:rsid w:val="00E2251A"/>
    <w:rsid w:val="00E22C83"/>
    <w:rsid w:val="00E23DA3"/>
    <w:rsid w:val="00E241B1"/>
    <w:rsid w:val="00E25024"/>
    <w:rsid w:val="00E25639"/>
    <w:rsid w:val="00E25868"/>
    <w:rsid w:val="00E260D7"/>
    <w:rsid w:val="00E27427"/>
    <w:rsid w:val="00E277E3"/>
    <w:rsid w:val="00E27ECE"/>
    <w:rsid w:val="00E30001"/>
    <w:rsid w:val="00E3125F"/>
    <w:rsid w:val="00E314AB"/>
    <w:rsid w:val="00E3209E"/>
    <w:rsid w:val="00E320C6"/>
    <w:rsid w:val="00E323F1"/>
    <w:rsid w:val="00E32705"/>
    <w:rsid w:val="00E33392"/>
    <w:rsid w:val="00E338EE"/>
    <w:rsid w:val="00E34246"/>
    <w:rsid w:val="00E343C8"/>
    <w:rsid w:val="00E36E54"/>
    <w:rsid w:val="00E424C8"/>
    <w:rsid w:val="00E44409"/>
    <w:rsid w:val="00E44C15"/>
    <w:rsid w:val="00E46CE7"/>
    <w:rsid w:val="00E47012"/>
    <w:rsid w:val="00E47B85"/>
    <w:rsid w:val="00E47F31"/>
    <w:rsid w:val="00E500A3"/>
    <w:rsid w:val="00E51420"/>
    <w:rsid w:val="00E5163A"/>
    <w:rsid w:val="00E524EB"/>
    <w:rsid w:val="00E52828"/>
    <w:rsid w:val="00E53141"/>
    <w:rsid w:val="00E539AE"/>
    <w:rsid w:val="00E540B9"/>
    <w:rsid w:val="00E54D4C"/>
    <w:rsid w:val="00E553A9"/>
    <w:rsid w:val="00E558D4"/>
    <w:rsid w:val="00E55A3A"/>
    <w:rsid w:val="00E55C89"/>
    <w:rsid w:val="00E567A6"/>
    <w:rsid w:val="00E56F6F"/>
    <w:rsid w:val="00E57D12"/>
    <w:rsid w:val="00E57D1B"/>
    <w:rsid w:val="00E6094C"/>
    <w:rsid w:val="00E61A37"/>
    <w:rsid w:val="00E632E5"/>
    <w:rsid w:val="00E63AB2"/>
    <w:rsid w:val="00E64180"/>
    <w:rsid w:val="00E64C8E"/>
    <w:rsid w:val="00E651B1"/>
    <w:rsid w:val="00E65916"/>
    <w:rsid w:val="00E66839"/>
    <w:rsid w:val="00E701F7"/>
    <w:rsid w:val="00E70A8D"/>
    <w:rsid w:val="00E70AE2"/>
    <w:rsid w:val="00E715BB"/>
    <w:rsid w:val="00E71C16"/>
    <w:rsid w:val="00E723B1"/>
    <w:rsid w:val="00E758BF"/>
    <w:rsid w:val="00E7603D"/>
    <w:rsid w:val="00E76EEE"/>
    <w:rsid w:val="00E83253"/>
    <w:rsid w:val="00E83D85"/>
    <w:rsid w:val="00E85013"/>
    <w:rsid w:val="00E86253"/>
    <w:rsid w:val="00E86E29"/>
    <w:rsid w:val="00E87852"/>
    <w:rsid w:val="00E902D8"/>
    <w:rsid w:val="00E90A3F"/>
    <w:rsid w:val="00E90AC1"/>
    <w:rsid w:val="00E91047"/>
    <w:rsid w:val="00E91FF7"/>
    <w:rsid w:val="00E92E86"/>
    <w:rsid w:val="00E9709E"/>
    <w:rsid w:val="00E970FC"/>
    <w:rsid w:val="00E97AC0"/>
    <w:rsid w:val="00E97BEF"/>
    <w:rsid w:val="00E97C36"/>
    <w:rsid w:val="00EA0183"/>
    <w:rsid w:val="00EA0212"/>
    <w:rsid w:val="00EA1392"/>
    <w:rsid w:val="00EA33D8"/>
    <w:rsid w:val="00EA345A"/>
    <w:rsid w:val="00EA3C93"/>
    <w:rsid w:val="00EA401C"/>
    <w:rsid w:val="00EA542A"/>
    <w:rsid w:val="00EA5D64"/>
    <w:rsid w:val="00EA5E7E"/>
    <w:rsid w:val="00EA6072"/>
    <w:rsid w:val="00EA63F1"/>
    <w:rsid w:val="00EA6929"/>
    <w:rsid w:val="00EA7920"/>
    <w:rsid w:val="00EB0010"/>
    <w:rsid w:val="00EB048D"/>
    <w:rsid w:val="00EB0E6C"/>
    <w:rsid w:val="00EB13CD"/>
    <w:rsid w:val="00EB14EA"/>
    <w:rsid w:val="00EB159F"/>
    <w:rsid w:val="00EB1EB1"/>
    <w:rsid w:val="00EB296D"/>
    <w:rsid w:val="00EB2C9B"/>
    <w:rsid w:val="00EB3387"/>
    <w:rsid w:val="00EB3CEF"/>
    <w:rsid w:val="00EB53B8"/>
    <w:rsid w:val="00EB5952"/>
    <w:rsid w:val="00EB6741"/>
    <w:rsid w:val="00EB6DDF"/>
    <w:rsid w:val="00EC04D2"/>
    <w:rsid w:val="00EC06C4"/>
    <w:rsid w:val="00EC0991"/>
    <w:rsid w:val="00EC135A"/>
    <w:rsid w:val="00EC1E9A"/>
    <w:rsid w:val="00EC2480"/>
    <w:rsid w:val="00EC3357"/>
    <w:rsid w:val="00EC3F6D"/>
    <w:rsid w:val="00EC4E0F"/>
    <w:rsid w:val="00EC7100"/>
    <w:rsid w:val="00EC79B4"/>
    <w:rsid w:val="00EC7ED0"/>
    <w:rsid w:val="00ED0AA0"/>
    <w:rsid w:val="00ED0D92"/>
    <w:rsid w:val="00ED0EA6"/>
    <w:rsid w:val="00ED23C8"/>
    <w:rsid w:val="00ED3DB5"/>
    <w:rsid w:val="00ED630E"/>
    <w:rsid w:val="00ED7BF7"/>
    <w:rsid w:val="00ED7DA9"/>
    <w:rsid w:val="00EE1533"/>
    <w:rsid w:val="00EE1D68"/>
    <w:rsid w:val="00EE2291"/>
    <w:rsid w:val="00EE2D00"/>
    <w:rsid w:val="00EE32B0"/>
    <w:rsid w:val="00EE411A"/>
    <w:rsid w:val="00EE4C8B"/>
    <w:rsid w:val="00EE50A8"/>
    <w:rsid w:val="00EE5A8E"/>
    <w:rsid w:val="00EE6097"/>
    <w:rsid w:val="00EE6CC8"/>
    <w:rsid w:val="00EE6FE0"/>
    <w:rsid w:val="00EE7621"/>
    <w:rsid w:val="00EF051D"/>
    <w:rsid w:val="00EF0AF5"/>
    <w:rsid w:val="00EF102E"/>
    <w:rsid w:val="00EF1056"/>
    <w:rsid w:val="00EF10A0"/>
    <w:rsid w:val="00EF10E9"/>
    <w:rsid w:val="00EF130B"/>
    <w:rsid w:val="00EF1787"/>
    <w:rsid w:val="00EF2529"/>
    <w:rsid w:val="00EF26E9"/>
    <w:rsid w:val="00EF38DC"/>
    <w:rsid w:val="00EF435A"/>
    <w:rsid w:val="00EF4D0E"/>
    <w:rsid w:val="00EF4DEE"/>
    <w:rsid w:val="00EF50EA"/>
    <w:rsid w:val="00EF57A3"/>
    <w:rsid w:val="00EF5C9E"/>
    <w:rsid w:val="00EF5E77"/>
    <w:rsid w:val="00EF6148"/>
    <w:rsid w:val="00EF7463"/>
    <w:rsid w:val="00EF7494"/>
    <w:rsid w:val="00EF7877"/>
    <w:rsid w:val="00F007C1"/>
    <w:rsid w:val="00F00F83"/>
    <w:rsid w:val="00F0137C"/>
    <w:rsid w:val="00F016F4"/>
    <w:rsid w:val="00F02939"/>
    <w:rsid w:val="00F056BB"/>
    <w:rsid w:val="00F05D1A"/>
    <w:rsid w:val="00F06749"/>
    <w:rsid w:val="00F06A45"/>
    <w:rsid w:val="00F07965"/>
    <w:rsid w:val="00F10E5C"/>
    <w:rsid w:val="00F113A6"/>
    <w:rsid w:val="00F114E0"/>
    <w:rsid w:val="00F12D23"/>
    <w:rsid w:val="00F130B4"/>
    <w:rsid w:val="00F1420A"/>
    <w:rsid w:val="00F14347"/>
    <w:rsid w:val="00F15173"/>
    <w:rsid w:val="00F15682"/>
    <w:rsid w:val="00F15E29"/>
    <w:rsid w:val="00F1652A"/>
    <w:rsid w:val="00F16733"/>
    <w:rsid w:val="00F17428"/>
    <w:rsid w:val="00F2016A"/>
    <w:rsid w:val="00F201D1"/>
    <w:rsid w:val="00F204FC"/>
    <w:rsid w:val="00F21873"/>
    <w:rsid w:val="00F21BA2"/>
    <w:rsid w:val="00F23DD9"/>
    <w:rsid w:val="00F24877"/>
    <w:rsid w:val="00F26979"/>
    <w:rsid w:val="00F27CCD"/>
    <w:rsid w:val="00F30359"/>
    <w:rsid w:val="00F304FD"/>
    <w:rsid w:val="00F30F9E"/>
    <w:rsid w:val="00F31B44"/>
    <w:rsid w:val="00F32D70"/>
    <w:rsid w:val="00F32FD9"/>
    <w:rsid w:val="00F3323C"/>
    <w:rsid w:val="00F33D5E"/>
    <w:rsid w:val="00F344AC"/>
    <w:rsid w:val="00F354F6"/>
    <w:rsid w:val="00F35C65"/>
    <w:rsid w:val="00F36AE1"/>
    <w:rsid w:val="00F37042"/>
    <w:rsid w:val="00F40CB4"/>
    <w:rsid w:val="00F4161E"/>
    <w:rsid w:val="00F41A59"/>
    <w:rsid w:val="00F41EE0"/>
    <w:rsid w:val="00F421BF"/>
    <w:rsid w:val="00F43009"/>
    <w:rsid w:val="00F431FE"/>
    <w:rsid w:val="00F4463E"/>
    <w:rsid w:val="00F44C74"/>
    <w:rsid w:val="00F4524C"/>
    <w:rsid w:val="00F47FA1"/>
    <w:rsid w:val="00F50784"/>
    <w:rsid w:val="00F522B4"/>
    <w:rsid w:val="00F547E0"/>
    <w:rsid w:val="00F5517F"/>
    <w:rsid w:val="00F55DEF"/>
    <w:rsid w:val="00F569EA"/>
    <w:rsid w:val="00F57B17"/>
    <w:rsid w:val="00F57E54"/>
    <w:rsid w:val="00F6105D"/>
    <w:rsid w:val="00F614AA"/>
    <w:rsid w:val="00F615E0"/>
    <w:rsid w:val="00F618B2"/>
    <w:rsid w:val="00F61B91"/>
    <w:rsid w:val="00F61CBB"/>
    <w:rsid w:val="00F629AB"/>
    <w:rsid w:val="00F641E1"/>
    <w:rsid w:val="00F64B54"/>
    <w:rsid w:val="00F65554"/>
    <w:rsid w:val="00F65637"/>
    <w:rsid w:val="00F67651"/>
    <w:rsid w:val="00F6796B"/>
    <w:rsid w:val="00F70386"/>
    <w:rsid w:val="00F703B3"/>
    <w:rsid w:val="00F7049C"/>
    <w:rsid w:val="00F7095F"/>
    <w:rsid w:val="00F723DF"/>
    <w:rsid w:val="00F729B5"/>
    <w:rsid w:val="00F731FD"/>
    <w:rsid w:val="00F73E23"/>
    <w:rsid w:val="00F74800"/>
    <w:rsid w:val="00F75520"/>
    <w:rsid w:val="00F7591C"/>
    <w:rsid w:val="00F7628F"/>
    <w:rsid w:val="00F7653E"/>
    <w:rsid w:val="00F77086"/>
    <w:rsid w:val="00F7729E"/>
    <w:rsid w:val="00F77FB2"/>
    <w:rsid w:val="00F80043"/>
    <w:rsid w:val="00F81E58"/>
    <w:rsid w:val="00F821AD"/>
    <w:rsid w:val="00F8228A"/>
    <w:rsid w:val="00F82C38"/>
    <w:rsid w:val="00F835DC"/>
    <w:rsid w:val="00F837DC"/>
    <w:rsid w:val="00F84239"/>
    <w:rsid w:val="00F843D0"/>
    <w:rsid w:val="00F857B1"/>
    <w:rsid w:val="00F85B9C"/>
    <w:rsid w:val="00F86069"/>
    <w:rsid w:val="00F90508"/>
    <w:rsid w:val="00F90944"/>
    <w:rsid w:val="00F92381"/>
    <w:rsid w:val="00F92F1C"/>
    <w:rsid w:val="00F94E29"/>
    <w:rsid w:val="00F95416"/>
    <w:rsid w:val="00F9621B"/>
    <w:rsid w:val="00F96586"/>
    <w:rsid w:val="00F97301"/>
    <w:rsid w:val="00F977DB"/>
    <w:rsid w:val="00F97EFD"/>
    <w:rsid w:val="00FA01BC"/>
    <w:rsid w:val="00FA0897"/>
    <w:rsid w:val="00FA0963"/>
    <w:rsid w:val="00FA11EF"/>
    <w:rsid w:val="00FA13F3"/>
    <w:rsid w:val="00FA1B88"/>
    <w:rsid w:val="00FA2B9A"/>
    <w:rsid w:val="00FA3A51"/>
    <w:rsid w:val="00FA3DD5"/>
    <w:rsid w:val="00FA4CAA"/>
    <w:rsid w:val="00FA54F5"/>
    <w:rsid w:val="00FA5A8B"/>
    <w:rsid w:val="00FA6D92"/>
    <w:rsid w:val="00FA6ECF"/>
    <w:rsid w:val="00FB1132"/>
    <w:rsid w:val="00FB1A31"/>
    <w:rsid w:val="00FB1A3A"/>
    <w:rsid w:val="00FB3BC4"/>
    <w:rsid w:val="00FB4A8A"/>
    <w:rsid w:val="00FB56F2"/>
    <w:rsid w:val="00FB5C43"/>
    <w:rsid w:val="00FB5FE2"/>
    <w:rsid w:val="00FB6221"/>
    <w:rsid w:val="00FB692D"/>
    <w:rsid w:val="00FB7019"/>
    <w:rsid w:val="00FB7580"/>
    <w:rsid w:val="00FB75F5"/>
    <w:rsid w:val="00FB7914"/>
    <w:rsid w:val="00FC0868"/>
    <w:rsid w:val="00FC1A9A"/>
    <w:rsid w:val="00FC1E1C"/>
    <w:rsid w:val="00FC36D5"/>
    <w:rsid w:val="00FC3FAB"/>
    <w:rsid w:val="00FC4254"/>
    <w:rsid w:val="00FC4D0D"/>
    <w:rsid w:val="00FC5ABB"/>
    <w:rsid w:val="00FC638F"/>
    <w:rsid w:val="00FC6452"/>
    <w:rsid w:val="00FC73A2"/>
    <w:rsid w:val="00FC7816"/>
    <w:rsid w:val="00FD0073"/>
    <w:rsid w:val="00FD08E5"/>
    <w:rsid w:val="00FD11EE"/>
    <w:rsid w:val="00FD1D4B"/>
    <w:rsid w:val="00FD2503"/>
    <w:rsid w:val="00FD284F"/>
    <w:rsid w:val="00FD2987"/>
    <w:rsid w:val="00FD39E1"/>
    <w:rsid w:val="00FD441B"/>
    <w:rsid w:val="00FD4D09"/>
    <w:rsid w:val="00FD582B"/>
    <w:rsid w:val="00FD63D5"/>
    <w:rsid w:val="00FD65D0"/>
    <w:rsid w:val="00FD6E4D"/>
    <w:rsid w:val="00FD7636"/>
    <w:rsid w:val="00FD7B2E"/>
    <w:rsid w:val="00FD7CD2"/>
    <w:rsid w:val="00FE0033"/>
    <w:rsid w:val="00FE0076"/>
    <w:rsid w:val="00FE02B1"/>
    <w:rsid w:val="00FE055B"/>
    <w:rsid w:val="00FE0C5A"/>
    <w:rsid w:val="00FE1233"/>
    <w:rsid w:val="00FE1F78"/>
    <w:rsid w:val="00FE2FED"/>
    <w:rsid w:val="00FE41A7"/>
    <w:rsid w:val="00FE426D"/>
    <w:rsid w:val="00FE45B9"/>
    <w:rsid w:val="00FE4E1F"/>
    <w:rsid w:val="00FE64FB"/>
    <w:rsid w:val="00FE69C5"/>
    <w:rsid w:val="00FE6B4A"/>
    <w:rsid w:val="00FE7101"/>
    <w:rsid w:val="00FE7163"/>
    <w:rsid w:val="00FE7694"/>
    <w:rsid w:val="00FF0F94"/>
    <w:rsid w:val="00FF14BF"/>
    <w:rsid w:val="00FF243A"/>
    <w:rsid w:val="00FF27CF"/>
    <w:rsid w:val="00FF2BB6"/>
    <w:rsid w:val="00FF35C8"/>
    <w:rsid w:val="00FF397F"/>
    <w:rsid w:val="00FF3D93"/>
    <w:rsid w:val="00FF481B"/>
    <w:rsid w:val="00FF5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32E441"/>
  <w15:docId w15:val="{BBDEA686-4D99-4A7A-AE23-8DEA0FAB5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306"/>
    <w:pPr>
      <w:spacing w:line="360" w:lineRule="auto"/>
    </w:pPr>
    <w:rPr>
      <w:rFonts w:ascii="Arial" w:hAnsi="Arial"/>
    </w:rPr>
  </w:style>
  <w:style w:type="paragraph" w:styleId="Heading1">
    <w:name w:val="heading 1"/>
    <w:basedOn w:val="Normal"/>
    <w:next w:val="Normal"/>
    <w:link w:val="Heading1Char"/>
    <w:uiPriority w:val="9"/>
    <w:qFormat/>
    <w:rsid w:val="002E6306"/>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E6306"/>
    <w:pPr>
      <w:keepNext/>
      <w:keepLines/>
      <w:numPr>
        <w:ilvl w:val="1"/>
        <w:numId w:val="1"/>
      </w:numPr>
      <w:spacing w:before="40" w:after="0"/>
      <w:ind w:left="576"/>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1"/>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306"/>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2E6306"/>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A50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900"/>
    <w:rPr>
      <w:rFonts w:ascii="Arial" w:hAnsi="Arial"/>
    </w:rPr>
  </w:style>
  <w:style w:type="paragraph" w:styleId="Footer">
    <w:name w:val="footer"/>
    <w:basedOn w:val="Normal"/>
    <w:link w:val="FooterChar"/>
    <w:uiPriority w:val="99"/>
    <w:unhideWhenUsed/>
    <w:rsid w:val="00A50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900"/>
    <w:rPr>
      <w:rFonts w:ascii="Arial" w:hAnsi="Arial"/>
    </w:rPr>
  </w:style>
  <w:style w:type="paragraph" w:styleId="TOC2">
    <w:name w:val="toc 2"/>
    <w:basedOn w:val="Normal"/>
    <w:next w:val="Normal"/>
    <w:autoRedefine/>
    <w:uiPriority w:val="39"/>
    <w:unhideWhenUsed/>
    <w:rsid w:val="00433677"/>
    <w:pPr>
      <w:spacing w:after="100" w:line="259" w:lineRule="auto"/>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433677"/>
    <w:pPr>
      <w:spacing w:after="100" w:line="259" w:lineRule="auto"/>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433677"/>
    <w:pPr>
      <w:spacing w:after="100" w:line="259" w:lineRule="auto"/>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433677"/>
    <w:rPr>
      <w:color w:val="0563C1" w:themeColor="hyperlink"/>
      <w:u w:val="single"/>
    </w:rPr>
  </w:style>
  <w:style w:type="paragraph" w:styleId="Caption">
    <w:name w:val="caption"/>
    <w:basedOn w:val="Normal"/>
    <w:next w:val="Normal"/>
    <w:uiPriority w:val="35"/>
    <w:unhideWhenUsed/>
    <w:qFormat/>
    <w:rsid w:val="002C4FE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5516E"/>
    <w:pPr>
      <w:spacing w:after="0"/>
    </w:pPr>
  </w:style>
  <w:style w:type="paragraph" w:styleId="Bibliography">
    <w:name w:val="Bibliography"/>
    <w:basedOn w:val="Normal"/>
    <w:next w:val="Normal"/>
    <w:uiPriority w:val="37"/>
    <w:unhideWhenUsed/>
    <w:rsid w:val="00B26CAF"/>
  </w:style>
  <w:style w:type="character" w:customStyle="1" w:styleId="fontsizexlarge">
    <w:name w:val="fontsizexlarge"/>
    <w:basedOn w:val="DefaultParagraphFont"/>
    <w:rsid w:val="00451887"/>
  </w:style>
  <w:style w:type="table" w:customStyle="1" w:styleId="TableGrid0">
    <w:name w:val="TableGrid"/>
    <w:rsid w:val="009C7CB5"/>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6500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669C7"/>
    <w:rPr>
      <w:i/>
      <w:iCs/>
    </w:rPr>
  </w:style>
  <w:style w:type="character" w:styleId="UnresolvedMention">
    <w:name w:val="Unresolved Mention"/>
    <w:basedOn w:val="DefaultParagraphFont"/>
    <w:uiPriority w:val="99"/>
    <w:semiHidden/>
    <w:unhideWhenUsed/>
    <w:rsid w:val="002A0783"/>
    <w:rPr>
      <w:color w:val="605E5C"/>
      <w:shd w:val="clear" w:color="auto" w:fill="E1DFDD"/>
    </w:rPr>
  </w:style>
  <w:style w:type="table" w:styleId="GridTable4">
    <w:name w:val="Grid Table 4"/>
    <w:basedOn w:val="TableNormal"/>
    <w:uiPriority w:val="49"/>
    <w:rsid w:val="00C05B7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apple-converted-space">
    <w:name w:val="apple-converted-space"/>
    <w:basedOn w:val="DefaultParagraphFont"/>
    <w:rsid w:val="00BD209F"/>
  </w:style>
  <w:style w:type="character" w:styleId="FollowedHyperlink">
    <w:name w:val="FollowedHyperlink"/>
    <w:basedOn w:val="DefaultParagraphFont"/>
    <w:uiPriority w:val="99"/>
    <w:semiHidden/>
    <w:unhideWhenUsed/>
    <w:rsid w:val="007604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62259">
      <w:bodyDiv w:val="1"/>
      <w:marLeft w:val="0"/>
      <w:marRight w:val="0"/>
      <w:marTop w:val="0"/>
      <w:marBottom w:val="0"/>
      <w:divBdr>
        <w:top w:val="none" w:sz="0" w:space="0" w:color="auto"/>
        <w:left w:val="none" w:sz="0" w:space="0" w:color="auto"/>
        <w:bottom w:val="none" w:sz="0" w:space="0" w:color="auto"/>
        <w:right w:val="none" w:sz="0" w:space="0" w:color="auto"/>
      </w:divBdr>
    </w:div>
    <w:div w:id="39017280">
      <w:bodyDiv w:val="1"/>
      <w:marLeft w:val="0"/>
      <w:marRight w:val="0"/>
      <w:marTop w:val="0"/>
      <w:marBottom w:val="0"/>
      <w:divBdr>
        <w:top w:val="none" w:sz="0" w:space="0" w:color="auto"/>
        <w:left w:val="none" w:sz="0" w:space="0" w:color="auto"/>
        <w:bottom w:val="none" w:sz="0" w:space="0" w:color="auto"/>
        <w:right w:val="none" w:sz="0" w:space="0" w:color="auto"/>
      </w:divBdr>
    </w:div>
    <w:div w:id="51393582">
      <w:bodyDiv w:val="1"/>
      <w:marLeft w:val="0"/>
      <w:marRight w:val="0"/>
      <w:marTop w:val="0"/>
      <w:marBottom w:val="0"/>
      <w:divBdr>
        <w:top w:val="none" w:sz="0" w:space="0" w:color="auto"/>
        <w:left w:val="none" w:sz="0" w:space="0" w:color="auto"/>
        <w:bottom w:val="none" w:sz="0" w:space="0" w:color="auto"/>
        <w:right w:val="none" w:sz="0" w:space="0" w:color="auto"/>
      </w:divBdr>
    </w:div>
    <w:div w:id="56829810">
      <w:bodyDiv w:val="1"/>
      <w:marLeft w:val="0"/>
      <w:marRight w:val="0"/>
      <w:marTop w:val="0"/>
      <w:marBottom w:val="0"/>
      <w:divBdr>
        <w:top w:val="none" w:sz="0" w:space="0" w:color="auto"/>
        <w:left w:val="none" w:sz="0" w:space="0" w:color="auto"/>
        <w:bottom w:val="none" w:sz="0" w:space="0" w:color="auto"/>
        <w:right w:val="none" w:sz="0" w:space="0" w:color="auto"/>
      </w:divBdr>
    </w:div>
    <w:div w:id="64497745">
      <w:bodyDiv w:val="1"/>
      <w:marLeft w:val="0"/>
      <w:marRight w:val="0"/>
      <w:marTop w:val="0"/>
      <w:marBottom w:val="0"/>
      <w:divBdr>
        <w:top w:val="none" w:sz="0" w:space="0" w:color="auto"/>
        <w:left w:val="none" w:sz="0" w:space="0" w:color="auto"/>
        <w:bottom w:val="none" w:sz="0" w:space="0" w:color="auto"/>
        <w:right w:val="none" w:sz="0" w:space="0" w:color="auto"/>
      </w:divBdr>
    </w:div>
    <w:div w:id="70859975">
      <w:bodyDiv w:val="1"/>
      <w:marLeft w:val="0"/>
      <w:marRight w:val="0"/>
      <w:marTop w:val="0"/>
      <w:marBottom w:val="0"/>
      <w:divBdr>
        <w:top w:val="none" w:sz="0" w:space="0" w:color="auto"/>
        <w:left w:val="none" w:sz="0" w:space="0" w:color="auto"/>
        <w:bottom w:val="none" w:sz="0" w:space="0" w:color="auto"/>
        <w:right w:val="none" w:sz="0" w:space="0" w:color="auto"/>
      </w:divBdr>
    </w:div>
    <w:div w:id="92288767">
      <w:bodyDiv w:val="1"/>
      <w:marLeft w:val="0"/>
      <w:marRight w:val="0"/>
      <w:marTop w:val="0"/>
      <w:marBottom w:val="0"/>
      <w:divBdr>
        <w:top w:val="none" w:sz="0" w:space="0" w:color="auto"/>
        <w:left w:val="none" w:sz="0" w:space="0" w:color="auto"/>
        <w:bottom w:val="none" w:sz="0" w:space="0" w:color="auto"/>
        <w:right w:val="none" w:sz="0" w:space="0" w:color="auto"/>
      </w:divBdr>
    </w:div>
    <w:div w:id="133370645">
      <w:bodyDiv w:val="1"/>
      <w:marLeft w:val="0"/>
      <w:marRight w:val="0"/>
      <w:marTop w:val="0"/>
      <w:marBottom w:val="0"/>
      <w:divBdr>
        <w:top w:val="none" w:sz="0" w:space="0" w:color="auto"/>
        <w:left w:val="none" w:sz="0" w:space="0" w:color="auto"/>
        <w:bottom w:val="none" w:sz="0" w:space="0" w:color="auto"/>
        <w:right w:val="none" w:sz="0" w:space="0" w:color="auto"/>
      </w:divBdr>
    </w:div>
    <w:div w:id="177744924">
      <w:bodyDiv w:val="1"/>
      <w:marLeft w:val="0"/>
      <w:marRight w:val="0"/>
      <w:marTop w:val="0"/>
      <w:marBottom w:val="0"/>
      <w:divBdr>
        <w:top w:val="none" w:sz="0" w:space="0" w:color="auto"/>
        <w:left w:val="none" w:sz="0" w:space="0" w:color="auto"/>
        <w:bottom w:val="none" w:sz="0" w:space="0" w:color="auto"/>
        <w:right w:val="none" w:sz="0" w:space="0" w:color="auto"/>
      </w:divBdr>
    </w:div>
    <w:div w:id="195316629">
      <w:bodyDiv w:val="1"/>
      <w:marLeft w:val="0"/>
      <w:marRight w:val="0"/>
      <w:marTop w:val="0"/>
      <w:marBottom w:val="0"/>
      <w:divBdr>
        <w:top w:val="none" w:sz="0" w:space="0" w:color="auto"/>
        <w:left w:val="none" w:sz="0" w:space="0" w:color="auto"/>
        <w:bottom w:val="none" w:sz="0" w:space="0" w:color="auto"/>
        <w:right w:val="none" w:sz="0" w:space="0" w:color="auto"/>
      </w:divBdr>
    </w:div>
    <w:div w:id="200021246">
      <w:bodyDiv w:val="1"/>
      <w:marLeft w:val="0"/>
      <w:marRight w:val="0"/>
      <w:marTop w:val="0"/>
      <w:marBottom w:val="0"/>
      <w:divBdr>
        <w:top w:val="none" w:sz="0" w:space="0" w:color="auto"/>
        <w:left w:val="none" w:sz="0" w:space="0" w:color="auto"/>
        <w:bottom w:val="none" w:sz="0" w:space="0" w:color="auto"/>
        <w:right w:val="none" w:sz="0" w:space="0" w:color="auto"/>
      </w:divBdr>
    </w:div>
    <w:div w:id="206845450">
      <w:bodyDiv w:val="1"/>
      <w:marLeft w:val="0"/>
      <w:marRight w:val="0"/>
      <w:marTop w:val="0"/>
      <w:marBottom w:val="0"/>
      <w:divBdr>
        <w:top w:val="none" w:sz="0" w:space="0" w:color="auto"/>
        <w:left w:val="none" w:sz="0" w:space="0" w:color="auto"/>
        <w:bottom w:val="none" w:sz="0" w:space="0" w:color="auto"/>
        <w:right w:val="none" w:sz="0" w:space="0" w:color="auto"/>
      </w:divBdr>
    </w:div>
    <w:div w:id="218829840">
      <w:bodyDiv w:val="1"/>
      <w:marLeft w:val="0"/>
      <w:marRight w:val="0"/>
      <w:marTop w:val="0"/>
      <w:marBottom w:val="0"/>
      <w:divBdr>
        <w:top w:val="none" w:sz="0" w:space="0" w:color="auto"/>
        <w:left w:val="none" w:sz="0" w:space="0" w:color="auto"/>
        <w:bottom w:val="none" w:sz="0" w:space="0" w:color="auto"/>
        <w:right w:val="none" w:sz="0" w:space="0" w:color="auto"/>
      </w:divBdr>
      <w:divsChild>
        <w:div w:id="749935435">
          <w:blockQuote w:val="1"/>
          <w:marLeft w:val="720"/>
          <w:marRight w:val="720"/>
          <w:marTop w:val="100"/>
          <w:marBottom w:val="100"/>
          <w:divBdr>
            <w:top w:val="none" w:sz="0" w:space="0" w:color="auto"/>
            <w:left w:val="none" w:sz="0" w:space="0" w:color="auto"/>
            <w:bottom w:val="none" w:sz="0" w:space="0" w:color="auto"/>
            <w:right w:val="none" w:sz="0" w:space="0" w:color="auto"/>
          </w:divBdr>
        </w:div>
        <w:div w:id="253125657">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123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1018058">
      <w:bodyDiv w:val="1"/>
      <w:marLeft w:val="0"/>
      <w:marRight w:val="0"/>
      <w:marTop w:val="0"/>
      <w:marBottom w:val="0"/>
      <w:divBdr>
        <w:top w:val="none" w:sz="0" w:space="0" w:color="auto"/>
        <w:left w:val="none" w:sz="0" w:space="0" w:color="auto"/>
        <w:bottom w:val="none" w:sz="0" w:space="0" w:color="auto"/>
        <w:right w:val="none" w:sz="0" w:space="0" w:color="auto"/>
      </w:divBdr>
    </w:div>
    <w:div w:id="311060594">
      <w:bodyDiv w:val="1"/>
      <w:marLeft w:val="0"/>
      <w:marRight w:val="0"/>
      <w:marTop w:val="0"/>
      <w:marBottom w:val="0"/>
      <w:divBdr>
        <w:top w:val="none" w:sz="0" w:space="0" w:color="auto"/>
        <w:left w:val="none" w:sz="0" w:space="0" w:color="auto"/>
        <w:bottom w:val="none" w:sz="0" w:space="0" w:color="auto"/>
        <w:right w:val="none" w:sz="0" w:space="0" w:color="auto"/>
      </w:divBdr>
    </w:div>
    <w:div w:id="315308142">
      <w:bodyDiv w:val="1"/>
      <w:marLeft w:val="0"/>
      <w:marRight w:val="0"/>
      <w:marTop w:val="0"/>
      <w:marBottom w:val="0"/>
      <w:divBdr>
        <w:top w:val="none" w:sz="0" w:space="0" w:color="auto"/>
        <w:left w:val="none" w:sz="0" w:space="0" w:color="auto"/>
        <w:bottom w:val="none" w:sz="0" w:space="0" w:color="auto"/>
        <w:right w:val="none" w:sz="0" w:space="0" w:color="auto"/>
      </w:divBdr>
    </w:div>
    <w:div w:id="340593138">
      <w:bodyDiv w:val="1"/>
      <w:marLeft w:val="0"/>
      <w:marRight w:val="0"/>
      <w:marTop w:val="0"/>
      <w:marBottom w:val="0"/>
      <w:divBdr>
        <w:top w:val="none" w:sz="0" w:space="0" w:color="auto"/>
        <w:left w:val="none" w:sz="0" w:space="0" w:color="auto"/>
        <w:bottom w:val="none" w:sz="0" w:space="0" w:color="auto"/>
        <w:right w:val="none" w:sz="0" w:space="0" w:color="auto"/>
      </w:divBdr>
    </w:div>
    <w:div w:id="351078819">
      <w:bodyDiv w:val="1"/>
      <w:marLeft w:val="0"/>
      <w:marRight w:val="0"/>
      <w:marTop w:val="0"/>
      <w:marBottom w:val="0"/>
      <w:divBdr>
        <w:top w:val="none" w:sz="0" w:space="0" w:color="auto"/>
        <w:left w:val="none" w:sz="0" w:space="0" w:color="auto"/>
        <w:bottom w:val="none" w:sz="0" w:space="0" w:color="auto"/>
        <w:right w:val="none" w:sz="0" w:space="0" w:color="auto"/>
      </w:divBdr>
    </w:div>
    <w:div w:id="351953676">
      <w:bodyDiv w:val="1"/>
      <w:marLeft w:val="0"/>
      <w:marRight w:val="0"/>
      <w:marTop w:val="0"/>
      <w:marBottom w:val="0"/>
      <w:divBdr>
        <w:top w:val="none" w:sz="0" w:space="0" w:color="auto"/>
        <w:left w:val="none" w:sz="0" w:space="0" w:color="auto"/>
        <w:bottom w:val="none" w:sz="0" w:space="0" w:color="auto"/>
        <w:right w:val="none" w:sz="0" w:space="0" w:color="auto"/>
      </w:divBdr>
    </w:div>
    <w:div w:id="353503761">
      <w:bodyDiv w:val="1"/>
      <w:marLeft w:val="0"/>
      <w:marRight w:val="0"/>
      <w:marTop w:val="0"/>
      <w:marBottom w:val="0"/>
      <w:divBdr>
        <w:top w:val="none" w:sz="0" w:space="0" w:color="auto"/>
        <w:left w:val="none" w:sz="0" w:space="0" w:color="auto"/>
        <w:bottom w:val="none" w:sz="0" w:space="0" w:color="auto"/>
        <w:right w:val="none" w:sz="0" w:space="0" w:color="auto"/>
      </w:divBdr>
    </w:div>
    <w:div w:id="386034352">
      <w:bodyDiv w:val="1"/>
      <w:marLeft w:val="0"/>
      <w:marRight w:val="0"/>
      <w:marTop w:val="0"/>
      <w:marBottom w:val="0"/>
      <w:divBdr>
        <w:top w:val="none" w:sz="0" w:space="0" w:color="auto"/>
        <w:left w:val="none" w:sz="0" w:space="0" w:color="auto"/>
        <w:bottom w:val="none" w:sz="0" w:space="0" w:color="auto"/>
        <w:right w:val="none" w:sz="0" w:space="0" w:color="auto"/>
      </w:divBdr>
    </w:div>
    <w:div w:id="407314802">
      <w:bodyDiv w:val="1"/>
      <w:marLeft w:val="0"/>
      <w:marRight w:val="0"/>
      <w:marTop w:val="0"/>
      <w:marBottom w:val="0"/>
      <w:divBdr>
        <w:top w:val="none" w:sz="0" w:space="0" w:color="auto"/>
        <w:left w:val="none" w:sz="0" w:space="0" w:color="auto"/>
        <w:bottom w:val="none" w:sz="0" w:space="0" w:color="auto"/>
        <w:right w:val="none" w:sz="0" w:space="0" w:color="auto"/>
      </w:divBdr>
    </w:div>
    <w:div w:id="442727897">
      <w:bodyDiv w:val="1"/>
      <w:marLeft w:val="0"/>
      <w:marRight w:val="0"/>
      <w:marTop w:val="0"/>
      <w:marBottom w:val="0"/>
      <w:divBdr>
        <w:top w:val="none" w:sz="0" w:space="0" w:color="auto"/>
        <w:left w:val="none" w:sz="0" w:space="0" w:color="auto"/>
        <w:bottom w:val="none" w:sz="0" w:space="0" w:color="auto"/>
        <w:right w:val="none" w:sz="0" w:space="0" w:color="auto"/>
      </w:divBdr>
    </w:div>
    <w:div w:id="444422361">
      <w:bodyDiv w:val="1"/>
      <w:marLeft w:val="0"/>
      <w:marRight w:val="0"/>
      <w:marTop w:val="0"/>
      <w:marBottom w:val="0"/>
      <w:divBdr>
        <w:top w:val="none" w:sz="0" w:space="0" w:color="auto"/>
        <w:left w:val="none" w:sz="0" w:space="0" w:color="auto"/>
        <w:bottom w:val="none" w:sz="0" w:space="0" w:color="auto"/>
        <w:right w:val="none" w:sz="0" w:space="0" w:color="auto"/>
      </w:divBdr>
    </w:div>
    <w:div w:id="450436706">
      <w:bodyDiv w:val="1"/>
      <w:marLeft w:val="0"/>
      <w:marRight w:val="0"/>
      <w:marTop w:val="0"/>
      <w:marBottom w:val="0"/>
      <w:divBdr>
        <w:top w:val="none" w:sz="0" w:space="0" w:color="auto"/>
        <w:left w:val="none" w:sz="0" w:space="0" w:color="auto"/>
        <w:bottom w:val="none" w:sz="0" w:space="0" w:color="auto"/>
        <w:right w:val="none" w:sz="0" w:space="0" w:color="auto"/>
      </w:divBdr>
    </w:div>
    <w:div w:id="451243684">
      <w:bodyDiv w:val="1"/>
      <w:marLeft w:val="0"/>
      <w:marRight w:val="0"/>
      <w:marTop w:val="0"/>
      <w:marBottom w:val="0"/>
      <w:divBdr>
        <w:top w:val="none" w:sz="0" w:space="0" w:color="auto"/>
        <w:left w:val="none" w:sz="0" w:space="0" w:color="auto"/>
        <w:bottom w:val="none" w:sz="0" w:space="0" w:color="auto"/>
        <w:right w:val="none" w:sz="0" w:space="0" w:color="auto"/>
      </w:divBdr>
    </w:div>
    <w:div w:id="455370989">
      <w:bodyDiv w:val="1"/>
      <w:marLeft w:val="0"/>
      <w:marRight w:val="0"/>
      <w:marTop w:val="0"/>
      <w:marBottom w:val="0"/>
      <w:divBdr>
        <w:top w:val="none" w:sz="0" w:space="0" w:color="auto"/>
        <w:left w:val="none" w:sz="0" w:space="0" w:color="auto"/>
        <w:bottom w:val="none" w:sz="0" w:space="0" w:color="auto"/>
        <w:right w:val="none" w:sz="0" w:space="0" w:color="auto"/>
      </w:divBdr>
    </w:div>
    <w:div w:id="491795517">
      <w:bodyDiv w:val="1"/>
      <w:marLeft w:val="0"/>
      <w:marRight w:val="0"/>
      <w:marTop w:val="0"/>
      <w:marBottom w:val="0"/>
      <w:divBdr>
        <w:top w:val="none" w:sz="0" w:space="0" w:color="auto"/>
        <w:left w:val="none" w:sz="0" w:space="0" w:color="auto"/>
        <w:bottom w:val="none" w:sz="0" w:space="0" w:color="auto"/>
        <w:right w:val="none" w:sz="0" w:space="0" w:color="auto"/>
      </w:divBdr>
    </w:div>
    <w:div w:id="492766265">
      <w:bodyDiv w:val="1"/>
      <w:marLeft w:val="0"/>
      <w:marRight w:val="0"/>
      <w:marTop w:val="0"/>
      <w:marBottom w:val="0"/>
      <w:divBdr>
        <w:top w:val="none" w:sz="0" w:space="0" w:color="auto"/>
        <w:left w:val="none" w:sz="0" w:space="0" w:color="auto"/>
        <w:bottom w:val="none" w:sz="0" w:space="0" w:color="auto"/>
        <w:right w:val="none" w:sz="0" w:space="0" w:color="auto"/>
      </w:divBdr>
    </w:div>
    <w:div w:id="524946822">
      <w:bodyDiv w:val="1"/>
      <w:marLeft w:val="0"/>
      <w:marRight w:val="0"/>
      <w:marTop w:val="0"/>
      <w:marBottom w:val="0"/>
      <w:divBdr>
        <w:top w:val="none" w:sz="0" w:space="0" w:color="auto"/>
        <w:left w:val="none" w:sz="0" w:space="0" w:color="auto"/>
        <w:bottom w:val="none" w:sz="0" w:space="0" w:color="auto"/>
        <w:right w:val="none" w:sz="0" w:space="0" w:color="auto"/>
      </w:divBdr>
    </w:div>
    <w:div w:id="531384133">
      <w:bodyDiv w:val="1"/>
      <w:marLeft w:val="0"/>
      <w:marRight w:val="0"/>
      <w:marTop w:val="0"/>
      <w:marBottom w:val="0"/>
      <w:divBdr>
        <w:top w:val="none" w:sz="0" w:space="0" w:color="auto"/>
        <w:left w:val="none" w:sz="0" w:space="0" w:color="auto"/>
        <w:bottom w:val="none" w:sz="0" w:space="0" w:color="auto"/>
        <w:right w:val="none" w:sz="0" w:space="0" w:color="auto"/>
      </w:divBdr>
    </w:div>
    <w:div w:id="549540256">
      <w:bodyDiv w:val="1"/>
      <w:marLeft w:val="0"/>
      <w:marRight w:val="0"/>
      <w:marTop w:val="0"/>
      <w:marBottom w:val="0"/>
      <w:divBdr>
        <w:top w:val="none" w:sz="0" w:space="0" w:color="auto"/>
        <w:left w:val="none" w:sz="0" w:space="0" w:color="auto"/>
        <w:bottom w:val="none" w:sz="0" w:space="0" w:color="auto"/>
        <w:right w:val="none" w:sz="0" w:space="0" w:color="auto"/>
      </w:divBdr>
    </w:div>
    <w:div w:id="555051145">
      <w:bodyDiv w:val="1"/>
      <w:marLeft w:val="0"/>
      <w:marRight w:val="0"/>
      <w:marTop w:val="0"/>
      <w:marBottom w:val="0"/>
      <w:divBdr>
        <w:top w:val="none" w:sz="0" w:space="0" w:color="auto"/>
        <w:left w:val="none" w:sz="0" w:space="0" w:color="auto"/>
        <w:bottom w:val="none" w:sz="0" w:space="0" w:color="auto"/>
        <w:right w:val="none" w:sz="0" w:space="0" w:color="auto"/>
      </w:divBdr>
    </w:div>
    <w:div w:id="557516929">
      <w:bodyDiv w:val="1"/>
      <w:marLeft w:val="0"/>
      <w:marRight w:val="0"/>
      <w:marTop w:val="0"/>
      <w:marBottom w:val="0"/>
      <w:divBdr>
        <w:top w:val="none" w:sz="0" w:space="0" w:color="auto"/>
        <w:left w:val="none" w:sz="0" w:space="0" w:color="auto"/>
        <w:bottom w:val="none" w:sz="0" w:space="0" w:color="auto"/>
        <w:right w:val="none" w:sz="0" w:space="0" w:color="auto"/>
      </w:divBdr>
    </w:div>
    <w:div w:id="575556711">
      <w:bodyDiv w:val="1"/>
      <w:marLeft w:val="0"/>
      <w:marRight w:val="0"/>
      <w:marTop w:val="0"/>
      <w:marBottom w:val="0"/>
      <w:divBdr>
        <w:top w:val="none" w:sz="0" w:space="0" w:color="auto"/>
        <w:left w:val="none" w:sz="0" w:space="0" w:color="auto"/>
        <w:bottom w:val="none" w:sz="0" w:space="0" w:color="auto"/>
        <w:right w:val="none" w:sz="0" w:space="0" w:color="auto"/>
      </w:divBdr>
    </w:div>
    <w:div w:id="612978251">
      <w:bodyDiv w:val="1"/>
      <w:marLeft w:val="0"/>
      <w:marRight w:val="0"/>
      <w:marTop w:val="0"/>
      <w:marBottom w:val="0"/>
      <w:divBdr>
        <w:top w:val="none" w:sz="0" w:space="0" w:color="auto"/>
        <w:left w:val="none" w:sz="0" w:space="0" w:color="auto"/>
        <w:bottom w:val="none" w:sz="0" w:space="0" w:color="auto"/>
        <w:right w:val="none" w:sz="0" w:space="0" w:color="auto"/>
      </w:divBdr>
    </w:div>
    <w:div w:id="682702919">
      <w:bodyDiv w:val="1"/>
      <w:marLeft w:val="0"/>
      <w:marRight w:val="0"/>
      <w:marTop w:val="0"/>
      <w:marBottom w:val="0"/>
      <w:divBdr>
        <w:top w:val="none" w:sz="0" w:space="0" w:color="auto"/>
        <w:left w:val="none" w:sz="0" w:space="0" w:color="auto"/>
        <w:bottom w:val="none" w:sz="0" w:space="0" w:color="auto"/>
        <w:right w:val="none" w:sz="0" w:space="0" w:color="auto"/>
      </w:divBdr>
    </w:div>
    <w:div w:id="708651295">
      <w:bodyDiv w:val="1"/>
      <w:marLeft w:val="0"/>
      <w:marRight w:val="0"/>
      <w:marTop w:val="0"/>
      <w:marBottom w:val="0"/>
      <w:divBdr>
        <w:top w:val="none" w:sz="0" w:space="0" w:color="auto"/>
        <w:left w:val="none" w:sz="0" w:space="0" w:color="auto"/>
        <w:bottom w:val="none" w:sz="0" w:space="0" w:color="auto"/>
        <w:right w:val="none" w:sz="0" w:space="0" w:color="auto"/>
      </w:divBdr>
    </w:div>
    <w:div w:id="712316858">
      <w:bodyDiv w:val="1"/>
      <w:marLeft w:val="0"/>
      <w:marRight w:val="0"/>
      <w:marTop w:val="0"/>
      <w:marBottom w:val="0"/>
      <w:divBdr>
        <w:top w:val="none" w:sz="0" w:space="0" w:color="auto"/>
        <w:left w:val="none" w:sz="0" w:space="0" w:color="auto"/>
        <w:bottom w:val="none" w:sz="0" w:space="0" w:color="auto"/>
        <w:right w:val="none" w:sz="0" w:space="0" w:color="auto"/>
      </w:divBdr>
    </w:div>
    <w:div w:id="737093307">
      <w:bodyDiv w:val="1"/>
      <w:marLeft w:val="0"/>
      <w:marRight w:val="0"/>
      <w:marTop w:val="0"/>
      <w:marBottom w:val="0"/>
      <w:divBdr>
        <w:top w:val="none" w:sz="0" w:space="0" w:color="auto"/>
        <w:left w:val="none" w:sz="0" w:space="0" w:color="auto"/>
        <w:bottom w:val="none" w:sz="0" w:space="0" w:color="auto"/>
        <w:right w:val="none" w:sz="0" w:space="0" w:color="auto"/>
      </w:divBdr>
    </w:div>
    <w:div w:id="766191297">
      <w:bodyDiv w:val="1"/>
      <w:marLeft w:val="0"/>
      <w:marRight w:val="0"/>
      <w:marTop w:val="0"/>
      <w:marBottom w:val="0"/>
      <w:divBdr>
        <w:top w:val="none" w:sz="0" w:space="0" w:color="auto"/>
        <w:left w:val="none" w:sz="0" w:space="0" w:color="auto"/>
        <w:bottom w:val="none" w:sz="0" w:space="0" w:color="auto"/>
        <w:right w:val="none" w:sz="0" w:space="0" w:color="auto"/>
      </w:divBdr>
    </w:div>
    <w:div w:id="775489442">
      <w:bodyDiv w:val="1"/>
      <w:marLeft w:val="0"/>
      <w:marRight w:val="0"/>
      <w:marTop w:val="0"/>
      <w:marBottom w:val="0"/>
      <w:divBdr>
        <w:top w:val="none" w:sz="0" w:space="0" w:color="auto"/>
        <w:left w:val="none" w:sz="0" w:space="0" w:color="auto"/>
        <w:bottom w:val="none" w:sz="0" w:space="0" w:color="auto"/>
        <w:right w:val="none" w:sz="0" w:space="0" w:color="auto"/>
      </w:divBdr>
    </w:div>
    <w:div w:id="777724191">
      <w:bodyDiv w:val="1"/>
      <w:marLeft w:val="0"/>
      <w:marRight w:val="0"/>
      <w:marTop w:val="0"/>
      <w:marBottom w:val="0"/>
      <w:divBdr>
        <w:top w:val="none" w:sz="0" w:space="0" w:color="auto"/>
        <w:left w:val="none" w:sz="0" w:space="0" w:color="auto"/>
        <w:bottom w:val="none" w:sz="0" w:space="0" w:color="auto"/>
        <w:right w:val="none" w:sz="0" w:space="0" w:color="auto"/>
      </w:divBdr>
    </w:div>
    <w:div w:id="783815248">
      <w:bodyDiv w:val="1"/>
      <w:marLeft w:val="0"/>
      <w:marRight w:val="0"/>
      <w:marTop w:val="0"/>
      <w:marBottom w:val="0"/>
      <w:divBdr>
        <w:top w:val="none" w:sz="0" w:space="0" w:color="auto"/>
        <w:left w:val="none" w:sz="0" w:space="0" w:color="auto"/>
        <w:bottom w:val="none" w:sz="0" w:space="0" w:color="auto"/>
        <w:right w:val="none" w:sz="0" w:space="0" w:color="auto"/>
      </w:divBdr>
    </w:div>
    <w:div w:id="795950507">
      <w:bodyDiv w:val="1"/>
      <w:marLeft w:val="0"/>
      <w:marRight w:val="0"/>
      <w:marTop w:val="0"/>
      <w:marBottom w:val="0"/>
      <w:divBdr>
        <w:top w:val="none" w:sz="0" w:space="0" w:color="auto"/>
        <w:left w:val="none" w:sz="0" w:space="0" w:color="auto"/>
        <w:bottom w:val="none" w:sz="0" w:space="0" w:color="auto"/>
        <w:right w:val="none" w:sz="0" w:space="0" w:color="auto"/>
      </w:divBdr>
    </w:div>
    <w:div w:id="857740297">
      <w:bodyDiv w:val="1"/>
      <w:marLeft w:val="0"/>
      <w:marRight w:val="0"/>
      <w:marTop w:val="0"/>
      <w:marBottom w:val="0"/>
      <w:divBdr>
        <w:top w:val="none" w:sz="0" w:space="0" w:color="auto"/>
        <w:left w:val="none" w:sz="0" w:space="0" w:color="auto"/>
        <w:bottom w:val="none" w:sz="0" w:space="0" w:color="auto"/>
        <w:right w:val="none" w:sz="0" w:space="0" w:color="auto"/>
      </w:divBdr>
    </w:div>
    <w:div w:id="884297843">
      <w:bodyDiv w:val="1"/>
      <w:marLeft w:val="0"/>
      <w:marRight w:val="0"/>
      <w:marTop w:val="0"/>
      <w:marBottom w:val="0"/>
      <w:divBdr>
        <w:top w:val="none" w:sz="0" w:space="0" w:color="auto"/>
        <w:left w:val="none" w:sz="0" w:space="0" w:color="auto"/>
        <w:bottom w:val="none" w:sz="0" w:space="0" w:color="auto"/>
        <w:right w:val="none" w:sz="0" w:space="0" w:color="auto"/>
      </w:divBdr>
    </w:div>
    <w:div w:id="886263639">
      <w:bodyDiv w:val="1"/>
      <w:marLeft w:val="0"/>
      <w:marRight w:val="0"/>
      <w:marTop w:val="0"/>
      <w:marBottom w:val="0"/>
      <w:divBdr>
        <w:top w:val="none" w:sz="0" w:space="0" w:color="auto"/>
        <w:left w:val="none" w:sz="0" w:space="0" w:color="auto"/>
        <w:bottom w:val="none" w:sz="0" w:space="0" w:color="auto"/>
        <w:right w:val="none" w:sz="0" w:space="0" w:color="auto"/>
      </w:divBdr>
    </w:div>
    <w:div w:id="897284740">
      <w:bodyDiv w:val="1"/>
      <w:marLeft w:val="0"/>
      <w:marRight w:val="0"/>
      <w:marTop w:val="0"/>
      <w:marBottom w:val="0"/>
      <w:divBdr>
        <w:top w:val="none" w:sz="0" w:space="0" w:color="auto"/>
        <w:left w:val="none" w:sz="0" w:space="0" w:color="auto"/>
        <w:bottom w:val="none" w:sz="0" w:space="0" w:color="auto"/>
        <w:right w:val="none" w:sz="0" w:space="0" w:color="auto"/>
      </w:divBdr>
    </w:div>
    <w:div w:id="908344457">
      <w:bodyDiv w:val="1"/>
      <w:marLeft w:val="0"/>
      <w:marRight w:val="0"/>
      <w:marTop w:val="0"/>
      <w:marBottom w:val="0"/>
      <w:divBdr>
        <w:top w:val="none" w:sz="0" w:space="0" w:color="auto"/>
        <w:left w:val="none" w:sz="0" w:space="0" w:color="auto"/>
        <w:bottom w:val="none" w:sz="0" w:space="0" w:color="auto"/>
        <w:right w:val="none" w:sz="0" w:space="0" w:color="auto"/>
      </w:divBdr>
    </w:div>
    <w:div w:id="919412877">
      <w:bodyDiv w:val="1"/>
      <w:marLeft w:val="0"/>
      <w:marRight w:val="0"/>
      <w:marTop w:val="0"/>
      <w:marBottom w:val="0"/>
      <w:divBdr>
        <w:top w:val="none" w:sz="0" w:space="0" w:color="auto"/>
        <w:left w:val="none" w:sz="0" w:space="0" w:color="auto"/>
        <w:bottom w:val="none" w:sz="0" w:space="0" w:color="auto"/>
        <w:right w:val="none" w:sz="0" w:space="0" w:color="auto"/>
      </w:divBdr>
    </w:div>
    <w:div w:id="937910215">
      <w:bodyDiv w:val="1"/>
      <w:marLeft w:val="0"/>
      <w:marRight w:val="0"/>
      <w:marTop w:val="0"/>
      <w:marBottom w:val="0"/>
      <w:divBdr>
        <w:top w:val="none" w:sz="0" w:space="0" w:color="auto"/>
        <w:left w:val="none" w:sz="0" w:space="0" w:color="auto"/>
        <w:bottom w:val="none" w:sz="0" w:space="0" w:color="auto"/>
        <w:right w:val="none" w:sz="0" w:space="0" w:color="auto"/>
      </w:divBdr>
    </w:div>
    <w:div w:id="959803465">
      <w:bodyDiv w:val="1"/>
      <w:marLeft w:val="0"/>
      <w:marRight w:val="0"/>
      <w:marTop w:val="0"/>
      <w:marBottom w:val="0"/>
      <w:divBdr>
        <w:top w:val="none" w:sz="0" w:space="0" w:color="auto"/>
        <w:left w:val="none" w:sz="0" w:space="0" w:color="auto"/>
        <w:bottom w:val="none" w:sz="0" w:space="0" w:color="auto"/>
        <w:right w:val="none" w:sz="0" w:space="0" w:color="auto"/>
      </w:divBdr>
    </w:div>
    <w:div w:id="972489162">
      <w:bodyDiv w:val="1"/>
      <w:marLeft w:val="0"/>
      <w:marRight w:val="0"/>
      <w:marTop w:val="0"/>
      <w:marBottom w:val="0"/>
      <w:divBdr>
        <w:top w:val="none" w:sz="0" w:space="0" w:color="auto"/>
        <w:left w:val="none" w:sz="0" w:space="0" w:color="auto"/>
        <w:bottom w:val="none" w:sz="0" w:space="0" w:color="auto"/>
        <w:right w:val="none" w:sz="0" w:space="0" w:color="auto"/>
      </w:divBdr>
    </w:div>
    <w:div w:id="993532387">
      <w:bodyDiv w:val="1"/>
      <w:marLeft w:val="0"/>
      <w:marRight w:val="0"/>
      <w:marTop w:val="0"/>
      <w:marBottom w:val="0"/>
      <w:divBdr>
        <w:top w:val="none" w:sz="0" w:space="0" w:color="auto"/>
        <w:left w:val="none" w:sz="0" w:space="0" w:color="auto"/>
        <w:bottom w:val="none" w:sz="0" w:space="0" w:color="auto"/>
        <w:right w:val="none" w:sz="0" w:space="0" w:color="auto"/>
      </w:divBdr>
    </w:div>
    <w:div w:id="1008411918">
      <w:bodyDiv w:val="1"/>
      <w:marLeft w:val="0"/>
      <w:marRight w:val="0"/>
      <w:marTop w:val="0"/>
      <w:marBottom w:val="0"/>
      <w:divBdr>
        <w:top w:val="none" w:sz="0" w:space="0" w:color="auto"/>
        <w:left w:val="none" w:sz="0" w:space="0" w:color="auto"/>
        <w:bottom w:val="none" w:sz="0" w:space="0" w:color="auto"/>
        <w:right w:val="none" w:sz="0" w:space="0" w:color="auto"/>
      </w:divBdr>
    </w:div>
    <w:div w:id="1011877082">
      <w:bodyDiv w:val="1"/>
      <w:marLeft w:val="0"/>
      <w:marRight w:val="0"/>
      <w:marTop w:val="0"/>
      <w:marBottom w:val="0"/>
      <w:divBdr>
        <w:top w:val="none" w:sz="0" w:space="0" w:color="auto"/>
        <w:left w:val="none" w:sz="0" w:space="0" w:color="auto"/>
        <w:bottom w:val="none" w:sz="0" w:space="0" w:color="auto"/>
        <w:right w:val="none" w:sz="0" w:space="0" w:color="auto"/>
      </w:divBdr>
    </w:div>
    <w:div w:id="1017148394">
      <w:bodyDiv w:val="1"/>
      <w:marLeft w:val="0"/>
      <w:marRight w:val="0"/>
      <w:marTop w:val="0"/>
      <w:marBottom w:val="0"/>
      <w:divBdr>
        <w:top w:val="none" w:sz="0" w:space="0" w:color="auto"/>
        <w:left w:val="none" w:sz="0" w:space="0" w:color="auto"/>
        <w:bottom w:val="none" w:sz="0" w:space="0" w:color="auto"/>
        <w:right w:val="none" w:sz="0" w:space="0" w:color="auto"/>
      </w:divBdr>
    </w:div>
    <w:div w:id="1018581077">
      <w:bodyDiv w:val="1"/>
      <w:marLeft w:val="0"/>
      <w:marRight w:val="0"/>
      <w:marTop w:val="0"/>
      <w:marBottom w:val="0"/>
      <w:divBdr>
        <w:top w:val="none" w:sz="0" w:space="0" w:color="auto"/>
        <w:left w:val="none" w:sz="0" w:space="0" w:color="auto"/>
        <w:bottom w:val="none" w:sz="0" w:space="0" w:color="auto"/>
        <w:right w:val="none" w:sz="0" w:space="0" w:color="auto"/>
      </w:divBdr>
    </w:div>
    <w:div w:id="1019937530">
      <w:bodyDiv w:val="1"/>
      <w:marLeft w:val="0"/>
      <w:marRight w:val="0"/>
      <w:marTop w:val="0"/>
      <w:marBottom w:val="0"/>
      <w:divBdr>
        <w:top w:val="none" w:sz="0" w:space="0" w:color="auto"/>
        <w:left w:val="none" w:sz="0" w:space="0" w:color="auto"/>
        <w:bottom w:val="none" w:sz="0" w:space="0" w:color="auto"/>
        <w:right w:val="none" w:sz="0" w:space="0" w:color="auto"/>
      </w:divBdr>
    </w:div>
    <w:div w:id="1020467675">
      <w:bodyDiv w:val="1"/>
      <w:marLeft w:val="0"/>
      <w:marRight w:val="0"/>
      <w:marTop w:val="0"/>
      <w:marBottom w:val="0"/>
      <w:divBdr>
        <w:top w:val="none" w:sz="0" w:space="0" w:color="auto"/>
        <w:left w:val="none" w:sz="0" w:space="0" w:color="auto"/>
        <w:bottom w:val="none" w:sz="0" w:space="0" w:color="auto"/>
        <w:right w:val="none" w:sz="0" w:space="0" w:color="auto"/>
      </w:divBdr>
    </w:div>
    <w:div w:id="1038705904">
      <w:bodyDiv w:val="1"/>
      <w:marLeft w:val="0"/>
      <w:marRight w:val="0"/>
      <w:marTop w:val="0"/>
      <w:marBottom w:val="0"/>
      <w:divBdr>
        <w:top w:val="none" w:sz="0" w:space="0" w:color="auto"/>
        <w:left w:val="none" w:sz="0" w:space="0" w:color="auto"/>
        <w:bottom w:val="none" w:sz="0" w:space="0" w:color="auto"/>
        <w:right w:val="none" w:sz="0" w:space="0" w:color="auto"/>
      </w:divBdr>
    </w:div>
    <w:div w:id="1041399157">
      <w:bodyDiv w:val="1"/>
      <w:marLeft w:val="0"/>
      <w:marRight w:val="0"/>
      <w:marTop w:val="0"/>
      <w:marBottom w:val="0"/>
      <w:divBdr>
        <w:top w:val="none" w:sz="0" w:space="0" w:color="auto"/>
        <w:left w:val="none" w:sz="0" w:space="0" w:color="auto"/>
        <w:bottom w:val="none" w:sz="0" w:space="0" w:color="auto"/>
        <w:right w:val="none" w:sz="0" w:space="0" w:color="auto"/>
      </w:divBdr>
    </w:div>
    <w:div w:id="1041637458">
      <w:bodyDiv w:val="1"/>
      <w:marLeft w:val="0"/>
      <w:marRight w:val="0"/>
      <w:marTop w:val="0"/>
      <w:marBottom w:val="0"/>
      <w:divBdr>
        <w:top w:val="none" w:sz="0" w:space="0" w:color="auto"/>
        <w:left w:val="none" w:sz="0" w:space="0" w:color="auto"/>
        <w:bottom w:val="none" w:sz="0" w:space="0" w:color="auto"/>
        <w:right w:val="none" w:sz="0" w:space="0" w:color="auto"/>
      </w:divBdr>
    </w:div>
    <w:div w:id="1057318060">
      <w:bodyDiv w:val="1"/>
      <w:marLeft w:val="0"/>
      <w:marRight w:val="0"/>
      <w:marTop w:val="0"/>
      <w:marBottom w:val="0"/>
      <w:divBdr>
        <w:top w:val="none" w:sz="0" w:space="0" w:color="auto"/>
        <w:left w:val="none" w:sz="0" w:space="0" w:color="auto"/>
        <w:bottom w:val="none" w:sz="0" w:space="0" w:color="auto"/>
        <w:right w:val="none" w:sz="0" w:space="0" w:color="auto"/>
      </w:divBdr>
    </w:div>
    <w:div w:id="1074662310">
      <w:bodyDiv w:val="1"/>
      <w:marLeft w:val="0"/>
      <w:marRight w:val="0"/>
      <w:marTop w:val="0"/>
      <w:marBottom w:val="0"/>
      <w:divBdr>
        <w:top w:val="none" w:sz="0" w:space="0" w:color="auto"/>
        <w:left w:val="none" w:sz="0" w:space="0" w:color="auto"/>
        <w:bottom w:val="none" w:sz="0" w:space="0" w:color="auto"/>
        <w:right w:val="none" w:sz="0" w:space="0" w:color="auto"/>
      </w:divBdr>
    </w:div>
    <w:div w:id="1076903041">
      <w:bodyDiv w:val="1"/>
      <w:marLeft w:val="0"/>
      <w:marRight w:val="0"/>
      <w:marTop w:val="0"/>
      <w:marBottom w:val="0"/>
      <w:divBdr>
        <w:top w:val="none" w:sz="0" w:space="0" w:color="auto"/>
        <w:left w:val="none" w:sz="0" w:space="0" w:color="auto"/>
        <w:bottom w:val="none" w:sz="0" w:space="0" w:color="auto"/>
        <w:right w:val="none" w:sz="0" w:space="0" w:color="auto"/>
      </w:divBdr>
    </w:div>
    <w:div w:id="1088235273">
      <w:bodyDiv w:val="1"/>
      <w:marLeft w:val="0"/>
      <w:marRight w:val="0"/>
      <w:marTop w:val="0"/>
      <w:marBottom w:val="0"/>
      <w:divBdr>
        <w:top w:val="none" w:sz="0" w:space="0" w:color="auto"/>
        <w:left w:val="none" w:sz="0" w:space="0" w:color="auto"/>
        <w:bottom w:val="none" w:sz="0" w:space="0" w:color="auto"/>
        <w:right w:val="none" w:sz="0" w:space="0" w:color="auto"/>
      </w:divBdr>
    </w:div>
    <w:div w:id="1105465105">
      <w:bodyDiv w:val="1"/>
      <w:marLeft w:val="0"/>
      <w:marRight w:val="0"/>
      <w:marTop w:val="0"/>
      <w:marBottom w:val="0"/>
      <w:divBdr>
        <w:top w:val="none" w:sz="0" w:space="0" w:color="auto"/>
        <w:left w:val="none" w:sz="0" w:space="0" w:color="auto"/>
        <w:bottom w:val="none" w:sz="0" w:space="0" w:color="auto"/>
        <w:right w:val="none" w:sz="0" w:space="0" w:color="auto"/>
      </w:divBdr>
    </w:div>
    <w:div w:id="1110275821">
      <w:bodyDiv w:val="1"/>
      <w:marLeft w:val="0"/>
      <w:marRight w:val="0"/>
      <w:marTop w:val="0"/>
      <w:marBottom w:val="0"/>
      <w:divBdr>
        <w:top w:val="none" w:sz="0" w:space="0" w:color="auto"/>
        <w:left w:val="none" w:sz="0" w:space="0" w:color="auto"/>
        <w:bottom w:val="none" w:sz="0" w:space="0" w:color="auto"/>
        <w:right w:val="none" w:sz="0" w:space="0" w:color="auto"/>
      </w:divBdr>
    </w:div>
    <w:div w:id="1126242638">
      <w:bodyDiv w:val="1"/>
      <w:marLeft w:val="0"/>
      <w:marRight w:val="0"/>
      <w:marTop w:val="0"/>
      <w:marBottom w:val="0"/>
      <w:divBdr>
        <w:top w:val="none" w:sz="0" w:space="0" w:color="auto"/>
        <w:left w:val="none" w:sz="0" w:space="0" w:color="auto"/>
        <w:bottom w:val="none" w:sz="0" w:space="0" w:color="auto"/>
        <w:right w:val="none" w:sz="0" w:space="0" w:color="auto"/>
      </w:divBdr>
    </w:div>
    <w:div w:id="1130123849">
      <w:bodyDiv w:val="1"/>
      <w:marLeft w:val="0"/>
      <w:marRight w:val="0"/>
      <w:marTop w:val="0"/>
      <w:marBottom w:val="0"/>
      <w:divBdr>
        <w:top w:val="none" w:sz="0" w:space="0" w:color="auto"/>
        <w:left w:val="none" w:sz="0" w:space="0" w:color="auto"/>
        <w:bottom w:val="none" w:sz="0" w:space="0" w:color="auto"/>
        <w:right w:val="none" w:sz="0" w:space="0" w:color="auto"/>
      </w:divBdr>
    </w:div>
    <w:div w:id="1181630413">
      <w:bodyDiv w:val="1"/>
      <w:marLeft w:val="0"/>
      <w:marRight w:val="0"/>
      <w:marTop w:val="0"/>
      <w:marBottom w:val="0"/>
      <w:divBdr>
        <w:top w:val="none" w:sz="0" w:space="0" w:color="auto"/>
        <w:left w:val="none" w:sz="0" w:space="0" w:color="auto"/>
        <w:bottom w:val="none" w:sz="0" w:space="0" w:color="auto"/>
        <w:right w:val="none" w:sz="0" w:space="0" w:color="auto"/>
      </w:divBdr>
    </w:div>
    <w:div w:id="1188450688">
      <w:bodyDiv w:val="1"/>
      <w:marLeft w:val="0"/>
      <w:marRight w:val="0"/>
      <w:marTop w:val="0"/>
      <w:marBottom w:val="0"/>
      <w:divBdr>
        <w:top w:val="none" w:sz="0" w:space="0" w:color="auto"/>
        <w:left w:val="none" w:sz="0" w:space="0" w:color="auto"/>
        <w:bottom w:val="none" w:sz="0" w:space="0" w:color="auto"/>
        <w:right w:val="none" w:sz="0" w:space="0" w:color="auto"/>
      </w:divBdr>
    </w:div>
    <w:div w:id="1201550137">
      <w:bodyDiv w:val="1"/>
      <w:marLeft w:val="0"/>
      <w:marRight w:val="0"/>
      <w:marTop w:val="0"/>
      <w:marBottom w:val="0"/>
      <w:divBdr>
        <w:top w:val="none" w:sz="0" w:space="0" w:color="auto"/>
        <w:left w:val="none" w:sz="0" w:space="0" w:color="auto"/>
        <w:bottom w:val="none" w:sz="0" w:space="0" w:color="auto"/>
        <w:right w:val="none" w:sz="0" w:space="0" w:color="auto"/>
      </w:divBdr>
    </w:div>
    <w:div w:id="1203132845">
      <w:bodyDiv w:val="1"/>
      <w:marLeft w:val="0"/>
      <w:marRight w:val="0"/>
      <w:marTop w:val="0"/>
      <w:marBottom w:val="0"/>
      <w:divBdr>
        <w:top w:val="none" w:sz="0" w:space="0" w:color="auto"/>
        <w:left w:val="none" w:sz="0" w:space="0" w:color="auto"/>
        <w:bottom w:val="none" w:sz="0" w:space="0" w:color="auto"/>
        <w:right w:val="none" w:sz="0" w:space="0" w:color="auto"/>
      </w:divBdr>
    </w:div>
    <w:div w:id="1213616648">
      <w:bodyDiv w:val="1"/>
      <w:marLeft w:val="0"/>
      <w:marRight w:val="0"/>
      <w:marTop w:val="0"/>
      <w:marBottom w:val="0"/>
      <w:divBdr>
        <w:top w:val="none" w:sz="0" w:space="0" w:color="auto"/>
        <w:left w:val="none" w:sz="0" w:space="0" w:color="auto"/>
        <w:bottom w:val="none" w:sz="0" w:space="0" w:color="auto"/>
        <w:right w:val="none" w:sz="0" w:space="0" w:color="auto"/>
      </w:divBdr>
    </w:div>
    <w:div w:id="1223250207">
      <w:bodyDiv w:val="1"/>
      <w:marLeft w:val="0"/>
      <w:marRight w:val="0"/>
      <w:marTop w:val="0"/>
      <w:marBottom w:val="0"/>
      <w:divBdr>
        <w:top w:val="none" w:sz="0" w:space="0" w:color="auto"/>
        <w:left w:val="none" w:sz="0" w:space="0" w:color="auto"/>
        <w:bottom w:val="none" w:sz="0" w:space="0" w:color="auto"/>
        <w:right w:val="none" w:sz="0" w:space="0" w:color="auto"/>
      </w:divBdr>
    </w:div>
    <w:div w:id="1227455912">
      <w:bodyDiv w:val="1"/>
      <w:marLeft w:val="0"/>
      <w:marRight w:val="0"/>
      <w:marTop w:val="0"/>
      <w:marBottom w:val="0"/>
      <w:divBdr>
        <w:top w:val="none" w:sz="0" w:space="0" w:color="auto"/>
        <w:left w:val="none" w:sz="0" w:space="0" w:color="auto"/>
        <w:bottom w:val="none" w:sz="0" w:space="0" w:color="auto"/>
        <w:right w:val="none" w:sz="0" w:space="0" w:color="auto"/>
      </w:divBdr>
    </w:div>
    <w:div w:id="1310672364">
      <w:bodyDiv w:val="1"/>
      <w:marLeft w:val="0"/>
      <w:marRight w:val="0"/>
      <w:marTop w:val="0"/>
      <w:marBottom w:val="0"/>
      <w:divBdr>
        <w:top w:val="none" w:sz="0" w:space="0" w:color="auto"/>
        <w:left w:val="none" w:sz="0" w:space="0" w:color="auto"/>
        <w:bottom w:val="none" w:sz="0" w:space="0" w:color="auto"/>
        <w:right w:val="none" w:sz="0" w:space="0" w:color="auto"/>
      </w:divBdr>
    </w:div>
    <w:div w:id="1317490680">
      <w:bodyDiv w:val="1"/>
      <w:marLeft w:val="0"/>
      <w:marRight w:val="0"/>
      <w:marTop w:val="0"/>
      <w:marBottom w:val="0"/>
      <w:divBdr>
        <w:top w:val="none" w:sz="0" w:space="0" w:color="auto"/>
        <w:left w:val="none" w:sz="0" w:space="0" w:color="auto"/>
        <w:bottom w:val="none" w:sz="0" w:space="0" w:color="auto"/>
        <w:right w:val="none" w:sz="0" w:space="0" w:color="auto"/>
      </w:divBdr>
    </w:div>
    <w:div w:id="1391079608">
      <w:bodyDiv w:val="1"/>
      <w:marLeft w:val="0"/>
      <w:marRight w:val="0"/>
      <w:marTop w:val="0"/>
      <w:marBottom w:val="0"/>
      <w:divBdr>
        <w:top w:val="none" w:sz="0" w:space="0" w:color="auto"/>
        <w:left w:val="none" w:sz="0" w:space="0" w:color="auto"/>
        <w:bottom w:val="none" w:sz="0" w:space="0" w:color="auto"/>
        <w:right w:val="none" w:sz="0" w:space="0" w:color="auto"/>
      </w:divBdr>
    </w:div>
    <w:div w:id="1400788906">
      <w:bodyDiv w:val="1"/>
      <w:marLeft w:val="0"/>
      <w:marRight w:val="0"/>
      <w:marTop w:val="0"/>
      <w:marBottom w:val="0"/>
      <w:divBdr>
        <w:top w:val="none" w:sz="0" w:space="0" w:color="auto"/>
        <w:left w:val="none" w:sz="0" w:space="0" w:color="auto"/>
        <w:bottom w:val="none" w:sz="0" w:space="0" w:color="auto"/>
        <w:right w:val="none" w:sz="0" w:space="0" w:color="auto"/>
      </w:divBdr>
    </w:div>
    <w:div w:id="1446076333">
      <w:bodyDiv w:val="1"/>
      <w:marLeft w:val="0"/>
      <w:marRight w:val="0"/>
      <w:marTop w:val="0"/>
      <w:marBottom w:val="0"/>
      <w:divBdr>
        <w:top w:val="none" w:sz="0" w:space="0" w:color="auto"/>
        <w:left w:val="none" w:sz="0" w:space="0" w:color="auto"/>
        <w:bottom w:val="none" w:sz="0" w:space="0" w:color="auto"/>
        <w:right w:val="none" w:sz="0" w:space="0" w:color="auto"/>
      </w:divBdr>
    </w:div>
    <w:div w:id="1449934084">
      <w:bodyDiv w:val="1"/>
      <w:marLeft w:val="0"/>
      <w:marRight w:val="0"/>
      <w:marTop w:val="0"/>
      <w:marBottom w:val="0"/>
      <w:divBdr>
        <w:top w:val="none" w:sz="0" w:space="0" w:color="auto"/>
        <w:left w:val="none" w:sz="0" w:space="0" w:color="auto"/>
        <w:bottom w:val="none" w:sz="0" w:space="0" w:color="auto"/>
        <w:right w:val="none" w:sz="0" w:space="0" w:color="auto"/>
      </w:divBdr>
    </w:div>
    <w:div w:id="1467164811">
      <w:bodyDiv w:val="1"/>
      <w:marLeft w:val="0"/>
      <w:marRight w:val="0"/>
      <w:marTop w:val="0"/>
      <w:marBottom w:val="0"/>
      <w:divBdr>
        <w:top w:val="none" w:sz="0" w:space="0" w:color="auto"/>
        <w:left w:val="none" w:sz="0" w:space="0" w:color="auto"/>
        <w:bottom w:val="none" w:sz="0" w:space="0" w:color="auto"/>
        <w:right w:val="none" w:sz="0" w:space="0" w:color="auto"/>
      </w:divBdr>
    </w:div>
    <w:div w:id="1473214417">
      <w:bodyDiv w:val="1"/>
      <w:marLeft w:val="0"/>
      <w:marRight w:val="0"/>
      <w:marTop w:val="0"/>
      <w:marBottom w:val="0"/>
      <w:divBdr>
        <w:top w:val="none" w:sz="0" w:space="0" w:color="auto"/>
        <w:left w:val="none" w:sz="0" w:space="0" w:color="auto"/>
        <w:bottom w:val="none" w:sz="0" w:space="0" w:color="auto"/>
        <w:right w:val="none" w:sz="0" w:space="0" w:color="auto"/>
      </w:divBdr>
    </w:div>
    <w:div w:id="1483346095">
      <w:bodyDiv w:val="1"/>
      <w:marLeft w:val="0"/>
      <w:marRight w:val="0"/>
      <w:marTop w:val="0"/>
      <w:marBottom w:val="0"/>
      <w:divBdr>
        <w:top w:val="none" w:sz="0" w:space="0" w:color="auto"/>
        <w:left w:val="none" w:sz="0" w:space="0" w:color="auto"/>
        <w:bottom w:val="none" w:sz="0" w:space="0" w:color="auto"/>
        <w:right w:val="none" w:sz="0" w:space="0" w:color="auto"/>
      </w:divBdr>
    </w:div>
    <w:div w:id="1532107785">
      <w:bodyDiv w:val="1"/>
      <w:marLeft w:val="0"/>
      <w:marRight w:val="0"/>
      <w:marTop w:val="0"/>
      <w:marBottom w:val="0"/>
      <w:divBdr>
        <w:top w:val="none" w:sz="0" w:space="0" w:color="auto"/>
        <w:left w:val="none" w:sz="0" w:space="0" w:color="auto"/>
        <w:bottom w:val="none" w:sz="0" w:space="0" w:color="auto"/>
        <w:right w:val="none" w:sz="0" w:space="0" w:color="auto"/>
      </w:divBdr>
    </w:div>
    <w:div w:id="1536309117">
      <w:bodyDiv w:val="1"/>
      <w:marLeft w:val="0"/>
      <w:marRight w:val="0"/>
      <w:marTop w:val="0"/>
      <w:marBottom w:val="0"/>
      <w:divBdr>
        <w:top w:val="none" w:sz="0" w:space="0" w:color="auto"/>
        <w:left w:val="none" w:sz="0" w:space="0" w:color="auto"/>
        <w:bottom w:val="none" w:sz="0" w:space="0" w:color="auto"/>
        <w:right w:val="none" w:sz="0" w:space="0" w:color="auto"/>
      </w:divBdr>
    </w:div>
    <w:div w:id="1551652248">
      <w:bodyDiv w:val="1"/>
      <w:marLeft w:val="0"/>
      <w:marRight w:val="0"/>
      <w:marTop w:val="0"/>
      <w:marBottom w:val="0"/>
      <w:divBdr>
        <w:top w:val="none" w:sz="0" w:space="0" w:color="auto"/>
        <w:left w:val="none" w:sz="0" w:space="0" w:color="auto"/>
        <w:bottom w:val="none" w:sz="0" w:space="0" w:color="auto"/>
        <w:right w:val="none" w:sz="0" w:space="0" w:color="auto"/>
      </w:divBdr>
    </w:div>
    <w:div w:id="1574318919">
      <w:bodyDiv w:val="1"/>
      <w:marLeft w:val="0"/>
      <w:marRight w:val="0"/>
      <w:marTop w:val="0"/>
      <w:marBottom w:val="0"/>
      <w:divBdr>
        <w:top w:val="none" w:sz="0" w:space="0" w:color="auto"/>
        <w:left w:val="none" w:sz="0" w:space="0" w:color="auto"/>
        <w:bottom w:val="none" w:sz="0" w:space="0" w:color="auto"/>
        <w:right w:val="none" w:sz="0" w:space="0" w:color="auto"/>
      </w:divBdr>
    </w:div>
    <w:div w:id="1586066999">
      <w:bodyDiv w:val="1"/>
      <w:marLeft w:val="0"/>
      <w:marRight w:val="0"/>
      <w:marTop w:val="0"/>
      <w:marBottom w:val="0"/>
      <w:divBdr>
        <w:top w:val="none" w:sz="0" w:space="0" w:color="auto"/>
        <w:left w:val="none" w:sz="0" w:space="0" w:color="auto"/>
        <w:bottom w:val="none" w:sz="0" w:space="0" w:color="auto"/>
        <w:right w:val="none" w:sz="0" w:space="0" w:color="auto"/>
      </w:divBdr>
    </w:div>
    <w:div w:id="1586304799">
      <w:bodyDiv w:val="1"/>
      <w:marLeft w:val="0"/>
      <w:marRight w:val="0"/>
      <w:marTop w:val="0"/>
      <w:marBottom w:val="0"/>
      <w:divBdr>
        <w:top w:val="none" w:sz="0" w:space="0" w:color="auto"/>
        <w:left w:val="none" w:sz="0" w:space="0" w:color="auto"/>
        <w:bottom w:val="none" w:sz="0" w:space="0" w:color="auto"/>
        <w:right w:val="none" w:sz="0" w:space="0" w:color="auto"/>
      </w:divBdr>
    </w:div>
    <w:div w:id="1588297101">
      <w:bodyDiv w:val="1"/>
      <w:marLeft w:val="0"/>
      <w:marRight w:val="0"/>
      <w:marTop w:val="0"/>
      <w:marBottom w:val="0"/>
      <w:divBdr>
        <w:top w:val="none" w:sz="0" w:space="0" w:color="auto"/>
        <w:left w:val="none" w:sz="0" w:space="0" w:color="auto"/>
        <w:bottom w:val="none" w:sz="0" w:space="0" w:color="auto"/>
        <w:right w:val="none" w:sz="0" w:space="0" w:color="auto"/>
      </w:divBdr>
    </w:div>
    <w:div w:id="1619025869">
      <w:bodyDiv w:val="1"/>
      <w:marLeft w:val="0"/>
      <w:marRight w:val="0"/>
      <w:marTop w:val="0"/>
      <w:marBottom w:val="0"/>
      <w:divBdr>
        <w:top w:val="none" w:sz="0" w:space="0" w:color="auto"/>
        <w:left w:val="none" w:sz="0" w:space="0" w:color="auto"/>
        <w:bottom w:val="none" w:sz="0" w:space="0" w:color="auto"/>
        <w:right w:val="none" w:sz="0" w:space="0" w:color="auto"/>
      </w:divBdr>
    </w:div>
    <w:div w:id="1636835513">
      <w:bodyDiv w:val="1"/>
      <w:marLeft w:val="0"/>
      <w:marRight w:val="0"/>
      <w:marTop w:val="0"/>
      <w:marBottom w:val="0"/>
      <w:divBdr>
        <w:top w:val="none" w:sz="0" w:space="0" w:color="auto"/>
        <w:left w:val="none" w:sz="0" w:space="0" w:color="auto"/>
        <w:bottom w:val="none" w:sz="0" w:space="0" w:color="auto"/>
        <w:right w:val="none" w:sz="0" w:space="0" w:color="auto"/>
      </w:divBdr>
    </w:div>
    <w:div w:id="1637757502">
      <w:bodyDiv w:val="1"/>
      <w:marLeft w:val="0"/>
      <w:marRight w:val="0"/>
      <w:marTop w:val="0"/>
      <w:marBottom w:val="0"/>
      <w:divBdr>
        <w:top w:val="none" w:sz="0" w:space="0" w:color="auto"/>
        <w:left w:val="none" w:sz="0" w:space="0" w:color="auto"/>
        <w:bottom w:val="none" w:sz="0" w:space="0" w:color="auto"/>
        <w:right w:val="none" w:sz="0" w:space="0" w:color="auto"/>
      </w:divBdr>
    </w:div>
    <w:div w:id="1650597395">
      <w:bodyDiv w:val="1"/>
      <w:marLeft w:val="0"/>
      <w:marRight w:val="0"/>
      <w:marTop w:val="0"/>
      <w:marBottom w:val="0"/>
      <w:divBdr>
        <w:top w:val="none" w:sz="0" w:space="0" w:color="auto"/>
        <w:left w:val="none" w:sz="0" w:space="0" w:color="auto"/>
        <w:bottom w:val="none" w:sz="0" w:space="0" w:color="auto"/>
        <w:right w:val="none" w:sz="0" w:space="0" w:color="auto"/>
      </w:divBdr>
    </w:div>
    <w:div w:id="1692487205">
      <w:bodyDiv w:val="1"/>
      <w:marLeft w:val="0"/>
      <w:marRight w:val="0"/>
      <w:marTop w:val="0"/>
      <w:marBottom w:val="0"/>
      <w:divBdr>
        <w:top w:val="none" w:sz="0" w:space="0" w:color="auto"/>
        <w:left w:val="none" w:sz="0" w:space="0" w:color="auto"/>
        <w:bottom w:val="none" w:sz="0" w:space="0" w:color="auto"/>
        <w:right w:val="none" w:sz="0" w:space="0" w:color="auto"/>
      </w:divBdr>
    </w:div>
    <w:div w:id="1692880011">
      <w:bodyDiv w:val="1"/>
      <w:marLeft w:val="0"/>
      <w:marRight w:val="0"/>
      <w:marTop w:val="0"/>
      <w:marBottom w:val="0"/>
      <w:divBdr>
        <w:top w:val="none" w:sz="0" w:space="0" w:color="auto"/>
        <w:left w:val="none" w:sz="0" w:space="0" w:color="auto"/>
        <w:bottom w:val="none" w:sz="0" w:space="0" w:color="auto"/>
        <w:right w:val="none" w:sz="0" w:space="0" w:color="auto"/>
      </w:divBdr>
    </w:div>
    <w:div w:id="1696155244">
      <w:bodyDiv w:val="1"/>
      <w:marLeft w:val="0"/>
      <w:marRight w:val="0"/>
      <w:marTop w:val="0"/>
      <w:marBottom w:val="0"/>
      <w:divBdr>
        <w:top w:val="none" w:sz="0" w:space="0" w:color="auto"/>
        <w:left w:val="none" w:sz="0" w:space="0" w:color="auto"/>
        <w:bottom w:val="none" w:sz="0" w:space="0" w:color="auto"/>
        <w:right w:val="none" w:sz="0" w:space="0" w:color="auto"/>
      </w:divBdr>
    </w:div>
    <w:div w:id="1699307849">
      <w:bodyDiv w:val="1"/>
      <w:marLeft w:val="0"/>
      <w:marRight w:val="0"/>
      <w:marTop w:val="0"/>
      <w:marBottom w:val="0"/>
      <w:divBdr>
        <w:top w:val="none" w:sz="0" w:space="0" w:color="auto"/>
        <w:left w:val="none" w:sz="0" w:space="0" w:color="auto"/>
        <w:bottom w:val="none" w:sz="0" w:space="0" w:color="auto"/>
        <w:right w:val="none" w:sz="0" w:space="0" w:color="auto"/>
      </w:divBdr>
    </w:div>
    <w:div w:id="1706058870">
      <w:bodyDiv w:val="1"/>
      <w:marLeft w:val="0"/>
      <w:marRight w:val="0"/>
      <w:marTop w:val="0"/>
      <w:marBottom w:val="0"/>
      <w:divBdr>
        <w:top w:val="none" w:sz="0" w:space="0" w:color="auto"/>
        <w:left w:val="none" w:sz="0" w:space="0" w:color="auto"/>
        <w:bottom w:val="none" w:sz="0" w:space="0" w:color="auto"/>
        <w:right w:val="none" w:sz="0" w:space="0" w:color="auto"/>
      </w:divBdr>
    </w:div>
    <w:div w:id="1728215447">
      <w:bodyDiv w:val="1"/>
      <w:marLeft w:val="0"/>
      <w:marRight w:val="0"/>
      <w:marTop w:val="0"/>
      <w:marBottom w:val="0"/>
      <w:divBdr>
        <w:top w:val="none" w:sz="0" w:space="0" w:color="auto"/>
        <w:left w:val="none" w:sz="0" w:space="0" w:color="auto"/>
        <w:bottom w:val="none" w:sz="0" w:space="0" w:color="auto"/>
        <w:right w:val="none" w:sz="0" w:space="0" w:color="auto"/>
      </w:divBdr>
    </w:div>
    <w:div w:id="1731539525">
      <w:bodyDiv w:val="1"/>
      <w:marLeft w:val="0"/>
      <w:marRight w:val="0"/>
      <w:marTop w:val="0"/>
      <w:marBottom w:val="0"/>
      <w:divBdr>
        <w:top w:val="none" w:sz="0" w:space="0" w:color="auto"/>
        <w:left w:val="none" w:sz="0" w:space="0" w:color="auto"/>
        <w:bottom w:val="none" w:sz="0" w:space="0" w:color="auto"/>
        <w:right w:val="none" w:sz="0" w:space="0" w:color="auto"/>
      </w:divBdr>
    </w:div>
    <w:div w:id="1753821311">
      <w:bodyDiv w:val="1"/>
      <w:marLeft w:val="0"/>
      <w:marRight w:val="0"/>
      <w:marTop w:val="0"/>
      <w:marBottom w:val="0"/>
      <w:divBdr>
        <w:top w:val="none" w:sz="0" w:space="0" w:color="auto"/>
        <w:left w:val="none" w:sz="0" w:space="0" w:color="auto"/>
        <w:bottom w:val="none" w:sz="0" w:space="0" w:color="auto"/>
        <w:right w:val="none" w:sz="0" w:space="0" w:color="auto"/>
      </w:divBdr>
    </w:div>
    <w:div w:id="1768772409">
      <w:bodyDiv w:val="1"/>
      <w:marLeft w:val="0"/>
      <w:marRight w:val="0"/>
      <w:marTop w:val="0"/>
      <w:marBottom w:val="0"/>
      <w:divBdr>
        <w:top w:val="none" w:sz="0" w:space="0" w:color="auto"/>
        <w:left w:val="none" w:sz="0" w:space="0" w:color="auto"/>
        <w:bottom w:val="none" w:sz="0" w:space="0" w:color="auto"/>
        <w:right w:val="none" w:sz="0" w:space="0" w:color="auto"/>
      </w:divBdr>
    </w:div>
    <w:div w:id="1780294752">
      <w:bodyDiv w:val="1"/>
      <w:marLeft w:val="0"/>
      <w:marRight w:val="0"/>
      <w:marTop w:val="0"/>
      <w:marBottom w:val="0"/>
      <w:divBdr>
        <w:top w:val="none" w:sz="0" w:space="0" w:color="auto"/>
        <w:left w:val="none" w:sz="0" w:space="0" w:color="auto"/>
        <w:bottom w:val="none" w:sz="0" w:space="0" w:color="auto"/>
        <w:right w:val="none" w:sz="0" w:space="0" w:color="auto"/>
      </w:divBdr>
    </w:div>
    <w:div w:id="1808549560">
      <w:bodyDiv w:val="1"/>
      <w:marLeft w:val="0"/>
      <w:marRight w:val="0"/>
      <w:marTop w:val="0"/>
      <w:marBottom w:val="0"/>
      <w:divBdr>
        <w:top w:val="none" w:sz="0" w:space="0" w:color="auto"/>
        <w:left w:val="none" w:sz="0" w:space="0" w:color="auto"/>
        <w:bottom w:val="none" w:sz="0" w:space="0" w:color="auto"/>
        <w:right w:val="none" w:sz="0" w:space="0" w:color="auto"/>
      </w:divBdr>
    </w:div>
    <w:div w:id="1813672690">
      <w:bodyDiv w:val="1"/>
      <w:marLeft w:val="0"/>
      <w:marRight w:val="0"/>
      <w:marTop w:val="0"/>
      <w:marBottom w:val="0"/>
      <w:divBdr>
        <w:top w:val="none" w:sz="0" w:space="0" w:color="auto"/>
        <w:left w:val="none" w:sz="0" w:space="0" w:color="auto"/>
        <w:bottom w:val="none" w:sz="0" w:space="0" w:color="auto"/>
        <w:right w:val="none" w:sz="0" w:space="0" w:color="auto"/>
      </w:divBdr>
    </w:div>
    <w:div w:id="1827013767">
      <w:bodyDiv w:val="1"/>
      <w:marLeft w:val="0"/>
      <w:marRight w:val="0"/>
      <w:marTop w:val="0"/>
      <w:marBottom w:val="0"/>
      <w:divBdr>
        <w:top w:val="none" w:sz="0" w:space="0" w:color="auto"/>
        <w:left w:val="none" w:sz="0" w:space="0" w:color="auto"/>
        <w:bottom w:val="none" w:sz="0" w:space="0" w:color="auto"/>
        <w:right w:val="none" w:sz="0" w:space="0" w:color="auto"/>
      </w:divBdr>
    </w:div>
    <w:div w:id="1831822986">
      <w:bodyDiv w:val="1"/>
      <w:marLeft w:val="0"/>
      <w:marRight w:val="0"/>
      <w:marTop w:val="0"/>
      <w:marBottom w:val="0"/>
      <w:divBdr>
        <w:top w:val="none" w:sz="0" w:space="0" w:color="auto"/>
        <w:left w:val="none" w:sz="0" w:space="0" w:color="auto"/>
        <w:bottom w:val="none" w:sz="0" w:space="0" w:color="auto"/>
        <w:right w:val="none" w:sz="0" w:space="0" w:color="auto"/>
      </w:divBdr>
    </w:div>
    <w:div w:id="1836065690">
      <w:bodyDiv w:val="1"/>
      <w:marLeft w:val="0"/>
      <w:marRight w:val="0"/>
      <w:marTop w:val="0"/>
      <w:marBottom w:val="0"/>
      <w:divBdr>
        <w:top w:val="none" w:sz="0" w:space="0" w:color="auto"/>
        <w:left w:val="none" w:sz="0" w:space="0" w:color="auto"/>
        <w:bottom w:val="none" w:sz="0" w:space="0" w:color="auto"/>
        <w:right w:val="none" w:sz="0" w:space="0" w:color="auto"/>
      </w:divBdr>
    </w:div>
    <w:div w:id="1836801936">
      <w:bodyDiv w:val="1"/>
      <w:marLeft w:val="0"/>
      <w:marRight w:val="0"/>
      <w:marTop w:val="0"/>
      <w:marBottom w:val="0"/>
      <w:divBdr>
        <w:top w:val="none" w:sz="0" w:space="0" w:color="auto"/>
        <w:left w:val="none" w:sz="0" w:space="0" w:color="auto"/>
        <w:bottom w:val="none" w:sz="0" w:space="0" w:color="auto"/>
        <w:right w:val="none" w:sz="0" w:space="0" w:color="auto"/>
      </w:divBdr>
    </w:div>
    <w:div w:id="1851219086">
      <w:bodyDiv w:val="1"/>
      <w:marLeft w:val="0"/>
      <w:marRight w:val="0"/>
      <w:marTop w:val="0"/>
      <w:marBottom w:val="0"/>
      <w:divBdr>
        <w:top w:val="none" w:sz="0" w:space="0" w:color="auto"/>
        <w:left w:val="none" w:sz="0" w:space="0" w:color="auto"/>
        <w:bottom w:val="none" w:sz="0" w:space="0" w:color="auto"/>
        <w:right w:val="none" w:sz="0" w:space="0" w:color="auto"/>
      </w:divBdr>
    </w:div>
    <w:div w:id="1854418302">
      <w:bodyDiv w:val="1"/>
      <w:marLeft w:val="0"/>
      <w:marRight w:val="0"/>
      <w:marTop w:val="0"/>
      <w:marBottom w:val="0"/>
      <w:divBdr>
        <w:top w:val="none" w:sz="0" w:space="0" w:color="auto"/>
        <w:left w:val="none" w:sz="0" w:space="0" w:color="auto"/>
        <w:bottom w:val="none" w:sz="0" w:space="0" w:color="auto"/>
        <w:right w:val="none" w:sz="0" w:space="0" w:color="auto"/>
      </w:divBdr>
    </w:div>
    <w:div w:id="1857383206">
      <w:bodyDiv w:val="1"/>
      <w:marLeft w:val="0"/>
      <w:marRight w:val="0"/>
      <w:marTop w:val="0"/>
      <w:marBottom w:val="0"/>
      <w:divBdr>
        <w:top w:val="none" w:sz="0" w:space="0" w:color="auto"/>
        <w:left w:val="none" w:sz="0" w:space="0" w:color="auto"/>
        <w:bottom w:val="none" w:sz="0" w:space="0" w:color="auto"/>
        <w:right w:val="none" w:sz="0" w:space="0" w:color="auto"/>
      </w:divBdr>
    </w:div>
    <w:div w:id="1869488329">
      <w:bodyDiv w:val="1"/>
      <w:marLeft w:val="0"/>
      <w:marRight w:val="0"/>
      <w:marTop w:val="0"/>
      <w:marBottom w:val="0"/>
      <w:divBdr>
        <w:top w:val="none" w:sz="0" w:space="0" w:color="auto"/>
        <w:left w:val="none" w:sz="0" w:space="0" w:color="auto"/>
        <w:bottom w:val="none" w:sz="0" w:space="0" w:color="auto"/>
        <w:right w:val="none" w:sz="0" w:space="0" w:color="auto"/>
      </w:divBdr>
    </w:div>
    <w:div w:id="1888299516">
      <w:bodyDiv w:val="1"/>
      <w:marLeft w:val="0"/>
      <w:marRight w:val="0"/>
      <w:marTop w:val="0"/>
      <w:marBottom w:val="0"/>
      <w:divBdr>
        <w:top w:val="none" w:sz="0" w:space="0" w:color="auto"/>
        <w:left w:val="none" w:sz="0" w:space="0" w:color="auto"/>
        <w:bottom w:val="none" w:sz="0" w:space="0" w:color="auto"/>
        <w:right w:val="none" w:sz="0" w:space="0" w:color="auto"/>
      </w:divBdr>
    </w:div>
    <w:div w:id="1893807242">
      <w:bodyDiv w:val="1"/>
      <w:marLeft w:val="0"/>
      <w:marRight w:val="0"/>
      <w:marTop w:val="0"/>
      <w:marBottom w:val="0"/>
      <w:divBdr>
        <w:top w:val="none" w:sz="0" w:space="0" w:color="auto"/>
        <w:left w:val="none" w:sz="0" w:space="0" w:color="auto"/>
        <w:bottom w:val="none" w:sz="0" w:space="0" w:color="auto"/>
        <w:right w:val="none" w:sz="0" w:space="0" w:color="auto"/>
      </w:divBdr>
    </w:div>
    <w:div w:id="1895313087">
      <w:bodyDiv w:val="1"/>
      <w:marLeft w:val="0"/>
      <w:marRight w:val="0"/>
      <w:marTop w:val="0"/>
      <w:marBottom w:val="0"/>
      <w:divBdr>
        <w:top w:val="none" w:sz="0" w:space="0" w:color="auto"/>
        <w:left w:val="none" w:sz="0" w:space="0" w:color="auto"/>
        <w:bottom w:val="none" w:sz="0" w:space="0" w:color="auto"/>
        <w:right w:val="none" w:sz="0" w:space="0" w:color="auto"/>
      </w:divBdr>
    </w:div>
    <w:div w:id="1896427081">
      <w:bodyDiv w:val="1"/>
      <w:marLeft w:val="0"/>
      <w:marRight w:val="0"/>
      <w:marTop w:val="0"/>
      <w:marBottom w:val="0"/>
      <w:divBdr>
        <w:top w:val="none" w:sz="0" w:space="0" w:color="auto"/>
        <w:left w:val="none" w:sz="0" w:space="0" w:color="auto"/>
        <w:bottom w:val="none" w:sz="0" w:space="0" w:color="auto"/>
        <w:right w:val="none" w:sz="0" w:space="0" w:color="auto"/>
      </w:divBdr>
    </w:div>
    <w:div w:id="1898128946">
      <w:bodyDiv w:val="1"/>
      <w:marLeft w:val="0"/>
      <w:marRight w:val="0"/>
      <w:marTop w:val="0"/>
      <w:marBottom w:val="0"/>
      <w:divBdr>
        <w:top w:val="none" w:sz="0" w:space="0" w:color="auto"/>
        <w:left w:val="none" w:sz="0" w:space="0" w:color="auto"/>
        <w:bottom w:val="none" w:sz="0" w:space="0" w:color="auto"/>
        <w:right w:val="none" w:sz="0" w:space="0" w:color="auto"/>
      </w:divBdr>
    </w:div>
    <w:div w:id="1917932469">
      <w:bodyDiv w:val="1"/>
      <w:marLeft w:val="0"/>
      <w:marRight w:val="0"/>
      <w:marTop w:val="0"/>
      <w:marBottom w:val="0"/>
      <w:divBdr>
        <w:top w:val="none" w:sz="0" w:space="0" w:color="auto"/>
        <w:left w:val="none" w:sz="0" w:space="0" w:color="auto"/>
        <w:bottom w:val="none" w:sz="0" w:space="0" w:color="auto"/>
        <w:right w:val="none" w:sz="0" w:space="0" w:color="auto"/>
      </w:divBdr>
    </w:div>
    <w:div w:id="1943297456">
      <w:bodyDiv w:val="1"/>
      <w:marLeft w:val="0"/>
      <w:marRight w:val="0"/>
      <w:marTop w:val="0"/>
      <w:marBottom w:val="0"/>
      <w:divBdr>
        <w:top w:val="none" w:sz="0" w:space="0" w:color="auto"/>
        <w:left w:val="none" w:sz="0" w:space="0" w:color="auto"/>
        <w:bottom w:val="none" w:sz="0" w:space="0" w:color="auto"/>
        <w:right w:val="none" w:sz="0" w:space="0" w:color="auto"/>
      </w:divBdr>
    </w:div>
    <w:div w:id="1947999269">
      <w:bodyDiv w:val="1"/>
      <w:marLeft w:val="0"/>
      <w:marRight w:val="0"/>
      <w:marTop w:val="0"/>
      <w:marBottom w:val="0"/>
      <w:divBdr>
        <w:top w:val="none" w:sz="0" w:space="0" w:color="auto"/>
        <w:left w:val="none" w:sz="0" w:space="0" w:color="auto"/>
        <w:bottom w:val="none" w:sz="0" w:space="0" w:color="auto"/>
        <w:right w:val="none" w:sz="0" w:space="0" w:color="auto"/>
      </w:divBdr>
    </w:div>
    <w:div w:id="1969437097">
      <w:bodyDiv w:val="1"/>
      <w:marLeft w:val="0"/>
      <w:marRight w:val="0"/>
      <w:marTop w:val="0"/>
      <w:marBottom w:val="0"/>
      <w:divBdr>
        <w:top w:val="none" w:sz="0" w:space="0" w:color="auto"/>
        <w:left w:val="none" w:sz="0" w:space="0" w:color="auto"/>
        <w:bottom w:val="none" w:sz="0" w:space="0" w:color="auto"/>
        <w:right w:val="none" w:sz="0" w:space="0" w:color="auto"/>
      </w:divBdr>
    </w:div>
    <w:div w:id="1970895336">
      <w:bodyDiv w:val="1"/>
      <w:marLeft w:val="0"/>
      <w:marRight w:val="0"/>
      <w:marTop w:val="0"/>
      <w:marBottom w:val="0"/>
      <w:divBdr>
        <w:top w:val="none" w:sz="0" w:space="0" w:color="auto"/>
        <w:left w:val="none" w:sz="0" w:space="0" w:color="auto"/>
        <w:bottom w:val="none" w:sz="0" w:space="0" w:color="auto"/>
        <w:right w:val="none" w:sz="0" w:space="0" w:color="auto"/>
      </w:divBdr>
    </w:div>
    <w:div w:id="1971933366">
      <w:bodyDiv w:val="1"/>
      <w:marLeft w:val="0"/>
      <w:marRight w:val="0"/>
      <w:marTop w:val="0"/>
      <w:marBottom w:val="0"/>
      <w:divBdr>
        <w:top w:val="none" w:sz="0" w:space="0" w:color="auto"/>
        <w:left w:val="none" w:sz="0" w:space="0" w:color="auto"/>
        <w:bottom w:val="none" w:sz="0" w:space="0" w:color="auto"/>
        <w:right w:val="none" w:sz="0" w:space="0" w:color="auto"/>
      </w:divBdr>
    </w:div>
    <w:div w:id="1979410607">
      <w:bodyDiv w:val="1"/>
      <w:marLeft w:val="0"/>
      <w:marRight w:val="0"/>
      <w:marTop w:val="0"/>
      <w:marBottom w:val="0"/>
      <w:divBdr>
        <w:top w:val="none" w:sz="0" w:space="0" w:color="auto"/>
        <w:left w:val="none" w:sz="0" w:space="0" w:color="auto"/>
        <w:bottom w:val="none" w:sz="0" w:space="0" w:color="auto"/>
        <w:right w:val="none" w:sz="0" w:space="0" w:color="auto"/>
      </w:divBdr>
    </w:div>
    <w:div w:id="1997302139">
      <w:bodyDiv w:val="1"/>
      <w:marLeft w:val="0"/>
      <w:marRight w:val="0"/>
      <w:marTop w:val="0"/>
      <w:marBottom w:val="0"/>
      <w:divBdr>
        <w:top w:val="none" w:sz="0" w:space="0" w:color="auto"/>
        <w:left w:val="none" w:sz="0" w:space="0" w:color="auto"/>
        <w:bottom w:val="none" w:sz="0" w:space="0" w:color="auto"/>
        <w:right w:val="none" w:sz="0" w:space="0" w:color="auto"/>
      </w:divBdr>
    </w:div>
    <w:div w:id="2005208004">
      <w:bodyDiv w:val="1"/>
      <w:marLeft w:val="0"/>
      <w:marRight w:val="0"/>
      <w:marTop w:val="0"/>
      <w:marBottom w:val="0"/>
      <w:divBdr>
        <w:top w:val="none" w:sz="0" w:space="0" w:color="auto"/>
        <w:left w:val="none" w:sz="0" w:space="0" w:color="auto"/>
        <w:bottom w:val="none" w:sz="0" w:space="0" w:color="auto"/>
        <w:right w:val="none" w:sz="0" w:space="0" w:color="auto"/>
      </w:divBdr>
    </w:div>
    <w:div w:id="2051301007">
      <w:bodyDiv w:val="1"/>
      <w:marLeft w:val="0"/>
      <w:marRight w:val="0"/>
      <w:marTop w:val="0"/>
      <w:marBottom w:val="0"/>
      <w:divBdr>
        <w:top w:val="none" w:sz="0" w:space="0" w:color="auto"/>
        <w:left w:val="none" w:sz="0" w:space="0" w:color="auto"/>
        <w:bottom w:val="none" w:sz="0" w:space="0" w:color="auto"/>
        <w:right w:val="none" w:sz="0" w:space="0" w:color="auto"/>
      </w:divBdr>
    </w:div>
    <w:div w:id="2052798699">
      <w:bodyDiv w:val="1"/>
      <w:marLeft w:val="0"/>
      <w:marRight w:val="0"/>
      <w:marTop w:val="0"/>
      <w:marBottom w:val="0"/>
      <w:divBdr>
        <w:top w:val="none" w:sz="0" w:space="0" w:color="auto"/>
        <w:left w:val="none" w:sz="0" w:space="0" w:color="auto"/>
        <w:bottom w:val="none" w:sz="0" w:space="0" w:color="auto"/>
        <w:right w:val="none" w:sz="0" w:space="0" w:color="auto"/>
      </w:divBdr>
    </w:div>
    <w:div w:id="2078626459">
      <w:bodyDiv w:val="1"/>
      <w:marLeft w:val="0"/>
      <w:marRight w:val="0"/>
      <w:marTop w:val="0"/>
      <w:marBottom w:val="0"/>
      <w:divBdr>
        <w:top w:val="none" w:sz="0" w:space="0" w:color="auto"/>
        <w:left w:val="none" w:sz="0" w:space="0" w:color="auto"/>
        <w:bottom w:val="none" w:sz="0" w:space="0" w:color="auto"/>
        <w:right w:val="none" w:sz="0" w:space="0" w:color="auto"/>
      </w:divBdr>
    </w:div>
    <w:div w:id="2087795879">
      <w:bodyDiv w:val="1"/>
      <w:marLeft w:val="0"/>
      <w:marRight w:val="0"/>
      <w:marTop w:val="0"/>
      <w:marBottom w:val="0"/>
      <w:divBdr>
        <w:top w:val="none" w:sz="0" w:space="0" w:color="auto"/>
        <w:left w:val="none" w:sz="0" w:space="0" w:color="auto"/>
        <w:bottom w:val="none" w:sz="0" w:space="0" w:color="auto"/>
        <w:right w:val="none" w:sz="0" w:space="0" w:color="auto"/>
      </w:divBdr>
    </w:div>
    <w:div w:id="2090929381">
      <w:bodyDiv w:val="1"/>
      <w:marLeft w:val="0"/>
      <w:marRight w:val="0"/>
      <w:marTop w:val="0"/>
      <w:marBottom w:val="0"/>
      <w:divBdr>
        <w:top w:val="none" w:sz="0" w:space="0" w:color="auto"/>
        <w:left w:val="none" w:sz="0" w:space="0" w:color="auto"/>
        <w:bottom w:val="none" w:sz="0" w:space="0" w:color="auto"/>
        <w:right w:val="none" w:sz="0" w:space="0" w:color="auto"/>
      </w:divBdr>
    </w:div>
    <w:div w:id="2121681407">
      <w:bodyDiv w:val="1"/>
      <w:marLeft w:val="0"/>
      <w:marRight w:val="0"/>
      <w:marTop w:val="0"/>
      <w:marBottom w:val="0"/>
      <w:divBdr>
        <w:top w:val="none" w:sz="0" w:space="0" w:color="auto"/>
        <w:left w:val="none" w:sz="0" w:space="0" w:color="auto"/>
        <w:bottom w:val="none" w:sz="0" w:space="0" w:color="auto"/>
        <w:right w:val="none" w:sz="0" w:space="0" w:color="auto"/>
      </w:divBdr>
    </w:div>
    <w:div w:id="2123449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www.cokefuelequipment.com/products/coke-oven-equipmen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aladon.com/why-the-original-model-of-the-p-f-curve-is-the-correct-model/"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071491\AppData\Local\Microsoft\Windows\INetCache\Content.Outlook\CHQFF3GV\Machine%20delay%20graph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tx2"/>
                </a:solidFill>
                <a:latin typeface="+mn-lt"/>
                <a:ea typeface="+mn-ea"/>
                <a:cs typeface="+mn-cs"/>
              </a:defRPr>
            </a:pPr>
            <a:r>
              <a:rPr lang="en-GB" sz="1400" dirty="0">
                <a:solidFill>
                  <a:srgbClr val="002060"/>
                </a:solidFill>
              </a:rPr>
              <a:t>No.3</a:t>
            </a:r>
            <a:r>
              <a:rPr lang="en-GB" sz="1400" baseline="0" dirty="0">
                <a:solidFill>
                  <a:srgbClr val="002060"/>
                </a:solidFill>
              </a:rPr>
              <a:t> Guide Machine Monthly Delays FY19-20 V's FY20-21</a:t>
            </a:r>
            <a:endParaRPr lang="en-GB" sz="1400" dirty="0">
              <a:solidFill>
                <a:srgbClr val="002060"/>
              </a:solidFill>
            </a:endParaRPr>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2"/>
              </a:solidFill>
              <a:latin typeface="+mn-lt"/>
              <a:ea typeface="+mn-ea"/>
              <a:cs typeface="+mn-cs"/>
            </a:defRPr>
          </a:pPr>
          <a:endParaRPr lang="en-GB"/>
        </a:p>
      </c:txPr>
    </c:title>
    <c:autoTitleDeleted val="0"/>
    <c:plotArea>
      <c:layout/>
      <c:barChart>
        <c:barDir val="col"/>
        <c:grouping val="clustered"/>
        <c:varyColors val="0"/>
        <c:ser>
          <c:idx val="0"/>
          <c:order val="0"/>
          <c:tx>
            <c:v>FY19-20</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val>
            <c:numRef>
              <c:f>[1]Sheet9!$C$5:$C$16</c:f>
              <c:numCache>
                <c:formatCode>General</c:formatCode>
                <c:ptCount val="12"/>
                <c:pt idx="0">
                  <c:v>9.9999999999999992E-2</c:v>
                </c:pt>
                <c:pt idx="1">
                  <c:v>0.26180555555555557</c:v>
                </c:pt>
                <c:pt idx="2">
                  <c:v>4.3750000000000004E-2</c:v>
                </c:pt>
                <c:pt idx="3">
                  <c:v>0.20069444444444443</c:v>
                </c:pt>
                <c:pt idx="4">
                  <c:v>0.11319444444444444</c:v>
                </c:pt>
                <c:pt idx="5">
                  <c:v>0.1013888888888889</c:v>
                </c:pt>
                <c:pt idx="6">
                  <c:v>6.9444444444444434E-2</c:v>
                </c:pt>
                <c:pt idx="7">
                  <c:v>0.14652777777777778</c:v>
                </c:pt>
                <c:pt idx="8">
                  <c:v>0.28611111111111115</c:v>
                </c:pt>
                <c:pt idx="9">
                  <c:v>0.36944444444444446</c:v>
                </c:pt>
                <c:pt idx="10">
                  <c:v>4.8611111111111112E-3</c:v>
                </c:pt>
                <c:pt idx="11">
                  <c:v>7.2916666666666671E-2</c:v>
                </c:pt>
              </c:numCache>
            </c:numRef>
          </c:val>
          <c:extLst>
            <c:ext xmlns:c16="http://schemas.microsoft.com/office/drawing/2014/chart" uri="{C3380CC4-5D6E-409C-BE32-E72D297353CC}">
              <c16:uniqueId val="{00000000-FE5D-9842-B137-F513F2B19AD4}"/>
            </c:ext>
          </c:extLst>
        </c:ser>
        <c:ser>
          <c:idx val="2"/>
          <c:order val="1"/>
          <c:tx>
            <c:v>FY20-21</c:v>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val>
            <c:numRef>
              <c:f>[1]Sheet9!$B$5:$B$16</c:f>
              <c:numCache>
                <c:formatCode>General</c:formatCode>
                <c:ptCount val="12"/>
                <c:pt idx="0">
                  <c:v>8.5416666666666655E-2</c:v>
                </c:pt>
                <c:pt idx="1">
                  <c:v>0.15902777777777777</c:v>
                </c:pt>
                <c:pt idx="2">
                  <c:v>2.4305555555555556E-2</c:v>
                </c:pt>
                <c:pt idx="3">
                  <c:v>7.7083333333333337E-2</c:v>
                </c:pt>
                <c:pt idx="4">
                  <c:v>9.4444444444444442E-2</c:v>
                </c:pt>
                <c:pt idx="5">
                  <c:v>4.8611111111111112E-2</c:v>
                </c:pt>
              </c:numCache>
            </c:numRef>
          </c:val>
          <c:extLst>
            <c:ext xmlns:c16="http://schemas.microsoft.com/office/drawing/2014/chart" uri="{C3380CC4-5D6E-409C-BE32-E72D297353CC}">
              <c16:uniqueId val="{00000001-FE5D-9842-B137-F513F2B19AD4}"/>
            </c:ext>
          </c:extLst>
        </c:ser>
        <c:dLbls>
          <c:showLegendKey val="0"/>
          <c:showVal val="0"/>
          <c:showCatName val="0"/>
          <c:showSerName val="0"/>
          <c:showPercent val="0"/>
          <c:showBubbleSize val="0"/>
        </c:dLbls>
        <c:gapWidth val="150"/>
        <c:axId val="649949168"/>
        <c:axId val="649949496"/>
        <c:extLst>
          <c:ext xmlns:c15="http://schemas.microsoft.com/office/drawing/2012/chart" uri="{02D57815-91ED-43cb-92C2-25804820EDAC}">
            <c15:filteredBarSeries>
              <c15:ser>
                <c:idx val="4"/>
                <c:order val="4"/>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val>
                  <c:numRef>
                    <c:extLst>
                      <c:ext uri="{02D57815-91ED-43cb-92C2-25804820EDAC}">
                        <c15:formulaRef>
                          <c15:sqref>[1]Sheet9!$B$9:$C$9</c15:sqref>
                        </c15:formulaRef>
                      </c:ext>
                    </c:extLst>
                    <c:numCache>
                      <c:formatCode>General</c:formatCode>
                      <c:ptCount val="2"/>
                      <c:pt idx="0">
                        <c:v>9.4444444444444442E-2</c:v>
                      </c:pt>
                      <c:pt idx="1">
                        <c:v>0.11319444444444444</c:v>
                      </c:pt>
                    </c:numCache>
                  </c:numRef>
                </c:val>
                <c:extLst>
                  <c:ext xmlns:c16="http://schemas.microsoft.com/office/drawing/2014/chart" uri="{C3380CC4-5D6E-409C-BE32-E72D297353CC}">
                    <c16:uniqueId val="{00000004-FE5D-9842-B137-F513F2B19AD4}"/>
                  </c:ext>
                </c:extLst>
              </c15:ser>
            </c15:filteredBarSeries>
            <c15:filteredBarSeries>
              <c15:ser>
                <c:idx val="5"/>
                <c:order val="5"/>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val>
                  <c:numRef>
                    <c:extLst xmlns:c15="http://schemas.microsoft.com/office/drawing/2012/chart">
                      <c:ext xmlns:c15="http://schemas.microsoft.com/office/drawing/2012/chart" uri="{02D57815-91ED-43cb-92C2-25804820EDAC}">
                        <c15:formulaRef>
                          <c15:sqref>[1]Sheet9!$B$10:$C$10</c15:sqref>
                        </c15:formulaRef>
                      </c:ext>
                    </c:extLst>
                    <c:numCache>
                      <c:formatCode>General</c:formatCode>
                      <c:ptCount val="2"/>
                      <c:pt idx="0">
                        <c:v>4.8611111111111112E-2</c:v>
                      </c:pt>
                      <c:pt idx="1">
                        <c:v>0.1013888888888889</c:v>
                      </c:pt>
                    </c:numCache>
                  </c:numRef>
                </c:val>
                <c:extLst xmlns:c15="http://schemas.microsoft.com/office/drawing/2012/chart">
                  <c:ext xmlns:c16="http://schemas.microsoft.com/office/drawing/2014/chart" uri="{C3380CC4-5D6E-409C-BE32-E72D297353CC}">
                    <c16:uniqueId val="{00000005-FE5D-9842-B137-F513F2B19AD4}"/>
                  </c:ext>
                </c:extLst>
              </c15:ser>
            </c15:filteredBarSeries>
            <c15:filteredBarSeries>
              <c15:ser>
                <c:idx val="6"/>
                <c:order val="6"/>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val>
                  <c:numRef>
                    <c:extLst xmlns:c15="http://schemas.microsoft.com/office/drawing/2012/chart">
                      <c:ext xmlns:c15="http://schemas.microsoft.com/office/drawing/2012/chart" uri="{02D57815-91ED-43cb-92C2-25804820EDAC}">
                        <c15:formulaRef>
                          <c15:sqref>[1]Sheet9!$B$11:$C$11</c15:sqref>
                        </c15:formulaRef>
                      </c:ext>
                    </c:extLst>
                    <c:numCache>
                      <c:formatCode>General</c:formatCode>
                      <c:ptCount val="2"/>
                      <c:pt idx="1">
                        <c:v>6.9444444444444434E-2</c:v>
                      </c:pt>
                    </c:numCache>
                  </c:numRef>
                </c:val>
                <c:extLst xmlns:c15="http://schemas.microsoft.com/office/drawing/2012/chart">
                  <c:ext xmlns:c16="http://schemas.microsoft.com/office/drawing/2014/chart" uri="{C3380CC4-5D6E-409C-BE32-E72D297353CC}">
                    <c16:uniqueId val="{00000006-FE5D-9842-B137-F513F2B19AD4}"/>
                  </c:ext>
                </c:extLst>
              </c15:ser>
            </c15:filteredBarSeries>
            <c15:filteredBarSeries>
              <c15:ser>
                <c:idx val="7"/>
                <c:order val="7"/>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invertIfNegative val="0"/>
                <c:val>
                  <c:numRef>
                    <c:extLst xmlns:c15="http://schemas.microsoft.com/office/drawing/2012/chart">
                      <c:ext xmlns:c15="http://schemas.microsoft.com/office/drawing/2012/chart" uri="{02D57815-91ED-43cb-92C2-25804820EDAC}">
                        <c15:formulaRef>
                          <c15:sqref>[1]Sheet9!$B$12:$C$12</c15:sqref>
                        </c15:formulaRef>
                      </c:ext>
                    </c:extLst>
                    <c:numCache>
                      <c:formatCode>General</c:formatCode>
                      <c:ptCount val="2"/>
                      <c:pt idx="1">
                        <c:v>0.14652777777777778</c:v>
                      </c:pt>
                    </c:numCache>
                  </c:numRef>
                </c:val>
                <c:extLst xmlns:c15="http://schemas.microsoft.com/office/drawing/2012/chart">
                  <c:ext xmlns:c16="http://schemas.microsoft.com/office/drawing/2014/chart" uri="{C3380CC4-5D6E-409C-BE32-E72D297353CC}">
                    <c16:uniqueId val="{00000007-FE5D-9842-B137-F513F2B19AD4}"/>
                  </c:ext>
                </c:extLst>
              </c15:ser>
            </c15:filteredBarSeries>
            <c15:filteredBarSeries>
              <c15:ser>
                <c:idx val="8"/>
                <c:order val="8"/>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c:spPr>
                <c:invertIfNegative val="0"/>
                <c:val>
                  <c:numRef>
                    <c:extLst xmlns:c15="http://schemas.microsoft.com/office/drawing/2012/chart">
                      <c:ext xmlns:c15="http://schemas.microsoft.com/office/drawing/2012/chart" uri="{02D57815-91ED-43cb-92C2-25804820EDAC}">
                        <c15:formulaRef>
                          <c15:sqref>[1]Sheet9!$B$13:$C$13</c15:sqref>
                        </c15:formulaRef>
                      </c:ext>
                    </c:extLst>
                    <c:numCache>
                      <c:formatCode>General</c:formatCode>
                      <c:ptCount val="2"/>
                      <c:pt idx="1">
                        <c:v>0.28611111111111115</c:v>
                      </c:pt>
                    </c:numCache>
                  </c:numRef>
                </c:val>
                <c:extLst xmlns:c15="http://schemas.microsoft.com/office/drawing/2012/chart">
                  <c:ext xmlns:c16="http://schemas.microsoft.com/office/drawing/2014/chart" uri="{C3380CC4-5D6E-409C-BE32-E72D297353CC}">
                    <c16:uniqueId val="{00000008-FE5D-9842-B137-F513F2B19AD4}"/>
                  </c:ext>
                </c:extLst>
              </c15:ser>
            </c15:filteredBarSeries>
            <c15:filteredBarSeries>
              <c15:ser>
                <c:idx val="9"/>
                <c:order val="9"/>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c:spPr>
                <c:invertIfNegative val="0"/>
                <c:val>
                  <c:numRef>
                    <c:extLst xmlns:c15="http://schemas.microsoft.com/office/drawing/2012/chart">
                      <c:ext xmlns:c15="http://schemas.microsoft.com/office/drawing/2012/chart" uri="{02D57815-91ED-43cb-92C2-25804820EDAC}">
                        <c15:formulaRef>
                          <c15:sqref>[1]Sheet9!$B$14:$C$14</c15:sqref>
                        </c15:formulaRef>
                      </c:ext>
                    </c:extLst>
                    <c:numCache>
                      <c:formatCode>General</c:formatCode>
                      <c:ptCount val="2"/>
                      <c:pt idx="1">
                        <c:v>0.36944444444444446</c:v>
                      </c:pt>
                    </c:numCache>
                  </c:numRef>
                </c:val>
                <c:extLst xmlns:c15="http://schemas.microsoft.com/office/drawing/2012/chart">
                  <c:ext xmlns:c16="http://schemas.microsoft.com/office/drawing/2014/chart" uri="{C3380CC4-5D6E-409C-BE32-E72D297353CC}">
                    <c16:uniqueId val="{00000009-FE5D-9842-B137-F513F2B19AD4}"/>
                  </c:ext>
                </c:extLst>
              </c15:ser>
            </c15:filteredBarSeries>
            <c15:filteredBarSeries>
              <c15:ser>
                <c:idx val="10"/>
                <c:order val="1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c:spPr>
                <c:invertIfNegative val="0"/>
                <c:val>
                  <c:numRef>
                    <c:extLst xmlns:c15="http://schemas.microsoft.com/office/drawing/2012/chart">
                      <c:ext xmlns:c15="http://schemas.microsoft.com/office/drawing/2012/chart" uri="{02D57815-91ED-43cb-92C2-25804820EDAC}">
                        <c15:formulaRef>
                          <c15:sqref>[1]Sheet9!$B$15:$C$15</c15:sqref>
                        </c15:formulaRef>
                      </c:ext>
                    </c:extLst>
                    <c:numCache>
                      <c:formatCode>General</c:formatCode>
                      <c:ptCount val="2"/>
                      <c:pt idx="1">
                        <c:v>4.8611111111111112E-3</c:v>
                      </c:pt>
                    </c:numCache>
                  </c:numRef>
                </c:val>
                <c:extLst xmlns:c15="http://schemas.microsoft.com/office/drawing/2012/chart">
                  <c:ext xmlns:c16="http://schemas.microsoft.com/office/drawing/2014/chart" uri="{C3380CC4-5D6E-409C-BE32-E72D297353CC}">
                    <c16:uniqueId val="{0000000A-FE5D-9842-B137-F513F2B19AD4}"/>
                  </c:ext>
                </c:extLst>
              </c15:ser>
            </c15:filteredBarSeries>
            <c15:filteredBarSeries>
              <c15:ser>
                <c:idx val="11"/>
                <c:order val="11"/>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invertIfNegative val="0"/>
                <c:val>
                  <c:numRef>
                    <c:extLst xmlns:c15="http://schemas.microsoft.com/office/drawing/2012/chart">
                      <c:ext xmlns:c15="http://schemas.microsoft.com/office/drawing/2012/chart" uri="{02D57815-91ED-43cb-92C2-25804820EDAC}">
                        <c15:formulaRef>
                          <c15:sqref>[1]Sheet9!$B$16:$C$16</c15:sqref>
                        </c15:formulaRef>
                      </c:ext>
                    </c:extLst>
                    <c:numCache>
                      <c:formatCode>General</c:formatCode>
                      <c:ptCount val="2"/>
                      <c:pt idx="1">
                        <c:v>7.2916666666666671E-2</c:v>
                      </c:pt>
                    </c:numCache>
                  </c:numRef>
                </c:val>
                <c:extLst xmlns:c15="http://schemas.microsoft.com/office/drawing/2012/chart">
                  <c:ext xmlns:c16="http://schemas.microsoft.com/office/drawing/2014/chart" uri="{C3380CC4-5D6E-409C-BE32-E72D297353CC}">
                    <c16:uniqueId val="{0000000B-FE5D-9842-B137-F513F2B19AD4}"/>
                  </c:ext>
                </c:extLst>
              </c15:ser>
            </c15:filteredBarSeries>
          </c:ext>
        </c:extLst>
      </c:barChart>
      <c:lineChart>
        <c:grouping val="standard"/>
        <c:varyColors val="0"/>
        <c:ser>
          <c:idx val="1"/>
          <c:order val="2"/>
          <c:tx>
            <c:v>FY20-21 Average</c:v>
          </c:tx>
          <c:spPr>
            <a:ln w="31750" cap="rnd">
              <a:solidFill>
                <a:schemeClr val="accent2"/>
              </a:solidFill>
              <a:round/>
            </a:ln>
            <a:effectLst/>
          </c:spPr>
          <c:marker>
            <c:symbol val="none"/>
          </c:marker>
          <c:val>
            <c:numRef>
              <c:f>[1]Sheet9!$D$5:$D$16</c:f>
              <c:numCache>
                <c:formatCode>General</c:formatCode>
                <c:ptCount val="12"/>
                <c:pt idx="0">
                  <c:v>8.1250000000000003E-2</c:v>
                </c:pt>
                <c:pt idx="1">
                  <c:v>8.1250000000000003E-2</c:v>
                </c:pt>
                <c:pt idx="2">
                  <c:v>8.1250000000000003E-2</c:v>
                </c:pt>
                <c:pt idx="3">
                  <c:v>8.1250000000000003E-2</c:v>
                </c:pt>
                <c:pt idx="4">
                  <c:v>8.1250000000000003E-2</c:v>
                </c:pt>
                <c:pt idx="5">
                  <c:v>8.1250000000000003E-2</c:v>
                </c:pt>
                <c:pt idx="6">
                  <c:v>8.1250000000000003E-2</c:v>
                </c:pt>
                <c:pt idx="7">
                  <c:v>8.1250000000000003E-2</c:v>
                </c:pt>
                <c:pt idx="8">
                  <c:v>8.1250000000000003E-2</c:v>
                </c:pt>
                <c:pt idx="9">
                  <c:v>8.1250000000000003E-2</c:v>
                </c:pt>
                <c:pt idx="10">
                  <c:v>8.1250000000000003E-2</c:v>
                </c:pt>
                <c:pt idx="11">
                  <c:v>8.1250000000000003E-2</c:v>
                </c:pt>
              </c:numCache>
            </c:numRef>
          </c:val>
          <c:smooth val="0"/>
          <c:extLst>
            <c:ext xmlns:c16="http://schemas.microsoft.com/office/drawing/2014/chart" uri="{C3380CC4-5D6E-409C-BE32-E72D297353CC}">
              <c16:uniqueId val="{00000002-FE5D-9842-B137-F513F2B19AD4}"/>
            </c:ext>
          </c:extLst>
        </c:ser>
        <c:ser>
          <c:idx val="3"/>
          <c:order val="3"/>
          <c:tx>
            <c:v>FY19-20 Average</c:v>
          </c:tx>
          <c:spPr>
            <a:ln w="31750" cap="rnd">
              <a:solidFill>
                <a:schemeClr val="accent4"/>
              </a:solidFill>
              <a:round/>
            </a:ln>
            <a:effectLst/>
          </c:spPr>
          <c:marker>
            <c:symbol val="none"/>
          </c:marker>
          <c:val>
            <c:numRef>
              <c:f>[1]Sheet9!$E$5:$E$16</c:f>
              <c:numCache>
                <c:formatCode>General</c:formatCode>
                <c:ptCount val="12"/>
                <c:pt idx="0">
                  <c:v>0.14722222222222223</c:v>
                </c:pt>
                <c:pt idx="1">
                  <c:v>0.14722222222222223</c:v>
                </c:pt>
                <c:pt idx="2">
                  <c:v>0.147222222222222</c:v>
                </c:pt>
                <c:pt idx="3">
                  <c:v>0.147222222222222</c:v>
                </c:pt>
                <c:pt idx="4">
                  <c:v>0.147222222222222</c:v>
                </c:pt>
                <c:pt idx="5">
                  <c:v>0.147222222222222</c:v>
                </c:pt>
                <c:pt idx="6">
                  <c:v>0.147222222222222</c:v>
                </c:pt>
                <c:pt idx="7">
                  <c:v>0.147222222222222</c:v>
                </c:pt>
                <c:pt idx="8">
                  <c:v>0.147222222222222</c:v>
                </c:pt>
                <c:pt idx="9">
                  <c:v>0.147222222222222</c:v>
                </c:pt>
                <c:pt idx="10">
                  <c:v>0.147222222222222</c:v>
                </c:pt>
                <c:pt idx="11">
                  <c:v>0.147222222222222</c:v>
                </c:pt>
              </c:numCache>
            </c:numRef>
          </c:val>
          <c:smooth val="0"/>
          <c:extLst>
            <c:ext xmlns:c16="http://schemas.microsoft.com/office/drawing/2014/chart" uri="{C3380CC4-5D6E-409C-BE32-E72D297353CC}">
              <c16:uniqueId val="{00000003-FE5D-9842-B137-F513F2B19AD4}"/>
            </c:ext>
          </c:extLst>
        </c:ser>
        <c:dLbls>
          <c:showLegendKey val="0"/>
          <c:showVal val="0"/>
          <c:showCatName val="0"/>
          <c:showSerName val="0"/>
          <c:showPercent val="0"/>
          <c:showBubbleSize val="0"/>
        </c:dLbls>
        <c:marker val="1"/>
        <c:smooth val="0"/>
        <c:axId val="649949168"/>
        <c:axId val="649949496"/>
      </c:lineChart>
      <c:catAx>
        <c:axId val="64994916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Months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49949496"/>
        <c:crosses val="autoZero"/>
        <c:auto val="1"/>
        <c:lblAlgn val="ctr"/>
        <c:lblOffset val="100"/>
        <c:noMultiLvlLbl val="0"/>
      </c:catAx>
      <c:valAx>
        <c:axId val="649949496"/>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sz="1100">
                    <a:solidFill>
                      <a:srgbClr val="002060"/>
                    </a:solidFill>
                  </a:rPr>
                  <a:t>Delay</a:t>
                </a:r>
                <a:r>
                  <a:rPr lang="en-GB" sz="1100" baseline="0">
                    <a:solidFill>
                      <a:srgbClr val="002060"/>
                    </a:solidFill>
                  </a:rPr>
                  <a:t> time (0.Hours)</a:t>
                </a:r>
                <a:endParaRPr lang="en-GB" sz="1100">
                  <a:solidFill>
                    <a:srgbClr val="002060"/>
                  </a:solidFill>
                </a:endParaRP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49949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Pri12</b:Tag>
    <b:SourceType>Misc</b:SourceType>
    <b:Guid>{2A67EDA7-EBBC-423A-8826-C181919B66B9}</b:Guid>
    <b:Title>MCO-Ammonia Liquor Washers- Effluent Tank</b:Title>
    <b:Year>2012</b:Year>
    <b:Month>Feburary</b:Month>
    <b:Day>01</b:Day>
    <b:Author>
      <b:Author>
        <b:NameList>
          <b:Person>
            <b:Last>Price</b:Last>
            <b:First>C</b:First>
          </b:Person>
        </b:NameList>
      </b:Author>
    </b:Author>
    <b:Publisher>Tata Steel UK Limited</b:Publisher>
    <b:RefOrder>2</b:RefOrder>
  </b:Source>
  <b:Source>
    <b:Tag>Wil06</b:Tag>
    <b:SourceType>JournalArticle</b:SourceType>
    <b:Guid>{7D80C73C-3A83-4958-AD74-41B5DC7E0AC3}</b:Guid>
    <b:Title>Corus Coke Oven Effleunt Treatment Processes</b:Title>
    <b:Year>2006</b:Year>
    <b:JournalName>The Year-Book of the Coke Oven Manager's Association</b:JournalName>
    <b:Pages>101-110</b:Pages>
    <b:Author>
      <b:Author>
        <b:NameList>
          <b:Person>
            <b:Last>Willerton</b:Last>
            <b:First>Nick</b:First>
          </b:Person>
        </b:NameList>
      </b:Author>
    </b:Author>
    <b:RefOrder>5</b:RefOrder>
  </b:Source>
  <b:Source>
    <b:Tag>Rea20</b:Tag>
    <b:SourceType>InternetSite</b:SourceType>
    <b:Guid>{E837071A-1DF7-4530-9863-7961E3A3D7E7}</b:Guid>
    <b:Title>How to read a P&amp;ID</b:Title>
    <b:Year>2020</b:Year>
    <b:Author>
      <b:Author>
        <b:NameList>
          <b:Person>
            <b:Last>Crimmins</b:Last>
            <b:First>Daniel</b:First>
          </b:Person>
        </b:NameList>
      </b:Author>
    </b:Author>
    <b:InternetSiteTitle>Realpars</b:InternetSiteTitle>
    <b:Month>Jan</b:Month>
    <b:Day>27</b:Day>
    <b:URL>https://realpars.com/p-id/</b:URL>
    <b:YearAccessed>2023</b:YearAccessed>
    <b:MonthAccessed>April</b:MonthAccessed>
    <b:DayAccessed>21</b:DayAccessed>
    <b:RefOrder>6</b:RefOrder>
  </b:Source>
  <b:Source>
    <b:Tag>Ins22</b:Tag>
    <b:SourceType>InternetSite</b:SourceType>
    <b:Guid>{74208F80-6C75-4C49-9CCF-C16A0331F97F}</b:Guid>
    <b:Author>
      <b:Author>
        <b:Corporate>Instrumentation Tools</b:Corporate>
      </b:Author>
    </b:Author>
    <b:Title>What is a piping and instrumentation diagram</b:Title>
    <b:InternetSiteTitle>Inst Tools</b:InternetSiteTitle>
    <b:Year>2022</b:Year>
    <b:Month>June</b:Month>
    <b:Day>22</b:Day>
    <b:URL>https://instrumentationtools.com/piping-instrumentation-diagram-pid/</b:URL>
    <b:RefOrder>1</b:RefOrder>
  </b:Source>
  <b:Source>
    <b:Tag>The15</b:Tag>
    <b:SourceType>Misc</b:SourceType>
    <b:Guid>{9A46F30F-C090-4804-BECC-13DD73391BFE}</b:Guid>
    <b:Author>
      <b:Author>
        <b:Corporate>The Health and Safety Executive</b:Corporate>
      </b:Author>
    </b:Author>
    <b:Title>The Control of Major Accident Hazards Guidance and Regulations</b:Title>
    <b:Year>2015</b:Year>
    <b:PublicationTitle>The Control of Major Accident Hazards</b:PublicationTitle>
    <b:RefOrder>3</b:RefOrder>
  </b:Source>
  <b:Source>
    <b:Tag>The01</b:Tag>
    <b:SourceType>InternetSite</b:SourceType>
    <b:Guid>{28F09BD2-92BA-4F43-B55D-8F48C10AC3A8}</b:Guid>
    <b:Title>COSHH Basics</b:Title>
    <b:Year>2001</b:Year>
    <b:Author>
      <b:Author>
        <b:Corporate>The Health and Safety Executive</b:Corporate>
      </b:Author>
    </b:Author>
    <b:InternetSiteTitle>Health and Safety Executive</b:InternetSiteTitle>
    <b:URL>https://www.hse.gov.uk/coshh/basics/index.htm</b:URL>
    <b:YearAccessed>2023</b:YearAccessed>
    <b:MonthAccessed>April</b:MonthAccessed>
    <b:DayAccessed>15</b:DayAccessed>
    <b:RefOrder>4</b:RefOrder>
  </b:Source>
</b:Sources>
</file>

<file path=customXml/itemProps1.xml><?xml version="1.0" encoding="utf-8"?>
<ds:datastoreItem xmlns:ds="http://schemas.openxmlformats.org/officeDocument/2006/customXml" ds:itemID="{132F2CCA-312D-4B9A-AEAB-828BA04A4BC5}">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18</Pages>
  <Words>3604</Words>
  <Characters>22460</Characters>
  <Application>Microsoft Office Word</Application>
  <DocSecurity>0</DocSecurity>
  <Lines>449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Cori</dc:creator>
  <cp:lastModifiedBy>Matthew Frey (1302960)</cp:lastModifiedBy>
  <cp:revision>2</cp:revision>
  <cp:lastPrinted>2026-04-18T19:24:00Z</cp:lastPrinted>
  <dcterms:created xsi:type="dcterms:W3CDTF">2026-04-19T13:47:00Z</dcterms:created>
  <dcterms:modified xsi:type="dcterms:W3CDTF">2026-04-19T13:47:00Z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#000000,8,Calibri</vt:lpwstr>
  </property>
  <property fmtid="{D5CDD505-2E9C-101B-9397-08002B2CF9AE}" pid="3" name="ClassificationContentMarkingFooterShapeIds">
    <vt:lpwstr>1,2,3</vt:lpwstr>
  </property>
  <property fmtid="{D5CDD505-2E9C-101B-9397-08002B2CF9AE}" pid="4" name="ClassificationContentMarkingFooterText">
    <vt:lpwstr>Sensitivity: general</vt:lpwstr>
  </property>
  <property fmtid="{D5CDD505-2E9C-101B-9397-08002B2CF9AE}" pid="5" name="GrammarlyDocumentId">
    <vt:lpwstr>1c8ae4f20f377ac50f565bd482b783df796b521f39b95c6593d23d3766df4ad2</vt:lpwstr>
  </property>
  <property fmtid="{D5CDD505-2E9C-101B-9397-08002B2CF9AE}" pid="6" name="MSIP_Label_73aa366c-74b9-492b-a1b9-5472c41e7d31_ActionId">
    <vt:lpwstr>e44ea6dc-f75d-42c3-95d3-fb32a4097d37</vt:lpwstr>
  </property>
  <property fmtid="{D5CDD505-2E9C-101B-9397-08002B2CF9AE}" pid="7" name="MSIP_Label_73aa366c-74b9-492b-a1b9-5472c41e7d31_ContentBits">
    <vt:lpwstr>2</vt:lpwstr>
  </property>
  <property fmtid="{D5CDD505-2E9C-101B-9397-08002B2CF9AE}" pid="8" name="MSIP_Label_73aa366c-74b9-492b-a1b9-5472c41e7d31_Enabled">
    <vt:lpwstr>true</vt:lpwstr>
  </property>
  <property fmtid="{D5CDD505-2E9C-101B-9397-08002B2CF9AE}" pid="9" name="MSIP_Label_73aa366c-74b9-492b-a1b9-5472c41e7d31_Method">
    <vt:lpwstr>Standard</vt:lpwstr>
  </property>
  <property fmtid="{D5CDD505-2E9C-101B-9397-08002B2CF9AE}" pid="10" name="MSIP_Label_73aa366c-74b9-492b-a1b9-5472c41e7d31_Name">
    <vt:lpwstr>73aa366c-74b9-492b-a1b9-5472c41e7d31</vt:lpwstr>
  </property>
  <property fmtid="{D5CDD505-2E9C-101B-9397-08002B2CF9AE}" pid="11" name="MSIP_Label_73aa366c-74b9-492b-a1b9-5472c41e7d31_SetDate">
    <vt:lpwstr>2023-01-05T09:02:09Z</vt:lpwstr>
  </property>
  <property fmtid="{D5CDD505-2E9C-101B-9397-08002B2CF9AE}" pid="12" name="MSIP_Label_73aa366c-74b9-492b-a1b9-5472c41e7d31_SiteId">
    <vt:lpwstr>44bbd632-fe04-42d7-933e-2649dcd22649</vt:lpwstr>
  </property>
</Properties>
</file>