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2.xml" ContentType="application/vnd.openxmlformats-officedocument.wordprocessingml.footer+xml"/>
  <Override PartName="/word/media/image1.png" ContentType="image/png"/>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rPr/>
      </w:pPr>
      <w:r>
        <w:rPr/>
        <w:drawing>
          <wp:inline distT="0" distB="0" distL="0" distR="0">
            <wp:extent cx="2619375" cy="1165860"/>
            <wp:effectExtent l="0" t="0" r="0" b="0"/>
            <wp:docPr id="1" name="image1.png"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a:picLocks noChangeAspect="1" noChangeArrowheads="1"/>
                    </pic:cNvPicPr>
                  </pic:nvPicPr>
                  <pic:blipFill>
                    <a:blip r:embed="rId2"/>
                    <a:stretch>
                      <a:fillRect/>
                    </a:stretch>
                  </pic:blipFill>
                  <pic:spPr bwMode="auto">
                    <a:xfrm>
                      <a:off x="0" y="0"/>
                      <a:ext cx="2619375" cy="1165860"/>
                    </a:xfrm>
                    <a:prstGeom prst="rect">
                      <a:avLst/>
                    </a:prstGeom>
                  </pic:spPr>
                </pic:pic>
              </a:graphicData>
            </a:graphic>
          </wp:inline>
        </w:drawing>
      </w:r>
    </w:p>
    <w:p>
      <w:pPr>
        <w:pStyle w:val="Normal1"/>
        <w:jc w:val="left"/>
        <w:rPr>
          <w:b/>
          <w:color w:val="FF0000"/>
          <w:sz w:val="56"/>
          <w:szCs w:val="56"/>
        </w:rPr>
      </w:pPr>
      <w:r>
        <w:rPr>
          <w:b/>
          <w:color w:val="FF0000"/>
          <w:sz w:val="56"/>
          <w:szCs w:val="56"/>
        </w:rPr>
      </w:r>
    </w:p>
    <w:p>
      <w:pPr>
        <w:pStyle w:val="Normal1"/>
        <w:rPr/>
      </w:pPr>
      <w:r>
        <w:rPr/>
      </w:r>
    </w:p>
    <w:p>
      <w:pPr>
        <w:pStyle w:val="Normal1"/>
        <w:rPr/>
      </w:pPr>
      <w:r>
        <w:rPr/>
      </w:r>
    </w:p>
    <w:p>
      <w:pPr>
        <w:pStyle w:val="Normal1"/>
        <w:rPr/>
      </w:pPr>
      <w:r>
        <w:rPr/>
      </w:r>
    </w:p>
    <w:p>
      <w:pPr>
        <w:pStyle w:val="Normal1"/>
        <w:rPr/>
      </w:pPr>
      <w:r>
        <w:rPr/>
      </w:r>
    </w:p>
    <w:p>
      <w:pPr>
        <w:pStyle w:val="Normal1"/>
        <w:jc w:val="center"/>
        <w:rPr>
          <w:b/>
          <w:sz w:val="96"/>
          <w:szCs w:val="96"/>
        </w:rPr>
      </w:pPr>
      <w:r>
        <w:rPr>
          <w:b/>
          <w:sz w:val="96"/>
          <w:szCs w:val="96"/>
        </w:rPr>
        <w:t xml:space="preserve">ACS report </w:t>
      </w:r>
    </w:p>
    <w:p>
      <w:pPr>
        <w:pStyle w:val="Normal1"/>
        <w:jc w:val="center"/>
        <w:rPr>
          <w:sz w:val="56"/>
          <w:szCs w:val="56"/>
        </w:rPr>
      </w:pPr>
      <w:r>
        <w:rPr>
          <w:sz w:val="56"/>
          <w:szCs w:val="56"/>
        </w:rPr>
      </w:r>
    </w:p>
    <w:p>
      <w:pPr>
        <w:pStyle w:val="Normal1"/>
        <w:jc w:val="center"/>
        <w:rPr>
          <w:sz w:val="96"/>
          <w:szCs w:val="96"/>
        </w:rPr>
      </w:pPr>
      <w:r>
        <w:rPr>
          <w:sz w:val="96"/>
          <w:szCs w:val="96"/>
        </w:rPr>
      </w:r>
    </w:p>
    <w:p>
      <w:pPr>
        <w:pStyle w:val="Normal1"/>
        <w:rPr>
          <w:sz w:val="36"/>
          <w:szCs w:val="36"/>
        </w:rPr>
      </w:pPr>
      <w:r>
        <w:rPr>
          <w:sz w:val="36"/>
          <w:szCs w:val="36"/>
        </w:rPr>
        <w:t xml:space="preserve">Student Name: Sergio </w:t>
      </w:r>
    </w:p>
    <w:p>
      <w:pPr>
        <w:pStyle w:val="Normal1"/>
        <w:rPr>
          <w:sz w:val="36"/>
          <w:szCs w:val="36"/>
        </w:rPr>
      </w:pPr>
      <w:r>
        <w:rPr>
          <w:sz w:val="36"/>
          <w:szCs w:val="36"/>
        </w:rPr>
        <w:t xml:space="preserve">Student ID: </w:t>
      </w:r>
      <w:r>
        <w:rPr>
          <w:sz w:val="36"/>
          <w:szCs w:val="36"/>
        </w:rPr>
        <w:t>2436532</w:t>
      </w:r>
    </w:p>
    <w:p>
      <w:pPr>
        <w:pStyle w:val="Normal1"/>
        <w:rPr>
          <w:sz w:val="36"/>
          <w:szCs w:val="36"/>
        </w:rPr>
      </w:pPr>
      <w:r>
        <w:rPr>
          <w:sz w:val="36"/>
          <w:szCs w:val="36"/>
        </w:rPr>
        <w:t>Module Code: LCLM4001</w:t>
      </w:r>
    </w:p>
    <w:p>
      <w:pPr>
        <w:pStyle w:val="Normal1"/>
        <w:rPr>
          <w:sz w:val="36"/>
          <w:szCs w:val="36"/>
        </w:rPr>
      </w:pPr>
      <w:r>
        <w:rPr>
          <w:sz w:val="36"/>
          <w:szCs w:val="36"/>
        </w:rPr>
        <w:t>Module: Academic Skills</w:t>
      </w:r>
    </w:p>
    <w:p>
      <w:pPr>
        <w:pStyle w:val="Normal1"/>
        <w:rPr>
          <w:sz w:val="36"/>
          <w:szCs w:val="36"/>
        </w:rPr>
      </w:pPr>
      <w:r>
        <w:rPr>
          <w:sz w:val="36"/>
          <w:szCs w:val="36"/>
        </w:rPr>
        <w:t xml:space="preserve">Lecturer: </w:t>
      </w:r>
      <w:r>
        <w:rPr>
          <w:sz w:val="36"/>
          <w:szCs w:val="36"/>
        </w:rPr>
        <w:t>Naomi Doerge</w:t>
      </w:r>
    </w:p>
    <w:p>
      <w:pPr>
        <w:pStyle w:val="Normal1"/>
        <w:jc w:val="both"/>
        <w:rPr>
          <w:sz w:val="28"/>
          <w:szCs w:val="28"/>
        </w:rPr>
      </w:pPr>
      <w:r>
        <w:rPr>
          <w:sz w:val="28"/>
          <w:szCs w:val="28"/>
        </w:rPr>
      </w:r>
    </w:p>
    <w:p>
      <w:pPr>
        <w:pStyle w:val="Normal1"/>
        <w:jc w:val="both"/>
        <w:rPr>
          <w:sz w:val="28"/>
          <w:szCs w:val="28"/>
        </w:rPr>
      </w:pPr>
      <w:r>
        <w:rPr>
          <w:sz w:val="28"/>
          <w:szCs w:val="28"/>
        </w:rPr>
      </w:r>
    </w:p>
    <w:p>
      <w:pPr>
        <w:pStyle w:val="Normal1"/>
        <w:jc w:val="both"/>
        <w:rPr>
          <w:sz w:val="28"/>
          <w:szCs w:val="28"/>
        </w:rPr>
      </w:pPr>
      <w:r>
        <w:rPr>
          <w:sz w:val="28"/>
          <w:szCs w:val="28"/>
        </w:rPr>
      </w:r>
    </w:p>
    <w:p>
      <w:pPr>
        <w:pStyle w:val="Normal1"/>
        <w:jc w:val="both"/>
        <w:rPr>
          <w:sz w:val="28"/>
          <w:szCs w:val="28"/>
        </w:rPr>
      </w:pPr>
      <w:r>
        <w:rPr>
          <w:sz w:val="28"/>
          <w:szCs w:val="28"/>
        </w:rPr>
      </w:r>
    </w:p>
    <w:p>
      <w:pPr>
        <w:pStyle w:val="Normal1"/>
        <w:jc w:val="both"/>
        <w:rPr>
          <w:b/>
          <w:sz w:val="36"/>
          <w:szCs w:val="36"/>
        </w:rPr>
      </w:pPr>
      <w:r>
        <w:rPr>
          <w:b/>
          <w:sz w:val="36"/>
          <w:szCs w:val="36"/>
        </w:rPr>
      </w:r>
    </w:p>
    <w:p>
      <w:pPr>
        <w:pStyle w:val="Normal1"/>
        <w:shd w:val="clear" w:fill="FFFFFF"/>
        <w:jc w:val="both"/>
        <w:rPr>
          <w:b/>
          <w:sz w:val="36"/>
          <w:szCs w:val="36"/>
        </w:rPr>
      </w:pPr>
      <w:r>
        <w:rPr>
          <w:b/>
          <w:sz w:val="36"/>
          <w:szCs w:val="36"/>
        </w:rPr>
        <w:t>Table of Contents</w:t>
      </w:r>
    </w:p>
    <w:sdt>
      <w:sdtPr>
        <w:docPartObj>
          <w:docPartGallery w:val="Table of Contents"/>
          <w:docPartUnique w:val="true"/>
        </w:docPartObj>
      </w:sdtPr>
      <w:sdtContent>
        <w:p>
          <w:pPr>
            <w:pStyle w:val="Normal1"/>
            <w:keepNext w:val="false"/>
            <w:keepLines w:val="false"/>
            <w:pageBreakBefore w:val="false"/>
            <w:widowControl/>
            <w:pBdr/>
            <w:shd w:fill="FFFFFF" w:val="clear"/>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r>
            <w:fldChar w:fldCharType="begin"/>
          </w:r>
          <w:r>
            <w:rPr>
              <w:webHidden/>
              <w:rStyle w:val="IndexLink"/>
              <w:smallCaps w:val="false"/>
              <w:caps w:val="false"/>
              <w:dstrike w:val="false"/>
              <w:strike w:val="false"/>
              <w:vertAlign w:val="baseline"/>
              <w:position w:val="0"/>
              <w:sz w:val="36"/>
              <w:sz w:val="36"/>
              <w:i w:val="false"/>
              <w:u w:val="none"/>
              <w:b w:val="false"/>
              <w:shd w:fill="auto" w:val="clear"/>
              <w:szCs w:val="36"/>
              <w:rFonts w:eastAsia="Calibri" w:cs="Calibri"/>
              <w:color w:val="000000"/>
            </w:rPr>
            <w:instrText xml:space="preserve"> TOC \z \o "1-9" \u \t "Heading 1,1,Heading 2,2,Heading 3,3,Heading 4,4,Heading 5,5,Heading 6,6" \h</w:instrText>
          </w:r>
          <w:r>
            <w:rPr>
              <w:webHidden/>
              <w:rStyle w:val="IndexLink"/>
              <w:smallCaps w:val="false"/>
              <w:caps w:val="false"/>
              <w:dstrike w:val="false"/>
              <w:strike w:val="false"/>
              <w:vertAlign w:val="baseline"/>
              <w:position w:val="0"/>
              <w:sz w:val="36"/>
              <w:sz w:val="36"/>
              <w:i w:val="false"/>
              <w:u w:val="none"/>
              <w:b w:val="false"/>
              <w:shd w:fill="auto" w:val="clear"/>
              <w:szCs w:val="36"/>
              <w:rFonts w:eastAsia="Calibri" w:cs="Calibri"/>
              <w:color w:val="000000"/>
            </w:rPr>
            <w:fldChar w:fldCharType="separate"/>
          </w:r>
          <w:hyperlink w:anchor="_r6biwm4x0qba">
            <w:r>
              <w:rPr>
                <w:webHidden/>
                <w:rStyle w:val="IndexLink"/>
                <w:rFonts w:eastAsia="Calibri" w:cs="Calibri"/>
                <w:b w:val="false"/>
                <w:i w:val="false"/>
                <w:caps w:val="false"/>
                <w:smallCaps w:val="false"/>
                <w:strike w:val="false"/>
                <w:dstrike w:val="false"/>
                <w:color w:val="000000"/>
                <w:position w:val="0"/>
                <w:sz w:val="36"/>
                <w:sz w:val="36"/>
                <w:szCs w:val="36"/>
                <w:u w:val="none"/>
                <w:shd w:fill="auto" w:val="clear"/>
                <w:vertAlign w:val="baseline"/>
              </w:rPr>
              <w:t>1 Introduction  …………………………………………………………………..</w:t>
              <w:tab/>
            </w:r>
          </w:hyperlink>
          <w:r>
            <w:rPr>
              <w:sz w:val="32"/>
              <w:szCs w:val="32"/>
            </w:rPr>
            <w:t>2</w:t>
          </w:r>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wgmia4meuch7">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2 Description of Experiences…………………………………………………………………………..</w:t>
            </w:r>
          </w:hyperlink>
          <w:r>
            <w:rPr>
              <w:sz w:val="32"/>
              <w:szCs w:val="32"/>
            </w:rPr>
            <w:t>2</w:t>
          </w:r>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jdqfnrcf2eg">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3 Personal Reflection  …………………………………………………………………………………….</w:t>
              <w:tab/>
              <w:t>3</w:t>
            </w:r>
          </w:hyperlink>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f4rku4canihv">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3.1 Evaluation  ………………………………………………………………………………………………..</w:t>
              <w:tab/>
              <w:t>3</w:t>
            </w:r>
          </w:hyperlink>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dnqtxxi4daqn">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3.2 Analysis    ………………………………………………………………………………………………...</w:t>
              <w:tab/>
            </w:r>
          </w:hyperlink>
          <w:r>
            <w:rPr>
              <w:sz w:val="32"/>
              <w:szCs w:val="32"/>
            </w:rPr>
            <w:t>3</w:t>
          </w:r>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ybuwdnyhtayk">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3.3 Action to take</w:t>
            </w:r>
          </w:hyperlink>
          <w:hyperlink w:anchor="_ybuwdnyhtayk">
            <w:r>
              <w:rPr>
                <w:webHidden/>
                <w:rStyle w:val="IndexLink"/>
                <w:sz w:val="28"/>
                <w:szCs w:val="28"/>
              </w:rPr>
              <w:t xml:space="preserve"> </w:t>
            </w:r>
          </w:hyperlink>
          <w:r>
            <w:rPr>
              <w:sz w:val="32"/>
              <w:szCs w:val="32"/>
            </w:rPr>
            <w:t xml:space="preserve"> ………………………………………………………………………………</w:t>
          </w:r>
          <w:r>
            <w:rPr>
              <w:sz w:val="32"/>
              <w:szCs w:val="32"/>
            </w:rPr>
            <w:t>4</w:t>
          </w:r>
          <w:r>
            <w:rPr>
              <w:sz w:val="32"/>
              <w:szCs w:val="32"/>
            </w:rPr>
            <w:t xml:space="preserve">                                                                                             </w:t>
          </w:r>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ybuwdnyhtayk">
            <w:r>
              <w:rPr>
                <w:webHidden/>
                <w:rStyle w:val="IndexLink"/>
                <w:rFonts w:eastAsia="Calibri" w:cs="Calibri"/>
                <w:b w:val="false"/>
                <w:i w:val="false"/>
                <w:caps w:val="false"/>
                <w:smallCaps w:val="false"/>
                <w:strike w:val="false"/>
                <w:dstrike w:val="false"/>
                <w:color w:val="000000"/>
                <w:position w:val="0"/>
                <w:sz w:val="28"/>
                <w:sz w:val="28"/>
                <w:szCs w:val="28"/>
                <w:u w:val="none"/>
                <w:shd w:fill="auto" w:val="clear"/>
                <w:vertAlign w:val="baseline"/>
              </w:rPr>
              <w:t>4 Conclusion …………………………………………………………………………………………………..</w:t>
              <w:tab/>
            </w:r>
          </w:hyperlink>
          <w:r>
            <w:rPr>
              <w:sz w:val="32"/>
              <w:szCs w:val="32"/>
            </w:rPr>
            <w:t>5</w:t>
          </w:r>
        </w:p>
        <w:p>
          <w:pPr>
            <w:pStyle w:val="Normal1"/>
            <w:keepNext w:val="false"/>
            <w:keepLines w:val="false"/>
            <w:pageBreakBefore w:val="false"/>
            <w:widowControl/>
            <w:pBdr/>
            <w:shd w:val="clear" w:fill="FFFFFF"/>
            <w:tabs>
              <w:tab w:val="clear" w:pos="720"/>
              <w:tab w:val="right" w:pos="9015" w:leader="none"/>
            </w:tabs>
            <w:spacing w:lineRule="auto" w:line="259" w:before="0" w:after="100"/>
            <w:ind w:hanging="0" w:left="0" w:right="0"/>
            <w:jc w:val="left"/>
            <w:rPr>
              <w:rFonts w:ascii="Calibri" w:hAnsi="Calibri" w:eastAsia="Calibri" w:cs="Calibri"/>
              <w:b w:val="false"/>
              <w:i w:val="false"/>
              <w:i w:val="false"/>
              <w:caps w:val="false"/>
              <w:smallCaps w:val="false"/>
              <w:strike w:val="false"/>
              <w:dstrike w:val="false"/>
              <w:color w:val="000000"/>
              <w:position w:val="0"/>
              <w:sz w:val="32"/>
              <w:sz w:val="32"/>
              <w:szCs w:val="32"/>
              <w:u w:val="none"/>
              <w:shd w:fill="auto" w:val="clear"/>
              <w:vertAlign w:val="baseline"/>
            </w:rPr>
          </w:pPr>
          <w:hyperlink w:anchor="_hgz95u2hyfvt">
            <w:r>
              <w:rPr>
                <w:webHidden/>
                <w:rStyle w:val="IndexLink"/>
                <w:rFonts w:eastAsia="Calibri" w:cs="Calibri"/>
                <w:b w:val="false"/>
                <w:i w:val="false"/>
                <w:caps w:val="false"/>
                <w:smallCaps w:val="false"/>
                <w:strike w:val="false"/>
                <w:dstrike w:val="false"/>
                <w:color w:val="000000"/>
                <w:position w:val="0"/>
                <w:sz w:val="36"/>
                <w:sz w:val="36"/>
                <w:szCs w:val="36"/>
                <w:u w:val="none"/>
                <w:shd w:fill="auto" w:val="clear"/>
                <w:vertAlign w:val="baseline"/>
              </w:rPr>
              <w:t>5 References  ……………………………………………………………………..</w:t>
              <w:tab/>
            </w:r>
          </w:hyperlink>
          <w:r>
            <w:rPr>
              <w:sz w:val="32"/>
              <w:szCs w:val="32"/>
            </w:rPr>
            <w:t>6</w:t>
          </w:r>
          <w:r>
            <w:rPr>
              <w:sz w:val="32"/>
              <w:szCs w:val="32"/>
            </w:rPr>
            <w:fldChar w:fldCharType="end"/>
          </w:r>
        </w:p>
      </w:sdtContent>
    </w:sdt>
    <w:p>
      <w:pPr>
        <w:pStyle w:val="Normal1"/>
        <w:jc w:val="left"/>
        <w:rPr>
          <w:color w:val="FF0000"/>
          <w:sz w:val="32"/>
          <w:szCs w:val="32"/>
        </w:rPr>
      </w:pPr>
      <w:r>
        <w:rPr>
          <w:color w:val="FF0000"/>
          <w:sz w:val="32"/>
          <w:szCs w:val="32"/>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Normal1"/>
        <w:jc w:val="both"/>
        <w:rPr>
          <w:b/>
          <w:sz w:val="28"/>
          <w:szCs w:val="28"/>
        </w:rPr>
      </w:pPr>
      <w:r>
        <w:rPr>
          <w:b/>
          <w:sz w:val="28"/>
          <w:szCs w:val="28"/>
        </w:rPr>
      </w:r>
    </w:p>
    <w:p>
      <w:pPr>
        <w:pStyle w:val="Heading1"/>
        <w:rPr>
          <w:rFonts w:ascii="Calibri" w:hAnsi="Calibri" w:eastAsia="Calibri" w:cs="Calibri"/>
          <w:b/>
          <w:sz w:val="28"/>
          <w:szCs w:val="28"/>
        </w:rPr>
      </w:pPr>
      <w:bookmarkStart w:id="0" w:name="_r6biwm4x0qba"/>
      <w:bookmarkEnd w:id="0"/>
      <w:r>
        <w:rPr>
          <w:rFonts w:eastAsia="Calibri" w:cs="Calibri"/>
        </w:rPr>
        <w:t xml:space="preserve">1 Introduction </w:t>
      </w:r>
    </w:p>
    <w:p>
      <w:pPr>
        <w:pStyle w:val="Normal1"/>
        <w:jc w:val="both"/>
        <w:rPr>
          <w:sz w:val="28"/>
          <w:szCs w:val="28"/>
        </w:rPr>
      </w:pPr>
      <w:r>
        <w:rPr>
          <w:sz w:val="28"/>
          <w:szCs w:val="28"/>
        </w:rPr>
      </w:r>
    </w:p>
    <w:p>
      <w:pPr>
        <w:pStyle w:val="Normal1"/>
        <w:spacing w:lineRule="auto" w:line="276" w:before="0" w:after="0"/>
        <w:jc w:val="both"/>
        <w:rPr>
          <w:sz w:val="28"/>
          <w:szCs w:val="28"/>
        </w:rPr>
      </w:pPr>
      <w:r>
        <w:rPr>
          <w:sz w:val="28"/>
          <w:szCs w:val="28"/>
        </w:rPr>
        <w:t>Reflective writing is a crucial element of reflective practice, which enables learners to critically analyse their own experience, gain fresh perspective and develop cognitive skills to enhance both research competency and academic growth (Jasper, 2005). Nguyen (2015) defined reflection as a process of engaging yourself in an attentive, critical, exploratory, and iterative (ACEI) interaction with one's ideas and actions, together with their underlying conceptual framework. This report aims to reflect my learning experience in the Academic Skills Module with a specific focus on note-taking and paraphrasing. The report begins with describing my experience learning these skills followed by evaluating my progress and analysing them. Later the report will outline the actions I intend to take for future improvements</w:t>
      </w:r>
      <w:r>
        <w:rPr>
          <w:rFonts w:eastAsia="Arial" w:cs="Arial" w:ascii="Arial" w:hAnsi="Arial"/>
        </w:rPr>
        <w:t>.</w:t>
      </w:r>
    </w:p>
    <w:p>
      <w:pPr>
        <w:pStyle w:val="Normal1"/>
        <w:jc w:val="both"/>
        <w:rPr>
          <w:sz w:val="28"/>
          <w:szCs w:val="28"/>
        </w:rPr>
      </w:pPr>
      <w:r>
        <w:rPr>
          <w:sz w:val="28"/>
          <w:szCs w:val="28"/>
        </w:rPr>
      </w:r>
    </w:p>
    <w:p>
      <w:pPr>
        <w:pStyle w:val="Heading1"/>
        <w:jc w:val="both"/>
        <w:rPr>
          <w:rFonts w:ascii="Calibri" w:hAnsi="Calibri" w:eastAsia="Calibri" w:cs="Calibri"/>
        </w:rPr>
      </w:pPr>
      <w:bookmarkStart w:id="1" w:name="_wgmia4meuch7"/>
      <w:bookmarkEnd w:id="1"/>
      <w:r>
        <w:rPr>
          <w:rFonts w:eastAsia="Calibri" w:cs="Calibri"/>
        </w:rPr>
        <w:t xml:space="preserve">2 Description of Experiences </w:t>
      </w:r>
    </w:p>
    <w:p>
      <w:pPr>
        <w:pStyle w:val="Normal1"/>
        <w:jc w:val="both"/>
        <w:rPr>
          <w:sz w:val="28"/>
          <w:szCs w:val="28"/>
        </w:rPr>
      </w:pPr>
      <w:r>
        <w:rPr>
          <w:sz w:val="28"/>
          <w:szCs w:val="28"/>
        </w:rPr>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One of the first academic skills I was taught was Note-taking where I learned how to take notes and its advantages. According to McPherson, (2018), note-taking is a strategy used to make information meaningful. During the classroom activities, I realised that taking notes was more challenging than I anticipated, but the interactive activities made it very easier to understand. For example, one of the activities that required us to take notes while watching a video and then take a quiz afterward made learning easier. This was crucial to my academic learning because I now know how to take effective notes during lectures and not rely on my memory. These structured notes will not only help me understand things better but will also help me when I am writing my assignment.</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Another skill that was taught was paraphrasing. Paraphrasing has no specific definition, for example, paraphrasing refers to the process of redelivering the ideas in own language (Akbar, 2016).On the other hand according to Xu et al,(2012), paraphrasing is the process of generating alternative expressions that convey the same meaning as original, often involving modification of diction level, length, and speech register. This skill has been significantly important to me as I had no clue about how I can rewrite a definition or sentence without changing its meaning. The activities done in the classroom in which we were given a task to paraphrase some sentences gave me practical insights on how it is done and the quiz followed by that activity helped me gain confidence</w:t>
      </w:r>
      <w:r>
        <w:rPr>
          <w:rFonts w:eastAsia="Arial" w:cs="Arial" w:ascii="Arial" w:hAnsi="Arial"/>
        </w:rPr>
        <w:t>.</w:t>
      </w:r>
    </w:p>
    <w:p>
      <w:pPr>
        <w:pStyle w:val="Heading1"/>
        <w:rPr>
          <w:rFonts w:ascii="Calibri" w:hAnsi="Calibri" w:eastAsia="Calibri" w:cs="Calibri"/>
        </w:rPr>
      </w:pPr>
      <w:bookmarkStart w:id="2" w:name="_jdqfnrcf2eg"/>
      <w:bookmarkEnd w:id="2"/>
      <w:r>
        <w:rPr>
          <w:rFonts w:eastAsia="Calibri" w:cs="Calibri"/>
        </w:rPr>
        <w:t>3</w:t>
      </w:r>
      <w:r>
        <w:rPr/>
        <w:t xml:space="preserve">. </w:t>
      </w:r>
      <w:r>
        <w:rPr>
          <w:rFonts w:eastAsia="Calibri" w:cs="Calibri"/>
        </w:rPr>
        <w:t>Personal Reflection</w:t>
      </w:r>
    </w:p>
    <w:p>
      <w:pPr>
        <w:pStyle w:val="Heading1"/>
        <w:rPr>
          <w:sz w:val="28"/>
          <w:szCs w:val="28"/>
        </w:rPr>
      </w:pPr>
      <w:bookmarkStart w:id="3" w:name="_f4rku4canihv"/>
      <w:bookmarkEnd w:id="3"/>
      <w:r>
        <w:rPr>
          <w:rFonts w:eastAsia="Calibri" w:cs="Calibri"/>
        </w:rPr>
        <w:t xml:space="preserve">3.1 Evaluation </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This module gave me a useful chance to improve my academic skills. One of the main activities was paraphrasing, which I found very challenging. Whenever I tried to paraphrase a sentence, I either changed the meaning or ended up writing almost the same sentence again. Since English is not my first language, this task was even harder for me. At first, I was confused about the different ways to paraphrase and it felt overwhelming. However, it also showed me an area where I need to practice more.</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On the other hand, note-taking was something that I found very interesting and helpful. Before this module, I did not realise how important making notes could be. Since I was attending a lecture after about 20 years, I found it difficult to stay focused for a long time. In the beginning, the note-taking video made me anxious because I was unsure about what exactly to write down, so I ended up writing too much. Over time, I managed to calm myself, focus better, and learn how to take notes more efficiently. This gave me confidence that I can develop this skill further and use it to support my learning.</w:t>
      </w:r>
    </w:p>
    <w:p>
      <w:pPr>
        <w:pStyle w:val="Heading1"/>
        <w:rPr/>
      </w:pPr>
      <w:bookmarkStart w:id="4" w:name="_dnqtxxi4daqn"/>
      <w:bookmarkEnd w:id="4"/>
      <w:r>
        <w:rPr>
          <w:rFonts w:eastAsia="Calibri" w:cs="Calibri"/>
        </w:rPr>
        <w:t>3.2 Analysis</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 xml:space="preserve">Paraphrasing technically being a simple task of rewriting meaning of text in different forms, it is very important to keep in mind the purpose of the paraphrase to motivate particular strategies for changing the text (Meteer and Shaked, 1988). My lack of confidence played a major role in the activities conducted in the classroom as I was overcomplicating the small tasks given by the lecturer. Initially, After going through some examples with the lecturer I started to understand that it wasn't as complicated as I was making it. We were asked to paraphrase some sentences on our own in an activity by the lecturer, and upon completing them successfully I gained some confidence. Overall I have understood that this skill is something which I can develop over time after consistently writing more assignments, which will help me get a clearer picture of how I can use effective paraphrasing as a tool to boost my assignments keeping academic integrity and professionalism in mind. </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t xml:space="preserve">On the other hand, notetaking being a crucial part of academic learning helps students learn, retain and recall information (Sporring, 2024). My experience with note taking highlighted both obstacles and opportunity for improvement.  Initially I struggled on what information was essential to note down, which made my notes very lengthy during the first video exercise. According to Carter and Van Matre, (1975), the benefits of Note taking not only refers to the act of writing notes but also the ability to review afterwards. Once I began practicing note-taking consistently during lectures, it gradually became a useful habit, particularly when reviewing material for assignments. Diagrammatic, Mind Map, Linear, Tabular, and Cornell notes were among the various note-taking formats that were discussed. Personally, I preferred the Linear Note technique because I felt at ease using it.  Reviewing my notes I wrote during the lecture on my days off helped me understand that effective notes should be very precise and concise and that effective note-making can greatly support revision and overall understanding of the module. </w:t>
        <w:br/>
        <w:br/>
        <w:t>Overall, these experiences helped me realise that these skills are interconnected and essential for academic growth. Note-taking, though seemingly simple, needs to be carried out in a precise and concise manner, while paraphrasing, when applied effectively and ethically, serves as a vital tool for demonstrating understanding and maintaining academic integrity.</w:t>
      </w:r>
    </w:p>
    <w:p>
      <w:pPr>
        <w:pStyle w:val="Normal1"/>
        <w:keepNext w:val="false"/>
        <w:keepLines w:val="false"/>
        <w:pageBreakBefore w:val="false"/>
        <w:widowControl/>
        <w:pBdr/>
        <w:shd w:val="clear" w:fill="auto"/>
        <w:spacing w:lineRule="auto" w:line="276" w:before="0" w:after="0"/>
        <w:ind w:hanging="0" w:left="0" w:right="0"/>
        <w:jc w:val="both"/>
        <w:rPr>
          <w:sz w:val="28"/>
          <w:szCs w:val="28"/>
        </w:rPr>
      </w:pPr>
      <w:r>
        <w:rPr>
          <w:sz w:val="28"/>
          <w:szCs w:val="28"/>
        </w:rPr>
      </w:r>
    </w:p>
    <w:p>
      <w:pPr>
        <w:pStyle w:val="Normal1"/>
        <w:keepNext w:val="false"/>
        <w:keepLines w:val="false"/>
        <w:pageBreakBefore w:val="false"/>
        <w:widowControl/>
        <w:pBdr/>
        <w:shd w:val="clear" w:fill="auto"/>
        <w:spacing w:lineRule="auto" w:line="276" w:before="0" w:after="0"/>
        <w:ind w:hanging="0" w:left="0" w:right="0"/>
        <w:jc w:val="both"/>
        <w:rPr>
          <w:color w:val="2F5496"/>
          <w:sz w:val="32"/>
          <w:szCs w:val="32"/>
        </w:rPr>
      </w:pPr>
      <w:r>
        <w:rPr>
          <w:color w:val="2F5496"/>
          <w:sz w:val="32"/>
          <w:szCs w:val="32"/>
        </w:rPr>
        <w:t>3.3 Action to be taken</w:t>
      </w:r>
    </w:p>
    <w:p>
      <w:pPr>
        <w:pStyle w:val="Normal1"/>
        <w:keepNext w:val="false"/>
        <w:keepLines w:val="false"/>
        <w:pageBreakBefore w:val="false"/>
        <w:widowControl/>
        <w:pBdr/>
        <w:shd w:val="clear" w:fill="auto"/>
        <w:spacing w:lineRule="auto" w:line="276" w:before="0" w:after="0"/>
        <w:ind w:hanging="0" w:left="0" w:right="0"/>
        <w:jc w:val="both"/>
        <w:rPr>
          <w:color w:val="2F5496"/>
          <w:sz w:val="32"/>
          <w:szCs w:val="32"/>
        </w:rPr>
      </w:pPr>
      <w:r>
        <w:rPr>
          <w:sz w:val="28"/>
          <w:szCs w:val="28"/>
        </w:rPr>
        <w:t>In order to strengthen my academic skills further, I will continue practicing note-taking during lectures and in professional meetings. This will help me to identify what content is more important and make reviewing notes more effective. I also plan to practice paraphrasing regularly by comparing my work with the original text to ensure the meaning is retained, while aiming to improve both accuracy and speed. Overall, I intend to apply these skills in my academic writing so that I can produce structured, confident, and academically credible work.</w:t>
      </w:r>
    </w:p>
    <w:p>
      <w:pPr>
        <w:pStyle w:val="Normal1"/>
        <w:jc w:val="both"/>
        <w:rPr>
          <w:sz w:val="28"/>
          <w:szCs w:val="28"/>
        </w:rPr>
      </w:pPr>
      <w:r>
        <w:rPr>
          <w:sz w:val="28"/>
          <w:szCs w:val="28"/>
        </w:rPr>
      </w:r>
    </w:p>
    <w:p>
      <w:pPr>
        <w:pStyle w:val="Heading1"/>
        <w:rPr>
          <w:rFonts w:ascii="Calibri" w:hAnsi="Calibri" w:eastAsia="Calibri" w:cs="Calibri"/>
        </w:rPr>
      </w:pPr>
      <w:bookmarkStart w:id="5" w:name="_ybuwdnyhtayk"/>
      <w:bookmarkEnd w:id="5"/>
      <w:r>
        <w:rPr>
          <w:rFonts w:eastAsia="Calibri" w:cs="Calibri"/>
        </w:rPr>
        <w:t xml:space="preserve">4 Conclusion </w:t>
      </w:r>
    </w:p>
    <w:p>
      <w:pPr>
        <w:pStyle w:val="Heading1"/>
        <w:rPr>
          <w:sz w:val="28"/>
          <w:szCs w:val="28"/>
        </w:rPr>
      </w:pPr>
      <w:bookmarkStart w:id="6" w:name="_tqkajj18gf32"/>
      <w:bookmarkEnd w:id="6"/>
      <w:r>
        <w:rPr>
          <w:color w:val="000000"/>
          <w:sz w:val="28"/>
          <w:szCs w:val="28"/>
        </w:rPr>
        <w:t>Overall my experience with the Academic Skill module have provided me with a strong foundation for academic success. While paraphrasing remains an area of continued improvement, I have noticeably progressed in note taking. The learning outcomes from this module has increased my confidence and highlighted my strengths and weaknesses, and provided strategies for ongoing development. . By evaluating, analysing, and actively addressing actions for improvement, I am now better equipped to approach academic tasks with clarity, precision, and professionalism.</w:t>
      </w:r>
    </w:p>
    <w:p>
      <w:pPr>
        <w:pStyle w:val="Normal1"/>
        <w:jc w:val="both"/>
        <w:rPr>
          <w:sz w:val="28"/>
          <w:szCs w:val="28"/>
        </w:rPr>
      </w:pPr>
      <w:r>
        <w:rPr>
          <w:sz w:val="28"/>
          <w:szCs w:val="28"/>
        </w:rPr>
      </w:r>
    </w:p>
    <w:p>
      <w:pPr>
        <w:pStyle w:val="Normal1"/>
        <w:jc w:val="both"/>
        <w:rPr>
          <w:sz w:val="28"/>
          <w:szCs w:val="28"/>
        </w:rPr>
      </w:pPr>
      <w:r>
        <w:rPr>
          <w:sz w:val="28"/>
          <w:szCs w:val="28"/>
        </w:rPr>
      </w:r>
    </w:p>
    <w:p>
      <w:pPr>
        <w:pStyle w:val="Normal1"/>
        <w:jc w:val="both"/>
        <w:rPr>
          <w:sz w:val="28"/>
          <w:szCs w:val="28"/>
        </w:rPr>
      </w:pPr>
      <w:r>
        <w:rPr>
          <w:sz w:val="28"/>
          <w:szCs w:val="28"/>
        </w:rPr>
      </w:r>
    </w:p>
    <w:p>
      <w:pPr>
        <w:pStyle w:val="Heading1"/>
        <w:rPr/>
      </w:pPr>
      <w:r>
        <w:rPr/>
      </w:r>
      <w:bookmarkStart w:id="7" w:name="_4v0tz2aur0ew"/>
      <w:bookmarkStart w:id="8" w:name="_4v0tz2aur0ew"/>
      <w:bookmarkEnd w:id="8"/>
    </w:p>
    <w:p>
      <w:pPr>
        <w:pStyle w:val="Heading1"/>
        <w:rPr/>
      </w:pPr>
      <w:r>
        <w:rPr/>
      </w:r>
      <w:bookmarkStart w:id="9" w:name="_oqbc80ej2ik3"/>
      <w:bookmarkStart w:id="10" w:name="_oqbc80ej2ik3"/>
      <w:bookmarkEnd w:id="10"/>
      <w:r>
        <w:br w:type="page"/>
      </w:r>
    </w:p>
    <w:p>
      <w:pPr>
        <w:pStyle w:val="Heading1"/>
        <w:spacing w:before="0" w:after="0"/>
        <w:rPr>
          <w:rFonts w:ascii="Calibri" w:hAnsi="Calibri" w:eastAsia="Calibri" w:cs="Calibri"/>
          <w:b/>
          <w:sz w:val="28"/>
          <w:szCs w:val="28"/>
        </w:rPr>
      </w:pPr>
      <w:bookmarkStart w:id="11" w:name="_hgz95u2hyfvt"/>
      <w:bookmarkEnd w:id="11"/>
      <w:r>
        <w:rPr>
          <w:rFonts w:eastAsia="Calibri" w:cs="Calibri"/>
        </w:rPr>
        <w:t xml:space="preserve">5 References </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Jasper, M.A. (2005). Using reflective writing within research. Journal of Research in Nursing, 10(3), pp.247–260. doi:</w:t>
      </w:r>
      <w:hyperlink r:id="rId3">
        <w:r>
          <w:rPr>
            <w:sz w:val="28"/>
            <w:szCs w:val="28"/>
          </w:rPr>
          <w:t>https://doi.org/10.1177/174498710501000303</w:t>
        </w:r>
      </w:hyperlink>
      <w:r>
        <w:rPr>
          <w:sz w:val="28"/>
          <w:szCs w:val="28"/>
        </w:rPr>
        <w:t>.</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Nguyen, Q.D. (2015). What is Reflection? A Conceptual Analysis of Major Definitions and a Proposal of a Five-component Definition and Model.</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McPherson, F. (2014). Effective Notetaking. 2nd ed. Los Gatos: Smashwords Edition.</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Xu, W., Ritter, A., Dolan, W.B., Grishman, R. and Cherry, C., 2012, December. Paraphrasing for style. In Proceedings of COLING 2012 (pp. 2899-2914).</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Meteer, M. and Shaked, V. (1988). Strategies for effective paraphrasing. International Conference on Computational Linguistics. doi:</w:t>
      </w:r>
      <w:hyperlink r:id="rId4">
        <w:r>
          <w:rPr>
            <w:sz w:val="28"/>
            <w:szCs w:val="28"/>
          </w:rPr>
          <w:t>https://doi.org/10.3115/991719.991724</w:t>
        </w:r>
      </w:hyperlink>
      <w:r>
        <w:rPr>
          <w:sz w:val="28"/>
          <w:szCs w:val="28"/>
        </w:rPr>
        <w:t>.</w:t>
      </w:r>
    </w:p>
    <w:p>
      <w:pPr>
        <w:pStyle w:val="Normal1"/>
        <w:keepNext w:val="false"/>
        <w:keepLines w:val="false"/>
        <w:pageBreakBefore w:val="false"/>
        <w:widowControl/>
        <w:pBdr/>
        <w:shd w:val="clear" w:fill="auto"/>
        <w:spacing w:lineRule="auto" w:line="276" w:before="240" w:after="240"/>
        <w:ind w:hanging="0" w:left="0" w:right="0"/>
        <w:jc w:val="both"/>
        <w:rPr>
          <w:sz w:val="28"/>
          <w:szCs w:val="28"/>
        </w:rPr>
      </w:pPr>
      <w:r>
        <w:rPr>
          <w:sz w:val="28"/>
          <w:szCs w:val="28"/>
        </w:rPr>
        <w:t xml:space="preserve">Sporring, A. (2024). Note Taking Defined: How To Describe It Exactly. [online] scrintal.com. Available at: </w:t>
      </w:r>
      <w:hyperlink r:id="rId5">
        <w:r>
          <w:rPr>
            <w:sz w:val="28"/>
            <w:szCs w:val="28"/>
          </w:rPr>
          <w:t>https://scrintal.com/guides/note-taking-defined-how-to-describe-it-exactly</w:t>
        </w:r>
      </w:hyperlink>
      <w:r>
        <w:rPr>
          <w:sz w:val="28"/>
          <w:szCs w:val="28"/>
        </w:rPr>
        <w:t>.</w:t>
      </w:r>
    </w:p>
    <w:p>
      <w:pPr>
        <w:pStyle w:val="Normal1"/>
        <w:keepNext w:val="false"/>
        <w:keepLines w:val="false"/>
        <w:pageBreakBefore w:val="false"/>
        <w:widowControl/>
        <w:pBdr/>
        <w:shd w:val="clear" w:fill="auto"/>
        <w:spacing w:lineRule="auto" w:line="276" w:before="240" w:after="240"/>
        <w:ind w:hanging="0" w:left="0" w:right="0"/>
        <w:jc w:val="both"/>
        <w:rPr>
          <w:rFonts w:ascii="Calibri" w:hAnsi="Calibri" w:eastAsia="Calibri" w:cs="Calibri"/>
          <w:b w:val="false"/>
          <w:i w:val="false"/>
          <w:i w:val="false"/>
          <w:caps w:val="false"/>
          <w:smallCaps w:val="false"/>
          <w:strike w:val="false"/>
          <w:dstrike w:val="false"/>
          <w:color w:val="000000"/>
          <w:position w:val="0"/>
          <w:sz w:val="28"/>
          <w:sz w:val="28"/>
          <w:szCs w:val="28"/>
          <w:u w:val="none"/>
          <w:shd w:fill="auto" w:val="clear"/>
          <w:vertAlign w:val="baseline"/>
        </w:rPr>
      </w:pPr>
      <w:r>
        <w:rPr>
          <w:sz w:val="28"/>
          <w:szCs w:val="28"/>
        </w:rPr>
        <w:t>Carter, J.F. and Van Matre, N.H. (1975). Note taking versus note having. Journal of Educational Psychology, 67(6), pp.900–904. doi:https://doi.org/10.1037//0022-0663.67.6.900.</w:t>
      </w:r>
    </w:p>
    <w:sectPr>
      <w:footerReference w:type="default" r:id="rId6"/>
      <w:footerReference w:type="first" r:id="rId7"/>
      <w:type w:val="nextPage"/>
      <w:pgSz w:w="11906" w:h="16838"/>
      <w:pgMar w:left="1440" w:right="1440" w:gutter="0" w:header="0" w:top="1440" w:footer="0" w:bottom="1440"/>
      <w:pgNumType w:start="0"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Georgia">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before="0" w:after="160"/>
      <w:jc w:val="right"/>
      <w:rPr/>
    </w:pPr>
    <w:r>
      <w:rPr/>
      <w:fldChar w:fldCharType="begin"/>
    </w:r>
    <w:r>
      <w:rPr/>
      <w:instrText xml:space="preserve"> PAGE </w:instrText>
    </w:r>
    <w:r>
      <w:rPr/>
      <w:fldChar w:fldCharType="separate"/>
    </w:r>
    <w:r>
      <w:rPr/>
      <w:t>6</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widowControl/>
      <w:bidi w:val="0"/>
      <w:spacing w:lineRule="auto" w:line="259" w:before="0" w:after="160"/>
      <w:jc w:val="left"/>
      <w:rPr/>
    </w:pPr>
    <w:r>
      <w:rPr/>
    </w:r>
  </w:p>
</w:ftr>
</file>

<file path=word/settings.xml><?xml version="1.0" encoding="utf-8"?>
<w:settings xmlns:w="http://schemas.openxmlformats.org/wordprocessingml/2006/main">
  <w:zoom w:percent="5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suppressAutoHyphens w:val="true"/>
      </w:pPr>
    </w:pPrDefault>
  </w:docDefaults>
  <w:style w:type="paragraph" w:styleId="Normal">
    <w:name w:val="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spacing w:lineRule="auto" w:line="240" w:before="240" w:after="0"/>
    </w:pPr>
    <w:rPr>
      <w:rFonts w:ascii="Calibri" w:hAnsi="Calibri" w:eastAsia="Calibri" w:cs="Calibri"/>
      <w:color w:val="2F5496"/>
      <w:sz w:val="32"/>
      <w:szCs w:val="32"/>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Normal1" w:default="1">
    <w:name w:val="normal1"/>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HeaderandFooter">
    <w:name w:val="Header and Footer"/>
    <w:basedOn w:val="Normal"/>
    <w:qFormat/>
    <w:pPr/>
    <w:rPr/>
  </w:style>
  <w:style w:type="paragraph" w:styleId="Footer">
    <w:name w:val="Footer"/>
    <w:basedOn w:val="HeaderandFooter"/>
    <w:pPr/>
    <w:rPr/>
  </w:style>
  <w:style w:type="table" w:default="1" w:styleId="TableNormal">
    <w:name w:val="Table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doi.org/10.1177/174498710501000303" TargetMode="External"/><Relationship Id="rId4" Type="http://schemas.openxmlformats.org/officeDocument/2006/relationships/hyperlink" Target="https://doi.org/10.3115/991719.991724" TargetMode="External"/><Relationship Id="rId5" Type="http://schemas.openxmlformats.org/officeDocument/2006/relationships/hyperlink" Target="https://scrintal.com/guides/note-taking-defined-how-to-describe-it-exactly"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19</TotalTime>
  <Application>1Doc/1.5.0.$MacOSX_X86_64 LibreOffice_project/2f9b6e7260225c6c2c1401d17cb7be8dc4e3347b</Application>
  <AppVersion>15.0000</AppVersion>
  <Pages>7</Pages>
  <Words>1319</Words>
  <Characters>7529</Characters>
  <CharactersWithSpaces>8919</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2025-08-19T17:06:46Z</dcterms:modified>
  <cp:revision>1</cp:revision>
  <dc:subject/>
  <dc:title/>
</cp:coreProperties>
</file>