
<file path=[Content_Types].xml><?xml version="1.0" encoding="utf-8"?>
<Types xmlns="http://schemas.openxmlformats.org/package/2006/content-types">
  <Default Extension="1" ContentType="image/jpeg"/>
  <Default Extension="jpeg" ContentType="image/jpeg"/>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15E9D3" w14:textId="77777777" w:rsidR="009F77C4" w:rsidRPr="00A73034" w:rsidRDefault="009F77C4" w:rsidP="009F77C4">
      <w:pPr>
        <w:spacing w:line="360" w:lineRule="auto"/>
        <w:jc w:val="center"/>
        <w:rPr>
          <w:rFonts w:ascii="Arial" w:eastAsia="Times New Roman" w:hAnsi="Arial" w:cs="Arial"/>
          <w:b/>
          <w:bCs/>
          <w:kern w:val="0"/>
          <w:sz w:val="22"/>
          <w:szCs w:val="22"/>
          <w:lang w:eastAsia="en-GB"/>
          <w14:ligatures w14:val="none"/>
        </w:rPr>
      </w:pPr>
      <w:r w:rsidRPr="00A73034">
        <w:rPr>
          <w:rFonts w:ascii="Arial" w:eastAsia="Times New Roman" w:hAnsi="Arial" w:cs="Arial"/>
          <w:b/>
          <w:bCs/>
          <w:kern w:val="0"/>
          <w:sz w:val="22"/>
          <w:szCs w:val="22"/>
          <w:lang w:eastAsia="en-GB"/>
          <w14:ligatures w14:val="none"/>
        </w:rPr>
        <w:t>University of Wales Trinity Saint David Birmingham</w:t>
      </w:r>
    </w:p>
    <w:p w14:paraId="14B84368" w14:textId="77777777" w:rsidR="009F77C4" w:rsidRPr="00D82B20" w:rsidRDefault="009F77C4" w:rsidP="009F77C4">
      <w:pPr>
        <w:spacing w:line="360" w:lineRule="auto"/>
        <w:jc w:val="center"/>
        <w:rPr>
          <w:rFonts w:ascii="Arial" w:eastAsia="Times New Roman" w:hAnsi="Arial" w:cs="Arial"/>
          <w:b/>
          <w:bCs/>
          <w:kern w:val="0"/>
          <w:sz w:val="22"/>
          <w:szCs w:val="22"/>
          <w:lang w:eastAsia="en-GB"/>
          <w14:ligatures w14:val="none"/>
        </w:rPr>
      </w:pPr>
    </w:p>
    <w:p w14:paraId="7BFEBB01" w14:textId="307E2E10" w:rsidR="009F77C4" w:rsidRPr="00D82B20" w:rsidRDefault="00D82B20" w:rsidP="009F77C4">
      <w:pPr>
        <w:spacing w:line="360" w:lineRule="auto"/>
        <w:jc w:val="center"/>
        <w:rPr>
          <w:rFonts w:ascii="Arial" w:eastAsia="Times New Roman" w:hAnsi="Arial" w:cs="Arial"/>
          <w:b/>
          <w:bCs/>
          <w:kern w:val="0"/>
          <w:sz w:val="22"/>
          <w:szCs w:val="22"/>
          <w:lang w:eastAsia="en-GB"/>
          <w14:ligatures w14:val="none"/>
        </w:rPr>
      </w:pPr>
      <w:hyperlink r:id="rId6" w:history="1">
        <w:r w:rsidRPr="00D82B20">
          <w:rPr>
            <w:rStyle w:val="Hyperlink"/>
            <w:rFonts w:ascii="Arial" w:eastAsia="Times New Roman" w:hAnsi="Arial" w:cs="Arial"/>
            <w:b/>
            <w:bCs/>
            <w:color w:val="auto"/>
            <w:kern w:val="0"/>
            <w:sz w:val="22"/>
            <w:szCs w:val="22"/>
            <w:u w:val="none"/>
            <w:lang w:eastAsia="en-GB"/>
            <w14:ligatures w14:val="none"/>
          </w:rPr>
          <w:t>Introduction to Health and Social Care (LCHS4003_BIRM)</w:t>
        </w:r>
      </w:hyperlink>
    </w:p>
    <w:p w14:paraId="7659077A" w14:textId="77777777" w:rsidR="009F77C4" w:rsidRPr="00A73034" w:rsidRDefault="009F77C4" w:rsidP="009F77C4">
      <w:pPr>
        <w:spacing w:line="360" w:lineRule="auto"/>
        <w:jc w:val="center"/>
        <w:rPr>
          <w:rFonts w:ascii="Arial" w:eastAsia="Times New Roman" w:hAnsi="Arial" w:cs="Arial"/>
          <w:b/>
          <w:bCs/>
          <w:kern w:val="0"/>
          <w:sz w:val="22"/>
          <w:szCs w:val="22"/>
          <w:lang w:eastAsia="en-GB"/>
          <w14:ligatures w14:val="none"/>
        </w:rPr>
      </w:pPr>
      <w:r w:rsidRPr="00A73034">
        <w:rPr>
          <w:rFonts w:ascii="Arial" w:eastAsia="Times New Roman" w:hAnsi="Arial" w:cs="Arial"/>
          <w:b/>
          <w:bCs/>
          <w:kern w:val="0"/>
          <w:sz w:val="22"/>
          <w:szCs w:val="22"/>
          <w:lang w:eastAsia="en-GB"/>
          <w14:ligatures w14:val="none"/>
        </w:rPr>
        <w:t>Research report on</w:t>
      </w:r>
    </w:p>
    <w:p w14:paraId="3A42AB1E" w14:textId="342C55D8" w:rsidR="0094207C" w:rsidRDefault="009F77C4" w:rsidP="004146C7">
      <w:pPr>
        <w:spacing w:line="360" w:lineRule="auto"/>
        <w:jc w:val="center"/>
        <w:rPr>
          <w:rFonts w:ascii="Arial" w:hAnsi="Arial" w:cs="Arial"/>
          <w:b/>
          <w:bCs/>
        </w:rPr>
      </w:pPr>
      <w:r w:rsidRPr="009F77C4">
        <w:rPr>
          <w:rFonts w:ascii="Arial" w:hAnsi="Arial" w:cs="Arial"/>
          <w:b/>
          <w:bCs/>
        </w:rPr>
        <w:t>Community mental health services (CMHS)</w:t>
      </w:r>
      <w:r w:rsidR="0094207C">
        <w:rPr>
          <w:rFonts w:ascii="Arial" w:hAnsi="Arial" w:cs="Arial"/>
          <w:b/>
          <w:bCs/>
        </w:rPr>
        <w:t xml:space="preserve"> and</w:t>
      </w:r>
    </w:p>
    <w:p w14:paraId="7668CBEE" w14:textId="148B0430" w:rsidR="0094207C" w:rsidRPr="00741007" w:rsidRDefault="0094207C" w:rsidP="004146C7">
      <w:pPr>
        <w:spacing w:line="360" w:lineRule="auto"/>
        <w:jc w:val="center"/>
        <w:rPr>
          <w:rFonts w:ascii="Arial" w:hAnsi="Arial" w:cs="Arial"/>
          <w:b/>
          <w:bCs/>
          <w:sz w:val="22"/>
          <w:szCs w:val="22"/>
        </w:rPr>
      </w:pPr>
      <w:r w:rsidRPr="00741007">
        <w:rPr>
          <w:rFonts w:ascii="Arial" w:hAnsi="Arial" w:cs="Arial"/>
          <w:b/>
          <w:bCs/>
          <w:sz w:val="22"/>
          <w:szCs w:val="22"/>
        </w:rPr>
        <w:t>Ambulance Services in the UK</w:t>
      </w:r>
    </w:p>
    <w:p w14:paraId="5080C5BC" w14:textId="2D645270" w:rsidR="009F77C4" w:rsidRPr="0022569F" w:rsidRDefault="009F77C4" w:rsidP="009F77C4">
      <w:pPr>
        <w:pStyle w:val="Header"/>
        <w:jc w:val="center"/>
        <w:rPr>
          <w:rFonts w:ascii="Arial" w:hAnsi="Arial" w:cs="Arial"/>
          <w:b/>
          <w:bCs/>
        </w:rPr>
      </w:pPr>
    </w:p>
    <w:p w14:paraId="772EA538" w14:textId="77777777" w:rsidR="009F77C4" w:rsidRPr="00A73034" w:rsidRDefault="009F77C4" w:rsidP="009F77C4">
      <w:pPr>
        <w:spacing w:line="360" w:lineRule="auto"/>
        <w:jc w:val="center"/>
        <w:rPr>
          <w:rFonts w:ascii="Arial" w:eastAsia="Times New Roman" w:hAnsi="Arial" w:cs="Arial"/>
          <w:b/>
          <w:bCs/>
          <w:kern w:val="0"/>
          <w:sz w:val="22"/>
          <w:szCs w:val="22"/>
          <w:lang w:eastAsia="en-GB"/>
          <w14:ligatures w14:val="none"/>
        </w:rPr>
      </w:pPr>
    </w:p>
    <w:p w14:paraId="53855313" w14:textId="77777777" w:rsidR="009F77C4" w:rsidRPr="00A73034" w:rsidRDefault="009F77C4" w:rsidP="009F77C4">
      <w:pPr>
        <w:spacing w:line="360" w:lineRule="auto"/>
        <w:jc w:val="center"/>
        <w:rPr>
          <w:rFonts w:ascii="Arial" w:eastAsia="Times New Roman" w:hAnsi="Arial" w:cs="Arial"/>
          <w:b/>
          <w:bCs/>
          <w:kern w:val="0"/>
          <w:sz w:val="22"/>
          <w:szCs w:val="22"/>
          <w:lang w:eastAsia="en-GB"/>
          <w14:ligatures w14:val="none"/>
        </w:rPr>
      </w:pPr>
      <w:r w:rsidRPr="00A73034">
        <w:rPr>
          <w:rFonts w:ascii="Arial" w:eastAsia="Times New Roman" w:hAnsi="Arial" w:cs="Arial"/>
          <w:b/>
          <w:bCs/>
          <w:kern w:val="0"/>
          <w:sz w:val="22"/>
          <w:szCs w:val="22"/>
          <w:lang w:eastAsia="en-GB"/>
          <w14:ligatures w14:val="none"/>
        </w:rPr>
        <w:t>Submitted by</w:t>
      </w:r>
    </w:p>
    <w:p w14:paraId="3CD0D1F3" w14:textId="77777777" w:rsidR="009F77C4" w:rsidRPr="00A73034" w:rsidRDefault="009F77C4" w:rsidP="009F77C4">
      <w:pPr>
        <w:spacing w:line="360" w:lineRule="auto"/>
        <w:jc w:val="center"/>
        <w:rPr>
          <w:rFonts w:ascii="Arial" w:eastAsia="Times New Roman" w:hAnsi="Arial" w:cs="Arial"/>
          <w:b/>
          <w:bCs/>
          <w:kern w:val="0"/>
          <w:sz w:val="22"/>
          <w:szCs w:val="22"/>
          <w:lang w:eastAsia="en-GB"/>
          <w14:ligatures w14:val="none"/>
        </w:rPr>
      </w:pPr>
      <w:r w:rsidRPr="00A73034">
        <w:rPr>
          <w:rFonts w:ascii="Arial" w:eastAsia="Times New Roman" w:hAnsi="Arial" w:cs="Arial"/>
          <w:b/>
          <w:bCs/>
          <w:kern w:val="0"/>
          <w:sz w:val="22"/>
          <w:szCs w:val="22"/>
          <w:lang w:eastAsia="en-GB"/>
          <w14:ligatures w14:val="none"/>
        </w:rPr>
        <w:t>Name of the student:</w:t>
      </w:r>
      <w:r>
        <w:rPr>
          <w:rFonts w:ascii="Arial" w:eastAsia="Times New Roman" w:hAnsi="Arial" w:cs="Arial"/>
          <w:b/>
          <w:bCs/>
          <w:kern w:val="0"/>
          <w:sz w:val="22"/>
          <w:szCs w:val="22"/>
          <w:lang w:eastAsia="en-GB"/>
          <w14:ligatures w14:val="none"/>
        </w:rPr>
        <w:t xml:space="preserve"> Azra Munirali. Habib.</w:t>
      </w:r>
    </w:p>
    <w:p w14:paraId="32132D25" w14:textId="77777777" w:rsidR="009F77C4" w:rsidRPr="00A73034" w:rsidRDefault="009F77C4" w:rsidP="009F77C4">
      <w:pPr>
        <w:spacing w:line="360" w:lineRule="auto"/>
        <w:jc w:val="center"/>
        <w:rPr>
          <w:rFonts w:ascii="Arial" w:eastAsia="Times New Roman" w:hAnsi="Arial" w:cs="Arial"/>
          <w:b/>
          <w:bCs/>
          <w:kern w:val="0"/>
          <w:sz w:val="22"/>
          <w:szCs w:val="22"/>
          <w:lang w:eastAsia="en-GB"/>
          <w14:ligatures w14:val="none"/>
        </w:rPr>
      </w:pPr>
      <w:r w:rsidRPr="00A73034">
        <w:rPr>
          <w:rFonts w:ascii="Arial" w:eastAsia="Times New Roman" w:hAnsi="Arial" w:cs="Arial"/>
          <w:b/>
          <w:bCs/>
          <w:kern w:val="0"/>
          <w:sz w:val="22"/>
          <w:szCs w:val="22"/>
          <w:lang w:eastAsia="en-GB"/>
          <w14:ligatures w14:val="none"/>
        </w:rPr>
        <w:t>Student ID:</w:t>
      </w:r>
      <w:r>
        <w:rPr>
          <w:rFonts w:ascii="Arial" w:eastAsia="Times New Roman" w:hAnsi="Arial" w:cs="Arial"/>
          <w:b/>
          <w:bCs/>
          <w:kern w:val="0"/>
          <w:sz w:val="22"/>
          <w:szCs w:val="22"/>
          <w:lang w:eastAsia="en-GB"/>
          <w14:ligatures w14:val="none"/>
        </w:rPr>
        <w:t>2507358</w:t>
      </w:r>
    </w:p>
    <w:p w14:paraId="24B7C46D" w14:textId="77777777" w:rsidR="009F77C4" w:rsidRPr="00A73034" w:rsidRDefault="009F77C4" w:rsidP="009F77C4">
      <w:pPr>
        <w:spacing w:line="360" w:lineRule="auto"/>
        <w:jc w:val="center"/>
        <w:rPr>
          <w:rFonts w:ascii="Arial" w:eastAsia="Times New Roman" w:hAnsi="Arial" w:cs="Arial"/>
          <w:b/>
          <w:bCs/>
          <w:kern w:val="0"/>
          <w:sz w:val="22"/>
          <w:szCs w:val="22"/>
          <w:lang w:eastAsia="en-GB"/>
          <w14:ligatures w14:val="none"/>
        </w:rPr>
      </w:pPr>
    </w:p>
    <w:p w14:paraId="268C83EE" w14:textId="67B6A647" w:rsidR="009F77C4" w:rsidRPr="009F77C4" w:rsidRDefault="009F77C4" w:rsidP="009F77C4">
      <w:pPr>
        <w:rPr>
          <w:rStyle w:val="BookTitle"/>
          <w:rFonts w:ascii="Arial" w:hAnsi="Arial" w:cs="Arial"/>
          <w:b w:val="0"/>
          <w:bCs w:val="0"/>
          <w:i w:val="0"/>
          <w:iCs w:val="0"/>
          <w:color w:val="45B0E1" w:themeColor="accent1" w:themeTint="99"/>
          <w:sz w:val="36"/>
          <w:szCs w:val="36"/>
        </w:rPr>
      </w:pPr>
    </w:p>
    <w:p w14:paraId="6891A1BC" w14:textId="77777777" w:rsidR="009F77C4" w:rsidRDefault="009F77C4" w:rsidP="00DD1576">
      <w:pPr>
        <w:jc w:val="center"/>
        <w:rPr>
          <w:rStyle w:val="BookTitle"/>
          <w:color w:val="45B0E1" w:themeColor="accent1" w:themeTint="99"/>
          <w:sz w:val="44"/>
          <w:szCs w:val="44"/>
          <w:u w:val="single"/>
        </w:rPr>
      </w:pPr>
    </w:p>
    <w:p w14:paraId="516175BA" w14:textId="77777777" w:rsidR="009F77C4" w:rsidRDefault="009F77C4" w:rsidP="00DD1576">
      <w:pPr>
        <w:jc w:val="center"/>
        <w:rPr>
          <w:rStyle w:val="BookTitle"/>
          <w:color w:val="45B0E1" w:themeColor="accent1" w:themeTint="99"/>
          <w:sz w:val="44"/>
          <w:szCs w:val="44"/>
          <w:u w:val="single"/>
        </w:rPr>
      </w:pPr>
    </w:p>
    <w:p w14:paraId="26C27126" w14:textId="77777777" w:rsidR="009F77C4" w:rsidRDefault="009F77C4" w:rsidP="00DD1576">
      <w:pPr>
        <w:jc w:val="center"/>
        <w:rPr>
          <w:rStyle w:val="BookTitle"/>
          <w:color w:val="45B0E1" w:themeColor="accent1" w:themeTint="99"/>
          <w:sz w:val="44"/>
          <w:szCs w:val="44"/>
          <w:u w:val="single"/>
        </w:rPr>
      </w:pPr>
    </w:p>
    <w:p w14:paraId="790F6C7A" w14:textId="77777777" w:rsidR="009F77C4" w:rsidRDefault="009F77C4" w:rsidP="00DD1576">
      <w:pPr>
        <w:jc w:val="center"/>
        <w:rPr>
          <w:rStyle w:val="BookTitle"/>
          <w:color w:val="45B0E1" w:themeColor="accent1" w:themeTint="99"/>
          <w:sz w:val="44"/>
          <w:szCs w:val="44"/>
          <w:u w:val="single"/>
        </w:rPr>
      </w:pPr>
    </w:p>
    <w:p w14:paraId="7D344800" w14:textId="77777777" w:rsidR="009F77C4" w:rsidRDefault="009F77C4" w:rsidP="009F77C4">
      <w:pPr>
        <w:rPr>
          <w:rStyle w:val="BookTitle"/>
          <w:color w:val="45B0E1" w:themeColor="accent1" w:themeTint="99"/>
          <w:sz w:val="44"/>
          <w:szCs w:val="44"/>
          <w:u w:val="single"/>
        </w:rPr>
      </w:pPr>
    </w:p>
    <w:p w14:paraId="6CCEEA25" w14:textId="77777777" w:rsidR="009F77C4" w:rsidRDefault="009F77C4" w:rsidP="009F77C4">
      <w:pPr>
        <w:rPr>
          <w:rStyle w:val="BookTitle"/>
          <w:color w:val="45B0E1" w:themeColor="accent1" w:themeTint="99"/>
          <w:sz w:val="44"/>
          <w:szCs w:val="44"/>
          <w:u w:val="single"/>
        </w:rPr>
      </w:pPr>
    </w:p>
    <w:p w14:paraId="7C5E207F" w14:textId="77777777" w:rsidR="009F77C4" w:rsidRDefault="009F77C4" w:rsidP="00DD1576">
      <w:pPr>
        <w:jc w:val="center"/>
        <w:rPr>
          <w:rStyle w:val="BookTitle"/>
          <w:color w:val="45B0E1" w:themeColor="accent1" w:themeTint="99"/>
          <w:sz w:val="44"/>
          <w:szCs w:val="44"/>
          <w:u w:val="single"/>
        </w:rPr>
      </w:pPr>
    </w:p>
    <w:p w14:paraId="38EA1525" w14:textId="77777777" w:rsidR="009F77C4" w:rsidRDefault="009F77C4" w:rsidP="00DD1576">
      <w:pPr>
        <w:jc w:val="center"/>
        <w:rPr>
          <w:rStyle w:val="BookTitle"/>
          <w:color w:val="45B0E1" w:themeColor="accent1" w:themeTint="99"/>
          <w:sz w:val="44"/>
          <w:szCs w:val="44"/>
          <w:u w:val="single"/>
        </w:rPr>
      </w:pPr>
    </w:p>
    <w:p w14:paraId="48CA6D7E" w14:textId="77777777" w:rsidR="009F77C4" w:rsidRDefault="009F77C4" w:rsidP="004165DF">
      <w:pPr>
        <w:rPr>
          <w:rStyle w:val="BookTitle"/>
          <w:color w:val="45B0E1" w:themeColor="accent1" w:themeTint="99"/>
          <w:sz w:val="44"/>
          <w:szCs w:val="44"/>
          <w:u w:val="single"/>
        </w:rPr>
      </w:pPr>
    </w:p>
    <w:p w14:paraId="58BACDA0" w14:textId="7CD66AC1" w:rsidR="00DD1576" w:rsidRPr="00D45F6F" w:rsidRDefault="003F605D" w:rsidP="00DD1576">
      <w:pPr>
        <w:jc w:val="center"/>
        <w:rPr>
          <w:rStyle w:val="BookTitle"/>
          <w:color w:val="45B0E1" w:themeColor="accent1" w:themeTint="99"/>
          <w:sz w:val="44"/>
          <w:szCs w:val="44"/>
          <w:u w:val="single"/>
        </w:rPr>
      </w:pPr>
      <w:r w:rsidRPr="00D45F6F">
        <w:rPr>
          <w:rStyle w:val="BookTitle"/>
          <w:color w:val="45B0E1" w:themeColor="accent1" w:themeTint="99"/>
          <w:sz w:val="44"/>
          <w:szCs w:val="44"/>
          <w:u w:val="single"/>
        </w:rPr>
        <w:lastRenderedPageBreak/>
        <w:t>Community mental health services (CMHS)</w:t>
      </w:r>
    </w:p>
    <w:p w14:paraId="39A9E08C" w14:textId="45183EF7" w:rsidR="003D7050" w:rsidRPr="0083081A" w:rsidRDefault="00625C7D" w:rsidP="0023029E">
      <w:pPr>
        <w:rPr>
          <w:rFonts w:ascii="Arial" w:hAnsi="Arial" w:cs="Arial"/>
          <w:sz w:val="18"/>
          <w:szCs w:val="18"/>
        </w:rPr>
      </w:pPr>
      <w:r w:rsidRPr="0083081A">
        <w:rPr>
          <w:rFonts w:ascii="Arial" w:hAnsi="Arial" w:cs="Arial"/>
          <w:sz w:val="18"/>
          <w:szCs w:val="18"/>
          <w:u w:val="single"/>
        </w:rPr>
        <w:t>Community mental health services (CMHS)</w:t>
      </w:r>
      <w:r w:rsidRPr="0083081A">
        <w:rPr>
          <w:rFonts w:ascii="Arial" w:hAnsi="Arial" w:cs="Arial"/>
          <w:sz w:val="18"/>
          <w:szCs w:val="18"/>
        </w:rPr>
        <w:t xml:space="preserve"> </w:t>
      </w:r>
      <w:r w:rsidR="003D7050" w:rsidRPr="0083081A">
        <w:rPr>
          <w:rFonts w:ascii="Arial" w:hAnsi="Arial" w:cs="Arial"/>
          <w:sz w:val="18"/>
          <w:szCs w:val="18"/>
        </w:rPr>
        <w:t xml:space="preserve">:- </w:t>
      </w:r>
    </w:p>
    <w:p w14:paraId="00EFDFC5" w14:textId="2B7EB4B2" w:rsidR="008607B6" w:rsidRPr="0083081A" w:rsidRDefault="003D7050" w:rsidP="008607B6">
      <w:pPr>
        <w:pStyle w:val="ListParagraph"/>
        <w:numPr>
          <w:ilvl w:val="0"/>
          <w:numId w:val="5"/>
        </w:numPr>
        <w:rPr>
          <w:rFonts w:ascii="Arial" w:hAnsi="Arial" w:cs="Arial"/>
          <w:sz w:val="18"/>
          <w:szCs w:val="18"/>
        </w:rPr>
      </w:pPr>
      <w:r w:rsidRPr="0083081A">
        <w:rPr>
          <w:rFonts w:ascii="Arial" w:hAnsi="Arial" w:cs="Arial"/>
          <w:sz w:val="18"/>
          <w:szCs w:val="18"/>
        </w:rPr>
        <w:t xml:space="preserve">These are services that </w:t>
      </w:r>
      <w:r w:rsidR="00625C7D" w:rsidRPr="0083081A">
        <w:rPr>
          <w:rFonts w:ascii="Arial" w:hAnsi="Arial" w:cs="Arial"/>
          <w:sz w:val="18"/>
          <w:szCs w:val="18"/>
        </w:rPr>
        <w:t xml:space="preserve">play </w:t>
      </w:r>
      <w:r w:rsidR="002A2717" w:rsidRPr="0083081A">
        <w:rPr>
          <w:rFonts w:ascii="Arial" w:hAnsi="Arial" w:cs="Arial"/>
          <w:sz w:val="18"/>
          <w:szCs w:val="18"/>
        </w:rPr>
        <w:t>a significant role</w:t>
      </w:r>
      <w:r w:rsidR="00625C7D" w:rsidRPr="0083081A">
        <w:rPr>
          <w:rFonts w:ascii="Arial" w:hAnsi="Arial" w:cs="Arial"/>
          <w:sz w:val="18"/>
          <w:szCs w:val="18"/>
        </w:rPr>
        <w:t xml:space="preserve"> in modern mental health care by supporting individuals within their own communities </w:t>
      </w:r>
      <w:r w:rsidR="00C76F76" w:rsidRPr="0083081A">
        <w:rPr>
          <w:rFonts w:ascii="Arial" w:hAnsi="Arial" w:cs="Arial"/>
          <w:sz w:val="18"/>
          <w:szCs w:val="18"/>
        </w:rPr>
        <w:t xml:space="preserve">instead of </w:t>
      </w:r>
      <w:r w:rsidR="00625C7D" w:rsidRPr="0083081A">
        <w:rPr>
          <w:rFonts w:ascii="Arial" w:hAnsi="Arial" w:cs="Arial"/>
          <w:sz w:val="18"/>
          <w:szCs w:val="18"/>
        </w:rPr>
        <w:t>institutional settings</w:t>
      </w:r>
      <w:r w:rsidR="002F5388" w:rsidRPr="0083081A">
        <w:rPr>
          <w:rFonts w:ascii="Arial" w:hAnsi="Arial" w:cs="Arial"/>
          <w:sz w:val="18"/>
          <w:szCs w:val="18"/>
        </w:rPr>
        <w:t>.</w:t>
      </w:r>
      <w:r w:rsidRPr="0083081A">
        <w:rPr>
          <w:rFonts w:ascii="Arial" w:hAnsi="Arial" w:cs="Arial"/>
          <w:sz w:val="18"/>
          <w:szCs w:val="18"/>
        </w:rPr>
        <w:t xml:space="preserve"> </w:t>
      </w:r>
      <w:r w:rsidR="002F5388" w:rsidRPr="0083081A">
        <w:rPr>
          <w:rFonts w:ascii="Arial" w:hAnsi="Arial" w:cs="Arial"/>
          <w:sz w:val="18"/>
          <w:szCs w:val="18"/>
        </w:rPr>
        <w:t xml:space="preserve">This is done </w:t>
      </w:r>
      <w:r w:rsidRPr="0083081A">
        <w:rPr>
          <w:rFonts w:ascii="Arial" w:hAnsi="Arial" w:cs="Arial"/>
          <w:sz w:val="18"/>
          <w:szCs w:val="18"/>
        </w:rPr>
        <w:t>t</w:t>
      </w:r>
      <w:r w:rsidR="00625C7D" w:rsidRPr="0083081A">
        <w:rPr>
          <w:rFonts w:ascii="Arial" w:hAnsi="Arial" w:cs="Arial"/>
          <w:sz w:val="18"/>
          <w:szCs w:val="18"/>
        </w:rPr>
        <w:t>hrough</w:t>
      </w:r>
      <w:r w:rsidR="002F5388" w:rsidRPr="0083081A">
        <w:rPr>
          <w:rFonts w:ascii="Arial" w:hAnsi="Arial" w:cs="Arial"/>
          <w:sz w:val="18"/>
          <w:szCs w:val="18"/>
        </w:rPr>
        <w:t xml:space="preserve">: </w:t>
      </w:r>
    </w:p>
    <w:p w14:paraId="32F1B85E" w14:textId="5C639CE8" w:rsidR="008607B6" w:rsidRDefault="002F5388" w:rsidP="002A3E6C">
      <w:pPr>
        <w:pStyle w:val="ListParagraph"/>
        <w:jc w:val="center"/>
        <w:rPr>
          <w:rFonts w:ascii="Arial" w:hAnsi="Arial" w:cs="Arial"/>
          <w:sz w:val="22"/>
          <w:szCs w:val="22"/>
        </w:rPr>
      </w:pPr>
      <w:r>
        <w:rPr>
          <w:rFonts w:ascii="Arial" w:hAnsi="Arial" w:cs="Arial"/>
          <w:noProof/>
          <w:sz w:val="22"/>
          <w:szCs w:val="22"/>
        </w:rPr>
        <w:drawing>
          <wp:inline distT="0" distB="0" distL="0" distR="0" wp14:anchorId="1CF36F87" wp14:editId="266E193F">
            <wp:extent cx="3803650" cy="1727200"/>
            <wp:effectExtent l="19050" t="0" r="25400" b="6350"/>
            <wp:docPr id="1038048609" name="Diagram 1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14:paraId="4F6D5CEE" w14:textId="7487513C" w:rsidR="008607B6" w:rsidRPr="0083081A" w:rsidRDefault="0083081A" w:rsidP="0083081A">
      <w:pPr>
        <w:pStyle w:val="ListParagraph"/>
        <w:jc w:val="center"/>
        <w:rPr>
          <w:rFonts w:ascii="Arial" w:hAnsi="Arial" w:cs="Arial"/>
          <w:sz w:val="18"/>
          <w:szCs w:val="18"/>
        </w:rPr>
      </w:pPr>
      <w:r w:rsidRPr="0083081A">
        <w:rPr>
          <w:rFonts w:ascii="Arial" w:hAnsi="Arial" w:cs="Arial"/>
          <w:sz w:val="18"/>
          <w:szCs w:val="18"/>
        </w:rPr>
        <w:t>(World Health Organization, 2013).</w:t>
      </w:r>
    </w:p>
    <w:p w14:paraId="6DA0A590" w14:textId="77777777" w:rsidR="008607B6" w:rsidRDefault="008607B6" w:rsidP="008607B6">
      <w:pPr>
        <w:pStyle w:val="ListParagraph"/>
        <w:rPr>
          <w:rFonts w:ascii="Arial" w:hAnsi="Arial" w:cs="Arial"/>
          <w:sz w:val="22"/>
          <w:szCs w:val="22"/>
        </w:rPr>
      </w:pPr>
    </w:p>
    <w:p w14:paraId="6041CEA2" w14:textId="0CF1A3F4" w:rsidR="008607B6" w:rsidRPr="0083081A" w:rsidRDefault="008607B6" w:rsidP="008607B6">
      <w:pPr>
        <w:pStyle w:val="ListParagraph"/>
        <w:rPr>
          <w:rFonts w:ascii="Arial" w:hAnsi="Arial" w:cs="Arial"/>
          <w:b/>
          <w:bCs/>
          <w:sz w:val="14"/>
          <w:szCs w:val="14"/>
          <w:u w:val="single"/>
        </w:rPr>
      </w:pPr>
      <w:r w:rsidRPr="0083081A">
        <w:rPr>
          <w:rFonts w:ascii="Arial" w:hAnsi="Arial" w:cs="Arial"/>
          <w:b/>
          <w:bCs/>
          <w:sz w:val="14"/>
          <w:szCs w:val="14"/>
          <w:u w:val="single"/>
        </w:rPr>
        <w:t>The Community Mental Health team</w:t>
      </w:r>
    </w:p>
    <w:p w14:paraId="1D57BF7E" w14:textId="00E99B4F" w:rsidR="006253F0" w:rsidRPr="0083081A" w:rsidRDefault="00625C7D" w:rsidP="006253F0">
      <w:pPr>
        <w:rPr>
          <w:rFonts w:ascii="Arial" w:hAnsi="Arial" w:cs="Arial"/>
          <w:sz w:val="14"/>
          <w:szCs w:val="14"/>
        </w:rPr>
      </w:pPr>
      <w:r w:rsidRPr="0083081A">
        <w:rPr>
          <w:rFonts w:ascii="Arial" w:hAnsi="Arial" w:cs="Arial"/>
          <w:sz w:val="14"/>
          <w:szCs w:val="14"/>
        </w:rPr>
        <w:t>A key element of CMHS is the Community Mental Health Team (CMHT)</w:t>
      </w:r>
      <w:r w:rsidR="005C4A97" w:rsidRPr="0083081A">
        <w:rPr>
          <w:rFonts w:ascii="Arial" w:hAnsi="Arial" w:cs="Arial"/>
          <w:sz w:val="14"/>
          <w:szCs w:val="14"/>
        </w:rPr>
        <w:t xml:space="preserve"> which is a multidisciplinary team involving health and social care professionals working together to provide </w:t>
      </w:r>
      <w:r w:rsidRPr="0083081A">
        <w:rPr>
          <w:rFonts w:ascii="Arial" w:hAnsi="Arial" w:cs="Arial"/>
          <w:sz w:val="14"/>
          <w:szCs w:val="14"/>
        </w:rPr>
        <w:t>coordinated, multidisciplinary support for individuals experiencing moderate to severe mental illnes</w:t>
      </w:r>
      <w:r w:rsidR="006253F0" w:rsidRPr="0083081A">
        <w:rPr>
          <w:rFonts w:ascii="Arial" w:hAnsi="Arial" w:cs="Arial"/>
          <w:sz w:val="14"/>
          <w:szCs w:val="14"/>
        </w:rPr>
        <w:t>s.</w:t>
      </w:r>
    </w:p>
    <w:p w14:paraId="43E43179" w14:textId="68FD7FEB" w:rsidR="006253F0" w:rsidRPr="0083081A" w:rsidRDefault="006253F0" w:rsidP="006253F0">
      <w:pPr>
        <w:rPr>
          <w:rFonts w:ascii="Arial" w:hAnsi="Arial" w:cs="Arial"/>
          <w:sz w:val="14"/>
          <w:szCs w:val="14"/>
        </w:rPr>
      </w:pPr>
      <w:r w:rsidRPr="0083081A">
        <w:rPr>
          <w:rFonts w:ascii="Arial" w:hAnsi="Arial" w:cs="Arial"/>
          <w:sz w:val="14"/>
          <w:szCs w:val="14"/>
        </w:rPr>
        <w:t xml:space="preserve"> These teams typically bring together a range of professionals, including psychiatrists, community mental health nurses, psychologists, social workers, and occupational therapists, allowing both clinical and social needs to be addressed within a coordinated framework (NHS England, 2019).</w:t>
      </w:r>
    </w:p>
    <w:p w14:paraId="556BBF2B" w14:textId="685F5E39" w:rsidR="00A1692B" w:rsidRDefault="00A53943" w:rsidP="0023029E">
      <w:pPr>
        <w:rPr>
          <w:rFonts w:ascii="Arial" w:hAnsi="Arial" w:cs="Arial"/>
          <w:sz w:val="22"/>
          <w:szCs w:val="22"/>
        </w:rPr>
      </w:pPr>
      <w:r>
        <w:rPr>
          <w:rFonts w:ascii="Arial" w:hAnsi="Arial" w:cs="Arial"/>
          <w:noProof/>
          <w:color w:val="E97132" w:themeColor="accent2"/>
          <w:sz w:val="44"/>
          <w:szCs w:val="44"/>
          <w:u w:val="single"/>
        </w:rPr>
        <w:drawing>
          <wp:anchor distT="0" distB="0" distL="114300" distR="114300" simplePos="0" relativeHeight="251658240" behindDoc="1" locked="0" layoutInCell="1" allowOverlap="1" wp14:anchorId="09F8E7E2" wp14:editId="146E1DC9">
            <wp:simplePos x="0" y="0"/>
            <wp:positionH relativeFrom="page">
              <wp:align>left</wp:align>
            </wp:positionH>
            <wp:positionV relativeFrom="paragraph">
              <wp:posOffset>309245</wp:posOffset>
            </wp:positionV>
            <wp:extent cx="1651000" cy="2266950"/>
            <wp:effectExtent l="0" t="0" r="6350" b="0"/>
            <wp:wrapSquare wrapText="bothSides"/>
            <wp:docPr id="1851768491" name="Graphic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1768491" name="Graphic 1851768491"/>
                    <pic:cNvPicPr/>
                  </pic:nvPicPr>
                  <pic:blipFill>
                    <a:blip r:embed="rId12">
                      <a:extLst>
                        <a:ext uri="{96DAC541-7B7A-43D3-8B79-37D633B846F1}">
                          <asvg:svgBlip xmlns:asvg="http://schemas.microsoft.com/office/drawing/2016/SVG/main" r:embed="rId13"/>
                        </a:ext>
                        <a:ext uri="{837473B0-CC2E-450A-ABE3-18F120FF3D39}">
                          <a1611:picAttrSrcUrl xmlns:a1611="http://schemas.microsoft.com/office/drawing/2016/11/main" r:id="rId14"/>
                        </a:ext>
                      </a:extLst>
                    </a:blip>
                    <a:stretch>
                      <a:fillRect/>
                    </a:stretch>
                  </pic:blipFill>
                  <pic:spPr>
                    <a:xfrm>
                      <a:off x="0" y="0"/>
                      <a:ext cx="1651000" cy="2266950"/>
                    </a:xfrm>
                    <a:prstGeom prst="rect">
                      <a:avLst/>
                    </a:prstGeom>
                  </pic:spPr>
                </pic:pic>
              </a:graphicData>
            </a:graphic>
            <wp14:sizeRelH relativeFrom="margin">
              <wp14:pctWidth>0</wp14:pctWidth>
            </wp14:sizeRelH>
            <wp14:sizeRelV relativeFrom="margin">
              <wp14:pctHeight>0</wp14:pctHeight>
            </wp14:sizeRelV>
          </wp:anchor>
        </w:drawing>
      </w:r>
    </w:p>
    <w:p w14:paraId="576060DB" w14:textId="3EFCCCDE" w:rsidR="005C4A97" w:rsidRPr="0083081A" w:rsidRDefault="005C4A97" w:rsidP="00A1692B">
      <w:pPr>
        <w:jc w:val="center"/>
        <w:rPr>
          <w:rFonts w:ascii="Algerian" w:hAnsi="Algerian" w:cs="Arial"/>
          <w:sz w:val="14"/>
          <w:szCs w:val="14"/>
        </w:rPr>
      </w:pPr>
      <w:r w:rsidRPr="0083081A">
        <w:rPr>
          <w:rFonts w:ascii="Algerian" w:hAnsi="Algerian" w:cs="Arial"/>
          <w:color w:val="E97132" w:themeColor="accent2"/>
          <w:sz w:val="28"/>
          <w:szCs w:val="28"/>
          <w:u w:val="single"/>
        </w:rPr>
        <w:t>HISTORY</w:t>
      </w:r>
    </w:p>
    <w:p w14:paraId="3737F04F" w14:textId="77777777" w:rsidR="00A53943" w:rsidRPr="0083081A" w:rsidRDefault="00625C7D" w:rsidP="00A53943">
      <w:pPr>
        <w:pStyle w:val="ListParagraph"/>
        <w:numPr>
          <w:ilvl w:val="0"/>
          <w:numId w:val="5"/>
        </w:numPr>
        <w:jc w:val="center"/>
        <w:rPr>
          <w:rFonts w:ascii="Arial" w:hAnsi="Arial" w:cs="Arial"/>
          <w:sz w:val="14"/>
          <w:szCs w:val="14"/>
        </w:rPr>
      </w:pPr>
      <w:r w:rsidRPr="0083081A">
        <w:rPr>
          <w:rFonts w:ascii="Arial" w:hAnsi="Arial" w:cs="Arial"/>
          <w:sz w:val="14"/>
          <w:szCs w:val="14"/>
        </w:rPr>
        <w:t xml:space="preserve">The development of community mental health services began in the mid-twentieth century, following growing concerns about the effectiveness and ethical implications of </w:t>
      </w:r>
      <w:r w:rsidR="002A2717" w:rsidRPr="0083081A">
        <w:rPr>
          <w:rFonts w:ascii="Arial" w:hAnsi="Arial" w:cs="Arial"/>
          <w:sz w:val="14"/>
          <w:szCs w:val="14"/>
        </w:rPr>
        <w:t>long-term</w:t>
      </w:r>
      <w:r w:rsidRPr="0083081A">
        <w:rPr>
          <w:rFonts w:ascii="Arial" w:hAnsi="Arial" w:cs="Arial"/>
          <w:sz w:val="14"/>
          <w:szCs w:val="14"/>
        </w:rPr>
        <w:t xml:space="preserve"> institutional care.</w:t>
      </w:r>
    </w:p>
    <w:p w14:paraId="74E8B122" w14:textId="77777777" w:rsidR="00A53943" w:rsidRPr="0083081A" w:rsidRDefault="00A53943" w:rsidP="00A53943">
      <w:pPr>
        <w:pStyle w:val="ListParagraph"/>
        <w:jc w:val="center"/>
        <w:rPr>
          <w:rFonts w:ascii="Arial" w:hAnsi="Arial" w:cs="Arial"/>
          <w:sz w:val="14"/>
          <w:szCs w:val="14"/>
        </w:rPr>
      </w:pPr>
    </w:p>
    <w:p w14:paraId="450C45AD" w14:textId="4523557B" w:rsidR="00A53943" w:rsidRPr="0083081A" w:rsidRDefault="00625C7D" w:rsidP="00A53943">
      <w:pPr>
        <w:pStyle w:val="ListParagraph"/>
        <w:numPr>
          <w:ilvl w:val="0"/>
          <w:numId w:val="5"/>
        </w:numPr>
        <w:jc w:val="center"/>
        <w:rPr>
          <w:rFonts w:ascii="Arial" w:hAnsi="Arial" w:cs="Arial"/>
          <w:sz w:val="14"/>
          <w:szCs w:val="14"/>
        </w:rPr>
      </w:pPr>
      <w:r w:rsidRPr="0083081A">
        <w:rPr>
          <w:rFonts w:ascii="Arial" w:hAnsi="Arial" w:cs="Arial"/>
          <w:sz w:val="14"/>
          <w:szCs w:val="14"/>
        </w:rPr>
        <w:t xml:space="preserve">Large psychiatric hospitals were increasingly criticised for poor living conditions, limited access to meaningful treatment and the social isolation experienced by patients (Thornicroft and </w:t>
      </w:r>
      <w:proofErr w:type="spellStart"/>
      <w:r w:rsidRPr="0083081A">
        <w:rPr>
          <w:rFonts w:ascii="Arial" w:hAnsi="Arial" w:cs="Arial"/>
          <w:sz w:val="14"/>
          <w:szCs w:val="14"/>
        </w:rPr>
        <w:t>Tansella</w:t>
      </w:r>
      <w:proofErr w:type="spellEnd"/>
      <w:r w:rsidRPr="0083081A">
        <w:rPr>
          <w:rFonts w:ascii="Arial" w:hAnsi="Arial" w:cs="Arial"/>
          <w:sz w:val="14"/>
          <w:szCs w:val="14"/>
        </w:rPr>
        <w:t>, 2004)</w:t>
      </w:r>
      <w:r w:rsidR="00A53943" w:rsidRPr="0083081A">
        <w:rPr>
          <w:rFonts w:ascii="Arial" w:hAnsi="Arial" w:cs="Arial"/>
          <w:sz w:val="14"/>
          <w:szCs w:val="14"/>
        </w:rPr>
        <w:t>.</w:t>
      </w:r>
    </w:p>
    <w:p w14:paraId="2C6AC128" w14:textId="00A3DC1A" w:rsidR="00A53943" w:rsidRPr="0083081A" w:rsidRDefault="00A53943" w:rsidP="00A53943">
      <w:pPr>
        <w:pStyle w:val="ListParagraph"/>
        <w:jc w:val="center"/>
        <w:rPr>
          <w:rFonts w:ascii="Arial" w:hAnsi="Arial" w:cs="Arial"/>
          <w:sz w:val="14"/>
          <w:szCs w:val="14"/>
        </w:rPr>
      </w:pPr>
    </w:p>
    <w:p w14:paraId="23330B92" w14:textId="293F81B3" w:rsidR="00A53943" w:rsidRPr="0083081A" w:rsidRDefault="00A53943" w:rsidP="00A53943">
      <w:pPr>
        <w:pStyle w:val="ListParagraph"/>
        <w:numPr>
          <w:ilvl w:val="0"/>
          <w:numId w:val="5"/>
        </w:numPr>
        <w:jc w:val="center"/>
        <w:rPr>
          <w:rFonts w:ascii="Arial" w:hAnsi="Arial" w:cs="Arial"/>
          <w:sz w:val="14"/>
          <w:szCs w:val="14"/>
        </w:rPr>
      </w:pPr>
      <w:r w:rsidRPr="0083081A">
        <w:rPr>
          <w:rFonts w:ascii="Arial" w:hAnsi="Arial" w:cs="Arial"/>
          <w:sz w:val="14"/>
          <w:szCs w:val="14"/>
        </w:rPr>
        <w:t xml:space="preserve">Many </w:t>
      </w:r>
      <w:r w:rsidR="00625C7D" w:rsidRPr="0083081A">
        <w:rPr>
          <w:rFonts w:ascii="Arial" w:hAnsi="Arial" w:cs="Arial"/>
          <w:sz w:val="14"/>
          <w:szCs w:val="14"/>
        </w:rPr>
        <w:t>countries introduced policies of deinstitutionalisation, which sought to move mental health care away from hospitals and into community settings.</w:t>
      </w:r>
    </w:p>
    <w:p w14:paraId="784F9742" w14:textId="77777777" w:rsidR="00A53943" w:rsidRPr="0083081A" w:rsidRDefault="00A53943" w:rsidP="00A53943">
      <w:pPr>
        <w:pStyle w:val="ListParagraph"/>
        <w:jc w:val="center"/>
        <w:rPr>
          <w:rFonts w:ascii="Arial" w:hAnsi="Arial" w:cs="Arial"/>
          <w:sz w:val="14"/>
          <w:szCs w:val="14"/>
        </w:rPr>
      </w:pPr>
    </w:p>
    <w:p w14:paraId="3CDD2056" w14:textId="77777777" w:rsidR="0083081A" w:rsidRPr="0083081A" w:rsidRDefault="00625C7D" w:rsidP="0083081A">
      <w:pPr>
        <w:pStyle w:val="ListParagraph"/>
        <w:numPr>
          <w:ilvl w:val="0"/>
          <w:numId w:val="5"/>
        </w:numPr>
        <w:jc w:val="center"/>
        <w:rPr>
          <w:rFonts w:ascii="Arial" w:hAnsi="Arial" w:cs="Arial"/>
          <w:sz w:val="14"/>
          <w:szCs w:val="14"/>
        </w:rPr>
      </w:pPr>
      <w:r w:rsidRPr="0083081A">
        <w:rPr>
          <w:rFonts w:ascii="Arial" w:hAnsi="Arial" w:cs="Arial"/>
          <w:sz w:val="14"/>
          <w:szCs w:val="14"/>
        </w:rPr>
        <w:t>In the United Kingdom, this approach was formally supported by the Mental Health Act 1959, which encouraged treatment in the community wherever possible. The subsequent closure of long-stay psychiatric hospitals throughout the 1980s and 1990s further drove the expansion of locally based mental health services (Burns, 2020).</w:t>
      </w:r>
    </w:p>
    <w:p w14:paraId="0A2E64CD" w14:textId="77777777" w:rsidR="0083081A" w:rsidRPr="0083081A" w:rsidRDefault="0083081A" w:rsidP="0083081A">
      <w:pPr>
        <w:pStyle w:val="ListParagraph"/>
        <w:rPr>
          <w:rFonts w:ascii="Arial" w:hAnsi="Arial" w:cs="Arial"/>
          <w:sz w:val="44"/>
          <w:szCs w:val="44"/>
          <w:u w:val="single"/>
          <w14:textFill>
            <w14:gradFill>
              <w14:gsLst>
                <w14:gs w14:pos="0">
                  <w14:schemeClr w14:val="tx2">
                    <w14:lumMod w14:val="75000"/>
                    <w14:lumOff w14:val="25000"/>
                  </w14:schemeClr>
                </w14:gs>
                <w14:gs w14:pos="50000">
                  <w14:srgbClr w14:val="000000">
                    <w14:tint w14:val="44500"/>
                    <w14:satMod w14:val="160000"/>
                  </w14:srgbClr>
                </w14:gs>
                <w14:gs w14:pos="100000">
                  <w14:srgbClr w14:val="000000">
                    <w14:tint w14:val="23500"/>
                    <w14:satMod w14:val="160000"/>
                  </w14:srgbClr>
                </w14:gs>
              </w14:gsLst>
              <w14:lin w14:ang="5400000" w14:scaled="0"/>
            </w14:gradFill>
          </w14:textFill>
        </w:rPr>
      </w:pPr>
    </w:p>
    <w:p w14:paraId="260DE72F" w14:textId="2D69AC0D" w:rsidR="00F55B5C" w:rsidRPr="009C08A1" w:rsidRDefault="006253F0" w:rsidP="0083081A">
      <w:pPr>
        <w:pStyle w:val="ListParagraph"/>
        <w:jc w:val="center"/>
        <w:rPr>
          <w:rFonts w:ascii="Arial" w:hAnsi="Arial" w:cs="Arial"/>
          <w:sz w:val="18"/>
          <w:szCs w:val="18"/>
        </w:rPr>
      </w:pPr>
      <w:r w:rsidRPr="009C08A1">
        <w:rPr>
          <w:rFonts w:ascii="Arial" w:hAnsi="Arial" w:cs="Arial"/>
          <w:sz w:val="18"/>
          <w:szCs w:val="18"/>
          <w:u w:val="single"/>
          <w14:textFill>
            <w14:gradFill>
              <w14:gsLst>
                <w14:gs w14:pos="0">
                  <w14:schemeClr w14:val="tx2">
                    <w14:lumMod w14:val="75000"/>
                    <w14:lumOff w14:val="25000"/>
                  </w14:schemeClr>
                </w14:gs>
                <w14:gs w14:pos="50000">
                  <w14:srgbClr w14:val="000000">
                    <w14:tint w14:val="44500"/>
                    <w14:satMod w14:val="160000"/>
                  </w14:srgbClr>
                </w14:gs>
                <w14:gs w14:pos="100000">
                  <w14:srgbClr w14:val="000000">
                    <w14:tint w14:val="23500"/>
                    <w14:satMod w14:val="160000"/>
                  </w14:srgbClr>
                </w14:gs>
              </w14:gsLst>
              <w14:lin w14:ang="5400000" w14:scaled="0"/>
            </w14:gradFill>
          </w14:textFill>
        </w:rPr>
        <w:t>Evolution</w:t>
      </w:r>
    </w:p>
    <w:p w14:paraId="545D28F9" w14:textId="77777777" w:rsidR="00F55B5C" w:rsidRPr="0083081A" w:rsidRDefault="00F55B5C" w:rsidP="0083081A">
      <w:pPr>
        <w:jc w:val="center"/>
        <w:rPr>
          <w:rFonts w:ascii="Arial" w:hAnsi="Arial" w:cs="Arial"/>
          <w:sz w:val="14"/>
          <w:szCs w:val="14"/>
        </w:rPr>
      </w:pPr>
      <w:r w:rsidRPr="0083081A">
        <w:rPr>
          <w:rFonts w:ascii="Arial" w:hAnsi="Arial" w:cs="Arial"/>
          <w:noProof/>
          <w:sz w:val="14"/>
          <w:szCs w:val="14"/>
        </w:rPr>
        <w:drawing>
          <wp:inline distT="0" distB="0" distL="0" distR="0" wp14:anchorId="132D14C0" wp14:editId="1CBF6949">
            <wp:extent cx="3822700" cy="539750"/>
            <wp:effectExtent l="0" t="0" r="0" b="0"/>
            <wp:docPr id="1669036530" name="Picture 22" descr="A black and white image of a person evolu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9036530" name="Picture 22" descr="A black and white image of a person evolution"/>
                    <pic:cNvPicPr/>
                  </pic:nvPicPr>
                  <pic:blipFill>
                    <a:blip r:embed="rId15" cstate="print">
                      <a:extLst>
                        <a:ext uri="{28A0092B-C50C-407E-A947-70E740481C1C}">
                          <a14:useLocalDpi xmlns:a14="http://schemas.microsoft.com/office/drawing/2010/main" val="0"/>
                        </a:ext>
                        <a:ext uri="{837473B0-CC2E-450A-ABE3-18F120FF3D39}">
                          <a1611:picAttrSrcUrl xmlns:a1611="http://schemas.microsoft.com/office/drawing/2016/11/main" r:id="rId16"/>
                        </a:ext>
                      </a:extLst>
                    </a:blip>
                    <a:stretch>
                      <a:fillRect/>
                    </a:stretch>
                  </pic:blipFill>
                  <pic:spPr>
                    <a:xfrm>
                      <a:off x="0" y="0"/>
                      <a:ext cx="3822700" cy="539750"/>
                    </a:xfrm>
                    <a:prstGeom prst="rect">
                      <a:avLst/>
                    </a:prstGeom>
                  </pic:spPr>
                </pic:pic>
              </a:graphicData>
            </a:graphic>
          </wp:inline>
        </w:drawing>
      </w:r>
    </w:p>
    <w:p w14:paraId="4C75E58C" w14:textId="77777777" w:rsidR="00F55B5C" w:rsidRPr="0083081A" w:rsidRDefault="00F55B5C" w:rsidP="0023029E">
      <w:pPr>
        <w:rPr>
          <w:rFonts w:ascii="Arial" w:hAnsi="Arial" w:cs="Arial"/>
          <w:sz w:val="14"/>
          <w:szCs w:val="14"/>
        </w:rPr>
      </w:pPr>
    </w:p>
    <w:p w14:paraId="6F5F8330" w14:textId="77777777" w:rsidR="00F55B5C" w:rsidRPr="0083081A" w:rsidRDefault="00625C7D" w:rsidP="00F55B5C">
      <w:pPr>
        <w:pStyle w:val="ListParagraph"/>
        <w:numPr>
          <w:ilvl w:val="0"/>
          <w:numId w:val="6"/>
        </w:numPr>
        <w:rPr>
          <w:rFonts w:ascii="Arial" w:hAnsi="Arial" w:cs="Arial"/>
          <w:sz w:val="14"/>
          <w:szCs w:val="14"/>
        </w:rPr>
      </w:pPr>
      <w:r w:rsidRPr="0083081A">
        <w:rPr>
          <w:rFonts w:ascii="Arial" w:hAnsi="Arial" w:cs="Arial"/>
          <w:sz w:val="14"/>
          <w:szCs w:val="14"/>
        </w:rPr>
        <w:t xml:space="preserve">A major development in the evolution of community mental health care was the introduction of the Care Programme Approach (CPA) in 1991. </w:t>
      </w:r>
    </w:p>
    <w:p w14:paraId="23270A72" w14:textId="77777777" w:rsidR="00F55B5C" w:rsidRPr="0083081A" w:rsidRDefault="00F55B5C" w:rsidP="00F55B5C">
      <w:pPr>
        <w:pStyle w:val="ListParagraph"/>
        <w:rPr>
          <w:rFonts w:ascii="Arial" w:hAnsi="Arial" w:cs="Arial"/>
          <w:sz w:val="14"/>
          <w:szCs w:val="14"/>
        </w:rPr>
      </w:pPr>
    </w:p>
    <w:p w14:paraId="03AF8A63" w14:textId="77777777" w:rsidR="00F55B5C" w:rsidRPr="0083081A" w:rsidRDefault="00625C7D" w:rsidP="00F55B5C">
      <w:pPr>
        <w:pStyle w:val="ListParagraph"/>
        <w:numPr>
          <w:ilvl w:val="0"/>
          <w:numId w:val="6"/>
        </w:numPr>
        <w:rPr>
          <w:rFonts w:ascii="Arial" w:hAnsi="Arial" w:cs="Arial"/>
          <w:sz w:val="14"/>
          <w:szCs w:val="14"/>
        </w:rPr>
      </w:pPr>
      <w:r w:rsidRPr="0083081A">
        <w:rPr>
          <w:rFonts w:ascii="Arial" w:hAnsi="Arial" w:cs="Arial"/>
          <w:sz w:val="14"/>
          <w:szCs w:val="14"/>
        </w:rPr>
        <w:t xml:space="preserve">The CPA created a clear and structured way of coordinating care for individuals with severe mental illness, placing an emphasis on personalised care planning, named care coordinators and regular reviews to ensure ongoing support (Department of Health, 1991). </w:t>
      </w:r>
    </w:p>
    <w:p w14:paraId="005CAD8B" w14:textId="77777777" w:rsidR="00F55B5C" w:rsidRPr="0083081A" w:rsidRDefault="00F55B5C" w:rsidP="00F55B5C">
      <w:pPr>
        <w:pStyle w:val="ListParagraph"/>
        <w:rPr>
          <w:rFonts w:ascii="Arial" w:hAnsi="Arial" w:cs="Arial"/>
          <w:sz w:val="14"/>
          <w:szCs w:val="14"/>
        </w:rPr>
      </w:pPr>
    </w:p>
    <w:p w14:paraId="147E63AB" w14:textId="7F8DF2FB" w:rsidR="00625C7D" w:rsidRPr="0083081A" w:rsidRDefault="00625C7D" w:rsidP="00F55B5C">
      <w:pPr>
        <w:pStyle w:val="ListParagraph"/>
        <w:numPr>
          <w:ilvl w:val="0"/>
          <w:numId w:val="6"/>
        </w:numPr>
        <w:rPr>
          <w:rFonts w:ascii="Arial" w:hAnsi="Arial" w:cs="Arial"/>
          <w:sz w:val="14"/>
          <w:szCs w:val="14"/>
        </w:rPr>
      </w:pPr>
      <w:r w:rsidRPr="0083081A">
        <w:rPr>
          <w:rFonts w:ascii="Arial" w:hAnsi="Arial" w:cs="Arial"/>
          <w:sz w:val="14"/>
          <w:szCs w:val="14"/>
        </w:rPr>
        <w:t xml:space="preserve">These changes played a key role in shaping Community Mental Health Teams (CMHTs) as locally based services responsible for providing comprehensive and coordinated care within specific communities. Together, these developments marked </w:t>
      </w:r>
      <w:r w:rsidR="002A2717" w:rsidRPr="0083081A">
        <w:rPr>
          <w:rFonts w:ascii="Arial" w:hAnsi="Arial" w:cs="Arial"/>
          <w:sz w:val="14"/>
          <w:szCs w:val="14"/>
        </w:rPr>
        <w:t>a crucial step</w:t>
      </w:r>
      <w:r w:rsidRPr="0083081A">
        <w:rPr>
          <w:rFonts w:ascii="Arial" w:hAnsi="Arial" w:cs="Arial"/>
          <w:sz w:val="14"/>
          <w:szCs w:val="14"/>
        </w:rPr>
        <w:t xml:space="preserve"> in the shift from institutional care towards more community-focused models of mental health support.</w:t>
      </w:r>
    </w:p>
    <w:p w14:paraId="2D5BDA92" w14:textId="74371C09" w:rsidR="00F55B5C" w:rsidRDefault="00F55B5C" w:rsidP="0023029E">
      <w:pPr>
        <w:rPr>
          <w:rFonts w:ascii="Arial" w:hAnsi="Arial" w:cs="Arial"/>
          <w:sz w:val="22"/>
          <w:szCs w:val="22"/>
        </w:rPr>
      </w:pPr>
    </w:p>
    <w:p w14:paraId="453750B1" w14:textId="013B7C8F" w:rsidR="00F55B5C" w:rsidRDefault="00BE270C" w:rsidP="0023029E">
      <w:pPr>
        <w:rPr>
          <w:rFonts w:ascii="Arial" w:hAnsi="Arial" w:cs="Arial"/>
          <w:sz w:val="22"/>
          <w:szCs w:val="22"/>
        </w:rPr>
      </w:pPr>
      <w:r>
        <w:rPr>
          <w:rFonts w:ascii="Arial" w:hAnsi="Arial" w:cs="Arial"/>
          <w:noProof/>
          <w:sz w:val="22"/>
          <w:szCs w:val="22"/>
        </w:rPr>
        <w:drawing>
          <wp:anchor distT="0" distB="0" distL="114300" distR="114300" simplePos="0" relativeHeight="251662336" behindDoc="1" locked="0" layoutInCell="1" allowOverlap="1" wp14:anchorId="3A7BBD6D" wp14:editId="1E22A2F7">
            <wp:simplePos x="0" y="0"/>
            <wp:positionH relativeFrom="column">
              <wp:posOffset>1149350</wp:posOffset>
            </wp:positionH>
            <wp:positionV relativeFrom="paragraph">
              <wp:posOffset>4445</wp:posOffset>
            </wp:positionV>
            <wp:extent cx="2912966" cy="488950"/>
            <wp:effectExtent l="0" t="0" r="1905" b="6350"/>
            <wp:wrapNone/>
            <wp:docPr id="1947456529" name="Picture 26" descr="A city with lights coming out of 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7456529" name="Picture 26" descr="A city with lights coming out of it"/>
                    <pic:cNvPicPr/>
                  </pic:nvPicPr>
                  <pic:blipFill>
                    <a:blip r:embed="rId17" cstate="print">
                      <a:extLst>
                        <a:ext uri="{28A0092B-C50C-407E-A947-70E740481C1C}">
                          <a14:useLocalDpi xmlns:a14="http://schemas.microsoft.com/office/drawing/2010/main" val="0"/>
                        </a:ext>
                        <a:ext uri="{837473B0-CC2E-450A-ABE3-18F120FF3D39}">
                          <a1611:picAttrSrcUrl xmlns:a1611="http://schemas.microsoft.com/office/drawing/2016/11/main" r:id="rId18"/>
                        </a:ext>
                      </a:extLst>
                    </a:blip>
                    <a:stretch>
                      <a:fillRect/>
                    </a:stretch>
                  </pic:blipFill>
                  <pic:spPr>
                    <a:xfrm flipV="1">
                      <a:off x="0" y="0"/>
                      <a:ext cx="2917523" cy="489715"/>
                    </a:xfrm>
                    <a:prstGeom prst="rect">
                      <a:avLst/>
                    </a:prstGeom>
                  </pic:spPr>
                </pic:pic>
              </a:graphicData>
            </a:graphic>
            <wp14:sizeRelH relativeFrom="page">
              <wp14:pctWidth>0</wp14:pctWidth>
            </wp14:sizeRelH>
            <wp14:sizeRelV relativeFrom="page">
              <wp14:pctHeight>0</wp14:pctHeight>
            </wp14:sizeRelV>
          </wp:anchor>
        </w:drawing>
      </w:r>
      <w:r w:rsidR="00F547E1" w:rsidRPr="00F547E1">
        <w:rPr>
          <w:rFonts w:ascii="Arial Black" w:hAnsi="Arial Black" w:cs="Arial"/>
          <w:noProof/>
          <w:sz w:val="44"/>
          <w:szCs w:val="44"/>
          <w:u w:val="single"/>
        </w:rPr>
        <mc:AlternateContent>
          <mc:Choice Requires="wps">
            <w:drawing>
              <wp:anchor distT="45720" distB="45720" distL="114300" distR="114300" simplePos="0" relativeHeight="251660288" behindDoc="0" locked="0" layoutInCell="1" allowOverlap="1" wp14:anchorId="520138F6" wp14:editId="496AE9BD">
                <wp:simplePos x="0" y="0"/>
                <wp:positionH relativeFrom="margin">
                  <wp:posOffset>1447800</wp:posOffset>
                </wp:positionH>
                <wp:positionV relativeFrom="paragraph">
                  <wp:posOffset>188595</wp:posOffset>
                </wp:positionV>
                <wp:extent cx="2082800" cy="203200"/>
                <wp:effectExtent l="0" t="0" r="12700" b="2540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82800" cy="203200"/>
                        </a:xfrm>
                        <a:prstGeom prst="rect">
                          <a:avLst/>
                        </a:prstGeom>
                        <a:solidFill>
                          <a:srgbClr val="FFFFFF"/>
                        </a:solidFill>
                        <a:ln w="9525">
                          <a:solidFill>
                            <a:srgbClr val="000000"/>
                          </a:solidFill>
                          <a:miter lim="800000"/>
                          <a:headEnd/>
                          <a:tailEnd/>
                        </a:ln>
                      </wps:spPr>
                      <wps:txbx>
                        <w:txbxContent>
                          <w:p w14:paraId="2CB348ED" w14:textId="3CFA6F00" w:rsidR="00F547E1" w:rsidRPr="00BE270C" w:rsidRDefault="00F547E1" w:rsidP="00F547E1">
                            <w:pPr>
                              <w:jc w:val="center"/>
                              <w:rPr>
                                <w:color w:val="215E99" w:themeColor="text2" w:themeTint="BF"/>
                                <w:sz w:val="14"/>
                                <w:szCs w:val="14"/>
                                <w:u w:val="single"/>
                              </w:rPr>
                            </w:pPr>
                            <w:r w:rsidRPr="00BE270C">
                              <w:rPr>
                                <w:color w:val="215E99" w:themeColor="text2" w:themeTint="BF"/>
                                <w:sz w:val="14"/>
                                <w:szCs w:val="14"/>
                                <w:u w:val="single"/>
                              </w:rPr>
                              <w:t>Modern Practice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20138F6" id="_x0000_t202" coordsize="21600,21600" o:spt="202" path="m,l,21600r21600,l21600,xe">
                <v:stroke joinstyle="miter"/>
                <v:path gradientshapeok="t" o:connecttype="rect"/>
              </v:shapetype>
              <v:shape id="Text Box 2" o:spid="_x0000_s1026" type="#_x0000_t202" style="position:absolute;margin-left:114pt;margin-top:14.85pt;width:164pt;height:16pt;z-index:25166028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">
                <v:textbox>
                  <w:txbxContent>
                    <w:p w14:paraId="2CB348ED" w14:textId="3CFA6F00" w:rsidR="00F547E1" w:rsidRPr="00BE270C" w:rsidRDefault="00F547E1" w:rsidP="00F547E1">
                      <w:pPr>
                        <w:jc w:val="center"/>
                        <w:rPr>
                          <w:color w:val="215E99" w:themeColor="text2" w:themeTint="BF"/>
                          <w:sz w:val="14"/>
                          <w:szCs w:val="14"/>
                          <w:u w:val="single"/>
                        </w:rPr>
                      </w:pPr>
                      <w:r w:rsidRPr="00BE270C">
                        <w:rPr>
                          <w:color w:val="215E99" w:themeColor="text2" w:themeTint="BF"/>
                          <w:sz w:val="14"/>
                          <w:szCs w:val="14"/>
                          <w:u w:val="single"/>
                        </w:rPr>
                        <w:t>Modern Practice</w:t>
                      </w:r>
                    </w:p>
                  </w:txbxContent>
                </v:textbox>
                <w10:wrap anchorx="margin"/>
              </v:shape>
            </w:pict>
          </mc:Fallback>
        </mc:AlternateContent>
      </w:r>
    </w:p>
    <w:p w14:paraId="2DF42B1D" w14:textId="77777777" w:rsidR="00BE270C" w:rsidRPr="00BE270C" w:rsidRDefault="00BE270C" w:rsidP="00BE270C">
      <w:pPr>
        <w:rPr>
          <w:rFonts w:ascii="Arial" w:hAnsi="Arial" w:cs="Arial"/>
          <w:sz w:val="14"/>
          <w:szCs w:val="14"/>
        </w:rPr>
      </w:pPr>
    </w:p>
    <w:p w14:paraId="77D7D8C0" w14:textId="03D21820" w:rsidR="002A3E6C" w:rsidRPr="002A3E6C" w:rsidRDefault="00625C7D" w:rsidP="002A3E6C">
      <w:pPr>
        <w:pStyle w:val="ListParagraph"/>
        <w:jc w:val="center"/>
        <w:rPr>
          <w:rFonts w:ascii="Arial" w:hAnsi="Arial" w:cs="Arial"/>
          <w:sz w:val="22"/>
          <w:szCs w:val="22"/>
        </w:rPr>
      </w:pPr>
      <w:r w:rsidRPr="00BE270C">
        <w:rPr>
          <w:rFonts w:ascii="Arial" w:hAnsi="Arial" w:cs="Arial"/>
          <w:sz w:val="14"/>
          <w:szCs w:val="14"/>
        </w:rPr>
        <w:t>In current practice, Community Mental Health Teams (CMHTs) deliver a wide range of services</w:t>
      </w:r>
      <w:r w:rsidR="00F547E1" w:rsidRPr="00BE270C">
        <w:rPr>
          <w:rFonts w:ascii="Arial" w:hAnsi="Arial" w:cs="Arial"/>
          <w:sz w:val="14"/>
          <w:szCs w:val="14"/>
        </w:rPr>
        <w:t xml:space="preserve"> such as </w:t>
      </w:r>
      <w:r w:rsidR="00F547E1">
        <w:rPr>
          <w:rFonts w:ascii="Arial" w:hAnsi="Arial" w:cs="Arial"/>
          <w:noProof/>
          <w:sz w:val="22"/>
          <w:szCs w:val="22"/>
        </w:rPr>
        <w:drawing>
          <wp:inline distT="0" distB="0" distL="0" distR="0" wp14:anchorId="3F738FEC" wp14:editId="5AB5160A">
            <wp:extent cx="3422650" cy="1016000"/>
            <wp:effectExtent l="0" t="0" r="25400" b="12700"/>
            <wp:docPr id="1144469790" name="Diagram 2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inline>
        </w:drawing>
      </w:r>
    </w:p>
    <w:p w14:paraId="104D5982" w14:textId="02C51BA9" w:rsidR="00CD63C9" w:rsidRPr="000D2633" w:rsidRDefault="002A3E6C" w:rsidP="00CD63C9">
      <w:pPr>
        <w:pStyle w:val="ListParagraph"/>
        <w:rPr>
          <w:rFonts w:ascii="Agency FB" w:hAnsi="Agency FB" w:cs="ADLaM Display"/>
          <w:sz w:val="10"/>
          <w:szCs w:val="10"/>
        </w:rPr>
      </w:pPr>
      <w:r w:rsidRPr="000D2633">
        <w:rPr>
          <w:rFonts w:ascii="Arial" w:hAnsi="Arial" w:cs="Arial"/>
          <w:color w:val="FFFFFF" w:themeColor="background1"/>
          <w:sz w:val="22"/>
          <w:szCs w:val="22"/>
          <w:u w:val="single"/>
        </w:rPr>
        <w:t xml:space="preserve">                     </w:t>
      </w:r>
      <w:r w:rsidR="0066354C">
        <w:rPr>
          <w:rFonts w:ascii="Arial" w:hAnsi="Arial" w:cs="Arial"/>
          <w:color w:val="FFFFFF" w:themeColor="background1"/>
          <w:sz w:val="22"/>
          <w:szCs w:val="22"/>
          <w:u w:val="single"/>
        </w:rPr>
        <w:t xml:space="preserve">   </w:t>
      </w:r>
      <w:r w:rsidRPr="000D2633">
        <w:rPr>
          <w:rFonts w:ascii="Arial" w:hAnsi="Arial" w:cs="Arial"/>
          <w:color w:val="FFFFFF" w:themeColor="background1"/>
          <w:sz w:val="22"/>
          <w:szCs w:val="22"/>
          <w:u w:val="single"/>
        </w:rPr>
        <w:t xml:space="preserve"> </w:t>
      </w:r>
      <w:r w:rsidR="00CD63C9" w:rsidRPr="000D2633">
        <w:rPr>
          <w:rFonts w:ascii="Agency FB" w:hAnsi="Agency FB" w:cs="ADLaM Display"/>
          <w:sz w:val="22"/>
          <w:szCs w:val="22"/>
          <w:u w:val="single"/>
        </w:rPr>
        <w:t>Provision of care</w:t>
      </w:r>
    </w:p>
    <w:p w14:paraId="0D5B4833" w14:textId="373329BD" w:rsidR="00CD63C9" w:rsidRDefault="000D2633" w:rsidP="00CD63C9">
      <w:pPr>
        <w:pStyle w:val="ListParagraph"/>
        <w:jc w:val="center"/>
        <w:rPr>
          <w:rFonts w:ascii="Arial" w:hAnsi="Arial" w:cs="Arial"/>
          <w:sz w:val="22"/>
          <w:szCs w:val="22"/>
        </w:rPr>
      </w:pPr>
      <w:r w:rsidRPr="000D2633">
        <w:rPr>
          <w:rFonts w:ascii="Arial" w:hAnsi="Arial" w:cs="Arial"/>
          <w:noProof/>
          <w:sz w:val="10"/>
          <w:szCs w:val="10"/>
        </w:rPr>
        <w:drawing>
          <wp:anchor distT="0" distB="0" distL="114300" distR="114300" simplePos="0" relativeHeight="251661312" behindDoc="0" locked="0" layoutInCell="1" allowOverlap="1" wp14:anchorId="1EFBC1D6" wp14:editId="1A63D3E0">
            <wp:simplePos x="0" y="0"/>
            <wp:positionH relativeFrom="column">
              <wp:posOffset>1333500</wp:posOffset>
            </wp:positionH>
            <wp:positionV relativeFrom="paragraph">
              <wp:posOffset>183515</wp:posOffset>
            </wp:positionV>
            <wp:extent cx="1511300" cy="290195"/>
            <wp:effectExtent l="0" t="0" r="0" b="0"/>
            <wp:wrapSquare wrapText="bothSides"/>
            <wp:docPr id="104247344" name="Picture 29" descr="A pair of hands over a heart be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247344" name="Picture 29" descr="A pair of hands over a heart beat"/>
                    <pic:cNvPicPr/>
                  </pic:nvPicPr>
                  <pic:blipFill>
                    <a:blip r:embed="rId24" cstate="print">
                      <a:extLst>
                        <a:ext uri="{28A0092B-C50C-407E-A947-70E740481C1C}">
                          <a14:useLocalDpi xmlns:a14="http://schemas.microsoft.com/office/drawing/2010/main" val="0"/>
                        </a:ext>
                        <a:ext uri="{837473B0-CC2E-450A-ABE3-18F120FF3D39}">
                          <a1611:picAttrSrcUrl xmlns:a1611="http://schemas.microsoft.com/office/drawing/2016/11/main" r:id="rId25"/>
                        </a:ext>
                      </a:extLst>
                    </a:blip>
                    <a:stretch>
                      <a:fillRect/>
                    </a:stretch>
                  </pic:blipFill>
                  <pic:spPr>
                    <a:xfrm>
                      <a:off x="0" y="0"/>
                      <a:ext cx="1511300" cy="290195"/>
                    </a:xfrm>
                    <a:prstGeom prst="rect">
                      <a:avLst/>
                    </a:prstGeom>
                  </pic:spPr>
                </pic:pic>
              </a:graphicData>
            </a:graphic>
            <wp14:sizeRelH relativeFrom="page">
              <wp14:pctWidth>0</wp14:pctWidth>
            </wp14:sizeRelH>
            <wp14:sizeRelV relativeFrom="page">
              <wp14:pctHeight>0</wp14:pctHeight>
            </wp14:sizeRelV>
          </wp:anchor>
        </w:drawing>
      </w:r>
    </w:p>
    <w:p w14:paraId="123A2DAD" w14:textId="0351D0B7" w:rsidR="00CD63C9" w:rsidRDefault="00CD63C9" w:rsidP="00CD63C9">
      <w:pPr>
        <w:pStyle w:val="ListParagraph"/>
        <w:jc w:val="center"/>
        <w:rPr>
          <w:rFonts w:ascii="Arial" w:hAnsi="Arial" w:cs="Arial"/>
          <w:sz w:val="22"/>
          <w:szCs w:val="22"/>
        </w:rPr>
      </w:pPr>
    </w:p>
    <w:p w14:paraId="1C78598C" w14:textId="77777777" w:rsidR="000D2633" w:rsidRDefault="000D2633" w:rsidP="00CD63C9">
      <w:pPr>
        <w:pStyle w:val="ListParagraph"/>
        <w:jc w:val="center"/>
        <w:rPr>
          <w:rFonts w:ascii="Arial" w:hAnsi="Arial" w:cs="Arial"/>
          <w:sz w:val="22"/>
          <w:szCs w:val="22"/>
        </w:rPr>
      </w:pPr>
    </w:p>
    <w:p w14:paraId="1D217586" w14:textId="77777777" w:rsidR="00BE270C" w:rsidRPr="000D2633" w:rsidRDefault="00BE270C" w:rsidP="00CD63C9">
      <w:pPr>
        <w:pStyle w:val="ListParagraph"/>
        <w:jc w:val="center"/>
        <w:rPr>
          <w:rFonts w:ascii="Arial" w:hAnsi="Arial" w:cs="Arial"/>
          <w:sz w:val="14"/>
          <w:szCs w:val="14"/>
        </w:rPr>
      </w:pPr>
    </w:p>
    <w:p w14:paraId="764D035C" w14:textId="77777777" w:rsidR="007C51C8" w:rsidRDefault="002A3E6C" w:rsidP="0023029E">
      <w:pPr>
        <w:pStyle w:val="ListParagraph"/>
        <w:numPr>
          <w:ilvl w:val="0"/>
          <w:numId w:val="9"/>
        </w:numPr>
        <w:jc w:val="center"/>
        <w:rPr>
          <w:rFonts w:ascii="Arial" w:hAnsi="Arial" w:cs="Arial"/>
          <w:sz w:val="14"/>
          <w:szCs w:val="14"/>
        </w:rPr>
      </w:pPr>
      <w:r w:rsidRPr="000D2633">
        <w:rPr>
          <w:rFonts w:ascii="Arial" w:hAnsi="Arial" w:cs="Arial"/>
          <w:sz w:val="14"/>
          <w:szCs w:val="14"/>
        </w:rPr>
        <w:t xml:space="preserve">Is done </w:t>
      </w:r>
      <w:r w:rsidR="00625C7D" w:rsidRPr="000D2633">
        <w:rPr>
          <w:rFonts w:ascii="Arial" w:hAnsi="Arial" w:cs="Arial"/>
          <w:sz w:val="14"/>
          <w:szCs w:val="14"/>
        </w:rPr>
        <w:t xml:space="preserve">through outpatient clinics, home </w:t>
      </w:r>
      <w:r w:rsidR="002A2717" w:rsidRPr="000D2633">
        <w:rPr>
          <w:rFonts w:ascii="Arial" w:hAnsi="Arial" w:cs="Arial"/>
          <w:sz w:val="14"/>
          <w:szCs w:val="14"/>
        </w:rPr>
        <w:t>visits,</w:t>
      </w:r>
      <w:r w:rsidR="00625C7D" w:rsidRPr="000D2633">
        <w:rPr>
          <w:rFonts w:ascii="Arial" w:hAnsi="Arial" w:cs="Arial"/>
          <w:sz w:val="14"/>
          <w:szCs w:val="14"/>
        </w:rPr>
        <w:t xml:space="preserve"> and community-based settings, </w:t>
      </w:r>
      <w:r w:rsidR="002A2717" w:rsidRPr="000D2633">
        <w:rPr>
          <w:rFonts w:ascii="Arial" w:hAnsi="Arial" w:cs="Arial"/>
          <w:sz w:val="14"/>
          <w:szCs w:val="14"/>
        </w:rPr>
        <w:t>to</w:t>
      </w:r>
      <w:r w:rsidR="00625C7D" w:rsidRPr="000D2633">
        <w:rPr>
          <w:rFonts w:ascii="Arial" w:hAnsi="Arial" w:cs="Arial"/>
          <w:sz w:val="14"/>
          <w:szCs w:val="14"/>
        </w:rPr>
        <w:t xml:space="preserve"> improve accessibility and encourage engagement with services (World Health Organization, 2013). Recent policy developments, most notably the NHS Long Term Plan and subsequent service transformation guidance, have further strengthened the role of CMHTs by prioritising personalised care, early </w:t>
      </w:r>
      <w:r w:rsidR="002A2717" w:rsidRPr="000D2633">
        <w:rPr>
          <w:rFonts w:ascii="Arial" w:hAnsi="Arial" w:cs="Arial"/>
          <w:sz w:val="14"/>
          <w:szCs w:val="14"/>
        </w:rPr>
        <w:t>intervention,</w:t>
      </w:r>
      <w:r w:rsidR="00625C7D" w:rsidRPr="000D2633">
        <w:rPr>
          <w:rFonts w:ascii="Arial" w:hAnsi="Arial" w:cs="Arial"/>
          <w:sz w:val="14"/>
          <w:szCs w:val="14"/>
        </w:rPr>
        <w:t xml:space="preserve"> and closer collaboration with voluntary and social care services (NHS England, 2019; NHS England, 2024). Together, these approaches reflect a more integrated model of community mental health care.</w:t>
      </w:r>
    </w:p>
    <w:p w14:paraId="668FA0E0" w14:textId="77777777" w:rsidR="007C51C8" w:rsidRDefault="007C51C8" w:rsidP="007C51C8">
      <w:pPr>
        <w:pStyle w:val="ListParagraph"/>
        <w:ind w:left="1440"/>
        <w:rPr>
          <w:rFonts w:ascii="Arial" w:hAnsi="Arial" w:cs="Arial"/>
          <w:sz w:val="14"/>
          <w:szCs w:val="14"/>
        </w:rPr>
      </w:pPr>
    </w:p>
    <w:p w14:paraId="33E5A0F2" w14:textId="77777777" w:rsidR="007C51C8" w:rsidRDefault="007C51C8" w:rsidP="0023029E">
      <w:pPr>
        <w:pStyle w:val="ListParagraph"/>
        <w:numPr>
          <w:ilvl w:val="0"/>
          <w:numId w:val="9"/>
        </w:numPr>
        <w:jc w:val="center"/>
        <w:rPr>
          <w:rFonts w:ascii="Arial" w:hAnsi="Arial" w:cs="Arial"/>
          <w:sz w:val="14"/>
          <w:szCs w:val="14"/>
        </w:rPr>
      </w:pPr>
      <w:r w:rsidRPr="007C51C8">
        <w:rPr>
          <w:rFonts w:ascii="Arial" w:hAnsi="Arial" w:cs="Arial"/>
          <w:sz w:val="14"/>
          <w:szCs w:val="14"/>
        </w:rPr>
        <w:t>C</w:t>
      </w:r>
      <w:r w:rsidR="00625C7D" w:rsidRPr="007C51C8">
        <w:rPr>
          <w:rFonts w:ascii="Arial" w:hAnsi="Arial" w:cs="Arial"/>
          <w:sz w:val="14"/>
          <w:szCs w:val="14"/>
        </w:rPr>
        <w:t>hallenges that can affect their overall effectiveness</w:t>
      </w:r>
      <w:r w:rsidR="00934375" w:rsidRPr="007C51C8">
        <w:rPr>
          <w:rFonts w:ascii="Arial" w:hAnsi="Arial" w:cs="Arial"/>
          <w:sz w:val="14"/>
          <w:szCs w:val="14"/>
        </w:rPr>
        <w:t xml:space="preserve"> include </w:t>
      </w:r>
      <w:r w:rsidR="00625C7D" w:rsidRPr="007C51C8">
        <w:rPr>
          <w:rFonts w:ascii="Arial" w:hAnsi="Arial" w:cs="Arial"/>
          <w:sz w:val="14"/>
          <w:szCs w:val="14"/>
        </w:rPr>
        <w:t>workforce shortage</w:t>
      </w:r>
      <w:r w:rsidR="00934375" w:rsidRPr="007C51C8">
        <w:rPr>
          <w:rFonts w:ascii="Arial" w:hAnsi="Arial" w:cs="Arial"/>
          <w:sz w:val="14"/>
          <w:szCs w:val="14"/>
        </w:rPr>
        <w:t>s</w:t>
      </w:r>
      <w:r w:rsidR="00625C7D" w:rsidRPr="007C51C8">
        <w:rPr>
          <w:rFonts w:ascii="Arial" w:hAnsi="Arial" w:cs="Arial"/>
          <w:sz w:val="14"/>
          <w:szCs w:val="14"/>
        </w:rPr>
        <w:t>. Community Mental Health Teams (CMHTs) often struggle with persistent staffing gaps, particularly among mental health nurses and psychiatrists, which can result in</w:t>
      </w:r>
      <w:r w:rsidRPr="007C51C8">
        <w:rPr>
          <w:rFonts w:ascii="Arial" w:hAnsi="Arial" w:cs="Arial"/>
          <w:sz w:val="14"/>
          <w:szCs w:val="14"/>
        </w:rPr>
        <w:t xml:space="preserve"> </w:t>
      </w:r>
      <w:r w:rsidR="00625C7D" w:rsidRPr="007C51C8">
        <w:rPr>
          <w:rFonts w:ascii="Arial" w:hAnsi="Arial" w:cs="Arial"/>
          <w:sz w:val="14"/>
          <w:szCs w:val="14"/>
        </w:rPr>
        <w:t xml:space="preserve">added pressure on existing staff (NHS England, 2024). </w:t>
      </w:r>
      <w:r w:rsidRPr="007C51C8">
        <w:rPr>
          <w:rFonts w:ascii="Arial" w:hAnsi="Arial" w:cs="Arial"/>
          <w:sz w:val="14"/>
          <w:szCs w:val="14"/>
        </w:rPr>
        <w:t>Reduced availability of services can lower both the frequency and quality of therapeutic contact, extend waiting times for assessment, and increase the risk of staff burnout.</w:t>
      </w:r>
    </w:p>
    <w:p w14:paraId="0B5C2029" w14:textId="77777777" w:rsidR="007C51C8" w:rsidRPr="007C51C8" w:rsidRDefault="007C51C8" w:rsidP="007C51C8">
      <w:pPr>
        <w:pStyle w:val="ListParagraph"/>
        <w:rPr>
          <w:rFonts w:ascii="Arial" w:hAnsi="Arial" w:cs="Arial"/>
          <w:sz w:val="14"/>
          <w:szCs w:val="14"/>
        </w:rPr>
      </w:pPr>
    </w:p>
    <w:p w14:paraId="7FA46615" w14:textId="6238B0DB" w:rsidR="00625C7D" w:rsidRPr="007C51C8" w:rsidRDefault="00625C7D" w:rsidP="0023029E">
      <w:pPr>
        <w:pStyle w:val="ListParagraph"/>
        <w:numPr>
          <w:ilvl w:val="0"/>
          <w:numId w:val="9"/>
        </w:numPr>
        <w:jc w:val="center"/>
        <w:rPr>
          <w:rFonts w:ascii="Arial" w:hAnsi="Arial" w:cs="Arial"/>
          <w:sz w:val="14"/>
          <w:szCs w:val="14"/>
        </w:rPr>
      </w:pPr>
      <w:r w:rsidRPr="007C51C8">
        <w:rPr>
          <w:rFonts w:ascii="Arial" w:hAnsi="Arial" w:cs="Arial"/>
          <w:sz w:val="14"/>
          <w:szCs w:val="14"/>
        </w:rPr>
        <w:t xml:space="preserve">Effective community mental health care relies on close collaboration between health services, social care providers, housing </w:t>
      </w:r>
      <w:r w:rsidR="002A2717" w:rsidRPr="007C51C8">
        <w:rPr>
          <w:rFonts w:ascii="Arial" w:hAnsi="Arial" w:cs="Arial"/>
          <w:sz w:val="14"/>
          <w:szCs w:val="14"/>
        </w:rPr>
        <w:t>agencies,</w:t>
      </w:r>
      <w:r w:rsidRPr="007C51C8">
        <w:rPr>
          <w:rFonts w:ascii="Arial" w:hAnsi="Arial" w:cs="Arial"/>
          <w:sz w:val="14"/>
          <w:szCs w:val="14"/>
        </w:rPr>
        <w:t xml:space="preserve"> and voluntary organisations. However, research suggests that poor communication and fragmented service structures can disrupt care pathways, leading to repeated assessments and gaps in support (Adair et al., 2011). Individuals with complex or long-term needs are particularly vulnerable to these disruptions, which can increase the risk of relapse or hospital admission. Addressing this issue requires stronger inter-agency coordination and consistent, well-planned care across all involved services.</w:t>
      </w:r>
    </w:p>
    <w:p w14:paraId="6F96636E" w14:textId="5EF7E8FE" w:rsidR="0066354C" w:rsidRDefault="0066354C" w:rsidP="0066354C">
      <w:pPr>
        <w:pStyle w:val="NormalWeb"/>
        <w:rPr>
          <w:rFonts w:ascii="Arial" w:hAnsi="Arial" w:cs="Arial"/>
          <w:sz w:val="14"/>
          <w:szCs w:val="14"/>
        </w:rPr>
      </w:pPr>
      <w:r w:rsidRPr="0066354C">
        <w:rPr>
          <w:rFonts w:ascii="Arial" w:hAnsi="Arial" w:cs="Arial"/>
          <w:noProof/>
          <w:sz w:val="22"/>
          <w:szCs w:val="22"/>
        </w:rPr>
        <w:drawing>
          <wp:anchor distT="0" distB="0" distL="114300" distR="114300" simplePos="0" relativeHeight="251663360" behindDoc="1" locked="0" layoutInCell="1" allowOverlap="1" wp14:anchorId="6BA6844A" wp14:editId="5683D3DE">
            <wp:simplePos x="0" y="0"/>
            <wp:positionH relativeFrom="column">
              <wp:posOffset>1403350</wp:posOffset>
            </wp:positionH>
            <wp:positionV relativeFrom="paragraph">
              <wp:posOffset>79375</wp:posOffset>
            </wp:positionV>
            <wp:extent cx="3014345" cy="571500"/>
            <wp:effectExtent l="0" t="0" r="0" b="0"/>
            <wp:wrapTight wrapText="bothSides">
              <wp:wrapPolygon edited="0">
                <wp:start x="0" y="0"/>
                <wp:lineTo x="0" y="20880"/>
                <wp:lineTo x="21432" y="20880"/>
                <wp:lineTo x="21432" y="0"/>
                <wp:lineTo x="0" y="0"/>
              </wp:wrapPolygon>
            </wp:wrapTight>
            <wp:docPr id="1590126285" name="Picture 30" descr="Hand writing Conclusion with black marker on transparent wipe board. Conclusion stock images, royalty-free photos and pictur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and writing Conclusion with black marker on transparent wipe board. Conclusion stock images, royalty-free photos and pictures"/>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3014345" cy="5715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4031F1C" w14:textId="77777777" w:rsidR="0066354C" w:rsidRDefault="0066354C" w:rsidP="0066354C">
      <w:pPr>
        <w:pStyle w:val="NormalWeb"/>
        <w:rPr>
          <w:rFonts w:ascii="Arial" w:hAnsi="Arial" w:cs="Arial"/>
          <w:sz w:val="14"/>
          <w:szCs w:val="14"/>
        </w:rPr>
      </w:pPr>
    </w:p>
    <w:p w14:paraId="599E6F90" w14:textId="77777777" w:rsidR="0066354C" w:rsidRDefault="0066354C" w:rsidP="0066354C">
      <w:pPr>
        <w:pStyle w:val="NormalWeb"/>
        <w:rPr>
          <w:rFonts w:ascii="Arial" w:hAnsi="Arial" w:cs="Arial"/>
          <w:sz w:val="14"/>
          <w:szCs w:val="14"/>
        </w:rPr>
      </w:pPr>
    </w:p>
    <w:p w14:paraId="5985F198" w14:textId="383B64FF" w:rsidR="0066354C" w:rsidRPr="0066354C" w:rsidRDefault="0066354C" w:rsidP="0066354C">
      <w:pPr>
        <w:pStyle w:val="NormalWeb"/>
        <w:rPr>
          <w:rFonts w:ascii="Arial" w:hAnsi="Arial" w:cs="Arial"/>
          <w:sz w:val="14"/>
          <w:szCs w:val="14"/>
        </w:rPr>
      </w:pPr>
      <w:r w:rsidRPr="0066354C">
        <w:rPr>
          <w:rFonts w:ascii="Arial" w:hAnsi="Arial" w:cs="Arial"/>
          <w:sz w:val="14"/>
          <w:szCs w:val="14"/>
        </w:rPr>
        <w:t>In conclusion, community mental health services represent an important move away from hospital-based care towards support that is centred on the person and delivered within the community. Over time, Community Mental Health Teams (CMHTs) have developed in response to deinstitutionalisation, changes in the law, and new policies designed to improve access to services and provide more consistent care.</w:t>
      </w:r>
    </w:p>
    <w:p w14:paraId="02923601" w14:textId="38CCDFD4" w:rsidR="0066354C" w:rsidRPr="0066354C" w:rsidRDefault="0066354C" w:rsidP="0066354C">
      <w:pPr>
        <w:pStyle w:val="NormalWeb"/>
        <w:rPr>
          <w:rFonts w:ascii="Arial" w:hAnsi="Arial" w:cs="Arial"/>
          <w:sz w:val="14"/>
          <w:szCs w:val="14"/>
        </w:rPr>
      </w:pPr>
      <w:r w:rsidRPr="0066354C">
        <w:rPr>
          <w:rFonts w:ascii="Arial" w:hAnsi="Arial" w:cs="Arial"/>
          <w:sz w:val="14"/>
          <w:szCs w:val="14"/>
        </w:rPr>
        <w:t>CMHTs play a crucial role in supporting people with severe mental illness. However, they continue to face significant challenges, especially staff shortages and difficulties coordinating care across different services. To make sure these services remain effective and sustainable in the long term, there needs to be ongoing investment, better workforce planning, and stronger collaboration between health services, social care, and the voluntary sector.</w:t>
      </w:r>
    </w:p>
    <w:p w14:paraId="311442A3" w14:textId="51A047AA" w:rsidR="002F2E8E" w:rsidRDefault="002F2E8E" w:rsidP="0023029E">
      <w:pPr>
        <w:rPr>
          <w:rFonts w:ascii="Arial" w:hAnsi="Arial" w:cs="Arial"/>
          <w:sz w:val="22"/>
          <w:szCs w:val="22"/>
        </w:rPr>
      </w:pPr>
    </w:p>
    <w:p w14:paraId="1EE562A5" w14:textId="4BADCFCA" w:rsidR="00DD1576" w:rsidRDefault="00DD1576" w:rsidP="0023029E">
      <w:pPr>
        <w:rPr>
          <w:noProof/>
        </w:rPr>
      </w:pPr>
    </w:p>
    <w:p w14:paraId="0F731D12" w14:textId="77777777" w:rsidR="006A4E97" w:rsidRDefault="006A4E97" w:rsidP="0023029E">
      <w:pPr>
        <w:rPr>
          <w:noProof/>
        </w:rPr>
      </w:pPr>
    </w:p>
    <w:p w14:paraId="0A258BFB" w14:textId="77777777" w:rsidR="006A4E97" w:rsidRDefault="006A4E97" w:rsidP="0023029E">
      <w:pPr>
        <w:rPr>
          <w:rFonts w:ascii="Arial" w:hAnsi="Arial" w:cs="Arial"/>
          <w:sz w:val="22"/>
          <w:szCs w:val="22"/>
        </w:rPr>
      </w:pPr>
    </w:p>
    <w:p w14:paraId="0FFF8217" w14:textId="77777777" w:rsidR="002F2E8E" w:rsidRPr="002F2E8E" w:rsidRDefault="002F2E8E" w:rsidP="0023029E">
      <w:pPr>
        <w:rPr>
          <w:rFonts w:ascii="Arial" w:hAnsi="Arial" w:cs="Arial"/>
          <w:sz w:val="22"/>
          <w:szCs w:val="22"/>
        </w:rPr>
      </w:pPr>
    </w:p>
    <w:p w14:paraId="40698A74" w14:textId="402B7199" w:rsidR="00741007" w:rsidRPr="00741007" w:rsidRDefault="00741007" w:rsidP="00741007">
      <w:pPr>
        <w:rPr>
          <w:rFonts w:ascii="Arial" w:hAnsi="Arial" w:cs="Arial"/>
          <w:b/>
          <w:bCs/>
          <w:sz w:val="22"/>
          <w:szCs w:val="22"/>
        </w:rPr>
      </w:pPr>
    </w:p>
    <w:p w14:paraId="2BF15B95" w14:textId="77777777" w:rsidR="00741007" w:rsidRPr="00741007" w:rsidRDefault="00741007" w:rsidP="00741007">
      <w:pPr>
        <w:spacing w:line="360" w:lineRule="auto"/>
        <w:rPr>
          <w:rFonts w:ascii="Arial" w:hAnsi="Arial" w:cs="Arial"/>
          <w:b/>
          <w:bCs/>
          <w:sz w:val="22"/>
          <w:szCs w:val="22"/>
        </w:rPr>
      </w:pPr>
      <w:r w:rsidRPr="00741007">
        <w:rPr>
          <w:rFonts w:ascii="Arial" w:hAnsi="Arial" w:cs="Arial"/>
          <w:b/>
          <w:bCs/>
          <w:sz w:val="22"/>
          <w:szCs w:val="22"/>
        </w:rPr>
        <w:lastRenderedPageBreak/>
        <w:t>Ambulance Services in the UK: Origins, Current Function, and Significance</w:t>
      </w:r>
    </w:p>
    <w:p w14:paraId="65533BFE" w14:textId="122EEE1C" w:rsidR="00741007" w:rsidRPr="00741007" w:rsidRDefault="00741007" w:rsidP="00741007">
      <w:pPr>
        <w:spacing w:line="360" w:lineRule="auto"/>
        <w:rPr>
          <w:rFonts w:ascii="Arial" w:hAnsi="Arial" w:cs="Arial"/>
          <w:sz w:val="22"/>
          <w:szCs w:val="22"/>
        </w:rPr>
      </w:pPr>
      <w:r w:rsidRPr="00741007">
        <w:rPr>
          <w:rFonts w:ascii="Arial" w:hAnsi="Arial" w:cs="Arial"/>
          <w:sz w:val="22"/>
          <w:szCs w:val="22"/>
        </w:rPr>
        <w:t xml:space="preserve">Ambulance services are a vital part of healthcare, providing rapid response and medical support in emergencies. For many people, the speed and skill of ambulance crews can mean the difference between life and death. While today’s services are highly professional and technologically advanced, they did not start this way. Their evolution from simple transport systems to fully equipped pre-hospital care providers </w:t>
      </w:r>
      <w:r w:rsidR="002A2717" w:rsidRPr="00741007">
        <w:rPr>
          <w:rFonts w:ascii="Arial" w:hAnsi="Arial" w:cs="Arial"/>
          <w:sz w:val="22"/>
          <w:szCs w:val="22"/>
        </w:rPr>
        <w:t>highlight</w:t>
      </w:r>
      <w:r w:rsidRPr="00741007">
        <w:rPr>
          <w:rFonts w:ascii="Arial" w:hAnsi="Arial" w:cs="Arial"/>
          <w:sz w:val="22"/>
          <w:szCs w:val="22"/>
        </w:rPr>
        <w:t xml:space="preserve"> the interplay of medical innovation, policy development, and professional expertise (London Ambulance Service NHS Trust, 2025).</w:t>
      </w:r>
    </w:p>
    <w:p w14:paraId="45316972" w14:textId="77777777" w:rsidR="00741007" w:rsidRPr="00741007" w:rsidRDefault="00741007" w:rsidP="00741007">
      <w:pPr>
        <w:spacing w:line="360" w:lineRule="auto"/>
        <w:rPr>
          <w:rFonts w:ascii="Arial" w:hAnsi="Arial" w:cs="Arial"/>
          <w:sz w:val="22"/>
          <w:szCs w:val="22"/>
        </w:rPr>
      </w:pPr>
      <w:r w:rsidRPr="00741007">
        <w:rPr>
          <w:rFonts w:ascii="Arial" w:hAnsi="Arial" w:cs="Arial"/>
          <w:sz w:val="22"/>
          <w:szCs w:val="22"/>
        </w:rPr>
        <w:t>The roots of ambulance provision in the UK stretch back to the late nineteenth century. At first, transport for the sick and injured was informal, often relying on police, volunteers, or private vehicles (London Ambulance Service NHS Trust, 2025). By the 1880s, horse-drawn ambulances began to operate in London, with petrol-driven vehicles introduced in the early 1900s. These early services focused on moving patients rather than providing treatment, reflecting the limited medical infrastructure and knowledge of the time (London Ambulance Service NHS Trust, 2025). A major turning point came with the creation of the NHS in 1948, which embedded ambulance services into a universal healthcare system and ensured consistent provision across the country. The formation of the London Ambulance Service in 1965, merging nine separate services, marked a new era of coordination and reliability (London Ambulance Service NHS Trust, 2018, 2025).</w:t>
      </w:r>
    </w:p>
    <w:p w14:paraId="13A72304" w14:textId="77777777" w:rsidR="00741007" w:rsidRPr="00741007" w:rsidRDefault="00741007" w:rsidP="00741007">
      <w:pPr>
        <w:spacing w:line="360" w:lineRule="auto"/>
        <w:rPr>
          <w:rFonts w:ascii="Arial" w:hAnsi="Arial" w:cs="Arial"/>
          <w:sz w:val="22"/>
          <w:szCs w:val="22"/>
        </w:rPr>
      </w:pPr>
      <w:r w:rsidRPr="00741007">
        <w:rPr>
          <w:rFonts w:ascii="Arial" w:hAnsi="Arial" w:cs="Arial"/>
          <w:sz w:val="22"/>
          <w:szCs w:val="22"/>
        </w:rPr>
        <w:t>Ambulance services truly transformed in the late twentieth century with the introduction of formal training standards and the emergence of paramedics. This shift allowed crews to deliver advanced clinical care, such as administering medication, performing life-saving procedures, and stabilising patients before hospital arrival (Brooks, Smith, &amp; Patel, 2015). By the 1980s and 1990s, ambulances had evolved from basic transport vehicles into mobile emergency units, equipped with defibrillators, monitoring devices, and structured clinical protocols (London Ambulance Service NHS Trust, 2025). This professionalisation represents a critical step in improving patient outcomes and public confidence in emergency services.</w:t>
      </w:r>
    </w:p>
    <w:p w14:paraId="0DF719D0" w14:textId="77777777" w:rsidR="00741007" w:rsidRPr="00741007" w:rsidRDefault="00741007" w:rsidP="00741007">
      <w:pPr>
        <w:spacing w:line="360" w:lineRule="auto"/>
        <w:rPr>
          <w:rFonts w:ascii="Arial" w:hAnsi="Arial" w:cs="Arial"/>
          <w:sz w:val="22"/>
          <w:szCs w:val="22"/>
        </w:rPr>
      </w:pPr>
      <w:r w:rsidRPr="00741007">
        <w:rPr>
          <w:rFonts w:ascii="Arial" w:hAnsi="Arial" w:cs="Arial"/>
          <w:sz w:val="22"/>
          <w:szCs w:val="22"/>
        </w:rPr>
        <w:t xml:space="preserve">Today, ambulance services are fully integrated into the urgent and emergency care system. They respond to emergency calls, conduct clinical assessments, and decide whether patients require hospital transport or on-scene treatment. Modern systems, such as NHS England’s Ambulance Response Programme, prioritise resources based on urgency and clinical need, ensuring that the sickest patients receive help fastest (NHS England, 2025). Ambulance crews now routinely treat patients on-site, reducing unnecessary hospital visits and improving patient experience, while technology such as telemedicine and real-time </w:t>
      </w:r>
      <w:r w:rsidRPr="00741007">
        <w:rPr>
          <w:rFonts w:ascii="Arial" w:hAnsi="Arial" w:cs="Arial"/>
          <w:sz w:val="22"/>
          <w:szCs w:val="22"/>
        </w:rPr>
        <w:lastRenderedPageBreak/>
        <w:t>hospital communication has made services more efficient and responsive (Turner et al., 2019).</w:t>
      </w:r>
    </w:p>
    <w:p w14:paraId="5BA5ED5E" w14:textId="77777777" w:rsidR="00741007" w:rsidRPr="00741007" w:rsidRDefault="00741007" w:rsidP="00741007">
      <w:pPr>
        <w:spacing w:line="360" w:lineRule="auto"/>
        <w:rPr>
          <w:rFonts w:ascii="Arial" w:hAnsi="Arial" w:cs="Arial"/>
          <w:sz w:val="22"/>
          <w:szCs w:val="22"/>
        </w:rPr>
      </w:pPr>
      <w:r w:rsidRPr="00741007">
        <w:rPr>
          <w:rFonts w:ascii="Arial" w:hAnsi="Arial" w:cs="Arial"/>
          <w:sz w:val="22"/>
          <w:szCs w:val="22"/>
        </w:rPr>
        <w:t>Despite these advancements, challenges remain. Response times alone no longer capture the quality of care, and workforce pressures, including staff shortages and hospital handover delays, can strain services and affect patient outcomes (Unison/Guardian, 2025; NHS England, 2025). Addressing these issues requires careful workforce planning, ongoing evaluation, and supportive organisational culture to maintain high standards of care (Turner et al., 2019).</w:t>
      </w:r>
    </w:p>
    <w:p w14:paraId="079020D2" w14:textId="77777777" w:rsidR="00741007" w:rsidRPr="00741007" w:rsidRDefault="00741007" w:rsidP="00741007">
      <w:pPr>
        <w:spacing w:line="360" w:lineRule="auto"/>
        <w:rPr>
          <w:rFonts w:ascii="Arial" w:hAnsi="Arial" w:cs="Arial"/>
          <w:sz w:val="22"/>
          <w:szCs w:val="22"/>
        </w:rPr>
      </w:pPr>
      <w:r w:rsidRPr="00741007">
        <w:rPr>
          <w:rFonts w:ascii="Arial" w:hAnsi="Arial" w:cs="Arial"/>
          <w:sz w:val="22"/>
          <w:szCs w:val="22"/>
        </w:rPr>
        <w:t>Ambulance services have a profound impact on quality of life. Quick, skilled emergency response can save lives and prevent long-term disability from conditions such as cardiac arrest, stroke, or trauma. Beyond the clinical interventions, ambulance crews provide reassurance, guidance, and immediate support during highly stressful situations. They also help manage patient care in the community, avoiding unnecessary hospital admissions and contributing to a safer, more efficient healthcare system (NHS England, 2025).</w:t>
      </w:r>
    </w:p>
    <w:p w14:paraId="32D18A1C" w14:textId="1CB41C83" w:rsidR="00961846" w:rsidRPr="002437DC" w:rsidRDefault="00741007" w:rsidP="002437DC">
      <w:pPr>
        <w:spacing w:line="360" w:lineRule="auto"/>
        <w:rPr>
          <w:rFonts w:ascii="Arial" w:hAnsi="Arial" w:cs="Arial"/>
          <w:sz w:val="22"/>
          <w:szCs w:val="22"/>
        </w:rPr>
      </w:pPr>
      <w:r w:rsidRPr="00741007">
        <w:rPr>
          <w:rFonts w:ascii="Arial" w:hAnsi="Arial" w:cs="Arial"/>
          <w:sz w:val="22"/>
          <w:szCs w:val="22"/>
        </w:rPr>
        <w:t>In conclusion, ambulance services have come a long way from simple transport vehicles to highly skilled, professional, and technologically sophisticated emergency care providers. Their evolution reflects the broader development of the NHS, medical training, and public health policy. Today, they remain essential in ensuring rapid, high-quality care, improving patient outcomes, and enhancing the wellbeing of individuals and communities across the UK (London Ambulance Service NHS Trust, 2025; Turner et al., 2019).</w:t>
      </w:r>
    </w:p>
    <w:p w14:paraId="2AC6E0BA" w14:textId="77777777" w:rsidR="002437DC" w:rsidRPr="002437DC" w:rsidRDefault="002437DC" w:rsidP="002437DC">
      <w:pPr>
        <w:spacing w:line="360" w:lineRule="auto"/>
        <w:rPr>
          <w:rFonts w:ascii="Arial" w:hAnsi="Arial" w:cs="Arial"/>
          <w:sz w:val="22"/>
          <w:szCs w:val="22"/>
        </w:rPr>
      </w:pPr>
    </w:p>
    <w:p w14:paraId="09CD51E5" w14:textId="77777777" w:rsidR="002437DC" w:rsidRPr="002437DC" w:rsidRDefault="002437DC" w:rsidP="002437DC">
      <w:pPr>
        <w:spacing w:line="360" w:lineRule="auto"/>
        <w:rPr>
          <w:rFonts w:ascii="Arial" w:hAnsi="Arial" w:cs="Arial"/>
          <w:sz w:val="22"/>
          <w:szCs w:val="22"/>
        </w:rPr>
      </w:pPr>
    </w:p>
    <w:p w14:paraId="2C58B8D8" w14:textId="77777777" w:rsidR="002437DC" w:rsidRPr="002437DC" w:rsidRDefault="002437DC" w:rsidP="002437DC">
      <w:pPr>
        <w:spacing w:line="360" w:lineRule="auto"/>
        <w:rPr>
          <w:rFonts w:ascii="Arial" w:hAnsi="Arial" w:cs="Arial"/>
          <w:sz w:val="22"/>
          <w:szCs w:val="22"/>
        </w:rPr>
      </w:pPr>
    </w:p>
    <w:p w14:paraId="4A9B7544" w14:textId="77777777" w:rsidR="002437DC" w:rsidRPr="002437DC" w:rsidRDefault="002437DC" w:rsidP="002437DC">
      <w:pPr>
        <w:spacing w:line="360" w:lineRule="auto"/>
        <w:rPr>
          <w:rFonts w:ascii="Arial" w:hAnsi="Arial" w:cs="Arial"/>
          <w:sz w:val="22"/>
          <w:szCs w:val="22"/>
        </w:rPr>
      </w:pPr>
    </w:p>
    <w:p w14:paraId="04C7CA03" w14:textId="77777777" w:rsidR="002437DC" w:rsidRPr="002437DC" w:rsidRDefault="002437DC" w:rsidP="002437DC">
      <w:pPr>
        <w:spacing w:line="360" w:lineRule="auto"/>
        <w:rPr>
          <w:rFonts w:ascii="Arial" w:hAnsi="Arial" w:cs="Arial"/>
          <w:sz w:val="22"/>
          <w:szCs w:val="22"/>
        </w:rPr>
      </w:pPr>
    </w:p>
    <w:p w14:paraId="5C0557E5" w14:textId="77777777" w:rsidR="002437DC" w:rsidRPr="002437DC" w:rsidRDefault="002437DC" w:rsidP="002437DC">
      <w:pPr>
        <w:spacing w:line="360" w:lineRule="auto"/>
        <w:rPr>
          <w:rFonts w:ascii="Arial" w:hAnsi="Arial" w:cs="Arial"/>
          <w:sz w:val="22"/>
          <w:szCs w:val="22"/>
        </w:rPr>
      </w:pPr>
    </w:p>
    <w:p w14:paraId="180FDAC9" w14:textId="77777777" w:rsidR="002437DC" w:rsidRPr="002437DC" w:rsidRDefault="002437DC" w:rsidP="002437DC">
      <w:pPr>
        <w:spacing w:line="360" w:lineRule="auto"/>
        <w:rPr>
          <w:rFonts w:ascii="Arial" w:hAnsi="Arial" w:cs="Arial"/>
          <w:sz w:val="22"/>
          <w:szCs w:val="22"/>
        </w:rPr>
      </w:pPr>
    </w:p>
    <w:p w14:paraId="1485FF12" w14:textId="77777777" w:rsidR="002437DC" w:rsidRPr="002437DC" w:rsidRDefault="002437DC" w:rsidP="002437DC">
      <w:pPr>
        <w:spacing w:line="360" w:lineRule="auto"/>
        <w:rPr>
          <w:rFonts w:ascii="Arial" w:hAnsi="Arial" w:cs="Arial"/>
          <w:sz w:val="22"/>
          <w:szCs w:val="22"/>
        </w:rPr>
      </w:pPr>
    </w:p>
    <w:p w14:paraId="02C64133" w14:textId="77777777" w:rsidR="002437DC" w:rsidRPr="002437DC" w:rsidRDefault="002437DC" w:rsidP="002437DC">
      <w:pPr>
        <w:spacing w:line="360" w:lineRule="auto"/>
        <w:rPr>
          <w:rFonts w:ascii="Arial" w:hAnsi="Arial" w:cs="Arial"/>
          <w:sz w:val="22"/>
          <w:szCs w:val="22"/>
        </w:rPr>
      </w:pPr>
    </w:p>
    <w:p w14:paraId="0223EDA9" w14:textId="77777777" w:rsidR="002437DC" w:rsidRPr="002437DC" w:rsidRDefault="002437DC" w:rsidP="002437DC">
      <w:pPr>
        <w:spacing w:line="360" w:lineRule="auto"/>
        <w:rPr>
          <w:rFonts w:ascii="Arial" w:hAnsi="Arial" w:cs="Arial"/>
          <w:sz w:val="22"/>
          <w:szCs w:val="22"/>
        </w:rPr>
      </w:pPr>
    </w:p>
    <w:p w14:paraId="66D64A4B" w14:textId="77777777" w:rsidR="002437DC" w:rsidRPr="002437DC" w:rsidRDefault="002437DC" w:rsidP="002437DC">
      <w:pPr>
        <w:spacing w:line="360" w:lineRule="auto"/>
        <w:rPr>
          <w:rFonts w:ascii="Arial" w:hAnsi="Arial" w:cs="Arial"/>
          <w:sz w:val="22"/>
          <w:szCs w:val="22"/>
        </w:rPr>
      </w:pPr>
    </w:p>
    <w:p w14:paraId="7DF3B991" w14:textId="45ED00E1" w:rsidR="002437DC" w:rsidRPr="002437DC" w:rsidRDefault="002437DC" w:rsidP="002437DC">
      <w:pPr>
        <w:spacing w:line="360" w:lineRule="auto"/>
        <w:rPr>
          <w:rFonts w:ascii="Arial" w:hAnsi="Arial" w:cs="Arial"/>
          <w:b/>
          <w:bCs/>
          <w:sz w:val="22"/>
          <w:szCs w:val="22"/>
          <w:u w:val="single"/>
        </w:rPr>
      </w:pPr>
      <w:r w:rsidRPr="002437DC">
        <w:rPr>
          <w:rFonts w:ascii="Arial" w:hAnsi="Arial" w:cs="Arial"/>
          <w:b/>
          <w:bCs/>
          <w:sz w:val="22"/>
          <w:szCs w:val="22"/>
          <w:u w:val="single"/>
        </w:rPr>
        <w:lastRenderedPageBreak/>
        <w:t xml:space="preserve">References </w:t>
      </w:r>
    </w:p>
    <w:p w14:paraId="0A22EA1D" w14:textId="77777777" w:rsidR="002437DC" w:rsidRPr="002437DC" w:rsidRDefault="002437DC" w:rsidP="002437DC">
      <w:pPr>
        <w:spacing w:line="360" w:lineRule="auto"/>
        <w:rPr>
          <w:rFonts w:ascii="Arial" w:hAnsi="Arial" w:cs="Arial"/>
          <w:sz w:val="22"/>
          <w:szCs w:val="22"/>
        </w:rPr>
      </w:pPr>
      <w:r w:rsidRPr="002437DC">
        <w:rPr>
          <w:rFonts w:ascii="Arial" w:hAnsi="Arial" w:cs="Arial"/>
          <w:sz w:val="22"/>
          <w:szCs w:val="22"/>
        </w:rPr>
        <w:t xml:space="preserve">Brooks, A., Smith, J., &amp; Patel, R. (2015) ‘The emergence of the paramedic profession in the UK’, </w:t>
      </w:r>
      <w:r w:rsidRPr="002437DC">
        <w:rPr>
          <w:rFonts w:ascii="Arial" w:hAnsi="Arial" w:cs="Arial"/>
          <w:i/>
          <w:iCs/>
          <w:sz w:val="22"/>
          <w:szCs w:val="22"/>
        </w:rPr>
        <w:t>Journal of Emergency Medical Services</w:t>
      </w:r>
      <w:r w:rsidRPr="002437DC">
        <w:rPr>
          <w:rFonts w:ascii="Arial" w:hAnsi="Arial" w:cs="Arial"/>
          <w:sz w:val="22"/>
          <w:szCs w:val="22"/>
        </w:rPr>
        <w:t>, 40(6), pp. 28–35.</w:t>
      </w:r>
    </w:p>
    <w:p w14:paraId="787C0684" w14:textId="77777777" w:rsidR="002437DC" w:rsidRPr="002437DC" w:rsidRDefault="002437DC" w:rsidP="002437DC">
      <w:pPr>
        <w:spacing w:line="360" w:lineRule="auto"/>
        <w:rPr>
          <w:rFonts w:ascii="Arial" w:hAnsi="Arial" w:cs="Arial"/>
          <w:sz w:val="22"/>
          <w:szCs w:val="22"/>
        </w:rPr>
      </w:pPr>
      <w:r w:rsidRPr="002437DC">
        <w:rPr>
          <w:rFonts w:ascii="Arial" w:hAnsi="Arial" w:cs="Arial"/>
          <w:sz w:val="22"/>
          <w:szCs w:val="22"/>
        </w:rPr>
        <w:t xml:space="preserve">Burns, T. (2020) ‘Community-Based Mental Health Care in Britain’, </w:t>
      </w:r>
      <w:r w:rsidRPr="002437DC">
        <w:rPr>
          <w:rFonts w:ascii="Arial" w:hAnsi="Arial" w:cs="Arial"/>
          <w:i/>
          <w:iCs/>
          <w:sz w:val="22"/>
          <w:szCs w:val="22"/>
        </w:rPr>
        <w:t>Consortium Psychiatricum</w:t>
      </w:r>
      <w:r w:rsidRPr="002437DC">
        <w:rPr>
          <w:rFonts w:ascii="Arial" w:hAnsi="Arial" w:cs="Arial"/>
          <w:sz w:val="22"/>
          <w:szCs w:val="22"/>
        </w:rPr>
        <w:t xml:space="preserve">, 1(2), pp. 14–20. Available at: </w:t>
      </w:r>
      <w:hyperlink r:id="rId27" w:history="1">
        <w:r w:rsidRPr="002437DC">
          <w:rPr>
            <w:rStyle w:val="Hyperlink"/>
            <w:rFonts w:ascii="Arial" w:hAnsi="Arial" w:cs="Arial"/>
            <w:sz w:val="22"/>
            <w:szCs w:val="22"/>
          </w:rPr>
          <w:t>https://consortium-psy.com/jour/article/view/48</w:t>
        </w:r>
      </w:hyperlink>
      <w:r w:rsidRPr="002437DC">
        <w:rPr>
          <w:rFonts w:ascii="Arial" w:hAnsi="Arial" w:cs="Arial"/>
          <w:sz w:val="22"/>
          <w:szCs w:val="22"/>
        </w:rPr>
        <w:t xml:space="preserve"> (Accessed: 1 February 2026).</w:t>
      </w:r>
    </w:p>
    <w:p w14:paraId="4912E7B2" w14:textId="77777777" w:rsidR="002437DC" w:rsidRPr="002437DC" w:rsidRDefault="002437DC" w:rsidP="002437DC">
      <w:pPr>
        <w:spacing w:line="360" w:lineRule="auto"/>
        <w:rPr>
          <w:rFonts w:ascii="Arial" w:hAnsi="Arial" w:cs="Arial"/>
          <w:sz w:val="22"/>
          <w:szCs w:val="22"/>
        </w:rPr>
      </w:pPr>
      <w:r w:rsidRPr="002437DC">
        <w:rPr>
          <w:rFonts w:ascii="Arial" w:hAnsi="Arial" w:cs="Arial"/>
          <w:sz w:val="22"/>
          <w:szCs w:val="22"/>
        </w:rPr>
        <w:t xml:space="preserve">Department of Health (1991) </w:t>
      </w:r>
      <w:r w:rsidRPr="002437DC">
        <w:rPr>
          <w:rFonts w:ascii="Arial" w:hAnsi="Arial" w:cs="Arial"/>
          <w:i/>
          <w:iCs/>
          <w:sz w:val="22"/>
          <w:szCs w:val="22"/>
        </w:rPr>
        <w:t>The Care Programme Approach</w:t>
      </w:r>
      <w:r w:rsidRPr="002437DC">
        <w:rPr>
          <w:rFonts w:ascii="Arial" w:hAnsi="Arial" w:cs="Arial"/>
          <w:sz w:val="22"/>
          <w:szCs w:val="22"/>
        </w:rPr>
        <w:t xml:space="preserve">. London: HMSO. Summary available via PubMed: </w:t>
      </w:r>
      <w:hyperlink r:id="rId28" w:history="1">
        <w:r w:rsidRPr="002437DC">
          <w:rPr>
            <w:rStyle w:val="Hyperlink"/>
            <w:rFonts w:ascii="Arial" w:hAnsi="Arial" w:cs="Arial"/>
            <w:sz w:val="22"/>
            <w:szCs w:val="22"/>
          </w:rPr>
          <w:t>https://pubmed.ncbi.nlm.nih.gov/25035692/</w:t>
        </w:r>
      </w:hyperlink>
      <w:r w:rsidRPr="002437DC">
        <w:rPr>
          <w:rFonts w:ascii="Arial" w:hAnsi="Arial" w:cs="Arial"/>
          <w:sz w:val="22"/>
          <w:szCs w:val="22"/>
        </w:rPr>
        <w:t xml:space="preserve"> (Accessed: 1 February 2026).</w:t>
      </w:r>
    </w:p>
    <w:p w14:paraId="754F674F" w14:textId="77777777" w:rsidR="002437DC" w:rsidRPr="002437DC" w:rsidRDefault="002437DC" w:rsidP="002437DC">
      <w:pPr>
        <w:spacing w:line="360" w:lineRule="auto"/>
        <w:rPr>
          <w:rFonts w:ascii="Arial" w:hAnsi="Arial" w:cs="Arial"/>
          <w:sz w:val="22"/>
          <w:szCs w:val="22"/>
        </w:rPr>
      </w:pPr>
      <w:r w:rsidRPr="002437DC">
        <w:rPr>
          <w:rFonts w:ascii="Arial" w:hAnsi="Arial" w:cs="Arial"/>
          <w:sz w:val="22"/>
          <w:szCs w:val="22"/>
        </w:rPr>
        <w:t xml:space="preserve">London Ambulance Service NHS Trust (2018) </w:t>
      </w:r>
      <w:r w:rsidRPr="002437DC">
        <w:rPr>
          <w:rFonts w:ascii="Arial" w:hAnsi="Arial" w:cs="Arial"/>
          <w:i/>
          <w:iCs/>
          <w:sz w:val="22"/>
          <w:szCs w:val="22"/>
        </w:rPr>
        <w:t>The service celebrates seventy years of the NHS and looks to the future</w:t>
      </w:r>
      <w:r w:rsidRPr="002437DC">
        <w:rPr>
          <w:rFonts w:ascii="Arial" w:hAnsi="Arial" w:cs="Arial"/>
          <w:sz w:val="22"/>
          <w:szCs w:val="22"/>
        </w:rPr>
        <w:t xml:space="preserve">. London: London Ambulance Service NHS Trust. Available at: </w:t>
      </w:r>
      <w:hyperlink r:id="rId29" w:history="1">
        <w:r w:rsidRPr="002437DC">
          <w:rPr>
            <w:rStyle w:val="Hyperlink"/>
            <w:rFonts w:ascii="Arial" w:hAnsi="Arial" w:cs="Arial"/>
            <w:sz w:val="22"/>
            <w:szCs w:val="22"/>
          </w:rPr>
          <w:t>https://www.londonambulance.nhs.uk/2018/07/04/nhs70/</w:t>
        </w:r>
      </w:hyperlink>
      <w:r w:rsidRPr="002437DC">
        <w:rPr>
          <w:rFonts w:ascii="Arial" w:hAnsi="Arial" w:cs="Arial"/>
          <w:sz w:val="22"/>
          <w:szCs w:val="22"/>
        </w:rPr>
        <w:t xml:space="preserve"> (Accessed: 6 February 2026).</w:t>
      </w:r>
    </w:p>
    <w:p w14:paraId="023B4521" w14:textId="77777777" w:rsidR="002437DC" w:rsidRPr="002437DC" w:rsidRDefault="002437DC" w:rsidP="002437DC">
      <w:pPr>
        <w:spacing w:line="360" w:lineRule="auto"/>
        <w:rPr>
          <w:rFonts w:ascii="Arial" w:hAnsi="Arial" w:cs="Arial"/>
          <w:sz w:val="22"/>
          <w:szCs w:val="22"/>
        </w:rPr>
      </w:pPr>
      <w:r w:rsidRPr="002437DC">
        <w:rPr>
          <w:rFonts w:ascii="Arial" w:hAnsi="Arial" w:cs="Arial"/>
          <w:sz w:val="22"/>
          <w:szCs w:val="22"/>
        </w:rPr>
        <w:t xml:space="preserve">London Ambulance Service NHS Trust (2025) </w:t>
      </w:r>
      <w:r w:rsidRPr="002437DC">
        <w:rPr>
          <w:rFonts w:ascii="Arial" w:hAnsi="Arial" w:cs="Arial"/>
          <w:i/>
          <w:iCs/>
          <w:sz w:val="22"/>
          <w:szCs w:val="22"/>
        </w:rPr>
        <w:t>Our history</w:t>
      </w:r>
      <w:r w:rsidRPr="002437DC">
        <w:rPr>
          <w:rFonts w:ascii="Arial" w:hAnsi="Arial" w:cs="Arial"/>
          <w:sz w:val="22"/>
          <w:szCs w:val="22"/>
        </w:rPr>
        <w:t xml:space="preserve">. London: London Ambulance Service NHS Trust. Available at: </w:t>
      </w:r>
      <w:hyperlink r:id="rId30" w:history="1">
        <w:r w:rsidRPr="002437DC">
          <w:rPr>
            <w:rStyle w:val="Hyperlink"/>
            <w:rFonts w:ascii="Arial" w:hAnsi="Arial" w:cs="Arial"/>
            <w:sz w:val="22"/>
            <w:szCs w:val="22"/>
          </w:rPr>
          <w:t>https://www.londonambulance.nhs.uk/about-us/our-history/</w:t>
        </w:r>
      </w:hyperlink>
      <w:r w:rsidRPr="002437DC">
        <w:rPr>
          <w:rFonts w:ascii="Arial" w:hAnsi="Arial" w:cs="Arial"/>
          <w:sz w:val="22"/>
          <w:szCs w:val="22"/>
        </w:rPr>
        <w:t xml:space="preserve"> (Accessed: 6 February 2026).</w:t>
      </w:r>
    </w:p>
    <w:p w14:paraId="36D7A72E" w14:textId="77777777" w:rsidR="002437DC" w:rsidRPr="002437DC" w:rsidRDefault="002437DC" w:rsidP="002437DC">
      <w:pPr>
        <w:spacing w:line="360" w:lineRule="auto"/>
        <w:rPr>
          <w:rFonts w:ascii="Arial" w:hAnsi="Arial" w:cs="Arial"/>
          <w:sz w:val="22"/>
          <w:szCs w:val="22"/>
        </w:rPr>
      </w:pPr>
      <w:r w:rsidRPr="002437DC">
        <w:rPr>
          <w:rFonts w:ascii="Arial" w:hAnsi="Arial" w:cs="Arial"/>
          <w:sz w:val="22"/>
          <w:szCs w:val="22"/>
        </w:rPr>
        <w:t xml:space="preserve">NHS England (2019) </w:t>
      </w:r>
      <w:r w:rsidRPr="002437DC">
        <w:rPr>
          <w:rFonts w:ascii="Arial" w:hAnsi="Arial" w:cs="Arial"/>
          <w:i/>
          <w:iCs/>
          <w:sz w:val="22"/>
          <w:szCs w:val="22"/>
        </w:rPr>
        <w:t>Community Mental Health Services: Adults</w:t>
      </w:r>
      <w:r w:rsidRPr="002437DC">
        <w:rPr>
          <w:rFonts w:ascii="Arial" w:hAnsi="Arial" w:cs="Arial"/>
          <w:sz w:val="22"/>
          <w:szCs w:val="22"/>
        </w:rPr>
        <w:t xml:space="preserve">. NHS England. Available at: </w:t>
      </w:r>
      <w:hyperlink r:id="rId31" w:history="1">
        <w:r w:rsidRPr="002437DC">
          <w:rPr>
            <w:rStyle w:val="Hyperlink"/>
            <w:rFonts w:ascii="Arial" w:hAnsi="Arial" w:cs="Arial"/>
            <w:sz w:val="22"/>
            <w:szCs w:val="22"/>
          </w:rPr>
          <w:t>https://www.england.nhs.uk/mental-health/adults/cmhs/</w:t>
        </w:r>
      </w:hyperlink>
      <w:r w:rsidRPr="002437DC">
        <w:rPr>
          <w:rFonts w:ascii="Arial" w:hAnsi="Arial" w:cs="Arial"/>
          <w:sz w:val="22"/>
          <w:szCs w:val="22"/>
        </w:rPr>
        <w:t xml:space="preserve"> (Accessed: 1 February 2026).</w:t>
      </w:r>
    </w:p>
    <w:p w14:paraId="0A355F4A" w14:textId="77777777" w:rsidR="002437DC" w:rsidRPr="002437DC" w:rsidRDefault="002437DC" w:rsidP="002437DC">
      <w:pPr>
        <w:spacing w:line="360" w:lineRule="auto"/>
        <w:rPr>
          <w:rFonts w:ascii="Arial" w:hAnsi="Arial" w:cs="Arial"/>
          <w:sz w:val="22"/>
          <w:szCs w:val="22"/>
        </w:rPr>
      </w:pPr>
      <w:r w:rsidRPr="002437DC">
        <w:rPr>
          <w:rFonts w:ascii="Arial" w:hAnsi="Arial" w:cs="Arial"/>
          <w:sz w:val="22"/>
          <w:szCs w:val="22"/>
        </w:rPr>
        <w:t xml:space="preserve">NHS England (2024) </w:t>
      </w:r>
      <w:r w:rsidRPr="002437DC">
        <w:rPr>
          <w:rFonts w:ascii="Arial" w:hAnsi="Arial" w:cs="Arial"/>
          <w:i/>
          <w:iCs/>
          <w:sz w:val="22"/>
          <w:szCs w:val="22"/>
        </w:rPr>
        <w:t>Supporting People with Severe Mental Illness in Community Mental Health Services</w:t>
      </w:r>
      <w:r w:rsidRPr="002437DC">
        <w:rPr>
          <w:rFonts w:ascii="Arial" w:hAnsi="Arial" w:cs="Arial"/>
          <w:sz w:val="22"/>
          <w:szCs w:val="22"/>
        </w:rPr>
        <w:t xml:space="preserve">. NHS England. Available at: </w:t>
      </w:r>
      <w:hyperlink r:id="rId32" w:history="1">
        <w:r w:rsidRPr="002437DC">
          <w:rPr>
            <w:rStyle w:val="Hyperlink"/>
            <w:rFonts w:ascii="Arial" w:hAnsi="Arial" w:cs="Arial"/>
            <w:sz w:val="22"/>
            <w:szCs w:val="22"/>
          </w:rPr>
          <w:t>https://www.england.nhs.uk/long-read/supporting-people-with-severe-mental-illness-in-community-mental-health-services/</w:t>
        </w:r>
      </w:hyperlink>
      <w:r w:rsidRPr="002437DC">
        <w:rPr>
          <w:rFonts w:ascii="Arial" w:hAnsi="Arial" w:cs="Arial"/>
          <w:sz w:val="22"/>
          <w:szCs w:val="22"/>
        </w:rPr>
        <w:t xml:space="preserve"> (Accessed: 1 February 2026).</w:t>
      </w:r>
    </w:p>
    <w:p w14:paraId="3C95609E" w14:textId="77777777" w:rsidR="002437DC" w:rsidRPr="002437DC" w:rsidRDefault="002437DC" w:rsidP="002437DC">
      <w:pPr>
        <w:spacing w:line="360" w:lineRule="auto"/>
        <w:rPr>
          <w:rFonts w:ascii="Arial" w:hAnsi="Arial" w:cs="Arial"/>
          <w:sz w:val="22"/>
          <w:szCs w:val="22"/>
        </w:rPr>
      </w:pPr>
      <w:r w:rsidRPr="002437DC">
        <w:rPr>
          <w:rFonts w:ascii="Arial" w:hAnsi="Arial" w:cs="Arial"/>
          <w:sz w:val="22"/>
          <w:szCs w:val="22"/>
        </w:rPr>
        <w:t xml:space="preserve">NHS England (2025) </w:t>
      </w:r>
      <w:r w:rsidRPr="002437DC">
        <w:rPr>
          <w:rFonts w:ascii="Arial" w:hAnsi="Arial" w:cs="Arial"/>
          <w:i/>
          <w:iCs/>
          <w:sz w:val="22"/>
          <w:szCs w:val="22"/>
        </w:rPr>
        <w:t>Ambulance services: improving emergency response</w:t>
      </w:r>
      <w:r w:rsidRPr="002437DC">
        <w:rPr>
          <w:rFonts w:ascii="Arial" w:hAnsi="Arial" w:cs="Arial"/>
          <w:sz w:val="22"/>
          <w:szCs w:val="22"/>
        </w:rPr>
        <w:t xml:space="preserve">. London: NHS England. Available at: </w:t>
      </w:r>
      <w:hyperlink r:id="rId33" w:history="1">
        <w:r w:rsidRPr="002437DC">
          <w:rPr>
            <w:rStyle w:val="Hyperlink"/>
            <w:rFonts w:ascii="Arial" w:hAnsi="Arial" w:cs="Arial"/>
            <w:sz w:val="22"/>
            <w:szCs w:val="22"/>
          </w:rPr>
          <w:t>https://www.england.nhs.uk/urgent-emergency-care/improving-ambulance-services/</w:t>
        </w:r>
      </w:hyperlink>
      <w:r w:rsidRPr="002437DC">
        <w:rPr>
          <w:rFonts w:ascii="Arial" w:hAnsi="Arial" w:cs="Arial"/>
          <w:sz w:val="22"/>
          <w:szCs w:val="22"/>
        </w:rPr>
        <w:t xml:space="preserve"> (Accessed: 6 February 2026).</w:t>
      </w:r>
    </w:p>
    <w:p w14:paraId="49A852DB" w14:textId="77777777" w:rsidR="002437DC" w:rsidRPr="002437DC" w:rsidRDefault="002437DC" w:rsidP="002437DC">
      <w:pPr>
        <w:spacing w:line="360" w:lineRule="auto"/>
        <w:rPr>
          <w:rFonts w:ascii="Arial" w:hAnsi="Arial" w:cs="Arial"/>
          <w:sz w:val="22"/>
          <w:szCs w:val="22"/>
        </w:rPr>
      </w:pPr>
      <w:r w:rsidRPr="002437DC">
        <w:rPr>
          <w:rFonts w:ascii="Arial" w:hAnsi="Arial" w:cs="Arial"/>
          <w:sz w:val="22"/>
          <w:szCs w:val="22"/>
        </w:rPr>
        <w:t xml:space="preserve">Thornicroft, G. and Tansella, M. (2004) ‘Components of a Modern Mental Health Service: A Pragmatic Balance of Community and Hospital Care’, </w:t>
      </w:r>
      <w:r w:rsidRPr="002437DC">
        <w:rPr>
          <w:rFonts w:ascii="Arial" w:hAnsi="Arial" w:cs="Arial"/>
          <w:i/>
          <w:iCs/>
          <w:sz w:val="22"/>
          <w:szCs w:val="22"/>
        </w:rPr>
        <w:t>The British Journal of Psychiatry</w:t>
      </w:r>
      <w:r w:rsidRPr="002437DC">
        <w:rPr>
          <w:rFonts w:ascii="Arial" w:hAnsi="Arial" w:cs="Arial"/>
          <w:sz w:val="22"/>
          <w:szCs w:val="22"/>
        </w:rPr>
        <w:t xml:space="preserve">, 185(4), pp. 283–290. DOI: </w:t>
      </w:r>
      <w:hyperlink r:id="rId34" w:history="1">
        <w:r w:rsidRPr="002437DC">
          <w:rPr>
            <w:rStyle w:val="Hyperlink"/>
            <w:rFonts w:ascii="Arial" w:hAnsi="Arial" w:cs="Arial"/>
            <w:sz w:val="22"/>
            <w:szCs w:val="22"/>
          </w:rPr>
          <w:t>https://doi.org/10.1192/bjp.185.4.283</w:t>
        </w:r>
      </w:hyperlink>
      <w:r w:rsidRPr="002437DC">
        <w:rPr>
          <w:rFonts w:ascii="Arial" w:hAnsi="Arial" w:cs="Arial"/>
          <w:sz w:val="22"/>
          <w:szCs w:val="22"/>
        </w:rPr>
        <w:t xml:space="preserve">. Available at: </w:t>
      </w:r>
      <w:hyperlink r:id="rId35" w:history="1">
        <w:r w:rsidRPr="002437DC">
          <w:rPr>
            <w:rStyle w:val="Hyperlink"/>
            <w:rFonts w:ascii="Arial" w:hAnsi="Arial" w:cs="Arial"/>
            <w:sz w:val="22"/>
            <w:szCs w:val="22"/>
          </w:rPr>
          <w:t>https://www.cambridge.org/core/journals/the-british-journal-of-psychiatry/article/components-of-a-modern-mental-health-service-a-pragmatic-balance-of-community-and-hospital-care/01494FB7B79D613321F791D1C5A5A376</w:t>
        </w:r>
      </w:hyperlink>
      <w:r w:rsidRPr="002437DC">
        <w:rPr>
          <w:rFonts w:ascii="Arial" w:hAnsi="Arial" w:cs="Arial"/>
          <w:sz w:val="22"/>
          <w:szCs w:val="22"/>
        </w:rPr>
        <w:t xml:space="preserve"> (Accessed: 1 February 2026).</w:t>
      </w:r>
    </w:p>
    <w:p w14:paraId="597F8402" w14:textId="77777777" w:rsidR="002437DC" w:rsidRPr="002437DC" w:rsidRDefault="002437DC" w:rsidP="002437DC">
      <w:pPr>
        <w:spacing w:line="360" w:lineRule="auto"/>
        <w:rPr>
          <w:rFonts w:ascii="Arial" w:hAnsi="Arial" w:cs="Arial"/>
          <w:sz w:val="22"/>
          <w:szCs w:val="22"/>
        </w:rPr>
      </w:pPr>
      <w:r w:rsidRPr="002437DC">
        <w:rPr>
          <w:rFonts w:ascii="Arial" w:hAnsi="Arial" w:cs="Arial"/>
          <w:sz w:val="22"/>
          <w:szCs w:val="22"/>
        </w:rPr>
        <w:t xml:space="preserve">Turner, J., Snooks, H., Yourtchenko, E., &amp; Halter, M. (2019) </w:t>
      </w:r>
      <w:r w:rsidRPr="002437DC">
        <w:rPr>
          <w:rFonts w:ascii="Arial" w:hAnsi="Arial" w:cs="Arial"/>
          <w:i/>
          <w:iCs/>
          <w:sz w:val="22"/>
          <w:szCs w:val="22"/>
        </w:rPr>
        <w:t>PhOEBE research programme: evaluating ambulance service quality and impact</w:t>
      </w:r>
      <w:r w:rsidRPr="002437DC">
        <w:rPr>
          <w:rFonts w:ascii="Arial" w:hAnsi="Arial" w:cs="Arial"/>
          <w:sz w:val="22"/>
          <w:szCs w:val="22"/>
        </w:rPr>
        <w:t xml:space="preserve">. Leeds: National Institute for Health </w:t>
      </w:r>
      <w:r w:rsidRPr="002437DC">
        <w:rPr>
          <w:rFonts w:ascii="Arial" w:hAnsi="Arial" w:cs="Arial"/>
          <w:sz w:val="22"/>
          <w:szCs w:val="22"/>
        </w:rPr>
        <w:lastRenderedPageBreak/>
        <w:t xml:space="preserve">Research. Available at: </w:t>
      </w:r>
      <w:hyperlink r:id="rId36" w:history="1">
        <w:r w:rsidRPr="002437DC">
          <w:rPr>
            <w:rStyle w:val="Hyperlink"/>
            <w:rFonts w:ascii="Arial" w:hAnsi="Arial" w:cs="Arial"/>
            <w:sz w:val="22"/>
            <w:szCs w:val="22"/>
          </w:rPr>
          <w:t>https://eprints.whiterose.ac.uk/id/eprint/145908/1/3029007.pdf</w:t>
        </w:r>
      </w:hyperlink>
      <w:r w:rsidRPr="002437DC">
        <w:rPr>
          <w:rFonts w:ascii="Arial" w:hAnsi="Arial" w:cs="Arial"/>
          <w:sz w:val="22"/>
          <w:szCs w:val="22"/>
        </w:rPr>
        <w:t xml:space="preserve"> (Accessed: 6 February 2026).</w:t>
      </w:r>
    </w:p>
    <w:p w14:paraId="0BF82283" w14:textId="77777777" w:rsidR="002437DC" w:rsidRPr="002437DC" w:rsidRDefault="002437DC" w:rsidP="002437DC">
      <w:pPr>
        <w:spacing w:line="360" w:lineRule="auto"/>
        <w:rPr>
          <w:rFonts w:ascii="Arial" w:hAnsi="Arial" w:cs="Arial"/>
          <w:sz w:val="22"/>
          <w:szCs w:val="22"/>
        </w:rPr>
      </w:pPr>
      <w:r w:rsidRPr="002437DC">
        <w:rPr>
          <w:rFonts w:ascii="Arial" w:hAnsi="Arial" w:cs="Arial"/>
          <w:sz w:val="22"/>
          <w:szCs w:val="22"/>
        </w:rPr>
        <w:t xml:space="preserve">Unison/Guardian (2025) ‘England’s NHS crews “watching patients die in back of ambulances” due to A&amp;E delays’, </w:t>
      </w:r>
      <w:r w:rsidRPr="002437DC">
        <w:rPr>
          <w:rFonts w:ascii="Arial" w:hAnsi="Arial" w:cs="Arial"/>
          <w:i/>
          <w:iCs/>
          <w:sz w:val="22"/>
          <w:szCs w:val="22"/>
        </w:rPr>
        <w:t>The Guardian</w:t>
      </w:r>
      <w:r w:rsidRPr="002437DC">
        <w:rPr>
          <w:rFonts w:ascii="Arial" w:hAnsi="Arial" w:cs="Arial"/>
          <w:sz w:val="22"/>
          <w:szCs w:val="22"/>
        </w:rPr>
        <w:t xml:space="preserve">, 6 April. Available at: </w:t>
      </w:r>
      <w:hyperlink r:id="rId37" w:history="1">
        <w:r w:rsidRPr="002437DC">
          <w:rPr>
            <w:rStyle w:val="Hyperlink"/>
            <w:rFonts w:ascii="Arial" w:hAnsi="Arial" w:cs="Arial"/>
            <w:sz w:val="22"/>
            <w:szCs w:val="22"/>
          </w:rPr>
          <w:t>https://www.theguardian.com/society/2025/apr/06/englands-nhs-crews-watching-patients-die-in-back-of-ambulances-due-to-ae-delays</w:t>
        </w:r>
      </w:hyperlink>
      <w:r w:rsidRPr="002437DC">
        <w:rPr>
          <w:rFonts w:ascii="Arial" w:hAnsi="Arial" w:cs="Arial"/>
          <w:sz w:val="22"/>
          <w:szCs w:val="22"/>
        </w:rPr>
        <w:t xml:space="preserve"> (Accessed: 6 February 2026).</w:t>
      </w:r>
    </w:p>
    <w:p w14:paraId="4BEBFBDB" w14:textId="47DE3B74" w:rsidR="0023029E" w:rsidRPr="00CE0470" w:rsidRDefault="002437DC" w:rsidP="00E7150F">
      <w:pPr>
        <w:spacing w:line="360" w:lineRule="auto"/>
        <w:rPr>
          <w:rFonts w:ascii="Arial" w:hAnsi="Arial" w:cs="Arial"/>
          <w:sz w:val="22"/>
          <w:szCs w:val="22"/>
        </w:rPr>
      </w:pPr>
      <w:r w:rsidRPr="002437DC">
        <w:rPr>
          <w:rFonts w:ascii="Arial" w:hAnsi="Arial" w:cs="Arial"/>
          <w:sz w:val="22"/>
          <w:szCs w:val="22"/>
        </w:rPr>
        <w:t xml:space="preserve">World Health Organization (2013) </w:t>
      </w:r>
      <w:r w:rsidRPr="002437DC">
        <w:rPr>
          <w:rFonts w:ascii="Arial" w:hAnsi="Arial" w:cs="Arial"/>
          <w:i/>
          <w:iCs/>
          <w:sz w:val="22"/>
          <w:szCs w:val="22"/>
        </w:rPr>
        <w:t>Comprehensive Mental Health Action Plan 2013–2020</w:t>
      </w:r>
      <w:r w:rsidRPr="002437DC">
        <w:rPr>
          <w:rFonts w:ascii="Arial" w:hAnsi="Arial" w:cs="Arial"/>
          <w:sz w:val="22"/>
          <w:szCs w:val="22"/>
        </w:rPr>
        <w:t xml:space="preserve">. Geneva: WHO. Available at: </w:t>
      </w:r>
      <w:hyperlink r:id="rId38" w:history="1">
        <w:r w:rsidRPr="002437DC">
          <w:rPr>
            <w:rStyle w:val="Hyperlink"/>
            <w:rFonts w:ascii="Arial" w:hAnsi="Arial" w:cs="Arial"/>
            <w:sz w:val="22"/>
            <w:szCs w:val="22"/>
          </w:rPr>
          <w:t>https://www.who.int/publications/i/item/9789241506021</w:t>
        </w:r>
      </w:hyperlink>
      <w:r w:rsidRPr="002437DC">
        <w:rPr>
          <w:rFonts w:ascii="Arial" w:hAnsi="Arial" w:cs="Arial"/>
          <w:sz w:val="22"/>
          <w:szCs w:val="22"/>
        </w:rPr>
        <w:t xml:space="preserve"> (Accessed: 1 February 2026).</w:t>
      </w:r>
      <w:r w:rsidR="00E7150F" w:rsidRPr="00E7150F">
        <w:rPr>
          <w:rFonts w:ascii="Arial" w:hAnsi="Arial" w:cs="Arial"/>
          <w:sz w:val="22"/>
          <w:szCs w:val="22"/>
        </w:rPr>
        <w:br/>
      </w:r>
      <w:r w:rsidR="00E7150F" w:rsidRPr="00E7150F">
        <w:rPr>
          <w:rFonts w:ascii="Arial" w:hAnsi="Arial" w:cs="Arial"/>
          <w:i/>
          <w:iCs/>
          <w:sz w:val="22"/>
          <w:szCs w:val="22"/>
        </w:rPr>
        <w:t>Conclusion images, pictures and stock photos.</w:t>
      </w:r>
      <w:r w:rsidR="00E7150F" w:rsidRPr="00E7150F">
        <w:rPr>
          <w:rFonts w:ascii="Arial" w:hAnsi="Arial" w:cs="Arial"/>
          <w:sz w:val="22"/>
          <w:szCs w:val="22"/>
        </w:rPr>
        <w:t xml:space="preserve"> (</w:t>
      </w:r>
      <w:r w:rsidR="00E7150F">
        <w:rPr>
          <w:rFonts w:ascii="Arial" w:hAnsi="Arial" w:cs="Arial"/>
          <w:sz w:val="22"/>
          <w:szCs w:val="22"/>
        </w:rPr>
        <w:t>2026</w:t>
      </w:r>
      <w:r w:rsidR="00E7150F" w:rsidRPr="00E7150F">
        <w:rPr>
          <w:rFonts w:ascii="Arial" w:hAnsi="Arial" w:cs="Arial"/>
          <w:sz w:val="22"/>
          <w:szCs w:val="22"/>
        </w:rPr>
        <w:t xml:space="preserve">) </w:t>
      </w:r>
      <w:proofErr w:type="spellStart"/>
      <w:r w:rsidR="00E7150F" w:rsidRPr="00E7150F">
        <w:rPr>
          <w:rFonts w:ascii="Arial" w:hAnsi="Arial" w:cs="Arial"/>
          <w:i/>
          <w:iCs/>
          <w:sz w:val="22"/>
          <w:szCs w:val="22"/>
        </w:rPr>
        <w:t>Dreamstime</w:t>
      </w:r>
      <w:proofErr w:type="spellEnd"/>
      <w:r w:rsidR="00E7150F" w:rsidRPr="00E7150F">
        <w:rPr>
          <w:rFonts w:ascii="Arial" w:hAnsi="Arial" w:cs="Arial"/>
          <w:i/>
          <w:iCs/>
          <w:sz w:val="22"/>
          <w:szCs w:val="22"/>
        </w:rPr>
        <w:t>.</w:t>
      </w:r>
      <w:r w:rsidR="00E7150F" w:rsidRPr="00E7150F">
        <w:rPr>
          <w:rFonts w:ascii="Arial" w:hAnsi="Arial" w:cs="Arial"/>
          <w:sz w:val="22"/>
          <w:szCs w:val="22"/>
        </w:rPr>
        <w:t xml:space="preserve"> Available at: </w:t>
      </w:r>
      <w:hyperlink r:id="rId39" w:tgtFrame="_new" w:history="1">
        <w:r w:rsidR="00E7150F" w:rsidRPr="00E7150F">
          <w:rPr>
            <w:rStyle w:val="Hyperlink"/>
            <w:rFonts w:ascii="Arial" w:hAnsi="Arial" w:cs="Arial"/>
            <w:sz w:val="22"/>
            <w:szCs w:val="22"/>
          </w:rPr>
          <w:t>https://www.dreamstime.com/photos-images/conclusion.html</w:t>
        </w:r>
      </w:hyperlink>
      <w:r w:rsidR="00E7150F" w:rsidRPr="00E7150F">
        <w:rPr>
          <w:rFonts w:ascii="Arial" w:hAnsi="Arial" w:cs="Arial"/>
          <w:sz w:val="22"/>
          <w:szCs w:val="22"/>
        </w:rPr>
        <w:t xml:space="preserve"> (Accessed: 22 February 2026).</w:t>
      </w:r>
    </w:p>
    <w:p w14:paraId="5DABF5B4" w14:textId="77777777" w:rsidR="0023029E" w:rsidRPr="00CE0470" w:rsidRDefault="0023029E" w:rsidP="0023029E">
      <w:pPr>
        <w:rPr>
          <w:rFonts w:ascii="Arial" w:hAnsi="Arial" w:cs="Arial"/>
          <w:sz w:val="22"/>
          <w:szCs w:val="22"/>
        </w:rPr>
      </w:pPr>
    </w:p>
    <w:p w14:paraId="4ABE1165" w14:textId="77777777" w:rsidR="00355FEE" w:rsidRPr="00CE0470" w:rsidRDefault="00355FEE">
      <w:pPr>
        <w:rPr>
          <w:rFonts w:ascii="Arial" w:hAnsi="Arial" w:cs="Arial"/>
          <w:sz w:val="22"/>
          <w:szCs w:val="22"/>
        </w:rPr>
      </w:pPr>
    </w:p>
    <w:sectPr w:rsidR="00355FEE" w:rsidRPr="00CE0470" w:rsidSect="0083081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lgerian">
    <w:panose1 w:val="04020705040A02060702"/>
    <w:charset w:val="00"/>
    <w:family w:val="decorative"/>
    <w:pitch w:val="variable"/>
    <w:sig w:usb0="00000003" w:usb1="00000000" w:usb2="00000000" w:usb3="00000000" w:csb0="00000001" w:csb1="00000000"/>
  </w:font>
  <w:font w:name="Arial Black">
    <w:panose1 w:val="020B0A04020102020204"/>
    <w:charset w:val="00"/>
    <w:family w:val="swiss"/>
    <w:pitch w:val="variable"/>
    <w:sig w:usb0="A00002AF" w:usb1="400078FB" w:usb2="00000000" w:usb3="00000000" w:csb0="0000009F" w:csb1="00000000"/>
  </w:font>
  <w:font w:name="Agency FB">
    <w:panose1 w:val="020B0503020202020204"/>
    <w:charset w:val="00"/>
    <w:family w:val="swiss"/>
    <w:pitch w:val="variable"/>
    <w:sig w:usb0="00000003" w:usb1="00000000" w:usb2="00000000" w:usb3="00000000" w:csb0="00000001" w:csb1="00000000"/>
  </w:font>
  <w:font w:name="ADLaM Display">
    <w:charset w:val="00"/>
    <w:family w:val="auto"/>
    <w:pitch w:val="variable"/>
    <w:sig w:usb0="8000206F" w:usb1="4200004A"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BC44DD"/>
    <w:multiLevelType w:val="multilevel"/>
    <w:tmpl w:val="0C50BBC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A2E696B"/>
    <w:multiLevelType w:val="multilevel"/>
    <w:tmpl w:val="F10632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5885A70"/>
    <w:multiLevelType w:val="hybridMultilevel"/>
    <w:tmpl w:val="E0C444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6A4656B"/>
    <w:multiLevelType w:val="hybridMultilevel"/>
    <w:tmpl w:val="2850F2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C485FCC"/>
    <w:multiLevelType w:val="multilevel"/>
    <w:tmpl w:val="E1D40E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F444C7A"/>
    <w:multiLevelType w:val="hybridMultilevel"/>
    <w:tmpl w:val="6772E91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498407C4"/>
    <w:multiLevelType w:val="multilevel"/>
    <w:tmpl w:val="2E0874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03E4FE1"/>
    <w:multiLevelType w:val="hybridMultilevel"/>
    <w:tmpl w:val="5C92CC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D2D6A68"/>
    <w:multiLevelType w:val="hybridMultilevel"/>
    <w:tmpl w:val="41EEC6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36005206">
    <w:abstractNumId w:val="0"/>
  </w:num>
  <w:num w:numId="2" w16cid:durableId="1019087640">
    <w:abstractNumId w:val="4"/>
  </w:num>
  <w:num w:numId="3" w16cid:durableId="942423261">
    <w:abstractNumId w:val="6"/>
  </w:num>
  <w:num w:numId="4" w16cid:durableId="402720834">
    <w:abstractNumId w:val="1"/>
  </w:num>
  <w:num w:numId="5" w16cid:durableId="1557619419">
    <w:abstractNumId w:val="2"/>
  </w:num>
  <w:num w:numId="6" w16cid:durableId="76900121">
    <w:abstractNumId w:val="8"/>
  </w:num>
  <w:num w:numId="7" w16cid:durableId="2114395515">
    <w:abstractNumId w:val="3"/>
  </w:num>
  <w:num w:numId="8" w16cid:durableId="386877864">
    <w:abstractNumId w:val="7"/>
  </w:num>
  <w:num w:numId="9" w16cid:durableId="88614107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5FEE"/>
    <w:rsid w:val="00050E64"/>
    <w:rsid w:val="000D2633"/>
    <w:rsid w:val="00137004"/>
    <w:rsid w:val="0023029E"/>
    <w:rsid w:val="002437DC"/>
    <w:rsid w:val="002A2717"/>
    <w:rsid w:val="002A3E6C"/>
    <w:rsid w:val="002F2E8E"/>
    <w:rsid w:val="002F5388"/>
    <w:rsid w:val="00310A14"/>
    <w:rsid w:val="00355FEE"/>
    <w:rsid w:val="003D7050"/>
    <w:rsid w:val="003F2C0D"/>
    <w:rsid w:val="003F605D"/>
    <w:rsid w:val="004146C7"/>
    <w:rsid w:val="004165DF"/>
    <w:rsid w:val="00423D24"/>
    <w:rsid w:val="004576C2"/>
    <w:rsid w:val="004C578D"/>
    <w:rsid w:val="004F4730"/>
    <w:rsid w:val="00533F3D"/>
    <w:rsid w:val="005558D9"/>
    <w:rsid w:val="005C4A97"/>
    <w:rsid w:val="00605668"/>
    <w:rsid w:val="006253F0"/>
    <w:rsid w:val="00625C7D"/>
    <w:rsid w:val="0066354C"/>
    <w:rsid w:val="006A4E97"/>
    <w:rsid w:val="006E2916"/>
    <w:rsid w:val="00741007"/>
    <w:rsid w:val="00741393"/>
    <w:rsid w:val="007C51C8"/>
    <w:rsid w:val="0083081A"/>
    <w:rsid w:val="00832B85"/>
    <w:rsid w:val="00836499"/>
    <w:rsid w:val="008607B6"/>
    <w:rsid w:val="00934375"/>
    <w:rsid w:val="0094207C"/>
    <w:rsid w:val="00961846"/>
    <w:rsid w:val="009C08A1"/>
    <w:rsid w:val="009F77C4"/>
    <w:rsid w:val="00A1692B"/>
    <w:rsid w:val="00A53943"/>
    <w:rsid w:val="00B366C3"/>
    <w:rsid w:val="00B60289"/>
    <w:rsid w:val="00BC678D"/>
    <w:rsid w:val="00BE270C"/>
    <w:rsid w:val="00C04D20"/>
    <w:rsid w:val="00C76F76"/>
    <w:rsid w:val="00C8148E"/>
    <w:rsid w:val="00C850C9"/>
    <w:rsid w:val="00CD63C9"/>
    <w:rsid w:val="00CE0470"/>
    <w:rsid w:val="00D45F6F"/>
    <w:rsid w:val="00D82B20"/>
    <w:rsid w:val="00DB0D28"/>
    <w:rsid w:val="00DB5DB4"/>
    <w:rsid w:val="00DC62A0"/>
    <w:rsid w:val="00DD1576"/>
    <w:rsid w:val="00E10054"/>
    <w:rsid w:val="00E7150F"/>
    <w:rsid w:val="00E7323C"/>
    <w:rsid w:val="00ED1BDF"/>
    <w:rsid w:val="00F026C5"/>
    <w:rsid w:val="00F547E1"/>
    <w:rsid w:val="00F55B5C"/>
    <w:rsid w:val="00F720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F816E9"/>
  <w15:chartTrackingRefBased/>
  <w15:docId w15:val="{6B70A9A6-57DB-4806-B150-ACB421559D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55FE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55FE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55FE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55FE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55FE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55FE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55FE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55FE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55FE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55FE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55FE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55FE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55FE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55FE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55FE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55FE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55FE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55FEE"/>
    <w:rPr>
      <w:rFonts w:eastAsiaTheme="majorEastAsia" w:cstheme="majorBidi"/>
      <w:color w:val="272727" w:themeColor="text1" w:themeTint="D8"/>
    </w:rPr>
  </w:style>
  <w:style w:type="paragraph" w:styleId="Title">
    <w:name w:val="Title"/>
    <w:basedOn w:val="Normal"/>
    <w:next w:val="Normal"/>
    <w:link w:val="TitleChar"/>
    <w:uiPriority w:val="10"/>
    <w:qFormat/>
    <w:rsid w:val="00355FE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55FE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55FE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55FE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55FEE"/>
    <w:pPr>
      <w:spacing w:before="160"/>
      <w:jc w:val="center"/>
    </w:pPr>
    <w:rPr>
      <w:i/>
      <w:iCs/>
      <w:color w:val="404040" w:themeColor="text1" w:themeTint="BF"/>
    </w:rPr>
  </w:style>
  <w:style w:type="character" w:customStyle="1" w:styleId="QuoteChar">
    <w:name w:val="Quote Char"/>
    <w:basedOn w:val="DefaultParagraphFont"/>
    <w:link w:val="Quote"/>
    <w:uiPriority w:val="29"/>
    <w:rsid w:val="00355FEE"/>
    <w:rPr>
      <w:i/>
      <w:iCs/>
      <w:color w:val="404040" w:themeColor="text1" w:themeTint="BF"/>
    </w:rPr>
  </w:style>
  <w:style w:type="paragraph" w:styleId="ListParagraph">
    <w:name w:val="List Paragraph"/>
    <w:basedOn w:val="Normal"/>
    <w:uiPriority w:val="34"/>
    <w:qFormat/>
    <w:rsid w:val="00355FEE"/>
    <w:pPr>
      <w:ind w:left="720"/>
      <w:contextualSpacing/>
    </w:pPr>
  </w:style>
  <w:style w:type="character" w:styleId="IntenseEmphasis">
    <w:name w:val="Intense Emphasis"/>
    <w:basedOn w:val="DefaultParagraphFont"/>
    <w:uiPriority w:val="21"/>
    <w:qFormat/>
    <w:rsid w:val="00355FEE"/>
    <w:rPr>
      <w:i/>
      <w:iCs/>
      <w:color w:val="0F4761" w:themeColor="accent1" w:themeShade="BF"/>
    </w:rPr>
  </w:style>
  <w:style w:type="paragraph" w:styleId="IntenseQuote">
    <w:name w:val="Intense Quote"/>
    <w:basedOn w:val="Normal"/>
    <w:next w:val="Normal"/>
    <w:link w:val="IntenseQuoteChar"/>
    <w:uiPriority w:val="30"/>
    <w:qFormat/>
    <w:rsid w:val="00355FE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55FEE"/>
    <w:rPr>
      <w:i/>
      <w:iCs/>
      <w:color w:val="0F4761" w:themeColor="accent1" w:themeShade="BF"/>
    </w:rPr>
  </w:style>
  <w:style w:type="character" w:styleId="IntenseReference">
    <w:name w:val="Intense Reference"/>
    <w:basedOn w:val="DefaultParagraphFont"/>
    <w:uiPriority w:val="32"/>
    <w:qFormat/>
    <w:rsid w:val="00355FEE"/>
    <w:rPr>
      <w:b/>
      <w:bCs/>
      <w:smallCaps/>
      <w:color w:val="0F4761" w:themeColor="accent1" w:themeShade="BF"/>
      <w:spacing w:val="5"/>
    </w:rPr>
  </w:style>
  <w:style w:type="character" w:styleId="Hyperlink">
    <w:name w:val="Hyperlink"/>
    <w:basedOn w:val="DefaultParagraphFont"/>
    <w:uiPriority w:val="99"/>
    <w:unhideWhenUsed/>
    <w:rsid w:val="0023029E"/>
    <w:rPr>
      <w:color w:val="467886" w:themeColor="hyperlink"/>
      <w:u w:val="single"/>
    </w:rPr>
  </w:style>
  <w:style w:type="character" w:styleId="UnresolvedMention">
    <w:name w:val="Unresolved Mention"/>
    <w:basedOn w:val="DefaultParagraphFont"/>
    <w:uiPriority w:val="99"/>
    <w:semiHidden/>
    <w:unhideWhenUsed/>
    <w:rsid w:val="0023029E"/>
    <w:rPr>
      <w:color w:val="605E5C"/>
      <w:shd w:val="clear" w:color="auto" w:fill="E1DFDD"/>
    </w:rPr>
  </w:style>
  <w:style w:type="paragraph" w:styleId="Revision">
    <w:name w:val="Revision"/>
    <w:hidden/>
    <w:uiPriority w:val="99"/>
    <w:semiHidden/>
    <w:rsid w:val="002A2717"/>
    <w:pPr>
      <w:spacing w:after="0" w:line="240" w:lineRule="auto"/>
    </w:pPr>
  </w:style>
  <w:style w:type="character" w:styleId="BookTitle">
    <w:name w:val="Book Title"/>
    <w:basedOn w:val="DefaultParagraphFont"/>
    <w:uiPriority w:val="33"/>
    <w:qFormat/>
    <w:rsid w:val="00137004"/>
    <w:rPr>
      <w:b/>
      <w:bCs/>
      <w:i/>
      <w:iCs/>
      <w:spacing w:val="5"/>
    </w:rPr>
  </w:style>
  <w:style w:type="paragraph" w:styleId="NormalWeb">
    <w:name w:val="Normal (Web)"/>
    <w:basedOn w:val="Normal"/>
    <w:uiPriority w:val="99"/>
    <w:semiHidden/>
    <w:unhideWhenUsed/>
    <w:rsid w:val="0066354C"/>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9F77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F77C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svg"/><Relationship Id="rId18" Type="http://schemas.openxmlformats.org/officeDocument/2006/relationships/hyperlink" Target="https://www.freestock.com/free-videos/steel-works-port-talbot-wales-time-1862494" TargetMode="External"/><Relationship Id="rId26" Type="http://schemas.openxmlformats.org/officeDocument/2006/relationships/image" Target="media/image10.jpeg"/><Relationship Id="rId39" Type="http://schemas.openxmlformats.org/officeDocument/2006/relationships/hyperlink" Target="https://www.dreamstime.com/photos-images/conclusion.html?utm_source=chatgpt.com" TargetMode="External"/><Relationship Id="rId21" Type="http://schemas.openxmlformats.org/officeDocument/2006/relationships/diagramQuickStyle" Target="diagrams/quickStyle2.xml"/><Relationship Id="rId34" Type="http://schemas.openxmlformats.org/officeDocument/2006/relationships/hyperlink" Target="https://doi.org/10.1192/bjp.185.4.283" TargetMode="External"/><Relationship Id="rId7" Type="http://schemas.openxmlformats.org/officeDocument/2006/relationships/diagramData" Target="diagrams/data1.xml"/><Relationship Id="rId2" Type="http://schemas.openxmlformats.org/officeDocument/2006/relationships/numbering" Target="numbering.xml"/><Relationship Id="rId16" Type="http://schemas.openxmlformats.org/officeDocument/2006/relationships/hyperlink" Target="https://pixabay.com/fr/%C3%A9volution-l-%C3%A9volution-de-l-homme-2780651/" TargetMode="External"/><Relationship Id="rId20" Type="http://schemas.openxmlformats.org/officeDocument/2006/relationships/diagramLayout" Target="diagrams/layout2.xml"/><Relationship Id="rId29" Type="http://schemas.openxmlformats.org/officeDocument/2006/relationships/hyperlink" Target="https://www.londonambulance.nhs.uk/2018/07/04/nhs70/"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hyperlink" Target="https://moodle.uwtsd.ac.uk/course/view.php?id=10661" TargetMode="External"/><Relationship Id="rId11" Type="http://schemas.microsoft.com/office/2007/relationships/diagramDrawing" Target="diagrams/drawing1.xml"/><Relationship Id="rId24" Type="http://schemas.openxmlformats.org/officeDocument/2006/relationships/image" Target="media/image9.png"/><Relationship Id="rId32" Type="http://schemas.openxmlformats.org/officeDocument/2006/relationships/hyperlink" Target="https://www.england.nhs.uk/long-read/supporting-people-with-severe-mental-illness-in-community-mental-health-services/" TargetMode="External"/><Relationship Id="rId37" Type="http://schemas.openxmlformats.org/officeDocument/2006/relationships/hyperlink" Target="https://www.theguardian.com/society/2025/apr/06/englands-nhs-crews-watching-patients-die-in-back-of-ambulances-due-to-ae-delays" TargetMode="Externa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7.png"/><Relationship Id="rId23" Type="http://schemas.microsoft.com/office/2007/relationships/diagramDrawing" Target="diagrams/drawing2.xml"/><Relationship Id="rId28" Type="http://schemas.openxmlformats.org/officeDocument/2006/relationships/hyperlink" Target="https://pubmed.ncbi.nlm.nih.gov/25035692/" TargetMode="External"/><Relationship Id="rId36" Type="http://schemas.openxmlformats.org/officeDocument/2006/relationships/hyperlink" Target="https://eprints.whiterose.ac.uk/id/eprint/145908/1/3029007.pdf" TargetMode="External"/><Relationship Id="rId10" Type="http://schemas.openxmlformats.org/officeDocument/2006/relationships/diagramColors" Target="diagrams/colors1.xml"/><Relationship Id="rId19" Type="http://schemas.openxmlformats.org/officeDocument/2006/relationships/diagramData" Target="diagrams/data2.xml"/><Relationship Id="rId31" Type="http://schemas.openxmlformats.org/officeDocument/2006/relationships/hyperlink" Target="https://www.england.nhs.uk/mental-health/adults/cmhs/" TargetMode="External"/><Relationship Id="rId4" Type="http://schemas.openxmlformats.org/officeDocument/2006/relationships/settings" Target="settings.xml"/><Relationship Id="rId9" Type="http://schemas.openxmlformats.org/officeDocument/2006/relationships/diagramQuickStyle" Target="diagrams/quickStyle1.xml"/><Relationship Id="rId14" Type="http://schemas.openxmlformats.org/officeDocument/2006/relationships/hyperlink" Target="https://svgsilh.com/image/2028386.html" TargetMode="External"/><Relationship Id="rId22" Type="http://schemas.openxmlformats.org/officeDocument/2006/relationships/diagramColors" Target="diagrams/colors2.xml"/><Relationship Id="rId27" Type="http://schemas.openxmlformats.org/officeDocument/2006/relationships/hyperlink" Target="https://consortium-psy.com/jour/article/view/48" TargetMode="External"/><Relationship Id="rId30" Type="http://schemas.openxmlformats.org/officeDocument/2006/relationships/hyperlink" Target="https://www.londonambulance.nhs.uk/about-us/our-history/" TargetMode="External"/><Relationship Id="rId35" Type="http://schemas.openxmlformats.org/officeDocument/2006/relationships/hyperlink" Target="https://www.cambridge.org/core/journals/the-british-journal-of-psychiatry/article/components-of-a-modern-mental-health-service-a-pragmatic-balance-of-community-and-hospital-care/01494FB7B79D613321F791D1C5A5A376" TargetMode="External"/><Relationship Id="rId8" Type="http://schemas.openxmlformats.org/officeDocument/2006/relationships/diagramLayout" Target="diagrams/layout1.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8.jpeg"/><Relationship Id="rId25" Type="http://schemas.openxmlformats.org/officeDocument/2006/relationships/hyperlink" Target="https://pixabay.com/en/heart-care-medical-care-heart-1040229/" TargetMode="External"/><Relationship Id="rId33" Type="http://schemas.openxmlformats.org/officeDocument/2006/relationships/hyperlink" Target="https://www.england.nhs.uk/urgent-emergency-care/improving-ambulance-services/" TargetMode="External"/><Relationship Id="rId38" Type="http://schemas.openxmlformats.org/officeDocument/2006/relationships/hyperlink" Target="https://www.who.int/publications/i/item/9789241506021" TargetMode="External"/></Relationships>
</file>

<file path=word/diagrams/_rels/data1.xml.rels><?xml version="1.0" encoding="UTF-8" standalone="yes"?>
<Relationships xmlns="http://schemas.openxmlformats.org/package/2006/relationships"><Relationship Id="rId3" Type="http://schemas.openxmlformats.org/officeDocument/2006/relationships/image" Target="../media/image3.jpg"/><Relationship Id="rId2" Type="http://schemas.openxmlformats.org/officeDocument/2006/relationships/image" Target="../media/image2.jpg"/><Relationship Id="rId1" Type="http://schemas.openxmlformats.org/officeDocument/2006/relationships/image" Target="../media/image1.1"/><Relationship Id="rId4" Type="http://schemas.openxmlformats.org/officeDocument/2006/relationships/image" Target="../media/image4.jpg"/></Relationships>
</file>

<file path=word/diagrams/_rels/drawing1.xml.rels><?xml version="1.0" encoding="UTF-8" standalone="yes"?>
<Relationships xmlns="http://schemas.openxmlformats.org/package/2006/relationships"><Relationship Id="rId3" Type="http://schemas.openxmlformats.org/officeDocument/2006/relationships/image" Target="../media/image3.jpg"/><Relationship Id="rId2" Type="http://schemas.openxmlformats.org/officeDocument/2006/relationships/image" Target="../media/image2.jpg"/><Relationship Id="rId1" Type="http://schemas.openxmlformats.org/officeDocument/2006/relationships/image" Target="../media/image1.1"/><Relationship Id="rId4" Type="http://schemas.openxmlformats.org/officeDocument/2006/relationships/image" Target="../media/image4.jpg"/></Relationships>
</file>

<file path=word/diagrams/colors1.xml><?xml version="1.0" encoding="utf-8"?>
<dgm:colorsDef xmlns:dgm="http://schemas.openxmlformats.org/drawingml/2006/diagram" xmlns:a="http://schemas.openxmlformats.org/drawingml/2006/main" uniqueId="urn:microsoft.com/office/officeart/2005/8/colors/accent5_1">
  <dgm:title val=""/>
  <dgm:desc val=""/>
  <dgm:catLst>
    <dgm:cat type="accent5" pri="11100"/>
  </dgm:catLst>
  <dgm:styleLbl name="node0">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5">
        <a:shade val="80000"/>
      </a:schemeClr>
    </dgm:linClrLst>
    <dgm:effectClrLst/>
    <dgm:txLinClrLst/>
    <dgm:txFillClrLst/>
    <dgm:txEffectClrLst/>
  </dgm:styleLbl>
  <dgm:styleLbl name="node2">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fgImgPlace1">
    <dgm:fillClrLst meth="repeat">
      <a:schemeClr val="accent5">
        <a:tint val="40000"/>
      </a:schemeClr>
    </dgm:fillClrLst>
    <dgm:linClrLst meth="repeat">
      <a:schemeClr val="accent5">
        <a:shade val="80000"/>
      </a:schemeClr>
    </dgm:linClrLst>
    <dgm:effectClrLst/>
    <dgm:txLinClrLst/>
    <dgm:txFillClrLst meth="repeat">
      <a:schemeClr val="lt1"/>
    </dgm:txFillClrLst>
    <dgm:txEffectClrLst/>
  </dgm:styleLbl>
  <dgm:styleLbl name="alignImgPlace1">
    <dgm:fillClrLst meth="repeat">
      <a:schemeClr val="accent5">
        <a:tint val="40000"/>
      </a:schemeClr>
    </dgm:fillClrLst>
    <dgm:linClrLst meth="repeat">
      <a:schemeClr val="accent5">
        <a:shade val="80000"/>
      </a:schemeClr>
    </dgm:linClrLst>
    <dgm:effectClrLst/>
    <dgm:txLinClrLst/>
    <dgm:txFillClrLst meth="repeat">
      <a:schemeClr val="lt1"/>
    </dgm:txFillClrLst>
    <dgm:txEffectClrLst/>
  </dgm:styleLbl>
  <dgm:styleLbl name="bgImgPlace1">
    <dgm:fillClrLst meth="repeat">
      <a:schemeClr val="accent5">
        <a:tint val="40000"/>
      </a:schemeClr>
    </dgm:fillClrLst>
    <dgm:linClrLst meth="repeat">
      <a:schemeClr val="accent5">
        <a:shade val="80000"/>
      </a:schemeClr>
    </dgm:linClrLst>
    <dgm:effectClrLst/>
    <dgm:txLinClrLst/>
    <dgm:txFillClrLst meth="repeat">
      <a:schemeClr val="lt1"/>
    </dgm:txFillClrLst>
    <dgm:txEffectClrLst/>
  </dgm:styleLbl>
  <dgm:styleLbl name="sibTrans2D1">
    <dgm:fillClrLst meth="repeat">
      <a:schemeClr val="accent5">
        <a:tint val="60000"/>
      </a:schemeClr>
    </dgm:fillClrLst>
    <dgm:linClrLst meth="repeat">
      <a:schemeClr val="accent5">
        <a:tint val="60000"/>
      </a:schemeClr>
    </dgm:linClrLst>
    <dgm:effectClrLst/>
    <dgm:txLinClrLst/>
    <dgm:txFillClrLst meth="repeat">
      <a:schemeClr val="dk1"/>
    </dgm:txFillClrLst>
    <dgm:txEffectClrLst/>
  </dgm:styleLbl>
  <dgm:styleLbl name="fgSibTrans2D1">
    <dgm:fillClrLst meth="repeat">
      <a:schemeClr val="accent5">
        <a:tint val="60000"/>
      </a:schemeClr>
    </dgm:fillClrLst>
    <dgm:linClrLst meth="repeat">
      <a:schemeClr val="accent5">
        <a:tint val="60000"/>
      </a:schemeClr>
    </dgm:linClrLst>
    <dgm:effectClrLst/>
    <dgm:txLinClrLst/>
    <dgm:txFillClrLst meth="repeat">
      <a:schemeClr val="dk1"/>
    </dgm:txFillClrLst>
    <dgm:txEffectClrLst/>
  </dgm:styleLbl>
  <dgm:styleLbl name="bgSibTrans2D1">
    <dgm:fillClrLst meth="repeat">
      <a:schemeClr val="accent5">
        <a:tint val="60000"/>
      </a:schemeClr>
    </dgm:fillClrLst>
    <dgm:linClrLst meth="repeat">
      <a:schemeClr val="accent5">
        <a:tint val="60000"/>
      </a:schemeClr>
    </dgm:linClrLst>
    <dgm:effectClrLst/>
    <dgm:txLinClrLst/>
    <dgm:txFillClrLst meth="repeat">
      <a:schemeClr val="dk1"/>
    </dgm:txFillClrLst>
    <dgm:txEffectClrLst/>
  </dgm:styleLbl>
  <dgm:styleLbl name="sibTrans1D1">
    <dgm:fillClrLst meth="repeat">
      <a:schemeClr val="accent5"/>
    </dgm:fillClrLst>
    <dgm:linClrLst meth="repeat">
      <a:schemeClr val="accent5"/>
    </dgm:linClrLst>
    <dgm:effectClrLst/>
    <dgm:txLinClrLst/>
    <dgm:txFillClrLst meth="repeat">
      <a:schemeClr val="tx1"/>
    </dgm:txFillClrLst>
    <dgm:txEffectClrLst/>
  </dgm:styleLbl>
  <dgm:styleLbl name="callout">
    <dgm:fillClrLst meth="repeat">
      <a:schemeClr val="accent5"/>
    </dgm:fillClrLst>
    <dgm:linClrLst meth="repeat">
      <a:schemeClr val="accent5"/>
    </dgm:linClrLst>
    <dgm:effectClrLst/>
    <dgm:txLinClrLst/>
    <dgm:txFillClrLst meth="repeat">
      <a:schemeClr val="tx1"/>
    </dgm:txFillClrLst>
    <dgm:txEffectClrLst/>
  </dgm:styleLbl>
  <dgm:styleLbl name="asst0">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parChTrans2D1">
    <dgm:fillClrLst meth="repeat">
      <a:schemeClr val="accent5">
        <a:tint val="60000"/>
      </a:schemeClr>
    </dgm:fillClrLst>
    <dgm:linClrLst meth="repeat">
      <a:schemeClr val="accent5">
        <a:tint val="60000"/>
      </a:schemeClr>
    </dgm:linClrLst>
    <dgm:effectClrLst/>
    <dgm:txLinClrLst/>
    <dgm:txFillClrLst/>
    <dgm:txEffectClrLst/>
  </dgm:styleLbl>
  <dgm:styleLbl name="parChTrans2D2">
    <dgm:fillClrLst meth="repeat">
      <a:schemeClr val="accent5"/>
    </dgm:fillClrLst>
    <dgm:linClrLst meth="repeat">
      <a:schemeClr val="accent5"/>
    </dgm:linClrLst>
    <dgm:effectClrLst/>
    <dgm:txLinClrLst/>
    <dgm:txFillClrLst/>
    <dgm:txEffectClrLst/>
  </dgm:styleLbl>
  <dgm:styleLbl name="parChTrans2D3">
    <dgm:fillClrLst meth="repeat">
      <a:schemeClr val="accent5"/>
    </dgm:fillClrLst>
    <dgm:linClrLst meth="repeat">
      <a:schemeClr val="accent5"/>
    </dgm:linClrLst>
    <dgm:effectClrLst/>
    <dgm:txLinClrLst/>
    <dgm:txFillClrLst/>
    <dgm:txEffectClrLst/>
  </dgm:styleLbl>
  <dgm:styleLbl name="parChTrans2D4">
    <dgm:fillClrLst meth="repeat">
      <a:schemeClr val="accent5"/>
    </dgm:fillClrLst>
    <dgm:linClrLst meth="repeat">
      <a:schemeClr val="accent5"/>
    </dgm:linClrLst>
    <dgm:effectClrLst/>
    <dgm:txLinClrLst/>
    <dgm:txFillClrLst meth="repeat">
      <a:schemeClr val="lt1"/>
    </dgm:txFillClrLst>
    <dgm:txEffectClrLst/>
  </dgm:styleLbl>
  <dgm:styleLbl name="parChTrans1D1">
    <dgm:fillClrLst meth="repeat">
      <a:schemeClr val="accent5"/>
    </dgm:fillClrLst>
    <dgm:linClrLst meth="repeat">
      <a:schemeClr val="accent5">
        <a:shade val="60000"/>
      </a:schemeClr>
    </dgm:linClrLst>
    <dgm:effectClrLst/>
    <dgm:txLinClrLst/>
    <dgm:txFillClrLst meth="repeat">
      <a:schemeClr val="tx1"/>
    </dgm:txFillClrLst>
    <dgm:txEffectClrLst/>
  </dgm:styleLbl>
  <dgm:styleLbl name="parChTrans1D2">
    <dgm:fillClrLst meth="repeat">
      <a:schemeClr val="accent5"/>
    </dgm:fillClrLst>
    <dgm:linClrLst meth="repeat">
      <a:schemeClr val="accent5">
        <a:shade val="60000"/>
      </a:schemeClr>
    </dgm:linClrLst>
    <dgm:effectClrLst/>
    <dgm:txLinClrLst/>
    <dgm:txFillClrLst meth="repeat">
      <a:schemeClr val="tx1"/>
    </dgm:txFillClrLst>
    <dgm:txEffectClrLst/>
  </dgm:styleLbl>
  <dgm:styleLbl name="parChTrans1D3">
    <dgm:fillClrLst meth="repeat">
      <a:schemeClr val="accent5"/>
    </dgm:fillClrLst>
    <dgm:linClrLst meth="repeat">
      <a:schemeClr val="accent5">
        <a:shade val="80000"/>
      </a:schemeClr>
    </dgm:linClrLst>
    <dgm:effectClrLst/>
    <dgm:txLinClrLst/>
    <dgm:txFillClrLst meth="repeat">
      <a:schemeClr val="tx1"/>
    </dgm:txFillClrLst>
    <dgm:txEffectClrLst/>
  </dgm:styleLbl>
  <dgm:styleLbl name="parChTrans1D4">
    <dgm:fillClrLst meth="repeat">
      <a:schemeClr val="accent5"/>
    </dgm:fillClrLst>
    <dgm:linClrLst meth="repeat">
      <a:schemeClr val="accent5">
        <a:shade val="80000"/>
      </a:schemeClr>
    </dgm:linClrLst>
    <dgm:effectClrLst/>
    <dgm:txLinClrLst/>
    <dgm:txFillClrLst meth="repeat">
      <a:schemeClr val="tx1"/>
    </dgm:txFillClrLst>
    <dgm:txEffectClrLst/>
  </dgm:styleLbl>
  <dgm:styleLbl name="fgAcc1">
    <dgm:fillClrLst meth="repeat">
      <a:schemeClr val="accent5">
        <a:alpha val="90000"/>
        <a:tint val="40000"/>
      </a:schemeClr>
    </dgm:fillClrLst>
    <dgm:linClrLst meth="repeat">
      <a:schemeClr val="accent5"/>
    </dgm:linClrLst>
    <dgm:effectClrLst/>
    <dgm:txLinClrLst/>
    <dgm:txFillClrLst meth="repeat">
      <a:schemeClr val="dk1"/>
    </dgm:txFillClrLst>
    <dgm:txEffectClrLst/>
  </dgm:styleLbl>
  <dgm:styleLbl name="conFgAcc1">
    <dgm:fillClrLst meth="repeat">
      <a:schemeClr val="accent5">
        <a:alpha val="90000"/>
        <a:tint val="40000"/>
      </a:schemeClr>
    </dgm:fillClrLst>
    <dgm:linClrLst meth="repeat">
      <a:schemeClr val="accent5"/>
    </dgm:linClrLst>
    <dgm:effectClrLst/>
    <dgm:txLinClrLst/>
    <dgm:txFillClrLst meth="repeat">
      <a:schemeClr val="dk1"/>
    </dgm:txFillClrLst>
    <dgm:txEffectClrLst/>
  </dgm:styleLbl>
  <dgm:styleLbl name="alignAcc1">
    <dgm:fillClrLst meth="repeat">
      <a:schemeClr val="accent5">
        <a:alpha val="90000"/>
        <a:tint val="40000"/>
      </a:schemeClr>
    </dgm:fillClrLst>
    <dgm:linClrLst meth="repeat">
      <a:schemeClr val="accent5"/>
    </dgm:linClrLst>
    <dgm:effectClrLst/>
    <dgm:txLinClrLst/>
    <dgm:txFillClrLst meth="repeat">
      <a:schemeClr val="dk1"/>
    </dgm:txFillClrLst>
    <dgm:txEffectClrLst/>
  </dgm:styleLbl>
  <dgm:styleLbl name="trAlignAcc1">
    <dgm:fillClrLst meth="repeat">
      <a:schemeClr val="accent5">
        <a:alpha val="40000"/>
        <a:tint val="40000"/>
      </a:schemeClr>
    </dgm:fillClrLst>
    <dgm:linClrLst meth="repeat">
      <a:schemeClr val="accent5"/>
    </dgm:linClrLst>
    <dgm:effectClrLst/>
    <dgm:txLinClrLst/>
    <dgm:txFillClrLst meth="repeat">
      <a:schemeClr val="dk1"/>
    </dgm:txFillClrLst>
    <dgm:txEffectClrLst/>
  </dgm:styleLbl>
  <dgm:styleLbl name="bgAcc1">
    <dgm:fillClrLst meth="repeat">
      <a:schemeClr val="accent5">
        <a:alpha val="90000"/>
        <a:tint val="40000"/>
      </a:schemeClr>
    </dgm:fillClrLst>
    <dgm:linClrLst meth="repeat">
      <a:schemeClr val="accent5"/>
    </dgm:linClrLst>
    <dgm:effectClrLst/>
    <dgm:txLinClrLst/>
    <dgm:txFillClrLst meth="repeat">
      <a:schemeClr val="dk1"/>
    </dgm:txFillClrLst>
    <dgm:txEffectClrLst/>
  </dgm:styleLbl>
  <dgm:styleLbl name="solidFgAcc1">
    <dgm:fillClrLst meth="repeat">
      <a:schemeClr val="lt1"/>
    </dgm:fillClrLst>
    <dgm:linClrLst meth="repeat">
      <a:schemeClr val="accent5"/>
    </dgm:linClrLst>
    <dgm:effectClrLst/>
    <dgm:txLinClrLst/>
    <dgm:txFillClrLst meth="repeat">
      <a:schemeClr val="dk1"/>
    </dgm:txFillClrLst>
    <dgm:txEffectClrLst/>
  </dgm:styleLbl>
  <dgm:styleLbl name="solidAlignAcc1">
    <dgm:fillClrLst meth="repeat">
      <a:schemeClr val="lt1"/>
    </dgm:fillClrLst>
    <dgm:linClrLst meth="repeat">
      <a:schemeClr val="accent5"/>
    </dgm:linClrLst>
    <dgm:effectClrLst/>
    <dgm:txLinClrLst/>
    <dgm:txFillClrLst meth="repeat">
      <a:schemeClr val="dk1"/>
    </dgm:txFillClrLst>
    <dgm:txEffectClrLst/>
  </dgm:styleLbl>
  <dgm:styleLbl name="solidBgAcc1">
    <dgm:fillClrLst meth="repeat">
      <a:schemeClr val="lt1"/>
    </dgm:fillClrLst>
    <dgm:linClrLst meth="repeat">
      <a:schemeClr val="accent5"/>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5">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5">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5">
        <a:alpha val="90000"/>
      </a:schemeClr>
    </dgm:linClrLst>
    <dgm:effectClrLst/>
    <dgm:txLinClrLst/>
    <dgm:txFillClrLst meth="repeat">
      <a:schemeClr val="dk1"/>
    </dgm:txFillClrLst>
    <dgm:txEffectClrLst/>
  </dgm:styleLbl>
  <dgm:styleLbl name="fgAcc0">
    <dgm:fillClrLst meth="repeat">
      <a:schemeClr val="accent5">
        <a:alpha val="90000"/>
        <a:tint val="40000"/>
      </a:schemeClr>
    </dgm:fillClrLst>
    <dgm:linClrLst meth="repeat">
      <a:schemeClr val="accent5"/>
    </dgm:linClrLst>
    <dgm:effectClrLst/>
    <dgm:txLinClrLst/>
    <dgm:txFillClrLst meth="repeat">
      <a:schemeClr val="dk1"/>
    </dgm:txFillClrLst>
    <dgm:txEffectClrLst/>
  </dgm:styleLbl>
  <dgm:styleLbl name="fgAcc2">
    <dgm:fillClrLst meth="repeat">
      <a:schemeClr val="accent5">
        <a:alpha val="90000"/>
        <a:tint val="40000"/>
      </a:schemeClr>
    </dgm:fillClrLst>
    <dgm:linClrLst meth="repeat">
      <a:schemeClr val="accent5"/>
    </dgm:linClrLst>
    <dgm:effectClrLst/>
    <dgm:txLinClrLst/>
    <dgm:txFillClrLst meth="repeat">
      <a:schemeClr val="dk1"/>
    </dgm:txFillClrLst>
    <dgm:txEffectClrLst/>
  </dgm:styleLbl>
  <dgm:styleLbl name="fgAcc3">
    <dgm:fillClrLst meth="repeat">
      <a:schemeClr val="accent5">
        <a:alpha val="90000"/>
        <a:tint val="40000"/>
      </a:schemeClr>
    </dgm:fillClrLst>
    <dgm:linClrLst meth="repeat">
      <a:schemeClr val="accent5"/>
    </dgm:linClrLst>
    <dgm:effectClrLst/>
    <dgm:txLinClrLst/>
    <dgm:txFillClrLst meth="repeat">
      <a:schemeClr val="dk1"/>
    </dgm:txFillClrLst>
    <dgm:txEffectClrLst/>
  </dgm:styleLbl>
  <dgm:styleLbl name="fgAcc4">
    <dgm:fillClrLst meth="repeat">
      <a:schemeClr val="accent5">
        <a:alpha val="90000"/>
        <a:tint val="40000"/>
      </a:schemeClr>
    </dgm:fillClrLst>
    <dgm:linClrLst meth="repeat">
      <a:schemeClr val="accent5"/>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accent5"/>
    </dgm:linClrLst>
    <dgm:effectClrLst/>
    <dgm:txLinClrLst/>
    <dgm:txFillClrLst meth="repeat">
      <a:schemeClr val="dk1"/>
    </dgm:txFillClrLst>
    <dgm:txEffectClrLst/>
  </dgm:styleLbl>
  <dgm:styleLbl name="dkBgShp">
    <dgm:fillClrLst meth="repeat">
      <a:schemeClr val="accent5">
        <a:shade val="80000"/>
      </a:schemeClr>
    </dgm:fillClrLst>
    <dgm:linClrLst meth="repeat">
      <a:schemeClr val="accent5"/>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7E52153-BA97-4550-8BDD-F54C7A9337AD}" type="doc">
      <dgm:prSet loTypeId="urn:microsoft.com/office/officeart/2008/layout/AccentedPicture" loCatId="picture" qsTypeId="urn:microsoft.com/office/officeart/2005/8/quickstyle/simple1" qsCatId="simple" csTypeId="urn:microsoft.com/office/officeart/2005/8/colors/accent5_1" csCatId="accent5" phldr="1"/>
      <dgm:spPr/>
      <dgm:t>
        <a:bodyPr/>
        <a:lstStyle/>
        <a:p>
          <a:endParaRPr lang="en-GB"/>
        </a:p>
      </dgm:t>
    </dgm:pt>
    <dgm:pt modelId="{A315C86C-1DFF-4F4D-B34E-67450A88BC9B}">
      <dgm:prSet phldrT="[Text]" custT="1"/>
      <dgm:spPr/>
      <dgm:t>
        <a:bodyPr/>
        <a:lstStyle/>
        <a:p>
          <a:r>
            <a:rPr lang="en-GB" sz="1100">
              <a:solidFill>
                <a:schemeClr val="tx2">
                  <a:lumMod val="75000"/>
                  <a:lumOff val="25000"/>
                </a:schemeClr>
              </a:solidFill>
            </a:rPr>
            <a:t>CMHS TASKS</a:t>
          </a:r>
        </a:p>
      </dgm:t>
    </dgm:pt>
    <dgm:pt modelId="{09838B75-BB53-433C-BE26-B55A69EA813B}" type="parTrans" cxnId="{3C0655D1-AF31-4A93-831E-47B1439A04B9}">
      <dgm:prSet/>
      <dgm:spPr/>
      <dgm:t>
        <a:bodyPr/>
        <a:lstStyle/>
        <a:p>
          <a:endParaRPr lang="en-GB"/>
        </a:p>
      </dgm:t>
    </dgm:pt>
    <dgm:pt modelId="{A6967267-F109-43D6-AC78-3B91CBA8611E}" type="sibTrans" cxnId="{3C0655D1-AF31-4A93-831E-47B1439A04B9}">
      <dgm:prSet/>
      <dgm:spPr>
        <a:blipFill>
          <a:blip xmlns:r="http://schemas.openxmlformats.org/officeDocument/2006/relationships" r:embed="rId1"/>
          <a:srcRect/>
          <a:stretch>
            <a:fillRect l="-38000" r="-38000"/>
          </a:stretch>
        </a:blipFill>
      </dgm:spPr>
      <dgm:t>
        <a:bodyPr/>
        <a:lstStyle/>
        <a:p>
          <a:endParaRPr lang="en-GB"/>
        </a:p>
      </dgm:t>
    </dgm:pt>
    <dgm:pt modelId="{368C6033-6352-443F-A974-63CE7D62B100}">
      <dgm:prSet phldrT="[Text]" custT="1"/>
      <dgm:spPr/>
      <dgm:t>
        <a:bodyPr/>
        <a:lstStyle/>
        <a:p>
          <a:r>
            <a:rPr lang="en-GB" sz="1000"/>
            <a:t>Checks for symptoms, severity, implications, e.t.c.</a:t>
          </a:r>
        </a:p>
      </dgm:t>
    </dgm:pt>
    <dgm:pt modelId="{18B602D4-CB74-48C1-8432-C473B396DEFF}" type="parTrans" cxnId="{3B5CAB59-BD9A-48AC-942B-5BAD67320772}">
      <dgm:prSet/>
      <dgm:spPr/>
      <dgm:t>
        <a:bodyPr/>
        <a:lstStyle/>
        <a:p>
          <a:endParaRPr lang="en-GB"/>
        </a:p>
      </dgm:t>
    </dgm:pt>
    <dgm:pt modelId="{95DCC0E1-61BF-4A6E-8227-4D70EC0F563D}" type="sibTrans" cxnId="{3B5CAB59-BD9A-48AC-942B-5BAD67320772}">
      <dgm:prSet/>
      <dgm:spPr/>
      <dgm:t>
        <a:bodyPr/>
        <a:lstStyle/>
        <a:p>
          <a:endParaRPr lang="en-GB"/>
        </a:p>
      </dgm:t>
    </dgm:pt>
    <dgm:pt modelId="{6A7B85CF-888D-4F72-A5B5-95F79BD109C6}">
      <dgm:prSet phldrT="[Text]" custT="1"/>
      <dgm:spPr/>
      <dgm:t>
        <a:bodyPr/>
        <a:lstStyle/>
        <a:p>
          <a:r>
            <a:rPr lang="en-GB" sz="1000" u="none"/>
            <a:t>Treatment involving the use of medicines, CBT, lifestlye adjustments e.t.c</a:t>
          </a:r>
        </a:p>
      </dgm:t>
    </dgm:pt>
    <dgm:pt modelId="{B2A55F7B-F851-42A7-9E5D-F747CC092BE6}" type="parTrans" cxnId="{FB899419-3B21-4046-B0BC-DDC4DCA56441}">
      <dgm:prSet/>
      <dgm:spPr/>
      <dgm:t>
        <a:bodyPr/>
        <a:lstStyle/>
        <a:p>
          <a:endParaRPr lang="en-GB"/>
        </a:p>
      </dgm:t>
    </dgm:pt>
    <dgm:pt modelId="{549385BE-0693-4700-B56C-53C8322BCEB5}" type="sibTrans" cxnId="{FB899419-3B21-4046-B0BC-DDC4DCA56441}">
      <dgm:prSet/>
      <dgm:spPr/>
      <dgm:t>
        <a:bodyPr/>
        <a:lstStyle/>
        <a:p>
          <a:endParaRPr lang="en-GB"/>
        </a:p>
      </dgm:t>
    </dgm:pt>
    <dgm:pt modelId="{80297D1A-FF01-45FD-BC04-D5A1218CDEB3}">
      <dgm:prSet phldrT="[Text]" custT="1"/>
      <dgm:spPr/>
      <dgm:t>
        <a:bodyPr/>
        <a:lstStyle/>
        <a:p>
          <a:r>
            <a:rPr lang="en-GB" sz="1000"/>
            <a:t>Ongoing support  to aid recovery, maintain independance, involve patient in society.</a:t>
          </a:r>
        </a:p>
      </dgm:t>
    </dgm:pt>
    <dgm:pt modelId="{FC806D2B-E7A8-4913-810B-B21FAEECF6F4}" type="parTrans" cxnId="{E8D5749D-3190-4592-8C54-A79C77F95BB7}">
      <dgm:prSet/>
      <dgm:spPr/>
      <dgm:t>
        <a:bodyPr/>
        <a:lstStyle/>
        <a:p>
          <a:endParaRPr lang="en-GB"/>
        </a:p>
      </dgm:t>
    </dgm:pt>
    <dgm:pt modelId="{A7FFF57B-61E7-409A-93F2-B6B280C05CDA}" type="sibTrans" cxnId="{E8D5749D-3190-4592-8C54-A79C77F95BB7}">
      <dgm:prSet/>
      <dgm:spPr/>
      <dgm:t>
        <a:bodyPr/>
        <a:lstStyle/>
        <a:p>
          <a:endParaRPr lang="en-GB"/>
        </a:p>
      </dgm:t>
    </dgm:pt>
    <dgm:pt modelId="{7857F605-9484-4FE1-A4FA-75C2A0FD1C46}" type="pres">
      <dgm:prSet presAssocID="{27E52153-BA97-4550-8BDD-F54C7A9337AD}" presName="Name0" presStyleCnt="0">
        <dgm:presLayoutVars>
          <dgm:dir/>
        </dgm:presLayoutVars>
      </dgm:prSet>
      <dgm:spPr/>
    </dgm:pt>
    <dgm:pt modelId="{2074A121-9205-49DC-B8CB-88400E4FD281}" type="pres">
      <dgm:prSet presAssocID="{A6967267-F109-43D6-AC78-3B91CBA8611E}" presName="picture_1" presStyleLbl="bgImgPlace1" presStyleIdx="0" presStyleCnt="1"/>
      <dgm:spPr/>
    </dgm:pt>
    <dgm:pt modelId="{2EDFE37E-181E-4DC7-97E8-71F9D0197DD6}" type="pres">
      <dgm:prSet presAssocID="{A315C86C-1DFF-4F4D-B34E-67450A88BC9B}" presName="text_1" presStyleLbl="node1" presStyleIdx="0" presStyleCnt="0">
        <dgm:presLayoutVars>
          <dgm:bulletEnabled val="1"/>
        </dgm:presLayoutVars>
      </dgm:prSet>
      <dgm:spPr/>
    </dgm:pt>
    <dgm:pt modelId="{CC5C0055-85F9-46D0-802A-49D692830B48}" type="pres">
      <dgm:prSet presAssocID="{27E52153-BA97-4550-8BDD-F54C7A9337AD}" presName="linV" presStyleCnt="0"/>
      <dgm:spPr/>
    </dgm:pt>
    <dgm:pt modelId="{D7891E03-C416-47A1-B7CD-BE863D51CA17}" type="pres">
      <dgm:prSet presAssocID="{368C6033-6352-443F-A974-63CE7D62B100}" presName="pair" presStyleCnt="0"/>
      <dgm:spPr/>
    </dgm:pt>
    <dgm:pt modelId="{4CD19113-2035-4A13-B50B-899506EFDC9E}" type="pres">
      <dgm:prSet presAssocID="{368C6033-6352-443F-A974-63CE7D62B100}" presName="spaceH" presStyleLbl="node1" presStyleIdx="0" presStyleCnt="0"/>
      <dgm:spPr/>
    </dgm:pt>
    <dgm:pt modelId="{B3D9FDF2-00ED-4F4D-9C26-A6F19A235413}" type="pres">
      <dgm:prSet presAssocID="{368C6033-6352-443F-A974-63CE7D62B100}" presName="desPictures" presStyleLbl="alignImgPlace1" presStyleIdx="0" presStyleCnt="3"/>
      <dgm:spPr>
        <a:blipFill>
          <a:blip xmlns:r="http://schemas.openxmlformats.org/officeDocument/2006/relationships" r:embed="rId2"/>
          <a:srcRect/>
          <a:stretch>
            <a:fillRect l="-25000" r="-25000"/>
          </a:stretch>
        </a:blipFill>
      </dgm:spPr>
    </dgm:pt>
    <dgm:pt modelId="{D2D43215-484E-408E-802C-BC95CB47A59B}" type="pres">
      <dgm:prSet presAssocID="{368C6033-6352-443F-A974-63CE7D62B100}" presName="desTextWrapper" presStyleCnt="0"/>
      <dgm:spPr/>
    </dgm:pt>
    <dgm:pt modelId="{C2727E50-FAFE-4F47-9621-DD8ACAFA5BFF}" type="pres">
      <dgm:prSet presAssocID="{368C6033-6352-443F-A974-63CE7D62B100}" presName="desText" presStyleLbl="revTx" presStyleIdx="0" presStyleCnt="3">
        <dgm:presLayoutVars>
          <dgm:bulletEnabled val="1"/>
        </dgm:presLayoutVars>
      </dgm:prSet>
      <dgm:spPr/>
    </dgm:pt>
    <dgm:pt modelId="{0DAF266D-560A-427D-8BF9-D7B82B968922}" type="pres">
      <dgm:prSet presAssocID="{95DCC0E1-61BF-4A6E-8227-4D70EC0F563D}" presName="spaceV" presStyleCnt="0"/>
      <dgm:spPr/>
    </dgm:pt>
    <dgm:pt modelId="{95A0B6FF-3937-47FB-9F37-3A627116DC1F}" type="pres">
      <dgm:prSet presAssocID="{6A7B85CF-888D-4F72-A5B5-95F79BD109C6}" presName="pair" presStyleCnt="0"/>
      <dgm:spPr/>
    </dgm:pt>
    <dgm:pt modelId="{FFDB8F21-A7C9-44F0-B77A-06F14EB7E831}" type="pres">
      <dgm:prSet presAssocID="{6A7B85CF-888D-4F72-A5B5-95F79BD109C6}" presName="spaceH" presStyleLbl="node1" presStyleIdx="0" presStyleCnt="0"/>
      <dgm:spPr/>
    </dgm:pt>
    <dgm:pt modelId="{711EDD62-01C4-4813-980F-571E6AB64210}" type="pres">
      <dgm:prSet presAssocID="{6A7B85CF-888D-4F72-A5B5-95F79BD109C6}" presName="desPictures" presStyleLbl="alignImgPlace1" presStyleIdx="1" presStyleCnt="3"/>
      <dgm:spPr>
        <a:blipFill>
          <a:blip xmlns:r="http://schemas.openxmlformats.org/officeDocument/2006/relationships" r:embed="rId3"/>
          <a:srcRect/>
          <a:stretch>
            <a:fillRect l="-25000" r="-25000"/>
          </a:stretch>
        </a:blipFill>
      </dgm:spPr>
      <dgm:extLst>
        <a:ext uri="{E40237B7-FDA0-4F09-8148-C483321AD2D9}">
          <dgm14:cNvPr xmlns:dgm14="http://schemas.microsoft.com/office/drawing/2010/diagram" id="0" name="" descr="Person using iPad"/>
        </a:ext>
      </dgm:extLst>
    </dgm:pt>
    <dgm:pt modelId="{C76471C3-FF82-4F9C-9FF7-2E10EC3E5628}" type="pres">
      <dgm:prSet presAssocID="{6A7B85CF-888D-4F72-A5B5-95F79BD109C6}" presName="desTextWrapper" presStyleCnt="0"/>
      <dgm:spPr/>
    </dgm:pt>
    <dgm:pt modelId="{E4891E9A-A91C-44FE-B4C2-8527A0233E4A}" type="pres">
      <dgm:prSet presAssocID="{6A7B85CF-888D-4F72-A5B5-95F79BD109C6}" presName="desText" presStyleLbl="revTx" presStyleIdx="1" presStyleCnt="3">
        <dgm:presLayoutVars>
          <dgm:bulletEnabled val="1"/>
        </dgm:presLayoutVars>
      </dgm:prSet>
      <dgm:spPr/>
    </dgm:pt>
    <dgm:pt modelId="{68A363BA-1832-43BC-B1C3-1EE5E1F911A7}" type="pres">
      <dgm:prSet presAssocID="{549385BE-0693-4700-B56C-53C8322BCEB5}" presName="spaceV" presStyleCnt="0"/>
      <dgm:spPr/>
    </dgm:pt>
    <dgm:pt modelId="{36E20B3F-FED0-49DE-98EB-EEB60EF347F9}" type="pres">
      <dgm:prSet presAssocID="{80297D1A-FF01-45FD-BC04-D5A1218CDEB3}" presName="pair" presStyleCnt="0"/>
      <dgm:spPr/>
    </dgm:pt>
    <dgm:pt modelId="{AE548B95-69B6-41F5-ABB8-9DF73ECD827E}" type="pres">
      <dgm:prSet presAssocID="{80297D1A-FF01-45FD-BC04-D5A1218CDEB3}" presName="spaceH" presStyleLbl="node1" presStyleIdx="0" presStyleCnt="0"/>
      <dgm:spPr/>
    </dgm:pt>
    <dgm:pt modelId="{16075810-F759-434B-A867-CDFDB1F06FD0}" type="pres">
      <dgm:prSet presAssocID="{80297D1A-FF01-45FD-BC04-D5A1218CDEB3}" presName="desPictures" presStyleLbl="alignImgPlace1" presStyleIdx="2" presStyleCnt="3"/>
      <dgm:spPr>
        <a:blipFill>
          <a:blip xmlns:r="http://schemas.openxmlformats.org/officeDocument/2006/relationships" r:embed="rId4"/>
          <a:srcRect/>
          <a:stretch>
            <a:fillRect l="-25000" r="-25000"/>
          </a:stretch>
        </a:blipFill>
      </dgm:spPr>
      <dgm:extLst>
        <a:ext uri="{E40237B7-FDA0-4F09-8148-C483321AD2D9}">
          <dgm14:cNvPr xmlns:dgm14="http://schemas.microsoft.com/office/drawing/2010/diagram" id="0" name="" descr="People in group therapy"/>
        </a:ext>
      </dgm:extLst>
    </dgm:pt>
    <dgm:pt modelId="{3A502229-39AA-421D-A713-E7C0B606E9EA}" type="pres">
      <dgm:prSet presAssocID="{80297D1A-FF01-45FD-BC04-D5A1218CDEB3}" presName="desTextWrapper" presStyleCnt="0"/>
      <dgm:spPr/>
    </dgm:pt>
    <dgm:pt modelId="{834B8FFC-B941-4CB7-8AC7-3D684D5940F6}" type="pres">
      <dgm:prSet presAssocID="{80297D1A-FF01-45FD-BC04-D5A1218CDEB3}" presName="desText" presStyleLbl="revTx" presStyleIdx="2" presStyleCnt="3">
        <dgm:presLayoutVars>
          <dgm:bulletEnabled val="1"/>
        </dgm:presLayoutVars>
      </dgm:prSet>
      <dgm:spPr/>
    </dgm:pt>
    <dgm:pt modelId="{DC1CB343-B584-4BE5-A98F-C4B73F867715}" type="pres">
      <dgm:prSet presAssocID="{27E52153-BA97-4550-8BDD-F54C7A9337AD}" presName="maxNode" presStyleCnt="0"/>
      <dgm:spPr/>
    </dgm:pt>
    <dgm:pt modelId="{1EB98149-B32C-40BE-B935-4F9D308515B4}" type="pres">
      <dgm:prSet presAssocID="{27E52153-BA97-4550-8BDD-F54C7A9337AD}" presName="Name33" presStyleCnt="0"/>
      <dgm:spPr/>
    </dgm:pt>
  </dgm:ptLst>
  <dgm:cxnLst>
    <dgm:cxn modelId="{FB899419-3B21-4046-B0BC-DDC4DCA56441}" srcId="{27E52153-BA97-4550-8BDD-F54C7A9337AD}" destId="{6A7B85CF-888D-4F72-A5B5-95F79BD109C6}" srcOrd="2" destOrd="0" parTransId="{B2A55F7B-F851-42A7-9E5D-F747CC092BE6}" sibTransId="{549385BE-0693-4700-B56C-53C8322BCEB5}"/>
    <dgm:cxn modelId="{DBBAFA3A-6D48-4B85-8A5E-7C064A915E99}" type="presOf" srcId="{27E52153-BA97-4550-8BDD-F54C7A9337AD}" destId="{7857F605-9484-4FE1-A4FA-75C2A0FD1C46}" srcOrd="0" destOrd="0" presId="urn:microsoft.com/office/officeart/2008/layout/AccentedPicture"/>
    <dgm:cxn modelId="{222E8072-49FE-4505-BE60-EDAB811A79EF}" type="presOf" srcId="{A315C86C-1DFF-4F4D-B34E-67450A88BC9B}" destId="{2EDFE37E-181E-4DC7-97E8-71F9D0197DD6}" srcOrd="0" destOrd="0" presId="urn:microsoft.com/office/officeart/2008/layout/AccentedPicture"/>
    <dgm:cxn modelId="{3B5CAB59-BD9A-48AC-942B-5BAD67320772}" srcId="{27E52153-BA97-4550-8BDD-F54C7A9337AD}" destId="{368C6033-6352-443F-A974-63CE7D62B100}" srcOrd="1" destOrd="0" parTransId="{18B602D4-CB74-48C1-8432-C473B396DEFF}" sibTransId="{95DCC0E1-61BF-4A6E-8227-4D70EC0F563D}"/>
    <dgm:cxn modelId="{6E47207F-7951-4260-A8B7-474E4576B8C0}" type="presOf" srcId="{A6967267-F109-43D6-AC78-3B91CBA8611E}" destId="{2074A121-9205-49DC-B8CB-88400E4FD281}" srcOrd="0" destOrd="0" presId="urn:microsoft.com/office/officeart/2008/layout/AccentedPicture"/>
    <dgm:cxn modelId="{A19E058E-EE0B-474B-99AF-3ED9DBACD866}" type="presOf" srcId="{80297D1A-FF01-45FD-BC04-D5A1218CDEB3}" destId="{834B8FFC-B941-4CB7-8AC7-3D684D5940F6}" srcOrd="0" destOrd="0" presId="urn:microsoft.com/office/officeart/2008/layout/AccentedPicture"/>
    <dgm:cxn modelId="{5746F99A-AA83-427B-8F04-659ABBA03664}" type="presOf" srcId="{368C6033-6352-443F-A974-63CE7D62B100}" destId="{C2727E50-FAFE-4F47-9621-DD8ACAFA5BFF}" srcOrd="0" destOrd="0" presId="urn:microsoft.com/office/officeart/2008/layout/AccentedPicture"/>
    <dgm:cxn modelId="{E8D5749D-3190-4592-8C54-A79C77F95BB7}" srcId="{27E52153-BA97-4550-8BDD-F54C7A9337AD}" destId="{80297D1A-FF01-45FD-BC04-D5A1218CDEB3}" srcOrd="3" destOrd="0" parTransId="{FC806D2B-E7A8-4913-810B-B21FAEECF6F4}" sibTransId="{A7FFF57B-61E7-409A-93F2-B6B280C05CDA}"/>
    <dgm:cxn modelId="{3C0655D1-AF31-4A93-831E-47B1439A04B9}" srcId="{27E52153-BA97-4550-8BDD-F54C7A9337AD}" destId="{A315C86C-1DFF-4F4D-B34E-67450A88BC9B}" srcOrd="0" destOrd="0" parTransId="{09838B75-BB53-433C-BE26-B55A69EA813B}" sibTransId="{A6967267-F109-43D6-AC78-3B91CBA8611E}"/>
    <dgm:cxn modelId="{9C8E82EE-8076-4047-8FCB-012716896180}" type="presOf" srcId="{6A7B85CF-888D-4F72-A5B5-95F79BD109C6}" destId="{E4891E9A-A91C-44FE-B4C2-8527A0233E4A}" srcOrd="0" destOrd="0" presId="urn:microsoft.com/office/officeart/2008/layout/AccentedPicture"/>
    <dgm:cxn modelId="{6B1EEE39-A169-474C-A612-0D885718F7DF}" type="presParOf" srcId="{7857F605-9484-4FE1-A4FA-75C2A0FD1C46}" destId="{2074A121-9205-49DC-B8CB-88400E4FD281}" srcOrd="0" destOrd="0" presId="urn:microsoft.com/office/officeart/2008/layout/AccentedPicture"/>
    <dgm:cxn modelId="{15B33C22-8C96-413D-9270-3F4EF545CE6F}" type="presParOf" srcId="{7857F605-9484-4FE1-A4FA-75C2A0FD1C46}" destId="{2EDFE37E-181E-4DC7-97E8-71F9D0197DD6}" srcOrd="1" destOrd="0" presId="urn:microsoft.com/office/officeart/2008/layout/AccentedPicture"/>
    <dgm:cxn modelId="{73AE8DA4-3422-4E37-A9EB-DAA5AC12DC80}" type="presParOf" srcId="{7857F605-9484-4FE1-A4FA-75C2A0FD1C46}" destId="{CC5C0055-85F9-46D0-802A-49D692830B48}" srcOrd="2" destOrd="0" presId="urn:microsoft.com/office/officeart/2008/layout/AccentedPicture"/>
    <dgm:cxn modelId="{0CF6D32E-4A6C-4F9B-B69E-0C79A9E0F485}" type="presParOf" srcId="{CC5C0055-85F9-46D0-802A-49D692830B48}" destId="{D7891E03-C416-47A1-B7CD-BE863D51CA17}" srcOrd="0" destOrd="0" presId="urn:microsoft.com/office/officeart/2008/layout/AccentedPicture"/>
    <dgm:cxn modelId="{33E3FB3D-7F92-41AB-81AC-BBFF46DBC179}" type="presParOf" srcId="{D7891E03-C416-47A1-B7CD-BE863D51CA17}" destId="{4CD19113-2035-4A13-B50B-899506EFDC9E}" srcOrd="0" destOrd="0" presId="urn:microsoft.com/office/officeart/2008/layout/AccentedPicture"/>
    <dgm:cxn modelId="{7D771634-E6BD-4F8B-8062-C8B8C92F7D62}" type="presParOf" srcId="{D7891E03-C416-47A1-B7CD-BE863D51CA17}" destId="{B3D9FDF2-00ED-4F4D-9C26-A6F19A235413}" srcOrd="1" destOrd="0" presId="urn:microsoft.com/office/officeart/2008/layout/AccentedPicture"/>
    <dgm:cxn modelId="{68DBF64B-0E6D-4F53-A097-1FB39EF738A1}" type="presParOf" srcId="{D7891E03-C416-47A1-B7CD-BE863D51CA17}" destId="{D2D43215-484E-408E-802C-BC95CB47A59B}" srcOrd="2" destOrd="0" presId="urn:microsoft.com/office/officeart/2008/layout/AccentedPicture"/>
    <dgm:cxn modelId="{43008AE5-ECD1-42D6-98AC-9D4EAFE65A30}" type="presParOf" srcId="{D2D43215-484E-408E-802C-BC95CB47A59B}" destId="{C2727E50-FAFE-4F47-9621-DD8ACAFA5BFF}" srcOrd="0" destOrd="0" presId="urn:microsoft.com/office/officeart/2008/layout/AccentedPicture"/>
    <dgm:cxn modelId="{87AD4955-1FD1-4CF2-8C75-640C9B404763}" type="presParOf" srcId="{CC5C0055-85F9-46D0-802A-49D692830B48}" destId="{0DAF266D-560A-427D-8BF9-D7B82B968922}" srcOrd="1" destOrd="0" presId="urn:microsoft.com/office/officeart/2008/layout/AccentedPicture"/>
    <dgm:cxn modelId="{BE9C90B5-DD0F-4CDD-A9B4-4B1556F0D098}" type="presParOf" srcId="{CC5C0055-85F9-46D0-802A-49D692830B48}" destId="{95A0B6FF-3937-47FB-9F37-3A627116DC1F}" srcOrd="2" destOrd="0" presId="urn:microsoft.com/office/officeart/2008/layout/AccentedPicture"/>
    <dgm:cxn modelId="{3F00E3B3-986E-417F-9D41-CA665A006DF3}" type="presParOf" srcId="{95A0B6FF-3937-47FB-9F37-3A627116DC1F}" destId="{FFDB8F21-A7C9-44F0-B77A-06F14EB7E831}" srcOrd="0" destOrd="0" presId="urn:microsoft.com/office/officeart/2008/layout/AccentedPicture"/>
    <dgm:cxn modelId="{E6E0B337-8692-4E68-8CAF-301A33984D49}" type="presParOf" srcId="{95A0B6FF-3937-47FB-9F37-3A627116DC1F}" destId="{711EDD62-01C4-4813-980F-571E6AB64210}" srcOrd="1" destOrd="0" presId="urn:microsoft.com/office/officeart/2008/layout/AccentedPicture"/>
    <dgm:cxn modelId="{EE9D6F25-A757-4A25-B86E-E12E0F92A7BA}" type="presParOf" srcId="{95A0B6FF-3937-47FB-9F37-3A627116DC1F}" destId="{C76471C3-FF82-4F9C-9FF7-2E10EC3E5628}" srcOrd="2" destOrd="0" presId="urn:microsoft.com/office/officeart/2008/layout/AccentedPicture"/>
    <dgm:cxn modelId="{F8B83308-EE78-4787-AEB3-2E8ECDF222BA}" type="presParOf" srcId="{C76471C3-FF82-4F9C-9FF7-2E10EC3E5628}" destId="{E4891E9A-A91C-44FE-B4C2-8527A0233E4A}" srcOrd="0" destOrd="0" presId="urn:microsoft.com/office/officeart/2008/layout/AccentedPicture"/>
    <dgm:cxn modelId="{EA8CC85D-C5F3-43C1-88FA-0E64D6B9A6FC}" type="presParOf" srcId="{CC5C0055-85F9-46D0-802A-49D692830B48}" destId="{68A363BA-1832-43BC-B1C3-1EE5E1F911A7}" srcOrd="3" destOrd="0" presId="urn:microsoft.com/office/officeart/2008/layout/AccentedPicture"/>
    <dgm:cxn modelId="{5CA850BA-88A3-4DD8-AC39-9D0B6A334933}" type="presParOf" srcId="{CC5C0055-85F9-46D0-802A-49D692830B48}" destId="{36E20B3F-FED0-49DE-98EB-EEB60EF347F9}" srcOrd="4" destOrd="0" presId="urn:microsoft.com/office/officeart/2008/layout/AccentedPicture"/>
    <dgm:cxn modelId="{8CEF3A19-C1B4-4740-BF70-EDC89F2D6E57}" type="presParOf" srcId="{36E20B3F-FED0-49DE-98EB-EEB60EF347F9}" destId="{AE548B95-69B6-41F5-ABB8-9DF73ECD827E}" srcOrd="0" destOrd="0" presId="urn:microsoft.com/office/officeart/2008/layout/AccentedPicture"/>
    <dgm:cxn modelId="{63287294-ABAF-4AA1-9C7E-AF39BFC5F90F}" type="presParOf" srcId="{36E20B3F-FED0-49DE-98EB-EEB60EF347F9}" destId="{16075810-F759-434B-A867-CDFDB1F06FD0}" srcOrd="1" destOrd="0" presId="urn:microsoft.com/office/officeart/2008/layout/AccentedPicture"/>
    <dgm:cxn modelId="{07A96160-3026-4A1A-AE4D-C8622698123B}" type="presParOf" srcId="{36E20B3F-FED0-49DE-98EB-EEB60EF347F9}" destId="{3A502229-39AA-421D-A713-E7C0B606E9EA}" srcOrd="2" destOrd="0" presId="urn:microsoft.com/office/officeart/2008/layout/AccentedPicture"/>
    <dgm:cxn modelId="{DA048EB0-8A1D-4E38-8CC0-F2906B8D7F9C}" type="presParOf" srcId="{3A502229-39AA-421D-A713-E7C0B606E9EA}" destId="{834B8FFC-B941-4CB7-8AC7-3D684D5940F6}" srcOrd="0" destOrd="0" presId="urn:microsoft.com/office/officeart/2008/layout/AccentedPicture"/>
    <dgm:cxn modelId="{E7F4915A-3A0E-41A9-BA8B-91064660DECF}" type="presParOf" srcId="{7857F605-9484-4FE1-A4FA-75C2A0FD1C46}" destId="{DC1CB343-B584-4BE5-A98F-C4B73F867715}" srcOrd="3" destOrd="0" presId="urn:microsoft.com/office/officeart/2008/layout/AccentedPicture"/>
    <dgm:cxn modelId="{5FD1530E-BEF3-4107-BE74-50CAD562BC93}" type="presParOf" srcId="{DC1CB343-B584-4BE5-A98F-C4B73F867715}" destId="{1EB98149-B32C-40BE-B935-4F9D308515B4}" srcOrd="0" destOrd="0" presId="urn:microsoft.com/office/officeart/2008/layout/AccentedPicture"/>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F6567208-1A04-441A-932D-6631DEACAF59}" type="doc">
      <dgm:prSet loTypeId="urn:microsoft.com/office/officeart/2005/8/layout/list1" loCatId="list" qsTypeId="urn:microsoft.com/office/officeart/2005/8/quickstyle/simple1" qsCatId="simple" csTypeId="urn:microsoft.com/office/officeart/2005/8/colors/accent1_2" csCatId="accent1" phldr="1"/>
      <dgm:spPr/>
      <dgm:t>
        <a:bodyPr/>
        <a:lstStyle/>
        <a:p>
          <a:endParaRPr lang="en-GB"/>
        </a:p>
      </dgm:t>
    </dgm:pt>
    <dgm:pt modelId="{ABE8D5C1-7CA5-4E85-964C-E4D041102E47}">
      <dgm:prSet phldrT="[Text]"/>
      <dgm:spPr/>
      <dgm:t>
        <a:bodyPr/>
        <a:lstStyle/>
        <a:p>
          <a:r>
            <a:rPr lang="en-GB"/>
            <a:t>Mental health assessments</a:t>
          </a:r>
        </a:p>
      </dgm:t>
    </dgm:pt>
    <dgm:pt modelId="{6C283587-6018-4F6C-81F8-ABE0FA7BECE3}" type="parTrans" cxnId="{739ACEE4-B5C9-46EB-AB23-1E264A354C49}">
      <dgm:prSet/>
      <dgm:spPr/>
      <dgm:t>
        <a:bodyPr/>
        <a:lstStyle/>
        <a:p>
          <a:endParaRPr lang="en-GB"/>
        </a:p>
      </dgm:t>
    </dgm:pt>
    <dgm:pt modelId="{32CFF54F-F4D7-4BA1-9E99-5D17C6E4D93C}" type="sibTrans" cxnId="{739ACEE4-B5C9-46EB-AB23-1E264A354C49}">
      <dgm:prSet/>
      <dgm:spPr/>
      <dgm:t>
        <a:bodyPr/>
        <a:lstStyle/>
        <a:p>
          <a:endParaRPr lang="en-GB"/>
        </a:p>
      </dgm:t>
    </dgm:pt>
    <dgm:pt modelId="{7BCE7EF3-1BC5-4667-8B35-80FA95005D72}">
      <dgm:prSet phldrT="[Text]"/>
      <dgm:spPr/>
      <dgm:t>
        <a:bodyPr/>
        <a:lstStyle/>
        <a:p>
          <a:r>
            <a:rPr lang="en-GB"/>
            <a:t>Crisis intervention</a:t>
          </a:r>
        </a:p>
      </dgm:t>
    </dgm:pt>
    <dgm:pt modelId="{9AA9A43A-4747-4F46-BB27-35C2B5B68DF8}" type="parTrans" cxnId="{25D9FDCD-421B-4F37-AA4A-5948466CD926}">
      <dgm:prSet/>
      <dgm:spPr/>
      <dgm:t>
        <a:bodyPr/>
        <a:lstStyle/>
        <a:p>
          <a:endParaRPr lang="en-GB"/>
        </a:p>
      </dgm:t>
    </dgm:pt>
    <dgm:pt modelId="{5495EB46-1EF4-4010-AF5E-52D3E82F5703}" type="sibTrans" cxnId="{25D9FDCD-421B-4F37-AA4A-5948466CD926}">
      <dgm:prSet/>
      <dgm:spPr/>
      <dgm:t>
        <a:bodyPr/>
        <a:lstStyle/>
        <a:p>
          <a:endParaRPr lang="en-GB"/>
        </a:p>
      </dgm:t>
    </dgm:pt>
    <dgm:pt modelId="{A2C4A56D-DC0B-4331-A560-9050D176AC41}">
      <dgm:prSet/>
      <dgm:spPr/>
      <dgm:t>
        <a:bodyPr/>
        <a:lstStyle/>
        <a:p>
          <a:r>
            <a:rPr lang="en-GB"/>
            <a:t>Medication management</a:t>
          </a:r>
        </a:p>
      </dgm:t>
    </dgm:pt>
    <dgm:pt modelId="{D83DA3CF-BC98-4D66-9CAB-63A937EA9C92}" type="parTrans" cxnId="{32E4C59B-5159-4AC1-A3D1-C81F3A690566}">
      <dgm:prSet/>
      <dgm:spPr/>
      <dgm:t>
        <a:bodyPr/>
        <a:lstStyle/>
        <a:p>
          <a:endParaRPr lang="en-GB"/>
        </a:p>
      </dgm:t>
    </dgm:pt>
    <dgm:pt modelId="{B39C2508-DA00-4B5A-B2EF-7C3ED5A38AEB}" type="sibTrans" cxnId="{32E4C59B-5159-4AC1-A3D1-C81F3A690566}">
      <dgm:prSet/>
      <dgm:spPr/>
      <dgm:t>
        <a:bodyPr/>
        <a:lstStyle/>
        <a:p>
          <a:endParaRPr lang="en-GB"/>
        </a:p>
      </dgm:t>
    </dgm:pt>
    <dgm:pt modelId="{44475220-204E-4DED-9371-A839C882E42B}">
      <dgm:prSet/>
      <dgm:spPr/>
      <dgm:t>
        <a:bodyPr/>
        <a:lstStyle/>
        <a:p>
          <a:r>
            <a:rPr lang="en-GB"/>
            <a:t>Psycological therapies</a:t>
          </a:r>
        </a:p>
      </dgm:t>
    </dgm:pt>
    <dgm:pt modelId="{25F8A790-EC74-4420-AF5B-B1EC98FE5020}" type="parTrans" cxnId="{3F2F1342-31A8-44AD-8818-ACD38ACA8A6B}">
      <dgm:prSet/>
      <dgm:spPr/>
      <dgm:t>
        <a:bodyPr/>
        <a:lstStyle/>
        <a:p>
          <a:endParaRPr lang="en-GB"/>
        </a:p>
      </dgm:t>
    </dgm:pt>
    <dgm:pt modelId="{4D17374B-2CC5-45BD-A63D-8858E24EC842}" type="sibTrans" cxnId="{3F2F1342-31A8-44AD-8818-ACD38ACA8A6B}">
      <dgm:prSet/>
      <dgm:spPr/>
      <dgm:t>
        <a:bodyPr/>
        <a:lstStyle/>
        <a:p>
          <a:endParaRPr lang="en-GB"/>
        </a:p>
      </dgm:t>
    </dgm:pt>
    <dgm:pt modelId="{8B374E66-72F7-4E48-A3A5-7E9A9A042936}">
      <dgm:prSet/>
      <dgm:spPr/>
      <dgm:t>
        <a:bodyPr/>
        <a:lstStyle/>
        <a:p>
          <a:r>
            <a:rPr lang="en-GB"/>
            <a:t>Social care and needs support.</a:t>
          </a:r>
        </a:p>
      </dgm:t>
    </dgm:pt>
    <dgm:pt modelId="{B5E67D35-7BA1-40D9-AB10-6A8936AA297D}" type="parTrans" cxnId="{CB405029-442C-4197-8595-83329DF4946E}">
      <dgm:prSet/>
      <dgm:spPr/>
      <dgm:t>
        <a:bodyPr/>
        <a:lstStyle/>
        <a:p>
          <a:endParaRPr lang="en-GB"/>
        </a:p>
      </dgm:t>
    </dgm:pt>
    <dgm:pt modelId="{7E9534AA-E50B-4834-90FC-44CF15CBA03B}" type="sibTrans" cxnId="{CB405029-442C-4197-8595-83329DF4946E}">
      <dgm:prSet/>
      <dgm:spPr/>
      <dgm:t>
        <a:bodyPr/>
        <a:lstStyle/>
        <a:p>
          <a:endParaRPr lang="en-GB"/>
        </a:p>
      </dgm:t>
    </dgm:pt>
    <dgm:pt modelId="{68578327-DE8C-410C-8744-A0751949B139}" type="pres">
      <dgm:prSet presAssocID="{F6567208-1A04-441A-932D-6631DEACAF59}" presName="linear" presStyleCnt="0">
        <dgm:presLayoutVars>
          <dgm:dir/>
          <dgm:animLvl val="lvl"/>
          <dgm:resizeHandles val="exact"/>
        </dgm:presLayoutVars>
      </dgm:prSet>
      <dgm:spPr/>
    </dgm:pt>
    <dgm:pt modelId="{F28A80F1-BF79-45A1-A11E-8527627D9A01}" type="pres">
      <dgm:prSet presAssocID="{ABE8D5C1-7CA5-4E85-964C-E4D041102E47}" presName="parentLin" presStyleCnt="0"/>
      <dgm:spPr/>
    </dgm:pt>
    <dgm:pt modelId="{6DDEF75C-9ECC-4649-B658-ACE555FB4F72}" type="pres">
      <dgm:prSet presAssocID="{ABE8D5C1-7CA5-4E85-964C-E4D041102E47}" presName="parentLeftMargin" presStyleLbl="node1" presStyleIdx="0" presStyleCnt="5"/>
      <dgm:spPr/>
    </dgm:pt>
    <dgm:pt modelId="{178E93CD-5E2A-4D86-8AE3-889F24CA0C0B}" type="pres">
      <dgm:prSet presAssocID="{ABE8D5C1-7CA5-4E85-964C-E4D041102E47}" presName="parentText" presStyleLbl="node1" presStyleIdx="0" presStyleCnt="5">
        <dgm:presLayoutVars>
          <dgm:chMax val="0"/>
          <dgm:bulletEnabled val="1"/>
        </dgm:presLayoutVars>
      </dgm:prSet>
      <dgm:spPr/>
    </dgm:pt>
    <dgm:pt modelId="{EFADCEB0-B378-40F4-ACB5-0FF628A57743}" type="pres">
      <dgm:prSet presAssocID="{ABE8D5C1-7CA5-4E85-964C-E4D041102E47}" presName="negativeSpace" presStyleCnt="0"/>
      <dgm:spPr/>
    </dgm:pt>
    <dgm:pt modelId="{DC18F66D-C855-47C0-BF66-F1F634F7E503}" type="pres">
      <dgm:prSet presAssocID="{ABE8D5C1-7CA5-4E85-964C-E4D041102E47}" presName="childText" presStyleLbl="conFgAcc1" presStyleIdx="0" presStyleCnt="5">
        <dgm:presLayoutVars>
          <dgm:bulletEnabled val="1"/>
        </dgm:presLayoutVars>
      </dgm:prSet>
      <dgm:spPr/>
    </dgm:pt>
    <dgm:pt modelId="{F6F792CF-BDB1-43C3-8506-B585716353E2}" type="pres">
      <dgm:prSet presAssocID="{32CFF54F-F4D7-4BA1-9E99-5D17C6E4D93C}" presName="spaceBetweenRectangles" presStyleCnt="0"/>
      <dgm:spPr/>
    </dgm:pt>
    <dgm:pt modelId="{8B818821-E369-49CE-A2FF-FB8DAC4B80D2}" type="pres">
      <dgm:prSet presAssocID="{A2C4A56D-DC0B-4331-A560-9050D176AC41}" presName="parentLin" presStyleCnt="0"/>
      <dgm:spPr/>
    </dgm:pt>
    <dgm:pt modelId="{E8193FFC-9206-41E0-AEF0-6B78FE662633}" type="pres">
      <dgm:prSet presAssocID="{A2C4A56D-DC0B-4331-A560-9050D176AC41}" presName="parentLeftMargin" presStyleLbl="node1" presStyleIdx="0" presStyleCnt="5"/>
      <dgm:spPr/>
    </dgm:pt>
    <dgm:pt modelId="{3F6A5130-4A30-4A8C-9A0B-1E362B4C6831}" type="pres">
      <dgm:prSet presAssocID="{A2C4A56D-DC0B-4331-A560-9050D176AC41}" presName="parentText" presStyleLbl="node1" presStyleIdx="1" presStyleCnt="5">
        <dgm:presLayoutVars>
          <dgm:chMax val="0"/>
          <dgm:bulletEnabled val="1"/>
        </dgm:presLayoutVars>
      </dgm:prSet>
      <dgm:spPr/>
    </dgm:pt>
    <dgm:pt modelId="{89494F18-EE3A-4417-8622-D97E61019F03}" type="pres">
      <dgm:prSet presAssocID="{A2C4A56D-DC0B-4331-A560-9050D176AC41}" presName="negativeSpace" presStyleCnt="0"/>
      <dgm:spPr/>
    </dgm:pt>
    <dgm:pt modelId="{13E737AF-642F-474F-96A7-48BEA00547FB}" type="pres">
      <dgm:prSet presAssocID="{A2C4A56D-DC0B-4331-A560-9050D176AC41}" presName="childText" presStyleLbl="conFgAcc1" presStyleIdx="1" presStyleCnt="5">
        <dgm:presLayoutVars>
          <dgm:bulletEnabled val="1"/>
        </dgm:presLayoutVars>
      </dgm:prSet>
      <dgm:spPr/>
    </dgm:pt>
    <dgm:pt modelId="{D6637135-143E-4CB8-8C00-70AAA8D3FB52}" type="pres">
      <dgm:prSet presAssocID="{B39C2508-DA00-4B5A-B2EF-7C3ED5A38AEB}" presName="spaceBetweenRectangles" presStyleCnt="0"/>
      <dgm:spPr/>
    </dgm:pt>
    <dgm:pt modelId="{CF1DE6F3-C4B3-4707-A9AD-B72C45948F06}" type="pres">
      <dgm:prSet presAssocID="{44475220-204E-4DED-9371-A839C882E42B}" presName="parentLin" presStyleCnt="0"/>
      <dgm:spPr/>
    </dgm:pt>
    <dgm:pt modelId="{295DE9BB-703E-4BD6-99F2-09BFD22B8224}" type="pres">
      <dgm:prSet presAssocID="{44475220-204E-4DED-9371-A839C882E42B}" presName="parentLeftMargin" presStyleLbl="node1" presStyleIdx="1" presStyleCnt="5"/>
      <dgm:spPr/>
    </dgm:pt>
    <dgm:pt modelId="{D7089C56-E739-43D3-A8B7-C2B9233905C7}" type="pres">
      <dgm:prSet presAssocID="{44475220-204E-4DED-9371-A839C882E42B}" presName="parentText" presStyleLbl="node1" presStyleIdx="2" presStyleCnt="5">
        <dgm:presLayoutVars>
          <dgm:chMax val="0"/>
          <dgm:bulletEnabled val="1"/>
        </dgm:presLayoutVars>
      </dgm:prSet>
      <dgm:spPr/>
    </dgm:pt>
    <dgm:pt modelId="{A1797B6A-C829-4426-9DAD-F9579D27EDD1}" type="pres">
      <dgm:prSet presAssocID="{44475220-204E-4DED-9371-A839C882E42B}" presName="negativeSpace" presStyleCnt="0"/>
      <dgm:spPr/>
    </dgm:pt>
    <dgm:pt modelId="{224F88C9-5E77-4EF7-AAC4-F1DE9EB96C66}" type="pres">
      <dgm:prSet presAssocID="{44475220-204E-4DED-9371-A839C882E42B}" presName="childText" presStyleLbl="conFgAcc1" presStyleIdx="2" presStyleCnt="5">
        <dgm:presLayoutVars>
          <dgm:bulletEnabled val="1"/>
        </dgm:presLayoutVars>
      </dgm:prSet>
      <dgm:spPr/>
    </dgm:pt>
    <dgm:pt modelId="{74A59E32-4122-4BA7-9EC3-2585865840E1}" type="pres">
      <dgm:prSet presAssocID="{4D17374B-2CC5-45BD-A63D-8858E24EC842}" presName="spaceBetweenRectangles" presStyleCnt="0"/>
      <dgm:spPr/>
    </dgm:pt>
    <dgm:pt modelId="{B78DA9D5-B487-4648-B3B1-7FFCF1AF3FE0}" type="pres">
      <dgm:prSet presAssocID="{7BCE7EF3-1BC5-4667-8B35-80FA95005D72}" presName="parentLin" presStyleCnt="0"/>
      <dgm:spPr/>
    </dgm:pt>
    <dgm:pt modelId="{3EAF6D31-E813-4613-9AC4-9EB6966DE6F2}" type="pres">
      <dgm:prSet presAssocID="{7BCE7EF3-1BC5-4667-8B35-80FA95005D72}" presName="parentLeftMargin" presStyleLbl="node1" presStyleIdx="2" presStyleCnt="5"/>
      <dgm:spPr/>
    </dgm:pt>
    <dgm:pt modelId="{2262BB3C-9D17-47AC-B3E0-B76CE2396E54}" type="pres">
      <dgm:prSet presAssocID="{7BCE7EF3-1BC5-4667-8B35-80FA95005D72}" presName="parentText" presStyleLbl="node1" presStyleIdx="3" presStyleCnt="5">
        <dgm:presLayoutVars>
          <dgm:chMax val="0"/>
          <dgm:bulletEnabled val="1"/>
        </dgm:presLayoutVars>
      </dgm:prSet>
      <dgm:spPr/>
    </dgm:pt>
    <dgm:pt modelId="{8EFD1D97-F99C-486B-BFB6-5E62928DA21A}" type="pres">
      <dgm:prSet presAssocID="{7BCE7EF3-1BC5-4667-8B35-80FA95005D72}" presName="negativeSpace" presStyleCnt="0"/>
      <dgm:spPr/>
    </dgm:pt>
    <dgm:pt modelId="{82D2EA86-B342-4A4B-8446-8D933247570B}" type="pres">
      <dgm:prSet presAssocID="{7BCE7EF3-1BC5-4667-8B35-80FA95005D72}" presName="childText" presStyleLbl="conFgAcc1" presStyleIdx="3" presStyleCnt="5">
        <dgm:presLayoutVars>
          <dgm:bulletEnabled val="1"/>
        </dgm:presLayoutVars>
      </dgm:prSet>
      <dgm:spPr/>
    </dgm:pt>
    <dgm:pt modelId="{2753EFF8-E103-47A8-A632-5A87FA5C6FA8}" type="pres">
      <dgm:prSet presAssocID="{5495EB46-1EF4-4010-AF5E-52D3E82F5703}" presName="spaceBetweenRectangles" presStyleCnt="0"/>
      <dgm:spPr/>
    </dgm:pt>
    <dgm:pt modelId="{724A6EE1-520F-464B-AA9D-F087C1C33769}" type="pres">
      <dgm:prSet presAssocID="{8B374E66-72F7-4E48-A3A5-7E9A9A042936}" presName="parentLin" presStyleCnt="0"/>
      <dgm:spPr/>
    </dgm:pt>
    <dgm:pt modelId="{A10053C2-E5EE-446E-A1C1-24B3380B61F0}" type="pres">
      <dgm:prSet presAssocID="{8B374E66-72F7-4E48-A3A5-7E9A9A042936}" presName="parentLeftMargin" presStyleLbl="node1" presStyleIdx="3" presStyleCnt="5"/>
      <dgm:spPr/>
    </dgm:pt>
    <dgm:pt modelId="{6D23AD47-63CC-4C80-ABD4-12F6E59AFE60}" type="pres">
      <dgm:prSet presAssocID="{8B374E66-72F7-4E48-A3A5-7E9A9A042936}" presName="parentText" presStyleLbl="node1" presStyleIdx="4" presStyleCnt="5">
        <dgm:presLayoutVars>
          <dgm:chMax val="0"/>
          <dgm:bulletEnabled val="1"/>
        </dgm:presLayoutVars>
      </dgm:prSet>
      <dgm:spPr/>
    </dgm:pt>
    <dgm:pt modelId="{2A697895-7765-4D0A-97D0-96B9292F8DCD}" type="pres">
      <dgm:prSet presAssocID="{8B374E66-72F7-4E48-A3A5-7E9A9A042936}" presName="negativeSpace" presStyleCnt="0"/>
      <dgm:spPr/>
    </dgm:pt>
    <dgm:pt modelId="{4D066DB0-5E8E-47D5-872C-9E9E070886A9}" type="pres">
      <dgm:prSet presAssocID="{8B374E66-72F7-4E48-A3A5-7E9A9A042936}" presName="childText" presStyleLbl="conFgAcc1" presStyleIdx="4" presStyleCnt="5">
        <dgm:presLayoutVars>
          <dgm:bulletEnabled val="1"/>
        </dgm:presLayoutVars>
      </dgm:prSet>
      <dgm:spPr/>
    </dgm:pt>
  </dgm:ptLst>
  <dgm:cxnLst>
    <dgm:cxn modelId="{02E85618-A3C6-460F-818B-63B3249CA049}" type="presOf" srcId="{7BCE7EF3-1BC5-4667-8B35-80FA95005D72}" destId="{3EAF6D31-E813-4613-9AC4-9EB6966DE6F2}" srcOrd="0" destOrd="0" presId="urn:microsoft.com/office/officeart/2005/8/layout/list1"/>
    <dgm:cxn modelId="{15C3B21D-2297-469F-8006-05C88D011A2A}" type="presOf" srcId="{8B374E66-72F7-4E48-A3A5-7E9A9A042936}" destId="{6D23AD47-63CC-4C80-ABD4-12F6E59AFE60}" srcOrd="1" destOrd="0" presId="urn:microsoft.com/office/officeart/2005/8/layout/list1"/>
    <dgm:cxn modelId="{CB405029-442C-4197-8595-83329DF4946E}" srcId="{F6567208-1A04-441A-932D-6631DEACAF59}" destId="{8B374E66-72F7-4E48-A3A5-7E9A9A042936}" srcOrd="4" destOrd="0" parTransId="{B5E67D35-7BA1-40D9-AB10-6A8936AA297D}" sibTransId="{7E9534AA-E50B-4834-90FC-44CF15CBA03B}"/>
    <dgm:cxn modelId="{4B50A85D-6510-4F4C-BB84-92AA0DF12632}" type="presOf" srcId="{8B374E66-72F7-4E48-A3A5-7E9A9A042936}" destId="{A10053C2-E5EE-446E-A1C1-24B3380B61F0}" srcOrd="0" destOrd="0" presId="urn:microsoft.com/office/officeart/2005/8/layout/list1"/>
    <dgm:cxn modelId="{3F2F1342-31A8-44AD-8818-ACD38ACA8A6B}" srcId="{F6567208-1A04-441A-932D-6631DEACAF59}" destId="{44475220-204E-4DED-9371-A839C882E42B}" srcOrd="2" destOrd="0" parTransId="{25F8A790-EC74-4420-AF5B-B1EC98FE5020}" sibTransId="{4D17374B-2CC5-45BD-A63D-8858E24EC842}"/>
    <dgm:cxn modelId="{F78C8984-F214-4BE5-A405-435DF2188886}" type="presOf" srcId="{F6567208-1A04-441A-932D-6631DEACAF59}" destId="{68578327-DE8C-410C-8744-A0751949B139}" srcOrd="0" destOrd="0" presId="urn:microsoft.com/office/officeart/2005/8/layout/list1"/>
    <dgm:cxn modelId="{20540485-0A88-4E58-94D4-A29B0020E1E2}" type="presOf" srcId="{A2C4A56D-DC0B-4331-A560-9050D176AC41}" destId="{3F6A5130-4A30-4A8C-9A0B-1E362B4C6831}" srcOrd="1" destOrd="0" presId="urn:microsoft.com/office/officeart/2005/8/layout/list1"/>
    <dgm:cxn modelId="{84825B8D-7A01-4C4D-A975-50F1300F0394}" type="presOf" srcId="{ABE8D5C1-7CA5-4E85-964C-E4D041102E47}" destId="{178E93CD-5E2A-4D86-8AE3-889F24CA0C0B}" srcOrd="1" destOrd="0" presId="urn:microsoft.com/office/officeart/2005/8/layout/list1"/>
    <dgm:cxn modelId="{15C7BB93-CD3E-465D-9713-ECD82529B65A}" type="presOf" srcId="{7BCE7EF3-1BC5-4667-8B35-80FA95005D72}" destId="{2262BB3C-9D17-47AC-B3E0-B76CE2396E54}" srcOrd="1" destOrd="0" presId="urn:microsoft.com/office/officeart/2005/8/layout/list1"/>
    <dgm:cxn modelId="{32E4C59B-5159-4AC1-A3D1-C81F3A690566}" srcId="{F6567208-1A04-441A-932D-6631DEACAF59}" destId="{A2C4A56D-DC0B-4331-A560-9050D176AC41}" srcOrd="1" destOrd="0" parTransId="{D83DA3CF-BC98-4D66-9CAB-63A937EA9C92}" sibTransId="{B39C2508-DA00-4B5A-B2EF-7C3ED5A38AEB}"/>
    <dgm:cxn modelId="{50FF4BC4-4990-4754-8D37-A8AEDE6056F5}" type="presOf" srcId="{44475220-204E-4DED-9371-A839C882E42B}" destId="{295DE9BB-703E-4BD6-99F2-09BFD22B8224}" srcOrd="0" destOrd="0" presId="urn:microsoft.com/office/officeart/2005/8/layout/list1"/>
    <dgm:cxn modelId="{25D9FDCD-421B-4F37-AA4A-5948466CD926}" srcId="{F6567208-1A04-441A-932D-6631DEACAF59}" destId="{7BCE7EF3-1BC5-4667-8B35-80FA95005D72}" srcOrd="3" destOrd="0" parTransId="{9AA9A43A-4747-4F46-BB27-35C2B5B68DF8}" sibTransId="{5495EB46-1EF4-4010-AF5E-52D3E82F5703}"/>
    <dgm:cxn modelId="{7DEA8ADB-F11E-42CC-9463-F8E6FEBC5B7E}" type="presOf" srcId="{A2C4A56D-DC0B-4331-A560-9050D176AC41}" destId="{E8193FFC-9206-41E0-AEF0-6B78FE662633}" srcOrd="0" destOrd="0" presId="urn:microsoft.com/office/officeart/2005/8/layout/list1"/>
    <dgm:cxn modelId="{6B8402DD-0BDF-4A66-ABE9-D08B4C5230BD}" type="presOf" srcId="{44475220-204E-4DED-9371-A839C882E42B}" destId="{D7089C56-E739-43D3-A8B7-C2B9233905C7}" srcOrd="1" destOrd="0" presId="urn:microsoft.com/office/officeart/2005/8/layout/list1"/>
    <dgm:cxn modelId="{739ACEE4-B5C9-46EB-AB23-1E264A354C49}" srcId="{F6567208-1A04-441A-932D-6631DEACAF59}" destId="{ABE8D5C1-7CA5-4E85-964C-E4D041102E47}" srcOrd="0" destOrd="0" parTransId="{6C283587-6018-4F6C-81F8-ABE0FA7BECE3}" sibTransId="{32CFF54F-F4D7-4BA1-9E99-5D17C6E4D93C}"/>
    <dgm:cxn modelId="{81F5ADEC-8836-4188-9917-E9614622A384}" type="presOf" srcId="{ABE8D5C1-7CA5-4E85-964C-E4D041102E47}" destId="{6DDEF75C-9ECC-4649-B658-ACE555FB4F72}" srcOrd="0" destOrd="0" presId="urn:microsoft.com/office/officeart/2005/8/layout/list1"/>
    <dgm:cxn modelId="{EE62F242-2C7B-41B5-8CB5-EE87185B8106}" type="presParOf" srcId="{68578327-DE8C-410C-8744-A0751949B139}" destId="{F28A80F1-BF79-45A1-A11E-8527627D9A01}" srcOrd="0" destOrd="0" presId="urn:microsoft.com/office/officeart/2005/8/layout/list1"/>
    <dgm:cxn modelId="{5BA468F3-6B0C-4D47-925B-E48236A89B8D}" type="presParOf" srcId="{F28A80F1-BF79-45A1-A11E-8527627D9A01}" destId="{6DDEF75C-9ECC-4649-B658-ACE555FB4F72}" srcOrd="0" destOrd="0" presId="urn:microsoft.com/office/officeart/2005/8/layout/list1"/>
    <dgm:cxn modelId="{55D4EF05-AB1E-43B0-9402-9CA7CC52DC8E}" type="presParOf" srcId="{F28A80F1-BF79-45A1-A11E-8527627D9A01}" destId="{178E93CD-5E2A-4D86-8AE3-889F24CA0C0B}" srcOrd="1" destOrd="0" presId="urn:microsoft.com/office/officeart/2005/8/layout/list1"/>
    <dgm:cxn modelId="{5467DFFB-9527-4F60-9CE6-D25A01A0AAA0}" type="presParOf" srcId="{68578327-DE8C-410C-8744-A0751949B139}" destId="{EFADCEB0-B378-40F4-ACB5-0FF628A57743}" srcOrd="1" destOrd="0" presId="urn:microsoft.com/office/officeart/2005/8/layout/list1"/>
    <dgm:cxn modelId="{DD9791E7-65C7-4B54-B8E0-E55668558D7D}" type="presParOf" srcId="{68578327-DE8C-410C-8744-A0751949B139}" destId="{DC18F66D-C855-47C0-BF66-F1F634F7E503}" srcOrd="2" destOrd="0" presId="urn:microsoft.com/office/officeart/2005/8/layout/list1"/>
    <dgm:cxn modelId="{2F787675-CADB-40AC-92CC-4F9FFE4B9708}" type="presParOf" srcId="{68578327-DE8C-410C-8744-A0751949B139}" destId="{F6F792CF-BDB1-43C3-8506-B585716353E2}" srcOrd="3" destOrd="0" presId="urn:microsoft.com/office/officeart/2005/8/layout/list1"/>
    <dgm:cxn modelId="{041590F0-664D-4B2B-B3AA-CA6507685796}" type="presParOf" srcId="{68578327-DE8C-410C-8744-A0751949B139}" destId="{8B818821-E369-49CE-A2FF-FB8DAC4B80D2}" srcOrd="4" destOrd="0" presId="urn:microsoft.com/office/officeart/2005/8/layout/list1"/>
    <dgm:cxn modelId="{8C62BFA1-80D3-495C-B483-D1DC4B956B80}" type="presParOf" srcId="{8B818821-E369-49CE-A2FF-FB8DAC4B80D2}" destId="{E8193FFC-9206-41E0-AEF0-6B78FE662633}" srcOrd="0" destOrd="0" presId="urn:microsoft.com/office/officeart/2005/8/layout/list1"/>
    <dgm:cxn modelId="{262DA289-18C8-45A0-B872-723F5250AB4C}" type="presParOf" srcId="{8B818821-E369-49CE-A2FF-FB8DAC4B80D2}" destId="{3F6A5130-4A30-4A8C-9A0B-1E362B4C6831}" srcOrd="1" destOrd="0" presId="urn:microsoft.com/office/officeart/2005/8/layout/list1"/>
    <dgm:cxn modelId="{961C8CB6-5532-4027-B43C-EC33ADBDA4BA}" type="presParOf" srcId="{68578327-DE8C-410C-8744-A0751949B139}" destId="{89494F18-EE3A-4417-8622-D97E61019F03}" srcOrd="5" destOrd="0" presId="urn:microsoft.com/office/officeart/2005/8/layout/list1"/>
    <dgm:cxn modelId="{80EE9857-A9EA-4FE4-8A60-825EEC4732E8}" type="presParOf" srcId="{68578327-DE8C-410C-8744-A0751949B139}" destId="{13E737AF-642F-474F-96A7-48BEA00547FB}" srcOrd="6" destOrd="0" presId="urn:microsoft.com/office/officeart/2005/8/layout/list1"/>
    <dgm:cxn modelId="{4840822E-8811-4339-A767-B3099AA762DB}" type="presParOf" srcId="{68578327-DE8C-410C-8744-A0751949B139}" destId="{D6637135-143E-4CB8-8C00-70AAA8D3FB52}" srcOrd="7" destOrd="0" presId="urn:microsoft.com/office/officeart/2005/8/layout/list1"/>
    <dgm:cxn modelId="{AC6F9212-13F7-432D-ABB0-C39BCA3066C3}" type="presParOf" srcId="{68578327-DE8C-410C-8744-A0751949B139}" destId="{CF1DE6F3-C4B3-4707-A9AD-B72C45948F06}" srcOrd="8" destOrd="0" presId="urn:microsoft.com/office/officeart/2005/8/layout/list1"/>
    <dgm:cxn modelId="{B7AEFBE7-947B-48B1-B8A9-5B1BD638F523}" type="presParOf" srcId="{CF1DE6F3-C4B3-4707-A9AD-B72C45948F06}" destId="{295DE9BB-703E-4BD6-99F2-09BFD22B8224}" srcOrd="0" destOrd="0" presId="urn:microsoft.com/office/officeart/2005/8/layout/list1"/>
    <dgm:cxn modelId="{FCEA87B3-689F-4674-B3E5-CB4E69A85E14}" type="presParOf" srcId="{CF1DE6F3-C4B3-4707-A9AD-B72C45948F06}" destId="{D7089C56-E739-43D3-A8B7-C2B9233905C7}" srcOrd="1" destOrd="0" presId="urn:microsoft.com/office/officeart/2005/8/layout/list1"/>
    <dgm:cxn modelId="{C61F46B8-7116-40E1-8F50-5CA88FBA70B9}" type="presParOf" srcId="{68578327-DE8C-410C-8744-A0751949B139}" destId="{A1797B6A-C829-4426-9DAD-F9579D27EDD1}" srcOrd="9" destOrd="0" presId="urn:microsoft.com/office/officeart/2005/8/layout/list1"/>
    <dgm:cxn modelId="{58E12CF3-1848-4C48-82AE-5D29220AD126}" type="presParOf" srcId="{68578327-DE8C-410C-8744-A0751949B139}" destId="{224F88C9-5E77-4EF7-AAC4-F1DE9EB96C66}" srcOrd="10" destOrd="0" presId="urn:microsoft.com/office/officeart/2005/8/layout/list1"/>
    <dgm:cxn modelId="{77F97560-D27D-4FBE-AEBF-04B2E08831EF}" type="presParOf" srcId="{68578327-DE8C-410C-8744-A0751949B139}" destId="{74A59E32-4122-4BA7-9EC3-2585865840E1}" srcOrd="11" destOrd="0" presId="urn:microsoft.com/office/officeart/2005/8/layout/list1"/>
    <dgm:cxn modelId="{5FD2895F-587B-4439-98B1-7AB1AF92D014}" type="presParOf" srcId="{68578327-DE8C-410C-8744-A0751949B139}" destId="{B78DA9D5-B487-4648-B3B1-7FFCF1AF3FE0}" srcOrd="12" destOrd="0" presId="urn:microsoft.com/office/officeart/2005/8/layout/list1"/>
    <dgm:cxn modelId="{E20CDC05-B0CF-4B11-95E6-C623FF9E6A27}" type="presParOf" srcId="{B78DA9D5-B487-4648-B3B1-7FFCF1AF3FE0}" destId="{3EAF6D31-E813-4613-9AC4-9EB6966DE6F2}" srcOrd="0" destOrd="0" presId="urn:microsoft.com/office/officeart/2005/8/layout/list1"/>
    <dgm:cxn modelId="{59419091-C85A-45C0-8DEF-5430001049CB}" type="presParOf" srcId="{B78DA9D5-B487-4648-B3B1-7FFCF1AF3FE0}" destId="{2262BB3C-9D17-47AC-B3E0-B76CE2396E54}" srcOrd="1" destOrd="0" presId="urn:microsoft.com/office/officeart/2005/8/layout/list1"/>
    <dgm:cxn modelId="{4BA58C94-A2BB-4190-B524-FCDB8EC4B48A}" type="presParOf" srcId="{68578327-DE8C-410C-8744-A0751949B139}" destId="{8EFD1D97-F99C-486B-BFB6-5E62928DA21A}" srcOrd="13" destOrd="0" presId="urn:microsoft.com/office/officeart/2005/8/layout/list1"/>
    <dgm:cxn modelId="{CF1E2CA3-7309-49C9-98B7-03C2072ABD52}" type="presParOf" srcId="{68578327-DE8C-410C-8744-A0751949B139}" destId="{82D2EA86-B342-4A4B-8446-8D933247570B}" srcOrd="14" destOrd="0" presId="urn:microsoft.com/office/officeart/2005/8/layout/list1"/>
    <dgm:cxn modelId="{BE9641A0-6F7D-4C2B-BCD4-6FF115C4BE51}" type="presParOf" srcId="{68578327-DE8C-410C-8744-A0751949B139}" destId="{2753EFF8-E103-47A8-A632-5A87FA5C6FA8}" srcOrd="15" destOrd="0" presId="urn:microsoft.com/office/officeart/2005/8/layout/list1"/>
    <dgm:cxn modelId="{D27CF27C-FC02-47E0-9154-5D8C35488730}" type="presParOf" srcId="{68578327-DE8C-410C-8744-A0751949B139}" destId="{724A6EE1-520F-464B-AA9D-F087C1C33769}" srcOrd="16" destOrd="0" presId="urn:microsoft.com/office/officeart/2005/8/layout/list1"/>
    <dgm:cxn modelId="{9B5D7823-F642-450D-8595-B4A60E7D048B}" type="presParOf" srcId="{724A6EE1-520F-464B-AA9D-F087C1C33769}" destId="{A10053C2-E5EE-446E-A1C1-24B3380B61F0}" srcOrd="0" destOrd="0" presId="urn:microsoft.com/office/officeart/2005/8/layout/list1"/>
    <dgm:cxn modelId="{AE398213-2351-4255-AF31-86E37F5C5BD0}" type="presParOf" srcId="{724A6EE1-520F-464B-AA9D-F087C1C33769}" destId="{6D23AD47-63CC-4C80-ABD4-12F6E59AFE60}" srcOrd="1" destOrd="0" presId="urn:microsoft.com/office/officeart/2005/8/layout/list1"/>
    <dgm:cxn modelId="{BABA030B-AEA2-4E57-AF29-2C592A782A81}" type="presParOf" srcId="{68578327-DE8C-410C-8744-A0751949B139}" destId="{2A697895-7765-4D0A-97D0-96B9292F8DCD}" srcOrd="17" destOrd="0" presId="urn:microsoft.com/office/officeart/2005/8/layout/list1"/>
    <dgm:cxn modelId="{4BB4D4CC-D064-4B2B-A35C-88A4BF1BD567}" type="presParOf" srcId="{68578327-DE8C-410C-8744-A0751949B139}" destId="{4D066DB0-5E8E-47D5-872C-9E9E070886A9}" srcOrd="18" destOrd="0" presId="urn:microsoft.com/office/officeart/2005/8/layout/list1"/>
  </dgm:cxnLst>
  <dgm:bg/>
  <dgm:whole/>
  <dgm:extLst>
    <a:ext uri="http://schemas.microsoft.com/office/drawing/2008/diagram">
      <dsp:dataModelExt xmlns:dsp="http://schemas.microsoft.com/office/drawing/2008/diagram" relId="rId2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074A121-9205-49DC-B8CB-88400E4FD281}">
      <dsp:nvSpPr>
        <dsp:cNvPr id="0" name=""/>
        <dsp:cNvSpPr/>
      </dsp:nvSpPr>
      <dsp:spPr>
        <a:xfrm>
          <a:off x="0" y="117838"/>
          <a:ext cx="1230899" cy="1570024"/>
        </a:xfrm>
        <a:prstGeom prst="roundRect">
          <a:avLst/>
        </a:prstGeom>
        <a:blipFill>
          <a:blip xmlns:r="http://schemas.openxmlformats.org/officeDocument/2006/relationships" r:embed="rId1"/>
          <a:srcRect/>
          <a:stretch>
            <a:fillRect l="-38000" r="-38000"/>
          </a:stretch>
        </a:blipFill>
        <a:ln w="19050" cap="flat" cmpd="sng" algn="ctr">
          <a:solidFill>
            <a:schemeClr val="accent5">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2EDFE37E-181E-4DC7-97E8-71F9D0197DD6}">
      <dsp:nvSpPr>
        <dsp:cNvPr id="0" name=""/>
        <dsp:cNvSpPr/>
      </dsp:nvSpPr>
      <dsp:spPr>
        <a:xfrm>
          <a:off x="49235" y="683047"/>
          <a:ext cx="947792" cy="942014"/>
        </a:xfrm>
        <a:prstGeom prst="rect">
          <a:avLst/>
        </a:prstGeom>
        <a:noFill/>
        <a:ln w="19050" cap="flat" cmpd="sng" algn="ctr">
          <a:noFill/>
          <a:prstDash val="solid"/>
          <a:miter lim="800000"/>
        </a:ln>
        <a:effectLst/>
        <a:sp3d/>
      </dsp:spPr>
      <dsp:style>
        <a:lnRef idx="2">
          <a:scrgbClr r="0" g="0" b="0"/>
        </a:lnRef>
        <a:fillRef idx="1">
          <a:scrgbClr r="0" g="0" b="0"/>
        </a:fillRef>
        <a:effectRef idx="0">
          <a:scrgbClr r="0" g="0" b="0"/>
        </a:effectRef>
        <a:fontRef idx="minor">
          <a:schemeClr val="lt1"/>
        </a:fontRef>
      </dsp:style>
      <dsp:txBody>
        <a:bodyPr spcFirstLastPara="0" vert="horz" wrap="square" lIns="27940" tIns="27940" rIns="27940" bIns="27940" numCol="1" spcCol="1270" anchor="b" anchorCtr="0">
          <a:noAutofit/>
        </a:bodyPr>
        <a:lstStyle/>
        <a:p>
          <a:pPr marL="0" lvl="0" indent="0" algn="l" defTabSz="488950">
            <a:lnSpc>
              <a:spcPct val="90000"/>
            </a:lnSpc>
            <a:spcBef>
              <a:spcPct val="0"/>
            </a:spcBef>
            <a:spcAft>
              <a:spcPct val="35000"/>
            </a:spcAft>
            <a:buNone/>
          </a:pPr>
          <a:r>
            <a:rPr lang="en-GB" sz="1100" kern="1200">
              <a:solidFill>
                <a:schemeClr val="tx2">
                  <a:lumMod val="75000"/>
                  <a:lumOff val="25000"/>
                </a:schemeClr>
              </a:solidFill>
            </a:rPr>
            <a:t>CMHS TASKS</a:t>
          </a:r>
        </a:p>
      </dsp:txBody>
      <dsp:txXfrm>
        <a:off x="49235" y="683047"/>
        <a:ext cx="947792" cy="942014"/>
      </dsp:txXfrm>
    </dsp:sp>
    <dsp:sp modelId="{B3D9FDF2-00ED-4F4D-9C26-A6F19A235413}">
      <dsp:nvSpPr>
        <dsp:cNvPr id="0" name=""/>
        <dsp:cNvSpPr/>
      </dsp:nvSpPr>
      <dsp:spPr>
        <a:xfrm>
          <a:off x="1018946" y="39336"/>
          <a:ext cx="423906" cy="423906"/>
        </a:xfrm>
        <a:prstGeom prst="ellipse">
          <a:avLst/>
        </a:prstGeom>
        <a:blipFill>
          <a:blip xmlns:r="http://schemas.openxmlformats.org/officeDocument/2006/relationships" r:embed="rId2"/>
          <a:srcRect/>
          <a:stretch>
            <a:fillRect l="-25000" r="-25000"/>
          </a:stretch>
        </a:blipFill>
        <a:ln w="19050" cap="flat" cmpd="sng" algn="ctr">
          <a:solidFill>
            <a:schemeClr val="accent5">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C2727E50-FAFE-4F47-9621-DD8ACAFA5BFF}">
      <dsp:nvSpPr>
        <dsp:cNvPr id="0" name=""/>
        <dsp:cNvSpPr/>
      </dsp:nvSpPr>
      <dsp:spPr>
        <a:xfrm>
          <a:off x="1442852" y="39336"/>
          <a:ext cx="2360797" cy="42390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5400" tIns="12700" rIns="25400" bIns="12700" numCol="1" spcCol="1270" anchor="ctr" anchorCtr="0">
          <a:noAutofit/>
        </a:bodyPr>
        <a:lstStyle/>
        <a:p>
          <a:pPr marL="0" lvl="0" indent="0" algn="l" defTabSz="444500">
            <a:lnSpc>
              <a:spcPct val="90000"/>
            </a:lnSpc>
            <a:spcBef>
              <a:spcPct val="0"/>
            </a:spcBef>
            <a:spcAft>
              <a:spcPct val="35000"/>
            </a:spcAft>
            <a:buNone/>
          </a:pPr>
          <a:r>
            <a:rPr lang="en-GB" sz="1000" kern="1200"/>
            <a:t>Checks for symptoms, severity, implications, e.t.c.</a:t>
          </a:r>
        </a:p>
      </dsp:txBody>
      <dsp:txXfrm>
        <a:off x="1442852" y="39336"/>
        <a:ext cx="2360797" cy="423906"/>
      </dsp:txXfrm>
    </dsp:sp>
    <dsp:sp modelId="{711EDD62-01C4-4813-980F-571E6AB64210}">
      <dsp:nvSpPr>
        <dsp:cNvPr id="0" name=""/>
        <dsp:cNvSpPr/>
      </dsp:nvSpPr>
      <dsp:spPr>
        <a:xfrm>
          <a:off x="1018946" y="539546"/>
          <a:ext cx="423906" cy="423906"/>
        </a:xfrm>
        <a:prstGeom prst="ellipse">
          <a:avLst/>
        </a:prstGeom>
        <a:blipFill>
          <a:blip xmlns:r="http://schemas.openxmlformats.org/officeDocument/2006/relationships" r:embed="rId3"/>
          <a:srcRect/>
          <a:stretch>
            <a:fillRect l="-25000" r="-25000"/>
          </a:stretch>
        </a:blipFill>
        <a:ln w="19050" cap="flat" cmpd="sng" algn="ctr">
          <a:solidFill>
            <a:schemeClr val="accent5">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E4891E9A-A91C-44FE-B4C2-8527A0233E4A}">
      <dsp:nvSpPr>
        <dsp:cNvPr id="0" name=""/>
        <dsp:cNvSpPr/>
      </dsp:nvSpPr>
      <dsp:spPr>
        <a:xfrm>
          <a:off x="1442852" y="539546"/>
          <a:ext cx="2360797" cy="42390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5400" tIns="12700" rIns="25400" bIns="12700" numCol="1" spcCol="1270" anchor="ctr" anchorCtr="0">
          <a:noAutofit/>
        </a:bodyPr>
        <a:lstStyle/>
        <a:p>
          <a:pPr marL="0" lvl="0" indent="0" algn="l" defTabSz="444500">
            <a:lnSpc>
              <a:spcPct val="90000"/>
            </a:lnSpc>
            <a:spcBef>
              <a:spcPct val="0"/>
            </a:spcBef>
            <a:spcAft>
              <a:spcPct val="35000"/>
            </a:spcAft>
            <a:buNone/>
          </a:pPr>
          <a:r>
            <a:rPr lang="en-GB" sz="1000" u="none" kern="1200"/>
            <a:t>Treatment involving the use of medicines, CBT, lifestlye adjustments e.t.c</a:t>
          </a:r>
        </a:p>
      </dsp:txBody>
      <dsp:txXfrm>
        <a:off x="1442852" y="539546"/>
        <a:ext cx="2360797" cy="423906"/>
      </dsp:txXfrm>
    </dsp:sp>
    <dsp:sp modelId="{16075810-F759-434B-A867-CDFDB1F06FD0}">
      <dsp:nvSpPr>
        <dsp:cNvPr id="0" name=""/>
        <dsp:cNvSpPr/>
      </dsp:nvSpPr>
      <dsp:spPr>
        <a:xfrm>
          <a:off x="1018946" y="1039756"/>
          <a:ext cx="423906" cy="423906"/>
        </a:xfrm>
        <a:prstGeom prst="ellipse">
          <a:avLst/>
        </a:prstGeom>
        <a:blipFill>
          <a:blip xmlns:r="http://schemas.openxmlformats.org/officeDocument/2006/relationships" r:embed="rId4"/>
          <a:srcRect/>
          <a:stretch>
            <a:fillRect l="-25000" r="-25000"/>
          </a:stretch>
        </a:blipFill>
        <a:ln w="19050" cap="flat" cmpd="sng" algn="ctr">
          <a:solidFill>
            <a:schemeClr val="accent5">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834B8FFC-B941-4CB7-8AC7-3D684D5940F6}">
      <dsp:nvSpPr>
        <dsp:cNvPr id="0" name=""/>
        <dsp:cNvSpPr/>
      </dsp:nvSpPr>
      <dsp:spPr>
        <a:xfrm>
          <a:off x="1442852" y="1039756"/>
          <a:ext cx="2360797" cy="42390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5400" tIns="12700" rIns="25400" bIns="12700" numCol="1" spcCol="1270" anchor="ctr" anchorCtr="0">
          <a:noAutofit/>
        </a:bodyPr>
        <a:lstStyle/>
        <a:p>
          <a:pPr marL="0" lvl="0" indent="0" algn="l" defTabSz="444500">
            <a:lnSpc>
              <a:spcPct val="90000"/>
            </a:lnSpc>
            <a:spcBef>
              <a:spcPct val="0"/>
            </a:spcBef>
            <a:spcAft>
              <a:spcPct val="35000"/>
            </a:spcAft>
            <a:buNone/>
          </a:pPr>
          <a:r>
            <a:rPr lang="en-GB" sz="1000" kern="1200"/>
            <a:t>Ongoing support  to aid recovery, maintain independance, involve patient in society.</a:t>
          </a:r>
        </a:p>
      </dsp:txBody>
      <dsp:txXfrm>
        <a:off x="1442852" y="1039756"/>
        <a:ext cx="2360797" cy="423906"/>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C18F66D-C855-47C0-BF66-F1F634F7E503}">
      <dsp:nvSpPr>
        <dsp:cNvPr id="0" name=""/>
        <dsp:cNvSpPr/>
      </dsp:nvSpPr>
      <dsp:spPr>
        <a:xfrm>
          <a:off x="0" y="68118"/>
          <a:ext cx="3422650" cy="115541"/>
        </a:xfrm>
        <a:prstGeom prst="rect">
          <a:avLst/>
        </a:prstGeom>
        <a:solidFill>
          <a:schemeClr val="lt1">
            <a:alpha val="90000"/>
            <a:hueOff val="0"/>
            <a:satOff val="0"/>
            <a:lumOff val="0"/>
            <a:alphaOff val="0"/>
          </a:schemeClr>
        </a:solidFill>
        <a:ln w="1905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178E93CD-5E2A-4D86-8AE3-889F24CA0C0B}">
      <dsp:nvSpPr>
        <dsp:cNvPr id="0" name=""/>
        <dsp:cNvSpPr/>
      </dsp:nvSpPr>
      <dsp:spPr>
        <a:xfrm>
          <a:off x="171132" y="444"/>
          <a:ext cx="2395855" cy="135348"/>
        </a:xfrm>
        <a:prstGeom prst="roundRect">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0558" tIns="0" rIns="90558" bIns="0" numCol="1" spcCol="1270" anchor="ctr" anchorCtr="0">
          <a:noAutofit/>
        </a:bodyPr>
        <a:lstStyle/>
        <a:p>
          <a:pPr marL="0" lvl="0" indent="0" algn="l" defTabSz="222250">
            <a:lnSpc>
              <a:spcPct val="90000"/>
            </a:lnSpc>
            <a:spcBef>
              <a:spcPct val="0"/>
            </a:spcBef>
            <a:spcAft>
              <a:spcPct val="35000"/>
            </a:spcAft>
            <a:buNone/>
          </a:pPr>
          <a:r>
            <a:rPr lang="en-GB" sz="500" kern="1200"/>
            <a:t>Mental health assessments</a:t>
          </a:r>
        </a:p>
      </dsp:txBody>
      <dsp:txXfrm>
        <a:off x="177739" y="7051"/>
        <a:ext cx="2382641" cy="122134"/>
      </dsp:txXfrm>
    </dsp:sp>
    <dsp:sp modelId="{13E737AF-642F-474F-96A7-48BEA00547FB}">
      <dsp:nvSpPr>
        <dsp:cNvPr id="0" name=""/>
        <dsp:cNvSpPr/>
      </dsp:nvSpPr>
      <dsp:spPr>
        <a:xfrm>
          <a:off x="0" y="276092"/>
          <a:ext cx="3422650" cy="115541"/>
        </a:xfrm>
        <a:prstGeom prst="rect">
          <a:avLst/>
        </a:prstGeom>
        <a:solidFill>
          <a:schemeClr val="lt1">
            <a:alpha val="90000"/>
            <a:hueOff val="0"/>
            <a:satOff val="0"/>
            <a:lumOff val="0"/>
            <a:alphaOff val="0"/>
          </a:schemeClr>
        </a:solidFill>
        <a:ln w="1905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3F6A5130-4A30-4A8C-9A0B-1E362B4C6831}">
      <dsp:nvSpPr>
        <dsp:cNvPr id="0" name=""/>
        <dsp:cNvSpPr/>
      </dsp:nvSpPr>
      <dsp:spPr>
        <a:xfrm>
          <a:off x="171132" y="208418"/>
          <a:ext cx="2395855" cy="135348"/>
        </a:xfrm>
        <a:prstGeom prst="roundRect">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0558" tIns="0" rIns="90558" bIns="0" numCol="1" spcCol="1270" anchor="ctr" anchorCtr="0">
          <a:noAutofit/>
        </a:bodyPr>
        <a:lstStyle/>
        <a:p>
          <a:pPr marL="0" lvl="0" indent="0" algn="l" defTabSz="222250">
            <a:lnSpc>
              <a:spcPct val="90000"/>
            </a:lnSpc>
            <a:spcBef>
              <a:spcPct val="0"/>
            </a:spcBef>
            <a:spcAft>
              <a:spcPct val="35000"/>
            </a:spcAft>
            <a:buNone/>
          </a:pPr>
          <a:r>
            <a:rPr lang="en-GB" sz="500" kern="1200"/>
            <a:t>Medication management</a:t>
          </a:r>
        </a:p>
      </dsp:txBody>
      <dsp:txXfrm>
        <a:off x="177739" y="215025"/>
        <a:ext cx="2382641" cy="122134"/>
      </dsp:txXfrm>
    </dsp:sp>
    <dsp:sp modelId="{224F88C9-5E77-4EF7-AAC4-F1DE9EB96C66}">
      <dsp:nvSpPr>
        <dsp:cNvPr id="0" name=""/>
        <dsp:cNvSpPr/>
      </dsp:nvSpPr>
      <dsp:spPr>
        <a:xfrm>
          <a:off x="0" y="484066"/>
          <a:ext cx="3422650" cy="115541"/>
        </a:xfrm>
        <a:prstGeom prst="rect">
          <a:avLst/>
        </a:prstGeom>
        <a:solidFill>
          <a:schemeClr val="lt1">
            <a:alpha val="90000"/>
            <a:hueOff val="0"/>
            <a:satOff val="0"/>
            <a:lumOff val="0"/>
            <a:alphaOff val="0"/>
          </a:schemeClr>
        </a:solidFill>
        <a:ln w="1905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D7089C56-E739-43D3-A8B7-C2B9233905C7}">
      <dsp:nvSpPr>
        <dsp:cNvPr id="0" name=""/>
        <dsp:cNvSpPr/>
      </dsp:nvSpPr>
      <dsp:spPr>
        <a:xfrm>
          <a:off x="171132" y="416392"/>
          <a:ext cx="2395855" cy="135348"/>
        </a:xfrm>
        <a:prstGeom prst="roundRect">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0558" tIns="0" rIns="90558" bIns="0" numCol="1" spcCol="1270" anchor="ctr" anchorCtr="0">
          <a:noAutofit/>
        </a:bodyPr>
        <a:lstStyle/>
        <a:p>
          <a:pPr marL="0" lvl="0" indent="0" algn="l" defTabSz="222250">
            <a:lnSpc>
              <a:spcPct val="90000"/>
            </a:lnSpc>
            <a:spcBef>
              <a:spcPct val="0"/>
            </a:spcBef>
            <a:spcAft>
              <a:spcPct val="35000"/>
            </a:spcAft>
            <a:buNone/>
          </a:pPr>
          <a:r>
            <a:rPr lang="en-GB" sz="500" kern="1200"/>
            <a:t>Psycological therapies</a:t>
          </a:r>
        </a:p>
      </dsp:txBody>
      <dsp:txXfrm>
        <a:off x="177739" y="422999"/>
        <a:ext cx="2382641" cy="122134"/>
      </dsp:txXfrm>
    </dsp:sp>
    <dsp:sp modelId="{82D2EA86-B342-4A4B-8446-8D933247570B}">
      <dsp:nvSpPr>
        <dsp:cNvPr id="0" name=""/>
        <dsp:cNvSpPr/>
      </dsp:nvSpPr>
      <dsp:spPr>
        <a:xfrm>
          <a:off x="0" y="692040"/>
          <a:ext cx="3422650" cy="115541"/>
        </a:xfrm>
        <a:prstGeom prst="rect">
          <a:avLst/>
        </a:prstGeom>
        <a:solidFill>
          <a:schemeClr val="lt1">
            <a:alpha val="90000"/>
            <a:hueOff val="0"/>
            <a:satOff val="0"/>
            <a:lumOff val="0"/>
            <a:alphaOff val="0"/>
          </a:schemeClr>
        </a:solidFill>
        <a:ln w="1905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2262BB3C-9D17-47AC-B3E0-B76CE2396E54}">
      <dsp:nvSpPr>
        <dsp:cNvPr id="0" name=""/>
        <dsp:cNvSpPr/>
      </dsp:nvSpPr>
      <dsp:spPr>
        <a:xfrm>
          <a:off x="171132" y="624366"/>
          <a:ext cx="2395855" cy="135348"/>
        </a:xfrm>
        <a:prstGeom prst="roundRect">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0558" tIns="0" rIns="90558" bIns="0" numCol="1" spcCol="1270" anchor="ctr" anchorCtr="0">
          <a:noAutofit/>
        </a:bodyPr>
        <a:lstStyle/>
        <a:p>
          <a:pPr marL="0" lvl="0" indent="0" algn="l" defTabSz="222250">
            <a:lnSpc>
              <a:spcPct val="90000"/>
            </a:lnSpc>
            <a:spcBef>
              <a:spcPct val="0"/>
            </a:spcBef>
            <a:spcAft>
              <a:spcPct val="35000"/>
            </a:spcAft>
            <a:buNone/>
          </a:pPr>
          <a:r>
            <a:rPr lang="en-GB" sz="500" kern="1200"/>
            <a:t>Crisis intervention</a:t>
          </a:r>
        </a:p>
      </dsp:txBody>
      <dsp:txXfrm>
        <a:off x="177739" y="630973"/>
        <a:ext cx="2382641" cy="122134"/>
      </dsp:txXfrm>
    </dsp:sp>
    <dsp:sp modelId="{4D066DB0-5E8E-47D5-872C-9E9E070886A9}">
      <dsp:nvSpPr>
        <dsp:cNvPr id="0" name=""/>
        <dsp:cNvSpPr/>
      </dsp:nvSpPr>
      <dsp:spPr>
        <a:xfrm>
          <a:off x="0" y="900014"/>
          <a:ext cx="3422650" cy="115541"/>
        </a:xfrm>
        <a:prstGeom prst="rect">
          <a:avLst/>
        </a:prstGeom>
        <a:solidFill>
          <a:schemeClr val="lt1">
            <a:alpha val="90000"/>
            <a:hueOff val="0"/>
            <a:satOff val="0"/>
            <a:lumOff val="0"/>
            <a:alphaOff val="0"/>
          </a:schemeClr>
        </a:solidFill>
        <a:ln w="1905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6D23AD47-63CC-4C80-ABD4-12F6E59AFE60}">
      <dsp:nvSpPr>
        <dsp:cNvPr id="0" name=""/>
        <dsp:cNvSpPr/>
      </dsp:nvSpPr>
      <dsp:spPr>
        <a:xfrm>
          <a:off x="171132" y="832340"/>
          <a:ext cx="2395855" cy="135348"/>
        </a:xfrm>
        <a:prstGeom prst="roundRect">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0558" tIns="0" rIns="90558" bIns="0" numCol="1" spcCol="1270" anchor="ctr" anchorCtr="0">
          <a:noAutofit/>
        </a:bodyPr>
        <a:lstStyle/>
        <a:p>
          <a:pPr marL="0" lvl="0" indent="0" algn="l" defTabSz="222250">
            <a:lnSpc>
              <a:spcPct val="90000"/>
            </a:lnSpc>
            <a:spcBef>
              <a:spcPct val="0"/>
            </a:spcBef>
            <a:spcAft>
              <a:spcPct val="35000"/>
            </a:spcAft>
            <a:buNone/>
          </a:pPr>
          <a:r>
            <a:rPr lang="en-GB" sz="500" kern="1200"/>
            <a:t>Social care and needs support.</a:t>
          </a:r>
        </a:p>
      </dsp:txBody>
      <dsp:txXfrm>
        <a:off x="177739" y="838947"/>
        <a:ext cx="2382641" cy="122134"/>
      </dsp:txXfrm>
    </dsp:sp>
  </dsp:spTree>
</dsp:drawing>
</file>

<file path=word/diagrams/layout1.xml><?xml version="1.0" encoding="utf-8"?>
<dgm:layoutDef xmlns:dgm="http://schemas.openxmlformats.org/drawingml/2006/diagram" xmlns:a="http://schemas.openxmlformats.org/drawingml/2006/main" uniqueId="urn:microsoft.com/office/officeart/2008/layout/AccentedPicture">
  <dgm:title val=""/>
  <dgm:desc val=""/>
  <dgm:catLst>
    <dgm:cat type="picture" pri="1000"/>
    <dgm:cat type="pictureconvert" pri="1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sampData>
  <dgm:style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varLst>
    <dgm:alg type="composite"/>
    <dgm:shape xmlns:r="http://schemas.openxmlformats.org/officeDocument/2006/relationships" r:blip="">
      <dgm:adjLst/>
    </dgm:shape>
    <dgm:choose name="Name1">
      <dgm:if name="Name2" axis="ch" ptType="node" func="cnt" op="lte" val="1">
        <dgm:constrLst>
          <dgm:constr type="h" for="ch" forName="picture_1" refType="h"/>
          <dgm:constr type="w" for="ch" forName="picture_1" refType="h" refFor="ch" refForName="picture_1" op="equ" fact="0.784"/>
          <dgm:constr type="l" for="ch" forName="picture_1"/>
          <dgm:constr type="t" for="ch" forName="picture_1"/>
          <dgm:constr type="w" for="ch" forName="text_1" refType="w" refFor="ch" refForName="picture_1" fact="0.77"/>
          <dgm:constr type="h" for="ch" forName="text_1" refType="h" refFor="ch" refForName="picture_1" fact="0.6"/>
          <dgm:constr type="l" for="ch" forName="text_1" refType="w" refFor="ch" refForName="picture_1" fact="0.04"/>
          <dgm:constr type="t" for="ch" forName="text_1" refType="h" refFor="ch" refForName="picture_1" fact="0.4"/>
        </dgm:constrLst>
      </dgm:if>
      <dgm:if name="Name3" axis="ch" ptType="node" func="cnt" op="lte" val="5">
        <dgm:choose name="Name4">
          <dgm:if name="Name5" func="var" arg="dir" op="equ" val="norm">
            <dgm:constrLst>
              <dgm:constr type="h" for="ch" forName="picture_1" refType="h" fact="0.909"/>
              <dgm:constr type="w" for="ch" forName="picture_1" refType="h" refFor="ch" refForName="picture_1" op="equ" fact="0.784"/>
              <dgm:constr type="l" for="ch" forName="picture_1"/>
              <dgm:constr type="t" for="ch" forName="picture_1" refType="h" refFor="ch" refForName="picture_1" fact="0.05"/>
              <dgm:constr type="w" for="ch" forName="picture_1" refType="w" op="lte" fact="0.588"/>
              <dgm:constr type="w" for="ch" forName="text_1" refType="w" refFor="ch" refForName="picture_1" fact="0.77"/>
              <dgm:constr type="h" for="ch" forName="text_1" refType="h" refFor="ch" refForName="picture_1" fact="0.6"/>
              <dgm:constr type="l" for="ch" forName="text_1" refType="w" refFor="ch" refForName="picture_1" fact="0.04"/>
              <dgm:constr type="t" for="ch" forName="text_1" refType="h" refFor="ch" refForName="picture_1" fact="0.41"/>
              <dgm:constr type="w" for="ch" forName="linV" refType="w"/>
              <dgm:constr type="h" for="ch" forName="linV" refType="h" refFor="ch" refForName="picture_1" fact="1.1"/>
              <dgm:constr type="l" for="ch" forName="linV"/>
              <dgm:constr type="t" for="ch" forName="linV"/>
              <dgm:constr type="userC" for="des" forName="pair" refType="r" refFor="ch" refForName="picture_1"/>
              <dgm:constr type="h" for="des" forName="pair" refType="h" refFor="ch" refForName="picture_1" fact="0.27"/>
              <dgm:constr type="h" for="des" forName="spaceV" refType="h" refFor="ch" refForName="picture_1" fact="0.0486"/>
              <dgm:constr type="l" for="ch" forName="maxNode" refType="r" refFor="ch" refForName="picture_1"/>
              <dgm:constr type="lOff" for="ch" forName="maxNode" refType="h" refFor="des" refForName="pair" fact="0.5"/>
              <dgm:constr type="r" for="ch" forName="maxNode" refType="w"/>
              <dgm:constr type="t" for="ch" forName="maxNode"/>
              <dgm:constr type="h" for="ch" forName="maxNode" val="1"/>
              <dgm:constr type="userW" for="des" forName="desText" refType="w" refFor="ch" refForName="maxNode"/>
            </dgm:constrLst>
          </dgm:if>
          <dgm:else name="Name6">
            <dgm:constrLst>
              <dgm:constr type="h" for="ch" forName="picture_1" refType="h" fact="0.909"/>
              <dgm:constr type="w" for="ch" forName="picture_1" refType="h" refFor="ch" refForName="picture_1" op="equ" fact="0.784"/>
              <dgm:constr type="r" for="ch" forName="picture_1" refType="w"/>
              <dgm:constr type="t" for="ch" forName="picture_1" refType="h" refFor="ch" refForName="picture_1" fact="0.05"/>
              <dgm:constr type="w" for="ch" forName="picture_1" refType="w" op="lte" fact="0.588"/>
              <dgm:constr type="w" for="ch" forName="text_1" refType="w" refFor="ch" refForName="picture_1" fact="0.77"/>
              <dgm:constr type="h" for="ch" forName="text_1" refType="h" refFor="ch" refForName="picture_1" fact="0.6"/>
              <dgm:constr type="r" for="ch" forName="text_1" refType="w"/>
              <dgm:constr type="t" for="ch" forName="text_1" refType="h" refFor="ch" refForName="picture_1" fact="0.41"/>
              <dgm:constr type="w" for="ch" forName="linV" refType="w"/>
              <dgm:constr type="h" for="ch" forName="linV" refType="h" refFor="ch" refForName="picture_1" fact="1.1"/>
              <dgm:constr type="l" for="ch" forName="linV"/>
              <dgm:constr type="t" for="ch" forName="linV"/>
              <dgm:constr type="userC" for="des" forName="pair" refType="l" refFor="ch" refForName="picture_1"/>
              <dgm:constr type="h" for="des" forName="pair" refType="h" refFor="ch" refForName="picture_1" fact="0.27"/>
              <dgm:constr type="h" for="des" forName="spaceV" refType="h" refFor="ch" refForName="picture_1" fact="0.0486"/>
              <dgm:constr type="r" for="ch" forName="maxNode" refType="l" refFor="ch" refForName="picture_1"/>
              <dgm:constr type="rOff" for="ch" forName="maxNode" refType="h" refFor="des" refForName="pair" fact="-0.5"/>
              <dgm:constr type="l" for="ch" forName="maxNode"/>
              <dgm:constr type="t" for="ch" forName="maxNode"/>
              <dgm:constr type="h" for="ch" forName="maxNode" val="1"/>
              <dgm:constr type="userW" for="des" forName="desText" refType="w" refFor="ch" refForName="maxNode"/>
            </dgm:constrLst>
          </dgm:else>
        </dgm:choose>
      </dgm:if>
      <dgm:else name="Name7">
        <dgm:choose name="Name8">
          <dgm:if name="Name9" func="var" arg="dir" op="equ" val="norm">
            <dgm:constrLst>
              <dgm:constr type="h" for="ch" forName="picture_1" refType="h" fact="0.909"/>
              <dgm:constr type="w" for="ch" forName="picture_1" refType="h" refFor="ch" refForName="picture_1" op="equ" fact="0.784"/>
              <dgm:constr type="l" for="ch" forName="picture_1"/>
              <dgm:constr type="t" for="ch" forName="picture_1" refType="h" refFor="ch" refForName="picture_1" fact="0.05"/>
              <dgm:constr type="w" for="ch" forName="picture_1" refType="w" op="lte" fact="0.588"/>
              <dgm:constr type="w" for="ch" forName="text_1" refType="w" refFor="ch" refForName="picture_1" fact="0.77"/>
              <dgm:constr type="h" for="ch" forName="text_1" refType="h" refFor="ch" refForName="picture_1" fact="0.6"/>
              <dgm:constr type="l" for="ch" forName="text_1" refType="w" refFor="ch" refForName="picture_1" fact="0.04"/>
              <dgm:constr type="t" for="ch" forName="text_1" refType="h" refFor="ch" refForName="picture_1" fact="0.41"/>
              <dgm:constr type="w" for="ch" forName="linV" refType="w"/>
              <dgm:constr type="h" for="ch" forName="linV" refType="h" refFor="ch" refForName="picture_1" fact="1.1"/>
              <dgm:constr type="l" for="ch" forName="linV"/>
              <dgm:constr type="t" for="ch" forName="linV"/>
              <dgm:constr type="userC" for="des" forName="pair" refType="r" refFor="ch" refForName="picture_1"/>
              <dgm:constr type="h" for="des" forName="pair" refType="h" refFor="ch" refForName="picture_1" fact="0.27"/>
              <dgm:constr type="h" for="des" forName="spaceV" refType="h" refFor="ch" refForName="picture_1" fact="0.0486"/>
              <dgm:constr type="l" for="ch" forName="maxNode" refType="r" refFor="ch" refForName="picture_1"/>
              <dgm:constr type="lOff" for="ch" forName="maxNode" refType="h" refFor="des" refForName="pair" fact="0.5"/>
              <dgm:constr type="r" for="ch" forName="maxNode" refType="w"/>
              <dgm:constr type="t" for="ch" forName="maxNode"/>
              <dgm:constr type="h" for="ch" forName="maxNode" val="1"/>
              <dgm:constr type="userW" for="des" forName="desText" refType="w" refFor="ch" refForName="maxNode"/>
            </dgm:constrLst>
          </dgm:if>
          <dgm:else name="Name10">
            <dgm:constrLst>
              <dgm:constr type="h" for="ch" forName="picture_1" refType="h" fact="0.909"/>
              <dgm:constr type="w" for="ch" forName="picture_1" refType="h" refFor="ch" refForName="picture_1" op="equ" fact="0.784"/>
              <dgm:constr type="r" for="ch" forName="picture_1" refType="w"/>
              <dgm:constr type="t" for="ch" forName="picture_1" refType="h" refFor="ch" refForName="picture_1" fact="0.05"/>
              <dgm:constr type="w" for="ch" forName="picture_1" refType="w" op="lte" fact="0.588"/>
              <dgm:constr type="w" for="ch" forName="text_1" refType="w" refFor="ch" refForName="picture_1" fact="0.77"/>
              <dgm:constr type="h" for="ch" forName="text_1" refType="h" refFor="ch" refForName="picture_1" fact="0.6"/>
              <dgm:constr type="r" for="ch" forName="text_1" refType="w"/>
              <dgm:constr type="t" for="ch" forName="text_1" refType="h" refFor="ch" refForName="picture_1" fact="0.41"/>
              <dgm:constr type="w" for="ch" forName="linV" refType="w"/>
              <dgm:constr type="h" for="ch" forName="linV" refType="h" refFor="ch" refForName="picture_1" fact="1.1"/>
              <dgm:constr type="l" for="ch" forName="linV"/>
              <dgm:constr type="t" for="ch" forName="linV"/>
              <dgm:constr type="userC" for="des" forName="pair" refType="l" refFor="ch" refForName="picture_1"/>
              <dgm:constr type="h" for="des" forName="pair" refType="h" refFor="ch" refForName="picture_1" fact="0.27"/>
              <dgm:constr type="h" for="des" forName="spaceV" refType="h" refFor="ch" refForName="picture_1" fact="0.0486"/>
              <dgm:constr type="r" for="ch" forName="maxNode" refType="l" refFor="ch" refForName="picture_1"/>
              <dgm:constr type="rOff" for="ch" forName="maxNode" refType="h" refFor="des" refForName="pair" fact="-0.5"/>
              <dgm:constr type="l" for="ch" forName="maxNode"/>
              <dgm:constr type="t" for="ch" forName="maxNode"/>
              <dgm:constr type="h" for="ch" forName="maxNode" val="1"/>
              <dgm:constr type="userW" for="des" forName="desText" refType="w" refFor="ch" refForName="maxNode"/>
            </dgm:constrLst>
          </dgm:else>
        </dgm:choose>
      </dgm:else>
    </dgm:choose>
    <dgm:forEach name="Name11" axis="ch" ptType="sibTrans" hideLastTrans="0" cnt="1">
      <dgm:layoutNode name="picture_1" styleLbl="bgImgPlace1">
        <dgm:alg type="sp"/>
        <dgm:shape xmlns:r="http://schemas.openxmlformats.org/officeDocument/2006/relationships" type="roundRect" r:blip="" blipPhldr="1">
          <dgm:adjLst/>
        </dgm:shape>
        <dgm:presOf axis="self"/>
      </dgm:layoutNode>
    </dgm:forEach>
    <dgm:forEach name="Name12" axis="ch" ptType="node" cnt="1">
      <dgm:layoutNode name="text_1" styleLbl="node1">
        <dgm:varLst>
          <dgm:bulletEnabled val="1"/>
        </dgm:varLst>
        <dgm:choose name="Name13">
          <dgm:if name="Name14" func="var" arg="dir" op="equ" val="norm">
            <dgm:alg type="tx">
              <dgm:param type="txAnchorVert" val="b"/>
              <dgm:param type="parTxLTRAlign" val="l"/>
              <dgm:param type="shpTxLTRAlignCh" val="l"/>
              <dgm:param type="parTxRTLAlign" val="l"/>
              <dgm:param type="shpTxRTLAlignCh" val="l"/>
            </dgm:alg>
          </dgm:if>
          <dgm:else name="Name15">
            <dgm:alg type="tx">
              <dgm:param type="txAnchorVert" val="b"/>
              <dgm:param type="parTxLTRAlign" val="r"/>
              <dgm:param type="shpTxLTRAlignCh" val="r"/>
              <dgm:param type="parTxRTLAlign" val="r"/>
              <dgm:param type="shpTxRTLAlignCh" val="r"/>
            </dgm:alg>
          </dgm:else>
        </dgm:choose>
        <dgm:shape xmlns:r="http://schemas.openxmlformats.org/officeDocument/2006/relationships" type="rect" r:blip="" hideGeom="1">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forEach>
    <dgm:choose name="Name16">
      <dgm:if name="Name17" axis="ch" ptType="node" func="cnt" op="gte" val="2">
        <dgm:layoutNode name="linV">
          <dgm:choose name="Name18">
            <dgm:if name="Name19" func="var" arg="dir" op="equ" val="norm">
              <dgm:alg type="lin">
                <dgm:param type="linDir" val="fromT"/>
                <dgm:param type="vertAlign" val="t"/>
                <dgm:param type="fallback" val="1D"/>
                <dgm:param type="horzAlign" val="l"/>
                <dgm:param type="nodeHorzAlign" val="l"/>
              </dgm:alg>
            </dgm:if>
            <dgm:else name="Name20">
              <dgm:alg type="lin">
                <dgm:param type="linDir" val="fromT"/>
                <dgm:param type="vertAlign" val="t"/>
                <dgm:param type="fallback" val="1D"/>
                <dgm:param type="horzAlign" val="r"/>
                <dgm:param type="nodeHorzAlign" val="r"/>
              </dgm:alg>
            </dgm:else>
          </dgm:choose>
          <dgm:shape xmlns:r="http://schemas.openxmlformats.org/officeDocument/2006/relationships" r:blip="">
            <dgm:adjLst/>
          </dgm:shape>
          <dgm:constrLst>
            <dgm:constr type="w" for="ch" forName="spaceV" val="1"/>
            <dgm:constr type="w" for="ch" forName="pair" refType="w" op="equ"/>
            <dgm:constr type="w" for="des" forName="desText" op="equ"/>
            <dgm:constr type="primFontSz" for="des" forName="desText" op="equ" val="65"/>
          </dgm:constrLst>
          <dgm:forEach name="Name21" axis="ch" ptType="node" st="2">
            <dgm:layoutNode name="pair">
              <dgm:alg type="composite"/>
              <dgm:shape xmlns:r="http://schemas.openxmlformats.org/officeDocument/2006/relationships" r:blip="">
                <dgm:adjLst/>
              </dgm:shape>
              <dgm:choose name="Name22">
                <dgm:if name="Name23" func="var" arg="dir" op="equ" val="norm">
                  <dgm:constrLst>
                    <dgm:constr type="userC"/>
                    <dgm:constr type="l" for="ch" forName="spaceH"/>
                    <dgm:constr type="r" for="ch" forName="spaceH" refType="userC"/>
                    <dgm:constr type="ctrY" for="ch" forName="spaceH" refType="w" fact="0.5"/>
                    <dgm:constr type="h" for="ch" forName="spaceH" val="1"/>
                    <dgm:constr type="w" for="ch" forName="desPictures" refType="h"/>
                    <dgm:constr type="h" for="ch" forName="desPictures" refType="w" refFor="ch" refForName="desPictures" op="equ"/>
                    <dgm:constr type="ctrX" for="ch" forName="desPictures" refType="userC"/>
                    <dgm:constr type="ctrY" for="ch" forName="desPictures" refType="w" fact="0.5"/>
                    <dgm:constr type="l" for="ch" forName="desTextWrapper" refType="r" refFor="ch" refForName="desPictures"/>
                    <dgm:constr type="ctrY" for="ch" forName="desTextWrapper" refType="w" fact="0.5"/>
                    <dgm:constr type="h" for="ch" forName="desTextWrapper" refType="h"/>
                    <dgm:constr type="h" for="des" forName="desText" refType="h"/>
                  </dgm:constrLst>
                </dgm:if>
                <dgm:else name="Name24">
                  <dgm:constrLst>
                    <dgm:constr type="userC"/>
                    <dgm:constr type="r" for="ch" forName="spaceH" refType="w"/>
                    <dgm:constr type="l" for="ch" forName="spaceH" refType="userC"/>
                    <dgm:constr type="ctrY" for="ch" forName="spaceH" refType="w" fact="0.5"/>
                    <dgm:constr type="h" for="ch" forName="spaceH" val="1"/>
                    <dgm:constr type="w" for="ch" forName="desPictures" refType="h"/>
                    <dgm:constr type="h" for="ch" forName="desPictures" refType="w" refFor="ch" refForName="desPictures" op="equ"/>
                    <dgm:constr type="ctrX" for="ch" forName="desPictures" refType="userC"/>
                    <dgm:constr type="ctrY" for="ch" forName="desPictures" refType="w" fact="0.5"/>
                    <dgm:constr type="r" for="ch" forName="desTextWrapper" refType="l" refFor="ch" refForName="desPictures"/>
                    <dgm:constr type="ctrY" for="ch" forName="desTextWrapper" refType="w" fact="0.5"/>
                    <dgm:constr type="h" for="ch" forName="desTextWrapper" refType="h"/>
                    <dgm:constr type="h" for="des" forName="desText" refType="h"/>
                  </dgm:constrLst>
                </dgm:else>
              </dgm:choose>
              <dgm:layoutNode name="spaceH">
                <dgm:alg type="sp"/>
                <dgm:shape xmlns:r="http://schemas.openxmlformats.org/officeDocument/2006/relationships" type="rect" r:blip="" hideGeom="1">
                  <dgm:adjLst/>
                </dgm:shape>
                <dgm:presOf/>
              </dgm:layoutNode>
              <dgm:layoutNode name="desPictures" styleLbl="alignImgPlace1">
                <dgm:alg type="sp"/>
                <dgm:shape xmlns:r="http://schemas.openxmlformats.org/officeDocument/2006/relationships" type="ellipse" r:blip="" blipPhldr="1">
                  <dgm:adjLst/>
                </dgm:shape>
                <dgm:presOf/>
              </dgm:layoutNode>
              <dgm:layoutNode name="desTextWrapper">
                <dgm:choose name="Name25">
                  <dgm:if name="Name26" func="var" arg="dir" op="equ" val="norm">
                    <dgm:alg type="lin">
                      <dgm:param type="horzAlign" val="l"/>
                    </dgm:alg>
                  </dgm:if>
                  <dgm:else name="Name27">
                    <dgm:alg type="lin">
                      <dgm:param type="horzAlign" val="r"/>
                    </dgm:alg>
                  </dgm:else>
                </dgm:choose>
                <dgm:layoutNode name="desText" styleLbl="revTx">
                  <dgm:varLst>
                    <dgm:bulletEnabled val="1"/>
                  </dgm:varLst>
                  <dgm:choose name="Name28">
                    <dgm:if name="Name29" func="var" arg="dir" op="equ" val="norm">
                      <dgm:alg type="tx">
                        <dgm:param type="parTxLTRAlign" val="l"/>
                        <dgm:param type="shpTxLTRAlignCh" val="l"/>
                        <dgm:param type="parTxRTLAlign" val="r"/>
                        <dgm:param type="shpTxRTLAlignCh" val="r"/>
                      </dgm:alg>
                    </dgm:if>
                    <dgm:else name="Name30">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userW"/>
                    <dgm:constr type="w" refType="userW" fact="0.1"/>
                    <dgm:constr type="lMarg" refType="primFontSz" fact="0.2"/>
                    <dgm:constr type="rMarg" refType="primFontSz" fact="0.2"/>
                    <dgm:constr type="tMarg" refType="primFontSz" fact="0.1"/>
                    <dgm:constr type="bMarg" refType="primFontSz" fact="0.1"/>
                  </dgm:constrLst>
                  <dgm:ruleLst>
                    <dgm:rule type="w" val="NaN" fact="1" max="NaN"/>
                    <dgm:rule type="primFontSz" val="5" fact="NaN" max="NaN"/>
                  </dgm:ruleLst>
                </dgm:layoutNode>
              </dgm:layoutNode>
            </dgm:layoutNode>
            <dgm:forEach name="Name31" axis="followSib" ptType="sibTrans" cnt="1">
              <dgm:layoutNode name="spaceV">
                <dgm:alg type="sp"/>
                <dgm:shape xmlns:r="http://schemas.openxmlformats.org/officeDocument/2006/relationships" r:blip="">
                  <dgm:adjLst/>
                </dgm:shape>
                <dgm:presOf/>
              </dgm:layoutNode>
            </dgm:forEach>
          </dgm:forEach>
        </dgm:layoutNode>
      </dgm:if>
      <dgm:else name="Name32"/>
    </dgm:choose>
    <dgm:layoutNode name="maxNode">
      <dgm:alg type="lin"/>
      <dgm:shape xmlns:r="http://schemas.openxmlformats.org/officeDocument/2006/relationships" r:blip="">
        <dgm:adjLst/>
      </dgm:shape>
      <dgm:presOf/>
      <dgm:constrLst>
        <dgm:constr type="w" for="ch"/>
        <dgm:constr type="h" for="ch"/>
      </dgm:constrLst>
      <dgm:layoutNode name="Name33">
        <dgm:alg type="sp"/>
        <dgm:shape xmlns:r="http://schemas.openxmlformats.org/officeDocument/2006/relationships" r:blip="">
          <dgm:adjLst/>
        </dgm:shape>
        <dgm:presOf/>
      </dgm:layoutNode>
    </dgm:layoutNode>
  </dgm:layoutNode>
</dgm:layoutDef>
</file>

<file path=word/diagrams/layout2.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29A06CB-CBC6-4D77-BD2C-D077E05D90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497</TotalTime>
  <Pages>7</Pages>
  <Words>2160</Words>
  <Characters>12312</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Azra Habib</dc:creator>
  <cp:keywords/>
  <dc:description/>
  <cp:lastModifiedBy>Azra Habib</cp:lastModifiedBy>
  <cp:revision>31</cp:revision>
  <dcterms:created xsi:type="dcterms:W3CDTF">2026-02-01T22:11:00Z</dcterms:created>
  <dcterms:modified xsi:type="dcterms:W3CDTF">2026-02-22T22:31:00Z</dcterms:modified>
</cp:coreProperties>
</file>