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5E00E9" w14:textId="77777777" w:rsidR="00B97DCA" w:rsidRPr="00605C49" w:rsidRDefault="00B97DCA" w:rsidP="00B97DCA">
      <w:pPr>
        <w:pStyle w:val="NormalWeb"/>
        <w:spacing w:after="0" w:line="240" w:lineRule="auto"/>
        <w:jc w:val="center"/>
      </w:pPr>
      <w:r w:rsidRPr="00605C49">
        <w:rPr>
          <w:sz w:val="36"/>
          <w:szCs w:val="36"/>
        </w:rPr>
        <w:t xml:space="preserve">Archival Assessment Practice on William Wilberforce </w:t>
      </w:r>
    </w:p>
    <w:p w14:paraId="4F55A8E9" w14:textId="77777777" w:rsidR="00B97DCA" w:rsidRPr="00605C49" w:rsidRDefault="00B97DCA" w:rsidP="00B97DCA">
      <w:pPr>
        <w:pStyle w:val="NormalWeb"/>
        <w:spacing w:after="0" w:line="240" w:lineRule="auto"/>
        <w:jc w:val="center"/>
      </w:pPr>
    </w:p>
    <w:p w14:paraId="243DCA50" w14:textId="39160724" w:rsidR="00B97DCA" w:rsidRPr="00605C49" w:rsidRDefault="00B97DCA" w:rsidP="00B97DCA">
      <w:pPr>
        <w:pStyle w:val="NormalWeb"/>
        <w:spacing w:after="0" w:line="240" w:lineRule="auto"/>
      </w:pPr>
      <w:r w:rsidRPr="00605C49">
        <w:rPr>
          <w:sz w:val="28"/>
          <w:szCs w:val="28"/>
        </w:rPr>
        <w:t xml:space="preserve">Methodology: </w:t>
      </w:r>
      <w:r w:rsidR="00071F1D">
        <w:rPr>
          <w:sz w:val="28"/>
          <w:szCs w:val="28"/>
        </w:rPr>
        <w:t xml:space="preserve">  </w:t>
      </w:r>
    </w:p>
    <w:p w14:paraId="68DBA767" w14:textId="5EF6F89F" w:rsidR="00B97DCA" w:rsidRPr="00605C49" w:rsidRDefault="00B97DCA" w:rsidP="00B97DCA">
      <w:pPr>
        <w:pStyle w:val="NormalWeb"/>
        <w:spacing w:after="0" w:line="240" w:lineRule="auto"/>
      </w:pPr>
      <w:r w:rsidRPr="00605C49">
        <w:t>My methodology was to begin with simple searches on the National Archive database. Through this I was then able to see what was available in other archives in both the UK and abroad. It also helped identify archives from the areas that the Wilberforce family held connections to which allowed the discovery of documents which are not directly connected to William Wilberforce but mention him in some way.</w:t>
      </w:r>
      <w:r w:rsidR="00822EAD">
        <w:t xml:space="preserve"> The Methodology also identified several documents which at this time cannot be accessed. Future attempts should be made to gain access to the mentioned documents. </w:t>
      </w:r>
    </w:p>
    <w:p w14:paraId="4155BE3B" w14:textId="77777777" w:rsidR="00B97DCA" w:rsidRPr="00605C49" w:rsidRDefault="00B97DCA" w:rsidP="00B97DCA">
      <w:pPr>
        <w:pStyle w:val="NormalWeb"/>
        <w:spacing w:after="0" w:line="240" w:lineRule="auto"/>
      </w:pPr>
      <w:r w:rsidRPr="00605C49">
        <w:rPr>
          <w:sz w:val="28"/>
          <w:szCs w:val="28"/>
        </w:rPr>
        <w:t xml:space="preserve">The Archived Material: </w:t>
      </w:r>
    </w:p>
    <w:p w14:paraId="5BCAD5CC" w14:textId="77777777" w:rsidR="00B97DCA" w:rsidRPr="00605C49" w:rsidRDefault="00B97DCA" w:rsidP="00B97DCA">
      <w:pPr>
        <w:rPr>
          <w:rFonts w:ascii="Times New Roman" w:hAnsi="Times New Roman" w:cs="Times New Roman"/>
          <w:sz w:val="28"/>
          <w:szCs w:val="28"/>
        </w:rPr>
      </w:pPr>
    </w:p>
    <w:p w14:paraId="0712FBE1" w14:textId="7E1737F6" w:rsidR="00B97DCA" w:rsidRPr="00605C49" w:rsidRDefault="00B97DCA" w:rsidP="00B97DCA">
      <w:pPr>
        <w:pStyle w:val="NoSpacing"/>
        <w:rPr>
          <w:rFonts w:ascii="Times New Roman" w:hAnsi="Times New Roman" w:cs="Times New Roman"/>
          <w:sz w:val="28"/>
          <w:szCs w:val="28"/>
        </w:rPr>
      </w:pPr>
      <w:r w:rsidRPr="00605C49">
        <w:rPr>
          <w:rFonts w:ascii="Times New Roman" w:hAnsi="Times New Roman" w:cs="Times New Roman"/>
          <w:sz w:val="28"/>
          <w:szCs w:val="28"/>
        </w:rPr>
        <w:t xml:space="preserve">Durham </w:t>
      </w:r>
    </w:p>
    <w:p w14:paraId="28FE7421" w14:textId="77777777" w:rsidR="00B97DCA" w:rsidRPr="00605C49" w:rsidRDefault="00B97DCA" w:rsidP="00B97DCA">
      <w:pPr>
        <w:pStyle w:val="NoSpacing"/>
        <w:rPr>
          <w:rFonts w:ascii="Times New Roman" w:hAnsi="Times New Roman" w:cs="Times New Roman"/>
          <w:sz w:val="28"/>
          <w:szCs w:val="28"/>
        </w:rPr>
      </w:pPr>
      <w:r w:rsidRPr="00605C49">
        <w:rPr>
          <w:rFonts w:ascii="Times New Roman" w:hAnsi="Times New Roman" w:cs="Times New Roman"/>
          <w:sz w:val="28"/>
          <w:szCs w:val="28"/>
        </w:rPr>
        <w:t xml:space="preserve">Duke University Library </w:t>
      </w:r>
    </w:p>
    <w:p w14:paraId="3606F646" w14:textId="6B68A7E9" w:rsidR="00B97DCA" w:rsidRPr="00605C49" w:rsidRDefault="00B97DCA" w:rsidP="00B97DCA">
      <w:pPr>
        <w:pStyle w:val="NoSpacing"/>
        <w:rPr>
          <w:rFonts w:ascii="Times New Roman" w:hAnsi="Times New Roman" w:cs="Times New Roman"/>
          <w:sz w:val="28"/>
          <w:szCs w:val="28"/>
        </w:rPr>
      </w:pPr>
      <w:r w:rsidRPr="00605C49">
        <w:rPr>
          <w:rFonts w:ascii="Times New Roman" w:hAnsi="Times New Roman" w:cs="Times New Roman"/>
          <w:color w:val="333333"/>
          <w:sz w:val="28"/>
          <w:szCs w:val="28"/>
        </w:rPr>
        <w:t>Duke:4432257</w:t>
      </w:r>
    </w:p>
    <w:p w14:paraId="48C7E20F" w14:textId="77777777" w:rsidR="00B97DCA" w:rsidRPr="00605C49" w:rsidRDefault="00B97DCA" w:rsidP="00B97DCA">
      <w:pPr>
        <w:pStyle w:val="NoSpacing"/>
        <w:rPr>
          <w:rFonts w:ascii="Times New Roman" w:hAnsi="Times New Roman" w:cs="Times New Roman"/>
        </w:rPr>
      </w:pPr>
    </w:p>
    <w:p w14:paraId="4422A396" w14:textId="558A9E4F" w:rsidR="00B97DCA" w:rsidRPr="00605C49" w:rsidRDefault="00B97DCA" w:rsidP="00B97DCA">
      <w:pPr>
        <w:pStyle w:val="NoSpacing"/>
        <w:rPr>
          <w:rFonts w:ascii="Times New Roman" w:hAnsi="Times New Roman" w:cs="Times New Roman"/>
        </w:rPr>
      </w:pPr>
      <w:r w:rsidRPr="00605C49">
        <w:rPr>
          <w:rFonts w:ascii="Times New Roman" w:hAnsi="Times New Roman" w:cs="Times New Roman"/>
        </w:rPr>
        <w:t>This document is a letter written by William Wilberforce though the name of the recipient cannot be read unless the reader is skilled in transcription. The description of the manuscript does not name the receiver the either so those who cannot transcribe with find the document of limited use. The writing is also very clear, so a close transcription is possible. The document also is dated by the archive between 1782-1786. This letter though is dated specifically to August 6</w:t>
      </w:r>
      <w:r w:rsidRPr="00605C49">
        <w:rPr>
          <w:rFonts w:ascii="Times New Roman" w:hAnsi="Times New Roman" w:cs="Times New Roman"/>
          <w:vertAlign w:val="superscript"/>
        </w:rPr>
        <w:t>th</w:t>
      </w:r>
      <w:r w:rsidRPr="00605C49">
        <w:rPr>
          <w:rFonts w:ascii="Times New Roman" w:hAnsi="Times New Roman" w:cs="Times New Roman"/>
        </w:rPr>
        <w:t>, 1782 which puts it towards the start of the fight of Emancipation. The letter is short and only covers one side of the paper and the top states that it was written in response to a letter that Wilberforce has received that morning. The specifics of the letter are not readable without through knowledge of Wilberforce’s handwriting so it is advised that further examination should be given to this document to identify the specific contents of the letter.</w:t>
      </w:r>
      <w:r w:rsidR="00605C49">
        <w:rPr>
          <w:rFonts w:ascii="Times New Roman" w:hAnsi="Times New Roman" w:cs="Times New Roman"/>
        </w:rPr>
        <w:t xml:space="preserve"> </w:t>
      </w:r>
      <w:r w:rsidR="005E7A46">
        <w:rPr>
          <w:rFonts w:ascii="Times New Roman" w:hAnsi="Times New Roman" w:cs="Times New Roman"/>
        </w:rPr>
        <w:t xml:space="preserve">If a researcher wishes to view the document it is available of Duke University’s website or it is available for viewing in its original form at the Duke University Library. </w:t>
      </w:r>
    </w:p>
    <w:p w14:paraId="45C8BD5C" w14:textId="77777777" w:rsidR="00B97DCA" w:rsidRPr="00605C49" w:rsidRDefault="00B97DCA" w:rsidP="00B97DCA">
      <w:pPr>
        <w:rPr>
          <w:rFonts w:ascii="Times New Roman" w:hAnsi="Times New Roman" w:cs="Times New Roman"/>
          <w:sz w:val="28"/>
          <w:szCs w:val="28"/>
        </w:rPr>
      </w:pPr>
    </w:p>
    <w:p w14:paraId="7FEA8841" w14:textId="072C33B8" w:rsidR="00B97DCA" w:rsidRPr="00605C49" w:rsidRDefault="00B97DCA" w:rsidP="00B97DCA">
      <w:pPr>
        <w:pStyle w:val="NoSpacing"/>
        <w:rPr>
          <w:rFonts w:ascii="Times New Roman" w:hAnsi="Times New Roman" w:cs="Times New Roman"/>
          <w:sz w:val="28"/>
          <w:szCs w:val="28"/>
        </w:rPr>
      </w:pPr>
      <w:r w:rsidRPr="00605C49">
        <w:rPr>
          <w:rFonts w:ascii="Times New Roman" w:hAnsi="Times New Roman" w:cs="Times New Roman"/>
          <w:sz w:val="28"/>
          <w:szCs w:val="28"/>
        </w:rPr>
        <w:t>Kew</w:t>
      </w:r>
    </w:p>
    <w:p w14:paraId="637A32DA" w14:textId="77777777" w:rsidR="00B97DCA" w:rsidRPr="00605C49" w:rsidRDefault="00B97DCA" w:rsidP="00B97DCA">
      <w:pPr>
        <w:pStyle w:val="NoSpacing"/>
        <w:rPr>
          <w:rFonts w:ascii="Times New Roman" w:hAnsi="Times New Roman" w:cs="Times New Roman"/>
          <w:sz w:val="28"/>
          <w:szCs w:val="28"/>
        </w:rPr>
      </w:pPr>
      <w:r w:rsidRPr="00605C49">
        <w:rPr>
          <w:rFonts w:ascii="Times New Roman" w:hAnsi="Times New Roman" w:cs="Times New Roman"/>
          <w:sz w:val="28"/>
          <w:szCs w:val="28"/>
        </w:rPr>
        <w:t xml:space="preserve">The National Archives </w:t>
      </w:r>
    </w:p>
    <w:p w14:paraId="61FDBE2B" w14:textId="37382474" w:rsidR="00B97DCA" w:rsidRPr="00605C49" w:rsidRDefault="00B97DCA" w:rsidP="00B97DCA">
      <w:pPr>
        <w:pStyle w:val="NoSpacing"/>
        <w:rPr>
          <w:rFonts w:ascii="Times New Roman" w:hAnsi="Times New Roman" w:cs="Times New Roman"/>
          <w:sz w:val="28"/>
          <w:szCs w:val="28"/>
        </w:rPr>
      </w:pPr>
      <w:r w:rsidRPr="00605C49">
        <w:rPr>
          <w:rFonts w:ascii="Times New Roman" w:hAnsi="Times New Roman" w:cs="Times New Roman"/>
          <w:color w:val="000000"/>
          <w:sz w:val="28"/>
          <w:szCs w:val="28"/>
        </w:rPr>
        <w:t>PROB 11/1825/373</w:t>
      </w:r>
      <w:r w:rsidRPr="00605C49">
        <w:rPr>
          <w:rFonts w:ascii="Times New Roman" w:hAnsi="Times New Roman" w:cs="Times New Roman"/>
          <w:sz w:val="28"/>
          <w:szCs w:val="28"/>
        </w:rPr>
        <w:t xml:space="preserve"> 7</w:t>
      </w:r>
    </w:p>
    <w:p w14:paraId="578872EE" w14:textId="051061CD" w:rsidR="00B97DCA" w:rsidRPr="00605C49" w:rsidRDefault="00B97DCA" w:rsidP="00B97DCA">
      <w:pPr>
        <w:pStyle w:val="NoSpacing"/>
        <w:rPr>
          <w:rFonts w:ascii="Times New Roman" w:hAnsi="Times New Roman" w:cs="Times New Roman"/>
          <w:sz w:val="28"/>
          <w:szCs w:val="28"/>
        </w:rPr>
      </w:pPr>
    </w:p>
    <w:p w14:paraId="647DBE89" w14:textId="77777777" w:rsidR="005E7A46" w:rsidRDefault="00605C49" w:rsidP="00B97DCA">
      <w:pPr>
        <w:pStyle w:val="NoSpacing"/>
        <w:rPr>
          <w:rFonts w:ascii="Times New Roman" w:hAnsi="Times New Roman" w:cs="Times New Roman"/>
          <w:sz w:val="24"/>
          <w:szCs w:val="24"/>
        </w:rPr>
      </w:pPr>
      <w:r w:rsidRPr="00605C49">
        <w:rPr>
          <w:rFonts w:ascii="Times New Roman" w:hAnsi="Times New Roman" w:cs="Times New Roman"/>
          <w:sz w:val="24"/>
          <w:szCs w:val="24"/>
        </w:rPr>
        <w:t>This do</w:t>
      </w:r>
      <w:r>
        <w:rPr>
          <w:rFonts w:ascii="Times New Roman" w:hAnsi="Times New Roman" w:cs="Times New Roman"/>
          <w:sz w:val="24"/>
          <w:szCs w:val="24"/>
        </w:rPr>
        <w:t xml:space="preserve">cument is the last will and testament of William Wilberforce Esquire. It details the assets that he possessed at his death and how they where to be distributed. The will is useful as it allows us to view what Wilberforce owned at his death and how he wanted his property to be divided up. Historians who are interested the family financial history may also </w:t>
      </w:r>
      <w:proofErr w:type="spellStart"/>
      <w:r>
        <w:rPr>
          <w:rFonts w:ascii="Times New Roman" w:hAnsi="Times New Roman" w:cs="Times New Roman"/>
          <w:sz w:val="24"/>
          <w:szCs w:val="24"/>
        </w:rPr>
        <w:t>glems</w:t>
      </w:r>
      <w:proofErr w:type="spellEnd"/>
      <w:r>
        <w:rPr>
          <w:rFonts w:ascii="Times New Roman" w:hAnsi="Times New Roman" w:cs="Times New Roman"/>
          <w:sz w:val="24"/>
          <w:szCs w:val="24"/>
        </w:rPr>
        <w:t xml:space="preserve"> some information from it </w:t>
      </w:r>
      <w:r w:rsidR="005E7A46">
        <w:rPr>
          <w:rFonts w:ascii="Times New Roman" w:hAnsi="Times New Roman" w:cs="Times New Roman"/>
          <w:sz w:val="24"/>
          <w:szCs w:val="24"/>
        </w:rPr>
        <w:t xml:space="preserve">based on the property mention in the text. </w:t>
      </w:r>
      <w:r>
        <w:rPr>
          <w:rFonts w:ascii="Times New Roman" w:hAnsi="Times New Roman" w:cs="Times New Roman"/>
          <w:sz w:val="24"/>
          <w:szCs w:val="24"/>
        </w:rPr>
        <w:t>The text is clear to read so a transcription is possible with some degree of ease as none of the pages have fading text. The document is currently available online on the National Archives website which any researcher can access for a small fee. Those who have accounts for the site though can access the document for free. We know the document is legitimate as it is legal document which signed and seals by both witnesses and William Wilberforce’s nam</w:t>
      </w:r>
      <w:r w:rsidR="005E7A46">
        <w:rPr>
          <w:rFonts w:ascii="Times New Roman" w:hAnsi="Times New Roman" w:cs="Times New Roman"/>
          <w:sz w:val="24"/>
          <w:szCs w:val="24"/>
        </w:rPr>
        <w:t>e.</w:t>
      </w:r>
    </w:p>
    <w:p w14:paraId="6A289021" w14:textId="77777777" w:rsidR="005E7A46" w:rsidRDefault="005E7A46" w:rsidP="00B97DCA">
      <w:pPr>
        <w:pStyle w:val="NoSpacing"/>
        <w:rPr>
          <w:rFonts w:ascii="Times New Roman" w:hAnsi="Times New Roman" w:cs="Times New Roman"/>
          <w:sz w:val="24"/>
          <w:szCs w:val="24"/>
        </w:rPr>
      </w:pPr>
    </w:p>
    <w:p w14:paraId="2858BDBD" w14:textId="77777777" w:rsidR="00822EAD" w:rsidRDefault="00822EAD" w:rsidP="005E7A46">
      <w:pPr>
        <w:pStyle w:val="NoSpacing"/>
        <w:rPr>
          <w:rFonts w:ascii="Times New Roman" w:hAnsi="Times New Roman" w:cs="Times New Roman"/>
          <w:sz w:val="28"/>
          <w:szCs w:val="28"/>
        </w:rPr>
      </w:pPr>
    </w:p>
    <w:p w14:paraId="4709813F" w14:textId="77777777" w:rsidR="00822EAD" w:rsidRDefault="00822EAD" w:rsidP="005E7A46">
      <w:pPr>
        <w:pStyle w:val="NoSpacing"/>
        <w:rPr>
          <w:rFonts w:ascii="Times New Roman" w:hAnsi="Times New Roman" w:cs="Times New Roman"/>
          <w:sz w:val="28"/>
          <w:szCs w:val="28"/>
        </w:rPr>
      </w:pPr>
    </w:p>
    <w:p w14:paraId="53E2D5AC" w14:textId="6F73C2EA" w:rsidR="005E7A46" w:rsidRDefault="005E7A46" w:rsidP="005E7A46">
      <w:pPr>
        <w:pStyle w:val="NoSpacing"/>
        <w:rPr>
          <w:rFonts w:ascii="Times New Roman" w:hAnsi="Times New Roman" w:cs="Times New Roman"/>
          <w:sz w:val="28"/>
          <w:szCs w:val="28"/>
        </w:rPr>
      </w:pPr>
      <w:r>
        <w:rPr>
          <w:rFonts w:ascii="Times New Roman" w:hAnsi="Times New Roman" w:cs="Times New Roman"/>
          <w:sz w:val="28"/>
          <w:szCs w:val="28"/>
        </w:rPr>
        <w:t xml:space="preserve">Hull </w:t>
      </w:r>
    </w:p>
    <w:p w14:paraId="172E68A0" w14:textId="50ED54E4" w:rsidR="005E7A46" w:rsidRDefault="005E7A46" w:rsidP="005E7A46">
      <w:pPr>
        <w:pStyle w:val="NoSpacing"/>
        <w:rPr>
          <w:rFonts w:ascii="Times New Roman" w:hAnsi="Times New Roman" w:cs="Times New Roman"/>
          <w:sz w:val="28"/>
          <w:szCs w:val="28"/>
        </w:rPr>
      </w:pPr>
      <w:r>
        <w:rPr>
          <w:rFonts w:ascii="Times New Roman" w:hAnsi="Times New Roman" w:cs="Times New Roman"/>
          <w:sz w:val="28"/>
          <w:szCs w:val="28"/>
        </w:rPr>
        <w:t xml:space="preserve">Wilberforce House and Georgian Houses </w:t>
      </w:r>
    </w:p>
    <w:p w14:paraId="3BDE9B06" w14:textId="17468B8F" w:rsidR="005E7A46" w:rsidRDefault="005E7A46" w:rsidP="005E7A46">
      <w:pPr>
        <w:pStyle w:val="NoSpacing"/>
        <w:rPr>
          <w:rFonts w:ascii="Times New Roman" w:hAnsi="Times New Roman" w:cs="Times New Roman"/>
          <w:sz w:val="28"/>
          <w:szCs w:val="28"/>
        </w:rPr>
      </w:pPr>
      <w:r w:rsidRPr="005E7A46">
        <w:rPr>
          <w:rFonts w:ascii="Times New Roman" w:hAnsi="Times New Roman" w:cs="Times New Roman"/>
          <w:sz w:val="28"/>
          <w:szCs w:val="28"/>
        </w:rPr>
        <w:t>NRA 10757 Wilberforce House</w:t>
      </w:r>
    </w:p>
    <w:p w14:paraId="0864A41A" w14:textId="17F820EF" w:rsidR="005E7A46" w:rsidRDefault="005E7A46" w:rsidP="005E7A46">
      <w:pPr>
        <w:pStyle w:val="NoSpacing"/>
        <w:rPr>
          <w:rFonts w:ascii="Times New Roman" w:hAnsi="Times New Roman" w:cs="Times New Roman"/>
          <w:sz w:val="28"/>
          <w:szCs w:val="28"/>
        </w:rPr>
      </w:pPr>
    </w:p>
    <w:p w14:paraId="2514401A" w14:textId="45B63718" w:rsidR="005E7A46" w:rsidRPr="00FD0399" w:rsidRDefault="00FD0399" w:rsidP="005E7A46">
      <w:pPr>
        <w:pStyle w:val="NoSpacing"/>
        <w:rPr>
          <w:rFonts w:ascii="Times New Roman" w:hAnsi="Times New Roman" w:cs="Times New Roman"/>
          <w:sz w:val="24"/>
          <w:szCs w:val="24"/>
        </w:rPr>
      </w:pPr>
      <w:r>
        <w:rPr>
          <w:rFonts w:ascii="Times New Roman" w:hAnsi="Times New Roman" w:cs="Times New Roman"/>
          <w:sz w:val="24"/>
          <w:szCs w:val="24"/>
        </w:rPr>
        <w:t>According to the description of the of the piece the file contains correspondents relating to the trans-Atlantic slave trade. Specifically, it contains details about s</w:t>
      </w:r>
      <w:r w:rsidRPr="00FD0399">
        <w:rPr>
          <w:rFonts w:ascii="Times New Roman" w:hAnsi="Times New Roman" w:cs="Times New Roman"/>
          <w:sz w:val="24"/>
          <w:szCs w:val="24"/>
        </w:rPr>
        <w:t>lave car</w:t>
      </w:r>
      <w:r>
        <w:rPr>
          <w:rFonts w:ascii="Times New Roman" w:hAnsi="Times New Roman" w:cs="Times New Roman"/>
          <w:sz w:val="24"/>
          <w:szCs w:val="24"/>
        </w:rPr>
        <w:t xml:space="preserve">goes being sent to </w:t>
      </w:r>
      <w:r w:rsidRPr="00FD0399">
        <w:rPr>
          <w:rFonts w:ascii="Times New Roman" w:hAnsi="Times New Roman" w:cs="Times New Roman"/>
          <w:sz w:val="24"/>
          <w:szCs w:val="24"/>
        </w:rPr>
        <w:t>West Indies and to plantations on Grenada, Barbados, and Trinidad</w:t>
      </w:r>
      <w:r>
        <w:rPr>
          <w:rFonts w:ascii="Times New Roman" w:hAnsi="Times New Roman" w:cs="Times New Roman"/>
          <w:sz w:val="24"/>
          <w:szCs w:val="24"/>
        </w:rPr>
        <w:t xml:space="preserve">. This document will be of value to historians as it contains details of the slave trade to the Caribbean possessions. The document is unavailable online so those wishing to view it will have to visit the archive in person. The correspondence is dated between 1826 and 1838 so </w:t>
      </w:r>
      <w:r w:rsidR="00822EAD">
        <w:rPr>
          <w:rFonts w:ascii="Times New Roman" w:hAnsi="Times New Roman" w:cs="Times New Roman"/>
          <w:sz w:val="24"/>
          <w:szCs w:val="24"/>
        </w:rPr>
        <w:t xml:space="preserve">some of the correspondence comes after the 1807 act which abolished the slave trade and others come after the bill which abolished slavery. This document will be of use to those investigating Wilberforce’s role in the abolition of the slavery and how he interpreted the events of the time. </w:t>
      </w:r>
    </w:p>
    <w:p w14:paraId="424E8189" w14:textId="77777777" w:rsidR="00B97DCA" w:rsidRPr="00605C49" w:rsidRDefault="00B97DCA" w:rsidP="00B97DCA">
      <w:pPr>
        <w:rPr>
          <w:rFonts w:ascii="Times New Roman" w:hAnsi="Times New Roman" w:cs="Times New Roman"/>
          <w:sz w:val="28"/>
          <w:szCs w:val="28"/>
        </w:rPr>
      </w:pPr>
    </w:p>
    <w:p w14:paraId="5E7563D1" w14:textId="77777777" w:rsidR="00B97DCA" w:rsidRPr="00605C49" w:rsidRDefault="00B97DCA" w:rsidP="00B97DCA">
      <w:pPr>
        <w:pStyle w:val="NormalWeb"/>
        <w:spacing w:after="240"/>
      </w:pPr>
    </w:p>
    <w:p w14:paraId="58832DDA" w14:textId="77777777" w:rsidR="00B97DCA" w:rsidRPr="00605C49" w:rsidRDefault="00B97DCA" w:rsidP="00B97DCA">
      <w:pPr>
        <w:pStyle w:val="NormalWeb"/>
        <w:spacing w:after="240"/>
      </w:pPr>
    </w:p>
    <w:p w14:paraId="3B82F7BC" w14:textId="77777777" w:rsidR="00B97DCA" w:rsidRPr="00605C49" w:rsidRDefault="00B97DCA" w:rsidP="00B97DCA">
      <w:pPr>
        <w:pStyle w:val="NormalWeb"/>
        <w:spacing w:after="240"/>
      </w:pPr>
    </w:p>
    <w:p w14:paraId="2A66C496" w14:textId="77777777" w:rsidR="00B97DCA" w:rsidRPr="00605C49" w:rsidRDefault="00B97DCA" w:rsidP="00B97DCA">
      <w:pPr>
        <w:pStyle w:val="NormalWeb"/>
        <w:spacing w:after="0" w:line="240" w:lineRule="auto"/>
      </w:pPr>
    </w:p>
    <w:p w14:paraId="43906770" w14:textId="77777777" w:rsidR="00B97DCA" w:rsidRPr="00605C49" w:rsidRDefault="00B97DCA" w:rsidP="00B97DCA">
      <w:pPr>
        <w:pStyle w:val="NormalWeb"/>
        <w:spacing w:after="0" w:line="240" w:lineRule="auto"/>
      </w:pPr>
    </w:p>
    <w:p w14:paraId="70F7E6D9" w14:textId="77777777" w:rsidR="00B97DCA" w:rsidRPr="00605C49" w:rsidRDefault="00B97DCA">
      <w:pPr>
        <w:rPr>
          <w:rFonts w:ascii="Times New Roman" w:hAnsi="Times New Roman" w:cs="Times New Roman"/>
        </w:rPr>
      </w:pPr>
    </w:p>
    <w:sectPr w:rsidR="00B97DCA" w:rsidRPr="00605C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ezBAIjYzMDIDZX0lEKTi0uzszPAykwqgUArX9L/iwAAAA="/>
  </w:docVars>
  <w:rsids>
    <w:rsidRoot w:val="00B97DCA"/>
    <w:rsid w:val="00071F1D"/>
    <w:rsid w:val="005E7A46"/>
    <w:rsid w:val="00605C49"/>
    <w:rsid w:val="00822EAD"/>
    <w:rsid w:val="008816D7"/>
    <w:rsid w:val="00B97DCA"/>
    <w:rsid w:val="00FD0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2A20E"/>
  <w15:chartTrackingRefBased/>
  <w15:docId w15:val="{84CFBD69-DD38-4F6B-BFE0-7C3D22654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D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97DCA"/>
    <w:pPr>
      <w:spacing w:before="100" w:beforeAutospacing="1" w:after="142" w:line="276" w:lineRule="auto"/>
    </w:pPr>
    <w:rPr>
      <w:rFonts w:ascii="Times New Roman" w:eastAsia="Times New Roman" w:hAnsi="Times New Roman" w:cs="Times New Roman"/>
      <w:sz w:val="24"/>
      <w:szCs w:val="24"/>
      <w:lang w:eastAsia="en-GB"/>
    </w:rPr>
  </w:style>
  <w:style w:type="paragraph" w:styleId="NoSpacing">
    <w:name w:val="No Spacing"/>
    <w:uiPriority w:val="1"/>
    <w:qFormat/>
    <w:rsid w:val="00B97DCA"/>
    <w:pPr>
      <w:spacing w:after="0" w:line="240" w:lineRule="auto"/>
    </w:pPr>
  </w:style>
  <w:style w:type="character" w:customStyle="1" w:styleId="Heading1Char">
    <w:name w:val="Heading 1 Char"/>
    <w:basedOn w:val="DefaultParagraphFont"/>
    <w:link w:val="Heading1"/>
    <w:uiPriority w:val="9"/>
    <w:rsid w:val="00B97DC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9415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548</Words>
  <Characters>3127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Gillson-Gant</dc:creator>
  <cp:keywords/>
  <dc:description/>
  <cp:lastModifiedBy>George Gillson-Gant</cp:lastModifiedBy>
  <cp:revision>2</cp:revision>
  <dcterms:created xsi:type="dcterms:W3CDTF">2020-10-20T21:35:00Z</dcterms:created>
  <dcterms:modified xsi:type="dcterms:W3CDTF">2020-10-20T21:35:00Z</dcterms:modified>
</cp:coreProperties>
</file>