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08231424"/>
        <w:docPartObj>
          <w:docPartGallery w:val="Cover Pages"/>
          <w:docPartUnique/>
        </w:docPartObj>
      </w:sdtPr>
      <w:sdtEndPr>
        <w:rPr>
          <w:sz w:val="32"/>
          <w:szCs w:val="32"/>
        </w:rPr>
      </w:sdtEndPr>
      <w:sdtContent>
        <w:p w14:paraId="6D4A2D3E" w14:textId="1E9FEB77" w:rsidR="009A4ABB" w:rsidRDefault="009F615D">
          <w:r>
            <w:rPr>
              <w:noProof/>
            </w:rPr>
            <mc:AlternateContent>
              <mc:Choice Requires="wps">
                <w:drawing>
                  <wp:anchor distT="0" distB="0" distL="114300" distR="114300" simplePos="0" relativeHeight="251660288" behindDoc="0" locked="0" layoutInCell="1" allowOverlap="1" wp14:anchorId="7818F304" wp14:editId="20038F80">
                    <wp:simplePos x="0" y="0"/>
                    <wp:positionH relativeFrom="margin">
                      <wp:align>left</wp:align>
                    </wp:positionH>
                    <wp:positionV relativeFrom="paragraph">
                      <wp:posOffset>-245125</wp:posOffset>
                    </wp:positionV>
                    <wp:extent cx="5687122" cy="1137021"/>
                    <wp:effectExtent l="0" t="0" r="27940" b="25400"/>
                    <wp:wrapNone/>
                    <wp:docPr id="763315190" name="Text Box 1"/>
                    <wp:cNvGraphicFramePr/>
                    <a:graphic xmlns:a="http://schemas.openxmlformats.org/drawingml/2006/main">
                      <a:graphicData uri="http://schemas.microsoft.com/office/word/2010/wordprocessingShape">
                        <wps:wsp>
                          <wps:cNvSpPr txBox="1"/>
                          <wps:spPr>
                            <a:xfrm>
                              <a:off x="0" y="0"/>
                              <a:ext cx="5687122" cy="1137021"/>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0D0EE753" w14:textId="77777777" w:rsidR="009F615D" w:rsidRPr="00235DD3" w:rsidRDefault="009F615D" w:rsidP="006E60FE">
                                <w:pPr>
                                  <w:pStyle w:val="Heading1"/>
                                  <w:jc w:val="center"/>
                                  <w:rPr>
                                    <w:color w:val="C1E4F5" w:themeColor="accent1" w:themeTint="33"/>
                                    <w:sz w:val="72"/>
                                    <w:szCs w:val="72"/>
                                  </w:rPr>
                                </w:pPr>
                                <w:bookmarkStart w:id="0" w:name="_Toc225282120"/>
                                <w:bookmarkStart w:id="1" w:name="_Toc225282273"/>
                                <w:bookmarkStart w:id="2" w:name="_Toc225371145"/>
                                <w:bookmarkStart w:id="3" w:name="_Toc225371231"/>
                                <w:bookmarkStart w:id="4" w:name="_Toc225281989"/>
                                <w:bookmarkStart w:id="5" w:name="_Toc225281962"/>
                                <w:r w:rsidRPr="00235DD3">
                                  <w:rPr>
                                    <w:color w:val="C1E4F5" w:themeColor="accent1" w:themeTint="33"/>
                                    <w:sz w:val="72"/>
                                    <w:szCs w:val="72"/>
                                  </w:rPr>
                                  <w:t>Action Research Project</w:t>
                                </w:r>
                                <w:bookmarkEnd w:id="0"/>
                                <w:bookmarkEnd w:id="1"/>
                                <w:bookmarkEnd w:id="2"/>
                                <w:bookmarkEnd w:id="3"/>
                              </w:p>
                              <w:p w14:paraId="0FCD0650" w14:textId="77777777" w:rsidR="009F615D" w:rsidRPr="006E60FE" w:rsidRDefault="009F615D">
                                <w:pPr>
                                  <w:rPr>
                                    <w:sz w:val="72"/>
                                    <w:szCs w:val="72"/>
                                  </w:rPr>
                                </w:pPr>
                              </w:p>
                              <w:p w14:paraId="4777F684" w14:textId="77777777" w:rsidR="009F615D" w:rsidRDefault="009F615D"/>
                              <w:p w14:paraId="6038FC6B" w14:textId="77777777" w:rsidR="009F615D" w:rsidRPr="00235DD3" w:rsidRDefault="009F615D" w:rsidP="006E60FE">
                                <w:pPr>
                                  <w:pStyle w:val="Heading1"/>
                                  <w:jc w:val="center"/>
                                  <w:rPr>
                                    <w:color w:val="C1E4F5" w:themeColor="accent1" w:themeTint="33"/>
                                    <w:sz w:val="72"/>
                                    <w:szCs w:val="72"/>
                                  </w:rPr>
                                </w:pPr>
                                <w:bookmarkStart w:id="6" w:name="_Toc225282121"/>
                                <w:bookmarkStart w:id="7" w:name="_Toc225282274"/>
                                <w:bookmarkStart w:id="8" w:name="_Toc225371146"/>
                                <w:bookmarkStart w:id="9" w:name="_Toc225371232"/>
                                <w:r w:rsidRPr="00235DD3">
                                  <w:rPr>
                                    <w:color w:val="C1E4F5" w:themeColor="accent1" w:themeTint="33"/>
                                    <w:sz w:val="72"/>
                                    <w:szCs w:val="72"/>
                                  </w:rPr>
                                  <w:t>Action Research Project</w:t>
                                </w:r>
                                <w:bookmarkEnd w:id="6"/>
                                <w:bookmarkEnd w:id="7"/>
                                <w:bookmarkEnd w:id="8"/>
                                <w:bookmarkEnd w:id="9"/>
                              </w:p>
                              <w:p w14:paraId="0538863E" w14:textId="77777777" w:rsidR="009F615D" w:rsidRPr="006E60FE" w:rsidRDefault="009F615D">
                                <w:pPr>
                                  <w:rPr>
                                    <w:sz w:val="72"/>
                                    <w:szCs w:val="72"/>
                                  </w:rPr>
                                </w:pPr>
                              </w:p>
                              <w:p w14:paraId="6482A52E" w14:textId="77777777" w:rsidR="009F615D" w:rsidRDefault="009F615D"/>
                              <w:p w14:paraId="571A24C0" w14:textId="77777777" w:rsidR="009F615D" w:rsidRPr="00235DD3" w:rsidRDefault="009F615D" w:rsidP="006E60FE">
                                <w:pPr>
                                  <w:pStyle w:val="Heading1"/>
                                  <w:jc w:val="center"/>
                                  <w:rPr>
                                    <w:color w:val="C1E4F5" w:themeColor="accent1" w:themeTint="33"/>
                                    <w:sz w:val="72"/>
                                    <w:szCs w:val="72"/>
                                  </w:rPr>
                                </w:pPr>
                                <w:bookmarkStart w:id="10" w:name="_Toc225282122"/>
                                <w:bookmarkStart w:id="11" w:name="_Toc225282275"/>
                                <w:bookmarkStart w:id="12" w:name="_Toc225371147"/>
                                <w:bookmarkStart w:id="13" w:name="_Toc225371233"/>
                                <w:r w:rsidRPr="00235DD3">
                                  <w:rPr>
                                    <w:color w:val="C1E4F5" w:themeColor="accent1" w:themeTint="33"/>
                                    <w:sz w:val="72"/>
                                    <w:szCs w:val="72"/>
                                  </w:rPr>
                                  <w:t>Action Research Project</w:t>
                                </w:r>
                                <w:bookmarkEnd w:id="4"/>
                                <w:bookmarkEnd w:id="10"/>
                                <w:bookmarkEnd w:id="11"/>
                                <w:bookmarkEnd w:id="12"/>
                                <w:bookmarkEnd w:id="13"/>
                              </w:p>
                              <w:p w14:paraId="2100C845" w14:textId="77777777" w:rsidR="009F615D" w:rsidRPr="006E60FE" w:rsidRDefault="009F615D">
                                <w:pPr>
                                  <w:rPr>
                                    <w:sz w:val="72"/>
                                    <w:szCs w:val="72"/>
                                  </w:rPr>
                                </w:pPr>
                              </w:p>
                              <w:p w14:paraId="360FD5D6" w14:textId="77777777" w:rsidR="009F615D" w:rsidRDefault="009F615D"/>
                              <w:p w14:paraId="230B74CA" w14:textId="77777777" w:rsidR="009F615D" w:rsidRPr="00235DD3" w:rsidRDefault="009F615D" w:rsidP="006E60FE">
                                <w:pPr>
                                  <w:pStyle w:val="Heading1"/>
                                  <w:jc w:val="center"/>
                                  <w:rPr>
                                    <w:color w:val="C1E4F5" w:themeColor="accent1" w:themeTint="33"/>
                                    <w:sz w:val="72"/>
                                    <w:szCs w:val="72"/>
                                  </w:rPr>
                                </w:pPr>
                                <w:bookmarkStart w:id="14" w:name="_Toc225281990"/>
                                <w:bookmarkStart w:id="15" w:name="_Toc225282123"/>
                                <w:bookmarkStart w:id="16" w:name="_Toc225282276"/>
                                <w:bookmarkStart w:id="17" w:name="_Toc225371148"/>
                                <w:bookmarkStart w:id="18" w:name="_Toc225371234"/>
                                <w:r w:rsidRPr="00235DD3">
                                  <w:rPr>
                                    <w:color w:val="C1E4F5" w:themeColor="accent1" w:themeTint="33"/>
                                    <w:sz w:val="72"/>
                                    <w:szCs w:val="72"/>
                                  </w:rPr>
                                  <w:t>Action Research Project</w:t>
                                </w:r>
                                <w:bookmarkEnd w:id="5"/>
                                <w:bookmarkEnd w:id="14"/>
                                <w:bookmarkEnd w:id="15"/>
                                <w:bookmarkEnd w:id="16"/>
                                <w:bookmarkEnd w:id="17"/>
                                <w:bookmarkEnd w:id="18"/>
                              </w:p>
                              <w:p w14:paraId="0BE458B4" w14:textId="7A4C23DC" w:rsidR="009F615D" w:rsidRPr="006E60FE" w:rsidRDefault="009F615D">
                                <w:pPr>
                                  <w:rPr>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818F304" id="_x0000_t202" coordsize="21600,21600" o:spt="202" path="m,l,21600r21600,l21600,xe">
                    <v:stroke joinstyle="miter"/>
                    <v:path gradientshapeok="t" o:connecttype="rect"/>
                  </v:shapetype>
                  <v:shape id="Text Box 1" o:spid="_x0000_s1026" type="#_x0000_t202" style="position:absolute;margin-left:0;margin-top:-19.3pt;width:447.8pt;height:89.55pt;z-index:2516602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" filled="f" strokecolor="#156082 [3204]">
                    <v:stroke joinstyle="round"/>
                    <v:textbox>
                      <w:txbxContent>
                        <w:p w14:paraId="0D0EE753" w14:textId="77777777" w:rsidR="009F615D" w:rsidRPr="00235DD3" w:rsidRDefault="009F615D" w:rsidP="006E60FE">
                          <w:pPr>
                            <w:pStyle w:val="Heading1"/>
                            <w:jc w:val="center"/>
                            <w:rPr>
                              <w:color w:val="C1E4F5" w:themeColor="accent1" w:themeTint="33"/>
                              <w:sz w:val="72"/>
                              <w:szCs w:val="72"/>
                            </w:rPr>
                          </w:pPr>
                          <w:bookmarkStart w:id="19" w:name="_Toc225282120"/>
                          <w:bookmarkStart w:id="20" w:name="_Toc225282273"/>
                          <w:bookmarkStart w:id="21" w:name="_Toc225371145"/>
                          <w:bookmarkStart w:id="22" w:name="_Toc225371231"/>
                          <w:bookmarkStart w:id="23" w:name="_Toc225281989"/>
                          <w:bookmarkStart w:id="24" w:name="_Toc225281962"/>
                          <w:r w:rsidRPr="00235DD3">
                            <w:rPr>
                              <w:color w:val="C1E4F5" w:themeColor="accent1" w:themeTint="33"/>
                              <w:sz w:val="72"/>
                              <w:szCs w:val="72"/>
                            </w:rPr>
                            <w:t>Action Research Project</w:t>
                          </w:r>
                          <w:bookmarkEnd w:id="19"/>
                          <w:bookmarkEnd w:id="20"/>
                          <w:bookmarkEnd w:id="21"/>
                          <w:bookmarkEnd w:id="22"/>
                        </w:p>
                        <w:p w14:paraId="0FCD0650" w14:textId="77777777" w:rsidR="009F615D" w:rsidRPr="006E60FE" w:rsidRDefault="009F615D">
                          <w:pPr>
                            <w:rPr>
                              <w:sz w:val="72"/>
                              <w:szCs w:val="72"/>
                            </w:rPr>
                          </w:pPr>
                        </w:p>
                        <w:p w14:paraId="4777F684" w14:textId="77777777" w:rsidR="009F615D" w:rsidRDefault="009F615D"/>
                        <w:p w14:paraId="6038FC6B" w14:textId="77777777" w:rsidR="009F615D" w:rsidRPr="00235DD3" w:rsidRDefault="009F615D" w:rsidP="006E60FE">
                          <w:pPr>
                            <w:pStyle w:val="Heading1"/>
                            <w:jc w:val="center"/>
                            <w:rPr>
                              <w:color w:val="C1E4F5" w:themeColor="accent1" w:themeTint="33"/>
                              <w:sz w:val="72"/>
                              <w:szCs w:val="72"/>
                            </w:rPr>
                          </w:pPr>
                          <w:bookmarkStart w:id="25" w:name="_Toc225282121"/>
                          <w:bookmarkStart w:id="26" w:name="_Toc225282274"/>
                          <w:bookmarkStart w:id="27" w:name="_Toc225371146"/>
                          <w:bookmarkStart w:id="28" w:name="_Toc225371232"/>
                          <w:r w:rsidRPr="00235DD3">
                            <w:rPr>
                              <w:color w:val="C1E4F5" w:themeColor="accent1" w:themeTint="33"/>
                              <w:sz w:val="72"/>
                              <w:szCs w:val="72"/>
                            </w:rPr>
                            <w:t>Action Research Project</w:t>
                          </w:r>
                          <w:bookmarkEnd w:id="25"/>
                          <w:bookmarkEnd w:id="26"/>
                          <w:bookmarkEnd w:id="27"/>
                          <w:bookmarkEnd w:id="28"/>
                        </w:p>
                        <w:p w14:paraId="0538863E" w14:textId="77777777" w:rsidR="009F615D" w:rsidRPr="006E60FE" w:rsidRDefault="009F615D">
                          <w:pPr>
                            <w:rPr>
                              <w:sz w:val="72"/>
                              <w:szCs w:val="72"/>
                            </w:rPr>
                          </w:pPr>
                        </w:p>
                        <w:p w14:paraId="6482A52E" w14:textId="77777777" w:rsidR="009F615D" w:rsidRDefault="009F615D"/>
                        <w:p w14:paraId="571A24C0" w14:textId="77777777" w:rsidR="009F615D" w:rsidRPr="00235DD3" w:rsidRDefault="009F615D" w:rsidP="006E60FE">
                          <w:pPr>
                            <w:pStyle w:val="Heading1"/>
                            <w:jc w:val="center"/>
                            <w:rPr>
                              <w:color w:val="C1E4F5" w:themeColor="accent1" w:themeTint="33"/>
                              <w:sz w:val="72"/>
                              <w:szCs w:val="72"/>
                            </w:rPr>
                          </w:pPr>
                          <w:bookmarkStart w:id="29" w:name="_Toc225282122"/>
                          <w:bookmarkStart w:id="30" w:name="_Toc225282275"/>
                          <w:bookmarkStart w:id="31" w:name="_Toc225371147"/>
                          <w:bookmarkStart w:id="32" w:name="_Toc225371233"/>
                          <w:r w:rsidRPr="00235DD3">
                            <w:rPr>
                              <w:color w:val="C1E4F5" w:themeColor="accent1" w:themeTint="33"/>
                              <w:sz w:val="72"/>
                              <w:szCs w:val="72"/>
                            </w:rPr>
                            <w:t>Action Research Project</w:t>
                          </w:r>
                          <w:bookmarkEnd w:id="23"/>
                          <w:bookmarkEnd w:id="29"/>
                          <w:bookmarkEnd w:id="30"/>
                          <w:bookmarkEnd w:id="31"/>
                          <w:bookmarkEnd w:id="32"/>
                        </w:p>
                        <w:p w14:paraId="2100C845" w14:textId="77777777" w:rsidR="009F615D" w:rsidRPr="006E60FE" w:rsidRDefault="009F615D">
                          <w:pPr>
                            <w:rPr>
                              <w:sz w:val="72"/>
                              <w:szCs w:val="72"/>
                            </w:rPr>
                          </w:pPr>
                        </w:p>
                        <w:p w14:paraId="360FD5D6" w14:textId="77777777" w:rsidR="009F615D" w:rsidRDefault="009F615D"/>
                        <w:p w14:paraId="230B74CA" w14:textId="77777777" w:rsidR="009F615D" w:rsidRPr="00235DD3" w:rsidRDefault="009F615D" w:rsidP="006E60FE">
                          <w:pPr>
                            <w:pStyle w:val="Heading1"/>
                            <w:jc w:val="center"/>
                            <w:rPr>
                              <w:color w:val="C1E4F5" w:themeColor="accent1" w:themeTint="33"/>
                              <w:sz w:val="72"/>
                              <w:szCs w:val="72"/>
                            </w:rPr>
                          </w:pPr>
                          <w:bookmarkStart w:id="33" w:name="_Toc225281990"/>
                          <w:bookmarkStart w:id="34" w:name="_Toc225282123"/>
                          <w:bookmarkStart w:id="35" w:name="_Toc225282276"/>
                          <w:bookmarkStart w:id="36" w:name="_Toc225371148"/>
                          <w:bookmarkStart w:id="37" w:name="_Toc225371234"/>
                          <w:r w:rsidRPr="00235DD3">
                            <w:rPr>
                              <w:color w:val="C1E4F5" w:themeColor="accent1" w:themeTint="33"/>
                              <w:sz w:val="72"/>
                              <w:szCs w:val="72"/>
                            </w:rPr>
                            <w:t>Action Research Project</w:t>
                          </w:r>
                          <w:bookmarkEnd w:id="24"/>
                          <w:bookmarkEnd w:id="33"/>
                          <w:bookmarkEnd w:id="34"/>
                          <w:bookmarkEnd w:id="35"/>
                          <w:bookmarkEnd w:id="36"/>
                          <w:bookmarkEnd w:id="37"/>
                        </w:p>
                        <w:p w14:paraId="0BE458B4" w14:textId="7A4C23DC" w:rsidR="009F615D" w:rsidRPr="006E60FE" w:rsidRDefault="009F615D">
                          <w:pPr>
                            <w:rPr>
                              <w:sz w:val="72"/>
                              <w:szCs w:val="72"/>
                            </w:rPr>
                          </w:pPr>
                        </w:p>
                      </w:txbxContent>
                    </v:textbox>
                    <w10:wrap anchorx="margin"/>
                  </v:shape>
                </w:pict>
              </mc:Fallback>
            </mc:AlternateContent>
          </w:r>
          <w:r w:rsidR="009A4ABB">
            <w:rPr>
              <w:noProof/>
            </w:rPr>
            <mc:AlternateContent>
              <mc:Choice Requires="wpg">
                <w:drawing>
                  <wp:anchor distT="0" distB="0" distL="114300" distR="114300" simplePos="0" relativeHeight="251659264" behindDoc="1" locked="0" layoutInCell="1" allowOverlap="1" wp14:anchorId="51B69198" wp14:editId="303216FC">
                    <wp:simplePos x="0" y="0"/>
                    <wp:positionH relativeFrom="page">
                      <wp:align>center</wp:align>
                    </wp:positionH>
                    <wp:positionV relativeFrom="page">
                      <wp:align>center</wp:align>
                    </wp:positionV>
                    <wp:extent cx="6864824" cy="9123528"/>
                    <wp:effectExtent l="0" t="0" r="0" b="0"/>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54B83A" w14:textId="77777777" w:rsidR="009A4ABB" w:rsidRDefault="009A4ABB"/>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C2C95F0" w14:textId="082C720C" w:rsidR="009A4ABB" w:rsidRDefault="009A4ABB">
                                      <w:pPr>
                                        <w:pStyle w:val="NoSpacing"/>
                                        <w:spacing w:before="120"/>
                                        <w:jc w:val="center"/>
                                        <w:rPr>
                                          <w:color w:val="FFFFFF" w:themeColor="background1"/>
                                        </w:rPr>
                                      </w:pPr>
                                      <w:proofErr w:type="gramStart"/>
                                      <w:r>
                                        <w:rPr>
                                          <w:color w:val="FFFFFF" w:themeColor="background1"/>
                                        </w:rPr>
                                        <w:t>Catherine  Salter</w:t>
                                      </w:r>
                                      <w:proofErr w:type="gramEnd"/>
                                    </w:p>
                                  </w:sdtContent>
                                </w:sdt>
                                <w:p w14:paraId="0507F989" w14:textId="658D43C9" w:rsidR="009A4ABB" w:rsidRDefault="00644953">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B951C0">
                                        <w:rPr>
                                          <w:caps/>
                                          <w:color w:val="FFFFFF" w:themeColor="background1"/>
                                        </w:rPr>
                                        <w:t xml:space="preserve">     </w:t>
                                      </w:r>
                                    </w:sdtContent>
                                  </w:sdt>
                                  <w:r w:rsidR="009A4ABB">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B951C0">
                                        <w:rPr>
                                          <w:color w:val="FFFFFF" w:themeColor="background1"/>
                                        </w:rPr>
                                        <w:t>2009547</w:t>
                                      </w:r>
                                    </w:sdtContent>
                                  </w:sdt>
                                </w:p>
                                <w:p w14:paraId="1DFCC142" w14:textId="77777777" w:rsidR="009A4ABB" w:rsidRDefault="009A4ABB"/>
                                <w:p w14:paraId="05810643" w14:textId="048EB535" w:rsidR="009A4ABB" w:rsidRDefault="009A4ABB">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770A7E" w14:textId="77777777" w:rsidR="009A4ABB" w:rsidRDefault="009A4ABB"/>
                                <w:sdt>
                                  <w:sdtPr>
                                    <w:rPr>
                                      <w:rFonts w:asciiTheme="majorHAnsi" w:eastAsiaTheme="majorEastAsia" w:hAnsiTheme="majorHAnsi" w:cstheme="majorBidi"/>
                                      <w:color w:val="0F4761" w:themeColor="accent1" w:themeShade="BF"/>
                                      <w:sz w:val="72"/>
                                      <w:szCs w:val="72"/>
                                    </w:rPr>
                                    <w:alias w:val="Title"/>
                                    <w:tag w:val=""/>
                                    <w:id w:val="-1403360268"/>
                                    <w:dataBinding w:prefixMappings="xmlns:ns0='http://purl.org/dc/elements/1.1/' xmlns:ns1='http://schemas.openxmlformats.org/package/2006/metadata/core-properties' " w:xpath="/ns1:coreProperties[1]/ns0:title[1]" w:storeItemID="{6C3C8BC8-F283-45AE-878A-BAB7291924A1}"/>
                                    <w:text/>
                                  </w:sdtPr>
                                  <w:sdtEndPr/>
                                  <w:sdtContent>
                                    <w:p w14:paraId="43DA845A" w14:textId="77777777" w:rsidR="009A4ABB" w:rsidRDefault="009A4ABB">
                                      <w:pPr>
                                        <w:pStyle w:val="NoSpacing"/>
                                        <w:jc w:val="center"/>
                                        <w:rPr>
                                          <w:rFonts w:asciiTheme="majorHAnsi" w:eastAsiaTheme="majorEastAsia" w:hAnsiTheme="majorHAnsi" w:cstheme="majorBidi"/>
                                          <w:caps/>
                                          <w:color w:val="156082" w:themeColor="accent1"/>
                                          <w:sz w:val="72"/>
                                          <w:szCs w:val="72"/>
                                        </w:rPr>
                                      </w:pPr>
                                      <w:r w:rsidRPr="009A4ABB">
                                        <w:rPr>
                                          <w:rFonts w:asciiTheme="majorHAnsi" w:eastAsiaTheme="majorEastAsia" w:hAnsiTheme="majorHAnsi" w:cstheme="majorBidi"/>
                                          <w:color w:val="0F4761" w:themeColor="accent1" w:themeShade="BF"/>
                                          <w:sz w:val="72"/>
                                          <w:szCs w:val="72"/>
                                        </w:rPr>
                                        <w:t>Transgender Students in Further Education in Wales: Challenges and Tutor Support</w:t>
                                      </w:r>
                                    </w:p>
                                  </w:sdtContent>
                                </w:sdt>
                                <w:p w14:paraId="31143ED9" w14:textId="77777777" w:rsidR="009A4ABB" w:rsidRDefault="009A4ABB"/>
                                <w:p w14:paraId="7018B07F" w14:textId="77777777" w:rsidR="009F615D" w:rsidRPr="006E60FE" w:rsidRDefault="009F615D">
                                  <w:pPr>
                                    <w:rPr>
                                      <w:sz w:val="72"/>
                                      <w:szCs w:val="72"/>
                                    </w:rPr>
                                  </w:pPr>
                                </w:p>
                                <w:p w14:paraId="7E37D8B7" w14:textId="77777777" w:rsidR="009F615D" w:rsidRDefault="009F615D"/>
                                <w:p w14:paraId="66693E77" w14:textId="3F81E9EE" w:rsidR="009A4ABB" w:rsidRDefault="009F615D">
                                  <w:pPr>
                                    <w:pStyle w:val="NoSpacing"/>
                                    <w:jc w:val="center"/>
                                    <w:rPr>
                                      <w:rFonts w:asciiTheme="majorHAnsi" w:eastAsiaTheme="majorEastAsia" w:hAnsiTheme="majorHAnsi" w:cstheme="majorBidi"/>
                                      <w:caps/>
                                      <w:color w:val="156082" w:themeColor="accent1"/>
                                      <w:sz w:val="72"/>
                                      <w:szCs w:val="72"/>
                                    </w:rPr>
                                  </w:pPr>
                                  <w:r w:rsidRPr="00235DD3">
                                    <w:rPr>
                                      <w:color w:val="C1E4F5" w:themeColor="accent1" w:themeTint="33"/>
                                      <w:sz w:val="72"/>
                                      <w:szCs w:val="72"/>
                                    </w:rPr>
                                    <w:t>Action Research Project</w:t>
                                  </w:r>
                                </w:p>
                                <w:sdt>
                                  <w:sdtPr>
                                    <w:rPr>
                                      <w:rFonts w:asciiTheme="majorHAnsi" w:eastAsiaTheme="majorEastAsia" w:hAnsiTheme="majorHAnsi" w:cstheme="majorBidi"/>
                                      <w:color w:val="0F4761" w:themeColor="accent1" w:themeShade="BF"/>
                                      <w:sz w:val="72"/>
                                      <w:szCs w:val="72"/>
                                    </w:rPr>
                                    <w:alias w:val="Title"/>
                                    <w:tag w:val=""/>
                                    <w:id w:val="-2024551015"/>
                                    <w:dataBinding w:prefixMappings="xmlns:ns0='http://purl.org/dc/elements/1.1/' xmlns:ns1='http://schemas.openxmlformats.org/package/2006/metadata/core-properties' " w:xpath="/ns1:coreProperties[1]/ns0:title[1]" w:storeItemID="{6C3C8BC8-F283-45AE-878A-BAB7291924A1}"/>
                                    <w:text/>
                                  </w:sdtPr>
                                  <w:sdtEndPr/>
                                  <w:sdtContent>
                                    <w:p w14:paraId="36680873" w14:textId="77777777" w:rsidR="009A4ABB" w:rsidRDefault="009A4ABB">
                                      <w:pPr>
                                        <w:pStyle w:val="NoSpacing"/>
                                        <w:jc w:val="center"/>
                                        <w:rPr>
                                          <w:rFonts w:asciiTheme="majorHAnsi" w:eastAsiaTheme="majorEastAsia" w:hAnsiTheme="majorHAnsi" w:cstheme="majorBidi"/>
                                          <w:caps/>
                                          <w:color w:val="156082" w:themeColor="accent1"/>
                                          <w:sz w:val="72"/>
                                          <w:szCs w:val="72"/>
                                        </w:rPr>
                                      </w:pPr>
                                      <w:r w:rsidRPr="009A4ABB">
                                        <w:rPr>
                                          <w:rFonts w:asciiTheme="majorHAnsi" w:eastAsiaTheme="majorEastAsia" w:hAnsiTheme="majorHAnsi" w:cstheme="majorBidi"/>
                                          <w:color w:val="0F4761" w:themeColor="accent1" w:themeShade="BF"/>
                                          <w:sz w:val="72"/>
                                          <w:szCs w:val="72"/>
                                        </w:rPr>
                                        <w:t>Transgender Students in Further Education in Wales: Challenges and Tutor Support</w:t>
                                      </w:r>
                                    </w:p>
                                  </w:sdtContent>
                                </w:sdt>
                                <w:p w14:paraId="6E8E38BD" w14:textId="77777777" w:rsidR="009A4ABB" w:rsidRDefault="009A4ABB"/>
                                <w:sdt>
                                  <w:sdtPr>
                                    <w:rPr>
                                      <w:rFonts w:asciiTheme="majorHAnsi" w:eastAsiaTheme="majorEastAsia" w:hAnsiTheme="majorHAnsi" w:cstheme="majorBidi"/>
                                      <w:color w:val="0F4761" w:themeColor="accent1" w:themeShade="BF"/>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F414DB8" w14:textId="61239EDF" w:rsidR="009A4ABB" w:rsidRDefault="009A4ABB">
                                      <w:pPr>
                                        <w:pStyle w:val="NoSpacing"/>
                                        <w:jc w:val="center"/>
                                        <w:rPr>
                                          <w:rFonts w:asciiTheme="majorHAnsi" w:eastAsiaTheme="majorEastAsia" w:hAnsiTheme="majorHAnsi" w:cstheme="majorBidi"/>
                                          <w:caps/>
                                          <w:color w:val="156082" w:themeColor="accent1"/>
                                          <w:sz w:val="72"/>
                                          <w:szCs w:val="72"/>
                                        </w:rPr>
                                      </w:pPr>
                                      <w:r w:rsidRPr="009A4ABB">
                                        <w:rPr>
                                          <w:rFonts w:asciiTheme="majorHAnsi" w:eastAsiaTheme="majorEastAsia" w:hAnsiTheme="majorHAnsi" w:cstheme="majorBidi"/>
                                          <w:color w:val="0F4761" w:themeColor="accent1" w:themeShade="BF"/>
                                          <w:sz w:val="72"/>
                                          <w:szCs w:val="72"/>
                                        </w:rPr>
                                        <w:t>Transgender Students in Further Education in Wales: Challenges and Tutor Support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1B69198" id="Group 198" o:spid="_x0000_s1027"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">
                    <v:rect id="Rectangle 194" o:spid="_x0000_s1028"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9"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p w14:paraId="7754B83A" w14:textId="77777777" w:rsidR="009A4ABB" w:rsidRDefault="009A4ABB"/>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C2C95F0" w14:textId="082C720C" w:rsidR="009A4ABB" w:rsidRDefault="009A4ABB">
                                <w:pPr>
                                  <w:pStyle w:val="NoSpacing"/>
                                  <w:spacing w:before="120"/>
                                  <w:jc w:val="center"/>
                                  <w:rPr>
                                    <w:color w:val="FFFFFF" w:themeColor="background1"/>
                                  </w:rPr>
                                </w:pPr>
                                <w:proofErr w:type="gramStart"/>
                                <w:r>
                                  <w:rPr>
                                    <w:color w:val="FFFFFF" w:themeColor="background1"/>
                                  </w:rPr>
                                  <w:t>Catherine  Salter</w:t>
                                </w:r>
                                <w:proofErr w:type="gramEnd"/>
                              </w:p>
                            </w:sdtContent>
                          </w:sdt>
                          <w:p w14:paraId="0507F989" w14:textId="658D43C9" w:rsidR="009A4ABB" w:rsidRDefault="00644953">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B951C0">
                                  <w:rPr>
                                    <w:caps/>
                                    <w:color w:val="FFFFFF" w:themeColor="background1"/>
                                  </w:rPr>
                                  <w:t xml:space="preserve">     </w:t>
                                </w:r>
                              </w:sdtContent>
                            </w:sdt>
                            <w:r w:rsidR="009A4ABB">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B951C0">
                                  <w:rPr>
                                    <w:color w:val="FFFFFF" w:themeColor="background1"/>
                                  </w:rPr>
                                  <w:t>2009547</w:t>
                                </w:r>
                              </w:sdtContent>
                            </w:sdt>
                          </w:p>
                          <w:p w14:paraId="1DFCC142" w14:textId="77777777" w:rsidR="009A4ABB" w:rsidRDefault="009A4ABB"/>
                          <w:p w14:paraId="05810643" w14:textId="048EB535" w:rsidR="009A4ABB" w:rsidRDefault="009A4ABB">
                            <w:pPr>
                              <w:pStyle w:val="NoSpacing"/>
                              <w:spacing w:before="120"/>
                              <w:jc w:val="center"/>
                              <w:rPr>
                                <w:color w:val="FFFFFF" w:themeColor="background1"/>
                              </w:rPr>
                            </w:pPr>
                          </w:p>
                        </w:txbxContent>
                      </v:textbox>
                    </v:rect>
                    <v:shape id="Text Box 196" o:spid="_x0000_s1030"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7A770A7E" w14:textId="77777777" w:rsidR="009A4ABB" w:rsidRDefault="009A4ABB"/>
                          <w:sdt>
                            <w:sdtPr>
                              <w:rPr>
                                <w:rFonts w:asciiTheme="majorHAnsi" w:eastAsiaTheme="majorEastAsia" w:hAnsiTheme="majorHAnsi" w:cstheme="majorBidi"/>
                                <w:color w:val="0F4761" w:themeColor="accent1" w:themeShade="BF"/>
                                <w:sz w:val="72"/>
                                <w:szCs w:val="72"/>
                              </w:rPr>
                              <w:alias w:val="Title"/>
                              <w:tag w:val=""/>
                              <w:id w:val="-1403360268"/>
                              <w:dataBinding w:prefixMappings="xmlns:ns0='http://purl.org/dc/elements/1.1/' xmlns:ns1='http://schemas.openxmlformats.org/package/2006/metadata/core-properties' " w:xpath="/ns1:coreProperties[1]/ns0:title[1]" w:storeItemID="{6C3C8BC8-F283-45AE-878A-BAB7291924A1}"/>
                              <w:text/>
                            </w:sdtPr>
                            <w:sdtEndPr/>
                            <w:sdtContent>
                              <w:p w14:paraId="43DA845A" w14:textId="77777777" w:rsidR="009A4ABB" w:rsidRDefault="009A4ABB">
                                <w:pPr>
                                  <w:pStyle w:val="NoSpacing"/>
                                  <w:jc w:val="center"/>
                                  <w:rPr>
                                    <w:rFonts w:asciiTheme="majorHAnsi" w:eastAsiaTheme="majorEastAsia" w:hAnsiTheme="majorHAnsi" w:cstheme="majorBidi"/>
                                    <w:caps/>
                                    <w:color w:val="156082" w:themeColor="accent1"/>
                                    <w:sz w:val="72"/>
                                    <w:szCs w:val="72"/>
                                  </w:rPr>
                                </w:pPr>
                                <w:r w:rsidRPr="009A4ABB">
                                  <w:rPr>
                                    <w:rFonts w:asciiTheme="majorHAnsi" w:eastAsiaTheme="majorEastAsia" w:hAnsiTheme="majorHAnsi" w:cstheme="majorBidi"/>
                                    <w:color w:val="0F4761" w:themeColor="accent1" w:themeShade="BF"/>
                                    <w:sz w:val="72"/>
                                    <w:szCs w:val="72"/>
                                  </w:rPr>
                                  <w:t>Transgender Students in Further Education in Wales: Challenges and Tutor Support</w:t>
                                </w:r>
                              </w:p>
                            </w:sdtContent>
                          </w:sdt>
                          <w:p w14:paraId="31143ED9" w14:textId="77777777" w:rsidR="009A4ABB" w:rsidRDefault="009A4ABB"/>
                          <w:p w14:paraId="7018B07F" w14:textId="77777777" w:rsidR="009F615D" w:rsidRPr="006E60FE" w:rsidRDefault="009F615D">
                            <w:pPr>
                              <w:rPr>
                                <w:sz w:val="72"/>
                                <w:szCs w:val="72"/>
                              </w:rPr>
                            </w:pPr>
                          </w:p>
                          <w:p w14:paraId="7E37D8B7" w14:textId="77777777" w:rsidR="009F615D" w:rsidRDefault="009F615D"/>
                          <w:p w14:paraId="66693E77" w14:textId="3F81E9EE" w:rsidR="009A4ABB" w:rsidRDefault="009F615D">
                            <w:pPr>
                              <w:pStyle w:val="NoSpacing"/>
                              <w:jc w:val="center"/>
                              <w:rPr>
                                <w:rFonts w:asciiTheme="majorHAnsi" w:eastAsiaTheme="majorEastAsia" w:hAnsiTheme="majorHAnsi" w:cstheme="majorBidi"/>
                                <w:caps/>
                                <w:color w:val="156082" w:themeColor="accent1"/>
                                <w:sz w:val="72"/>
                                <w:szCs w:val="72"/>
                              </w:rPr>
                            </w:pPr>
                            <w:r w:rsidRPr="00235DD3">
                              <w:rPr>
                                <w:color w:val="C1E4F5" w:themeColor="accent1" w:themeTint="33"/>
                                <w:sz w:val="72"/>
                                <w:szCs w:val="72"/>
                              </w:rPr>
                              <w:t>Action Research Project</w:t>
                            </w:r>
                          </w:p>
                          <w:sdt>
                            <w:sdtPr>
                              <w:rPr>
                                <w:rFonts w:asciiTheme="majorHAnsi" w:eastAsiaTheme="majorEastAsia" w:hAnsiTheme="majorHAnsi" w:cstheme="majorBidi"/>
                                <w:color w:val="0F4761" w:themeColor="accent1" w:themeShade="BF"/>
                                <w:sz w:val="72"/>
                                <w:szCs w:val="72"/>
                              </w:rPr>
                              <w:alias w:val="Title"/>
                              <w:tag w:val=""/>
                              <w:id w:val="-2024551015"/>
                              <w:dataBinding w:prefixMappings="xmlns:ns0='http://purl.org/dc/elements/1.1/' xmlns:ns1='http://schemas.openxmlformats.org/package/2006/metadata/core-properties' " w:xpath="/ns1:coreProperties[1]/ns0:title[1]" w:storeItemID="{6C3C8BC8-F283-45AE-878A-BAB7291924A1}"/>
                              <w:text/>
                            </w:sdtPr>
                            <w:sdtEndPr/>
                            <w:sdtContent>
                              <w:p w14:paraId="36680873" w14:textId="77777777" w:rsidR="009A4ABB" w:rsidRDefault="009A4ABB">
                                <w:pPr>
                                  <w:pStyle w:val="NoSpacing"/>
                                  <w:jc w:val="center"/>
                                  <w:rPr>
                                    <w:rFonts w:asciiTheme="majorHAnsi" w:eastAsiaTheme="majorEastAsia" w:hAnsiTheme="majorHAnsi" w:cstheme="majorBidi"/>
                                    <w:caps/>
                                    <w:color w:val="156082" w:themeColor="accent1"/>
                                    <w:sz w:val="72"/>
                                    <w:szCs w:val="72"/>
                                  </w:rPr>
                                </w:pPr>
                                <w:r w:rsidRPr="009A4ABB">
                                  <w:rPr>
                                    <w:rFonts w:asciiTheme="majorHAnsi" w:eastAsiaTheme="majorEastAsia" w:hAnsiTheme="majorHAnsi" w:cstheme="majorBidi"/>
                                    <w:color w:val="0F4761" w:themeColor="accent1" w:themeShade="BF"/>
                                    <w:sz w:val="72"/>
                                    <w:szCs w:val="72"/>
                                  </w:rPr>
                                  <w:t>Transgender Students in Further Education in Wales: Challenges and Tutor Support</w:t>
                                </w:r>
                              </w:p>
                            </w:sdtContent>
                          </w:sdt>
                          <w:p w14:paraId="6E8E38BD" w14:textId="77777777" w:rsidR="009A4ABB" w:rsidRDefault="009A4ABB"/>
                          <w:sdt>
                            <w:sdtPr>
                              <w:rPr>
                                <w:rFonts w:asciiTheme="majorHAnsi" w:eastAsiaTheme="majorEastAsia" w:hAnsiTheme="majorHAnsi" w:cstheme="majorBidi"/>
                                <w:color w:val="0F4761" w:themeColor="accent1" w:themeShade="BF"/>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F414DB8" w14:textId="61239EDF" w:rsidR="009A4ABB" w:rsidRDefault="009A4ABB">
                                <w:pPr>
                                  <w:pStyle w:val="NoSpacing"/>
                                  <w:jc w:val="center"/>
                                  <w:rPr>
                                    <w:rFonts w:asciiTheme="majorHAnsi" w:eastAsiaTheme="majorEastAsia" w:hAnsiTheme="majorHAnsi" w:cstheme="majorBidi"/>
                                    <w:caps/>
                                    <w:color w:val="156082" w:themeColor="accent1"/>
                                    <w:sz w:val="72"/>
                                    <w:szCs w:val="72"/>
                                  </w:rPr>
                                </w:pPr>
                                <w:r w:rsidRPr="009A4ABB">
                                  <w:rPr>
                                    <w:rFonts w:asciiTheme="majorHAnsi" w:eastAsiaTheme="majorEastAsia" w:hAnsiTheme="majorHAnsi" w:cstheme="majorBidi"/>
                                    <w:color w:val="0F4761" w:themeColor="accent1" w:themeShade="BF"/>
                                    <w:sz w:val="72"/>
                                    <w:szCs w:val="72"/>
                                  </w:rPr>
                                  <w:t>Transgender Students in Further Education in Wales: Challenges and Tutor Support</w:t>
                                </w:r>
                              </w:p>
                            </w:sdtContent>
                          </w:sdt>
                        </w:txbxContent>
                      </v:textbox>
                    </v:shape>
                    <w10:wrap anchorx="page" anchory="page"/>
                  </v:group>
                </w:pict>
              </mc:Fallback>
            </mc:AlternateContent>
          </w:r>
        </w:p>
        <w:p w14:paraId="6590F343" w14:textId="7FB7A91C" w:rsidR="009A4ABB" w:rsidRDefault="009A4ABB">
          <w:pPr>
            <w:rPr>
              <w:rFonts w:asciiTheme="majorHAnsi" w:eastAsiaTheme="majorEastAsia" w:hAnsiTheme="majorHAnsi" w:cstheme="majorBidi"/>
              <w:color w:val="0F4761" w:themeColor="accent1" w:themeShade="BF"/>
              <w:sz w:val="32"/>
              <w:szCs w:val="32"/>
            </w:rPr>
          </w:pPr>
          <w:r>
            <w:rPr>
              <w:sz w:val="32"/>
              <w:szCs w:val="32"/>
            </w:rPr>
            <w:br w:type="page"/>
          </w:r>
        </w:p>
      </w:sdtContent>
    </w:sdt>
    <w:sdt>
      <w:sdtPr>
        <w:rPr>
          <w:rFonts w:asciiTheme="minorHAnsi" w:eastAsiaTheme="minorHAnsi" w:hAnsiTheme="minorHAnsi" w:cstheme="minorBidi"/>
          <w:color w:val="auto"/>
          <w:kern w:val="2"/>
          <w:sz w:val="24"/>
          <w:szCs w:val="24"/>
          <w:lang w:eastAsia="en-US"/>
          <w14:ligatures w14:val="standardContextual"/>
        </w:rPr>
        <w:id w:val="-1283492538"/>
        <w:docPartObj>
          <w:docPartGallery w:val="Table of Contents"/>
          <w:docPartUnique/>
        </w:docPartObj>
      </w:sdtPr>
      <w:sdtEndPr>
        <w:rPr>
          <w:b/>
          <w:bCs/>
        </w:rPr>
      </w:sdtEndPr>
      <w:sdtContent>
        <w:p w14:paraId="289577BF" w14:textId="38A62AAE" w:rsidR="00252BA3" w:rsidRDefault="00252BA3">
          <w:pPr>
            <w:pStyle w:val="TOCHeading"/>
          </w:pPr>
          <w:r>
            <w:t>Contents</w:t>
          </w:r>
        </w:p>
        <w:p w14:paraId="274F0C74" w14:textId="6BC7454A" w:rsidR="00513DB5" w:rsidRPr="000F048B" w:rsidRDefault="00252BA3" w:rsidP="00513DB5">
          <w:pPr>
            <w:pStyle w:val="TOC1"/>
            <w:tabs>
              <w:tab w:val="right" w:leader="dot" w:pos="9016"/>
            </w:tabs>
            <w:rPr>
              <w:rFonts w:eastAsiaTheme="minorEastAsia"/>
              <w:b/>
              <w:bCs/>
              <w:noProof/>
              <w:sz w:val="40"/>
              <w:szCs w:val="40"/>
              <w:lang w:eastAsia="en-GB"/>
            </w:rPr>
          </w:pPr>
          <w:r w:rsidRPr="000F048B">
            <w:rPr>
              <w:b/>
              <w:bCs/>
              <w:sz w:val="40"/>
              <w:szCs w:val="40"/>
            </w:rPr>
            <w:fldChar w:fldCharType="begin"/>
          </w:r>
          <w:r w:rsidRPr="000F048B">
            <w:rPr>
              <w:b/>
              <w:bCs/>
              <w:sz w:val="40"/>
              <w:szCs w:val="40"/>
            </w:rPr>
            <w:instrText xml:space="preserve"> TOC \o "1-3" \h \z \u </w:instrText>
          </w:r>
          <w:r w:rsidRPr="000F048B">
            <w:rPr>
              <w:b/>
              <w:bCs/>
              <w:sz w:val="40"/>
              <w:szCs w:val="40"/>
            </w:rPr>
            <w:fldChar w:fldCharType="separate"/>
          </w:r>
        </w:p>
        <w:p w14:paraId="1DD9957F" w14:textId="5589BB75" w:rsidR="00513DB5" w:rsidRPr="000F048B" w:rsidRDefault="00513DB5" w:rsidP="000F048B">
          <w:pPr>
            <w:pStyle w:val="TOC2"/>
            <w:tabs>
              <w:tab w:val="right" w:leader="dot" w:pos="9016"/>
            </w:tabs>
            <w:ind w:left="0"/>
            <w:rPr>
              <w:rFonts w:eastAsiaTheme="minorEastAsia"/>
              <w:b/>
              <w:bCs/>
              <w:noProof/>
              <w:sz w:val="40"/>
              <w:szCs w:val="40"/>
              <w:lang w:eastAsia="en-GB"/>
            </w:rPr>
          </w:pPr>
          <w:hyperlink w:anchor="_Toc225371237" w:history="1">
            <w:r w:rsidRPr="000F048B">
              <w:rPr>
                <w:rStyle w:val="Hyperlink"/>
                <w:b/>
                <w:bCs/>
                <w:noProof/>
                <w:sz w:val="40"/>
                <w:szCs w:val="40"/>
              </w:rPr>
              <w:t>Introduction</w:t>
            </w:r>
            <w:r w:rsidRPr="000F048B">
              <w:rPr>
                <w:b/>
                <w:bCs/>
                <w:noProof/>
                <w:webHidden/>
                <w:sz w:val="40"/>
                <w:szCs w:val="40"/>
              </w:rPr>
              <w:tab/>
            </w:r>
            <w:r w:rsidRPr="000F048B">
              <w:rPr>
                <w:b/>
                <w:bCs/>
                <w:noProof/>
                <w:webHidden/>
                <w:sz w:val="40"/>
                <w:szCs w:val="40"/>
              </w:rPr>
              <w:fldChar w:fldCharType="begin"/>
            </w:r>
            <w:r w:rsidRPr="000F048B">
              <w:rPr>
                <w:b/>
                <w:bCs/>
                <w:noProof/>
                <w:webHidden/>
                <w:sz w:val="40"/>
                <w:szCs w:val="40"/>
              </w:rPr>
              <w:instrText xml:space="preserve"> PAGEREF _Toc225371237 \h </w:instrText>
            </w:r>
            <w:r w:rsidRPr="000F048B">
              <w:rPr>
                <w:b/>
                <w:bCs/>
                <w:noProof/>
                <w:webHidden/>
                <w:sz w:val="40"/>
                <w:szCs w:val="40"/>
              </w:rPr>
            </w:r>
            <w:r w:rsidRPr="000F048B">
              <w:rPr>
                <w:b/>
                <w:bCs/>
                <w:noProof/>
                <w:webHidden/>
                <w:sz w:val="40"/>
                <w:szCs w:val="40"/>
              </w:rPr>
              <w:fldChar w:fldCharType="separate"/>
            </w:r>
            <w:r w:rsidRPr="000F048B">
              <w:rPr>
                <w:b/>
                <w:bCs/>
                <w:noProof/>
                <w:webHidden/>
                <w:sz w:val="40"/>
                <w:szCs w:val="40"/>
              </w:rPr>
              <w:t>2</w:t>
            </w:r>
            <w:r w:rsidRPr="000F048B">
              <w:rPr>
                <w:b/>
                <w:bCs/>
                <w:noProof/>
                <w:webHidden/>
                <w:sz w:val="40"/>
                <w:szCs w:val="40"/>
              </w:rPr>
              <w:fldChar w:fldCharType="end"/>
            </w:r>
          </w:hyperlink>
        </w:p>
        <w:p w14:paraId="3F48F5CA" w14:textId="57B9ADEC" w:rsidR="00513DB5" w:rsidRPr="000F048B" w:rsidRDefault="00513DB5">
          <w:pPr>
            <w:pStyle w:val="TOC2"/>
            <w:tabs>
              <w:tab w:val="right" w:leader="dot" w:pos="9016"/>
            </w:tabs>
            <w:rPr>
              <w:rFonts w:eastAsiaTheme="minorEastAsia"/>
              <w:b/>
              <w:bCs/>
              <w:noProof/>
              <w:sz w:val="40"/>
              <w:szCs w:val="40"/>
              <w:lang w:eastAsia="en-GB"/>
            </w:rPr>
          </w:pPr>
          <w:hyperlink w:anchor="_Toc225371238" w:history="1">
            <w:r w:rsidRPr="000F048B">
              <w:rPr>
                <w:rStyle w:val="Hyperlink"/>
                <w:rFonts w:ascii="Arial" w:hAnsi="Arial" w:cs="Arial"/>
                <w:b/>
                <w:bCs/>
                <w:noProof/>
                <w:sz w:val="40"/>
                <w:szCs w:val="40"/>
              </w:rPr>
              <w:t>Literature review</w:t>
            </w:r>
            <w:r w:rsidRPr="000F048B">
              <w:rPr>
                <w:b/>
                <w:bCs/>
                <w:noProof/>
                <w:webHidden/>
                <w:sz w:val="40"/>
                <w:szCs w:val="40"/>
              </w:rPr>
              <w:tab/>
            </w:r>
            <w:r w:rsidRPr="000F048B">
              <w:rPr>
                <w:b/>
                <w:bCs/>
                <w:noProof/>
                <w:webHidden/>
                <w:sz w:val="40"/>
                <w:szCs w:val="40"/>
              </w:rPr>
              <w:fldChar w:fldCharType="begin"/>
            </w:r>
            <w:r w:rsidRPr="000F048B">
              <w:rPr>
                <w:b/>
                <w:bCs/>
                <w:noProof/>
                <w:webHidden/>
                <w:sz w:val="40"/>
                <w:szCs w:val="40"/>
              </w:rPr>
              <w:instrText xml:space="preserve"> PAGEREF _Toc225371238 \h </w:instrText>
            </w:r>
            <w:r w:rsidRPr="000F048B">
              <w:rPr>
                <w:b/>
                <w:bCs/>
                <w:noProof/>
                <w:webHidden/>
                <w:sz w:val="40"/>
                <w:szCs w:val="40"/>
              </w:rPr>
            </w:r>
            <w:r w:rsidRPr="000F048B">
              <w:rPr>
                <w:b/>
                <w:bCs/>
                <w:noProof/>
                <w:webHidden/>
                <w:sz w:val="40"/>
                <w:szCs w:val="40"/>
              </w:rPr>
              <w:fldChar w:fldCharType="separate"/>
            </w:r>
            <w:r w:rsidRPr="000F048B">
              <w:rPr>
                <w:b/>
                <w:bCs/>
                <w:noProof/>
                <w:webHidden/>
                <w:sz w:val="40"/>
                <w:szCs w:val="40"/>
              </w:rPr>
              <w:t>3</w:t>
            </w:r>
            <w:r w:rsidRPr="000F048B">
              <w:rPr>
                <w:b/>
                <w:bCs/>
                <w:noProof/>
                <w:webHidden/>
                <w:sz w:val="40"/>
                <w:szCs w:val="40"/>
              </w:rPr>
              <w:fldChar w:fldCharType="end"/>
            </w:r>
          </w:hyperlink>
        </w:p>
        <w:p w14:paraId="6D0A1940" w14:textId="2B3BD59F" w:rsidR="00513DB5" w:rsidRPr="000F048B" w:rsidRDefault="00513DB5">
          <w:pPr>
            <w:pStyle w:val="TOC2"/>
            <w:tabs>
              <w:tab w:val="right" w:leader="dot" w:pos="9016"/>
            </w:tabs>
            <w:rPr>
              <w:rFonts w:eastAsiaTheme="minorEastAsia"/>
              <w:b/>
              <w:bCs/>
              <w:noProof/>
              <w:sz w:val="40"/>
              <w:szCs w:val="40"/>
              <w:lang w:eastAsia="en-GB"/>
            </w:rPr>
          </w:pPr>
          <w:hyperlink w:anchor="_Toc225371239" w:history="1">
            <w:r w:rsidRPr="000F048B">
              <w:rPr>
                <w:rStyle w:val="Hyperlink"/>
                <w:b/>
                <w:bCs/>
                <w:noProof/>
                <w:sz w:val="40"/>
                <w:szCs w:val="40"/>
              </w:rPr>
              <w:t>Methodology</w:t>
            </w:r>
            <w:r w:rsidRPr="000F048B">
              <w:rPr>
                <w:b/>
                <w:bCs/>
                <w:noProof/>
                <w:webHidden/>
                <w:sz w:val="40"/>
                <w:szCs w:val="40"/>
              </w:rPr>
              <w:tab/>
            </w:r>
            <w:r w:rsidRPr="000F048B">
              <w:rPr>
                <w:b/>
                <w:bCs/>
                <w:noProof/>
                <w:webHidden/>
                <w:sz w:val="40"/>
                <w:szCs w:val="40"/>
              </w:rPr>
              <w:fldChar w:fldCharType="begin"/>
            </w:r>
            <w:r w:rsidRPr="000F048B">
              <w:rPr>
                <w:b/>
                <w:bCs/>
                <w:noProof/>
                <w:webHidden/>
                <w:sz w:val="40"/>
                <w:szCs w:val="40"/>
              </w:rPr>
              <w:instrText xml:space="preserve"> PAGEREF _Toc225371239 \h </w:instrText>
            </w:r>
            <w:r w:rsidRPr="000F048B">
              <w:rPr>
                <w:b/>
                <w:bCs/>
                <w:noProof/>
                <w:webHidden/>
                <w:sz w:val="40"/>
                <w:szCs w:val="40"/>
              </w:rPr>
            </w:r>
            <w:r w:rsidRPr="000F048B">
              <w:rPr>
                <w:b/>
                <w:bCs/>
                <w:noProof/>
                <w:webHidden/>
                <w:sz w:val="40"/>
                <w:szCs w:val="40"/>
              </w:rPr>
              <w:fldChar w:fldCharType="separate"/>
            </w:r>
            <w:r w:rsidRPr="000F048B">
              <w:rPr>
                <w:b/>
                <w:bCs/>
                <w:noProof/>
                <w:webHidden/>
                <w:sz w:val="40"/>
                <w:szCs w:val="40"/>
              </w:rPr>
              <w:t>7</w:t>
            </w:r>
            <w:r w:rsidRPr="000F048B">
              <w:rPr>
                <w:b/>
                <w:bCs/>
                <w:noProof/>
                <w:webHidden/>
                <w:sz w:val="40"/>
                <w:szCs w:val="40"/>
              </w:rPr>
              <w:fldChar w:fldCharType="end"/>
            </w:r>
          </w:hyperlink>
        </w:p>
        <w:p w14:paraId="3777A868" w14:textId="6EF902CD" w:rsidR="00513DB5" w:rsidRPr="000F048B" w:rsidRDefault="00513DB5">
          <w:pPr>
            <w:pStyle w:val="TOC2"/>
            <w:tabs>
              <w:tab w:val="right" w:leader="dot" w:pos="9016"/>
            </w:tabs>
            <w:rPr>
              <w:rFonts w:eastAsiaTheme="minorEastAsia"/>
              <w:b/>
              <w:bCs/>
              <w:noProof/>
              <w:sz w:val="40"/>
              <w:szCs w:val="40"/>
              <w:lang w:eastAsia="en-GB"/>
            </w:rPr>
          </w:pPr>
          <w:hyperlink w:anchor="_Toc225371240" w:history="1">
            <w:r w:rsidRPr="000F048B">
              <w:rPr>
                <w:rStyle w:val="Hyperlink"/>
                <w:rFonts w:ascii="Arial" w:hAnsi="Arial" w:cs="Arial"/>
                <w:b/>
                <w:bCs/>
                <w:noProof/>
                <w:sz w:val="40"/>
                <w:szCs w:val="40"/>
              </w:rPr>
              <w:t>Results and discussion</w:t>
            </w:r>
            <w:r w:rsidRPr="000F048B">
              <w:rPr>
                <w:b/>
                <w:bCs/>
                <w:noProof/>
                <w:webHidden/>
                <w:sz w:val="40"/>
                <w:szCs w:val="40"/>
              </w:rPr>
              <w:tab/>
            </w:r>
            <w:r w:rsidRPr="000F048B">
              <w:rPr>
                <w:b/>
                <w:bCs/>
                <w:noProof/>
                <w:webHidden/>
                <w:sz w:val="40"/>
                <w:szCs w:val="40"/>
              </w:rPr>
              <w:fldChar w:fldCharType="begin"/>
            </w:r>
            <w:r w:rsidRPr="000F048B">
              <w:rPr>
                <w:b/>
                <w:bCs/>
                <w:noProof/>
                <w:webHidden/>
                <w:sz w:val="40"/>
                <w:szCs w:val="40"/>
              </w:rPr>
              <w:instrText xml:space="preserve"> PAGEREF _Toc225371240 \h </w:instrText>
            </w:r>
            <w:r w:rsidRPr="000F048B">
              <w:rPr>
                <w:b/>
                <w:bCs/>
                <w:noProof/>
                <w:webHidden/>
                <w:sz w:val="40"/>
                <w:szCs w:val="40"/>
              </w:rPr>
            </w:r>
            <w:r w:rsidRPr="000F048B">
              <w:rPr>
                <w:b/>
                <w:bCs/>
                <w:noProof/>
                <w:webHidden/>
                <w:sz w:val="40"/>
                <w:szCs w:val="40"/>
              </w:rPr>
              <w:fldChar w:fldCharType="separate"/>
            </w:r>
            <w:r w:rsidRPr="000F048B">
              <w:rPr>
                <w:b/>
                <w:bCs/>
                <w:noProof/>
                <w:webHidden/>
                <w:sz w:val="40"/>
                <w:szCs w:val="40"/>
              </w:rPr>
              <w:t>8</w:t>
            </w:r>
            <w:r w:rsidRPr="000F048B">
              <w:rPr>
                <w:b/>
                <w:bCs/>
                <w:noProof/>
                <w:webHidden/>
                <w:sz w:val="40"/>
                <w:szCs w:val="40"/>
              </w:rPr>
              <w:fldChar w:fldCharType="end"/>
            </w:r>
          </w:hyperlink>
        </w:p>
        <w:p w14:paraId="048476E0" w14:textId="6AABE751" w:rsidR="00513DB5" w:rsidRPr="000F048B" w:rsidRDefault="00513DB5">
          <w:pPr>
            <w:pStyle w:val="TOC2"/>
            <w:tabs>
              <w:tab w:val="right" w:leader="dot" w:pos="9016"/>
            </w:tabs>
            <w:rPr>
              <w:rFonts w:eastAsiaTheme="minorEastAsia"/>
              <w:b/>
              <w:bCs/>
              <w:noProof/>
              <w:sz w:val="40"/>
              <w:szCs w:val="40"/>
              <w:lang w:eastAsia="en-GB"/>
            </w:rPr>
          </w:pPr>
          <w:hyperlink w:anchor="_Toc225371241" w:history="1">
            <w:r w:rsidRPr="000F048B">
              <w:rPr>
                <w:rStyle w:val="Hyperlink"/>
                <w:rFonts w:ascii="Arial" w:hAnsi="Arial" w:cs="Arial"/>
                <w:b/>
                <w:bCs/>
                <w:noProof/>
                <w:sz w:val="40"/>
                <w:szCs w:val="40"/>
              </w:rPr>
              <w:t>Conclusion</w:t>
            </w:r>
            <w:r w:rsidRPr="000F048B">
              <w:rPr>
                <w:b/>
                <w:bCs/>
                <w:noProof/>
                <w:webHidden/>
                <w:sz w:val="40"/>
                <w:szCs w:val="40"/>
              </w:rPr>
              <w:tab/>
            </w:r>
            <w:r w:rsidRPr="000F048B">
              <w:rPr>
                <w:b/>
                <w:bCs/>
                <w:noProof/>
                <w:webHidden/>
                <w:sz w:val="40"/>
                <w:szCs w:val="40"/>
              </w:rPr>
              <w:fldChar w:fldCharType="begin"/>
            </w:r>
            <w:r w:rsidRPr="000F048B">
              <w:rPr>
                <w:b/>
                <w:bCs/>
                <w:noProof/>
                <w:webHidden/>
                <w:sz w:val="40"/>
                <w:szCs w:val="40"/>
              </w:rPr>
              <w:instrText xml:space="preserve"> PAGEREF _Toc225371241 \h </w:instrText>
            </w:r>
            <w:r w:rsidRPr="000F048B">
              <w:rPr>
                <w:b/>
                <w:bCs/>
                <w:noProof/>
                <w:webHidden/>
                <w:sz w:val="40"/>
                <w:szCs w:val="40"/>
              </w:rPr>
            </w:r>
            <w:r w:rsidRPr="000F048B">
              <w:rPr>
                <w:b/>
                <w:bCs/>
                <w:noProof/>
                <w:webHidden/>
                <w:sz w:val="40"/>
                <w:szCs w:val="40"/>
              </w:rPr>
              <w:fldChar w:fldCharType="separate"/>
            </w:r>
            <w:r w:rsidRPr="000F048B">
              <w:rPr>
                <w:b/>
                <w:bCs/>
                <w:noProof/>
                <w:webHidden/>
                <w:sz w:val="40"/>
                <w:szCs w:val="40"/>
              </w:rPr>
              <w:t>13</w:t>
            </w:r>
            <w:r w:rsidRPr="000F048B">
              <w:rPr>
                <w:b/>
                <w:bCs/>
                <w:noProof/>
                <w:webHidden/>
                <w:sz w:val="40"/>
                <w:szCs w:val="40"/>
              </w:rPr>
              <w:fldChar w:fldCharType="end"/>
            </w:r>
          </w:hyperlink>
        </w:p>
        <w:p w14:paraId="68D121BA" w14:textId="30E534B5" w:rsidR="00513DB5" w:rsidRPr="000F048B" w:rsidRDefault="00513DB5">
          <w:pPr>
            <w:pStyle w:val="TOC2"/>
            <w:tabs>
              <w:tab w:val="right" w:leader="dot" w:pos="9016"/>
            </w:tabs>
            <w:rPr>
              <w:rFonts w:eastAsiaTheme="minorEastAsia"/>
              <w:b/>
              <w:bCs/>
              <w:noProof/>
              <w:sz w:val="40"/>
              <w:szCs w:val="40"/>
              <w:lang w:eastAsia="en-GB"/>
            </w:rPr>
          </w:pPr>
          <w:hyperlink w:anchor="_Toc225371242" w:history="1">
            <w:r w:rsidRPr="000F048B">
              <w:rPr>
                <w:rStyle w:val="Hyperlink"/>
                <w:rFonts w:ascii="Arial" w:hAnsi="Arial" w:cs="Arial"/>
                <w:b/>
                <w:bCs/>
                <w:noProof/>
                <w:sz w:val="40"/>
                <w:szCs w:val="40"/>
              </w:rPr>
              <w:t>Reference list</w:t>
            </w:r>
            <w:r w:rsidRPr="000F048B">
              <w:rPr>
                <w:b/>
                <w:bCs/>
                <w:noProof/>
                <w:webHidden/>
                <w:sz w:val="40"/>
                <w:szCs w:val="40"/>
              </w:rPr>
              <w:tab/>
            </w:r>
            <w:r w:rsidRPr="000F048B">
              <w:rPr>
                <w:b/>
                <w:bCs/>
                <w:noProof/>
                <w:webHidden/>
                <w:sz w:val="40"/>
                <w:szCs w:val="40"/>
              </w:rPr>
              <w:fldChar w:fldCharType="begin"/>
            </w:r>
            <w:r w:rsidRPr="000F048B">
              <w:rPr>
                <w:b/>
                <w:bCs/>
                <w:noProof/>
                <w:webHidden/>
                <w:sz w:val="40"/>
                <w:szCs w:val="40"/>
              </w:rPr>
              <w:instrText xml:space="preserve"> PAGEREF _Toc225371242 \h </w:instrText>
            </w:r>
            <w:r w:rsidRPr="000F048B">
              <w:rPr>
                <w:b/>
                <w:bCs/>
                <w:noProof/>
                <w:webHidden/>
                <w:sz w:val="40"/>
                <w:szCs w:val="40"/>
              </w:rPr>
            </w:r>
            <w:r w:rsidRPr="000F048B">
              <w:rPr>
                <w:b/>
                <w:bCs/>
                <w:noProof/>
                <w:webHidden/>
                <w:sz w:val="40"/>
                <w:szCs w:val="40"/>
              </w:rPr>
              <w:fldChar w:fldCharType="separate"/>
            </w:r>
            <w:r w:rsidRPr="000F048B">
              <w:rPr>
                <w:b/>
                <w:bCs/>
                <w:noProof/>
                <w:webHidden/>
                <w:sz w:val="40"/>
                <w:szCs w:val="40"/>
              </w:rPr>
              <w:t>15</w:t>
            </w:r>
            <w:r w:rsidRPr="000F048B">
              <w:rPr>
                <w:b/>
                <w:bCs/>
                <w:noProof/>
                <w:webHidden/>
                <w:sz w:val="40"/>
                <w:szCs w:val="40"/>
              </w:rPr>
              <w:fldChar w:fldCharType="end"/>
            </w:r>
          </w:hyperlink>
        </w:p>
        <w:p w14:paraId="15AD96E9" w14:textId="3A07B8CF" w:rsidR="00252BA3" w:rsidRDefault="00252BA3">
          <w:pPr>
            <w:rPr>
              <w:b/>
              <w:bCs/>
            </w:rPr>
          </w:pPr>
          <w:r w:rsidRPr="000F048B">
            <w:rPr>
              <w:b/>
              <w:bCs/>
              <w:sz w:val="40"/>
              <w:szCs w:val="40"/>
            </w:rPr>
            <w:fldChar w:fldCharType="end"/>
          </w:r>
        </w:p>
        <w:p w14:paraId="27F99379" w14:textId="77777777" w:rsidR="00252BA3" w:rsidRDefault="00252BA3">
          <w:pPr>
            <w:rPr>
              <w:b/>
              <w:bCs/>
            </w:rPr>
          </w:pPr>
        </w:p>
        <w:p w14:paraId="5DA8FA9F" w14:textId="77777777" w:rsidR="00252BA3" w:rsidRDefault="00252BA3">
          <w:pPr>
            <w:rPr>
              <w:b/>
              <w:bCs/>
            </w:rPr>
          </w:pPr>
        </w:p>
        <w:p w14:paraId="390FAC5E" w14:textId="77777777" w:rsidR="00252BA3" w:rsidRDefault="00252BA3">
          <w:pPr>
            <w:rPr>
              <w:b/>
              <w:bCs/>
            </w:rPr>
          </w:pPr>
        </w:p>
        <w:p w14:paraId="2757F3BB" w14:textId="77777777" w:rsidR="00252BA3" w:rsidRDefault="00252BA3">
          <w:pPr>
            <w:rPr>
              <w:b/>
              <w:bCs/>
            </w:rPr>
          </w:pPr>
        </w:p>
        <w:p w14:paraId="25849A4A" w14:textId="77777777" w:rsidR="00252BA3" w:rsidRDefault="00252BA3">
          <w:pPr>
            <w:rPr>
              <w:b/>
              <w:bCs/>
            </w:rPr>
          </w:pPr>
        </w:p>
        <w:p w14:paraId="3FF67424" w14:textId="77777777" w:rsidR="00252BA3" w:rsidRDefault="00252BA3">
          <w:pPr>
            <w:rPr>
              <w:b/>
              <w:bCs/>
            </w:rPr>
          </w:pPr>
        </w:p>
        <w:p w14:paraId="5C3B3949" w14:textId="77777777" w:rsidR="00252BA3" w:rsidRDefault="00252BA3">
          <w:pPr>
            <w:rPr>
              <w:b/>
              <w:bCs/>
            </w:rPr>
          </w:pPr>
        </w:p>
        <w:p w14:paraId="28019F0F" w14:textId="77777777" w:rsidR="00252BA3" w:rsidRDefault="00252BA3">
          <w:pPr>
            <w:rPr>
              <w:b/>
              <w:bCs/>
            </w:rPr>
          </w:pPr>
        </w:p>
        <w:p w14:paraId="6563C90F" w14:textId="77777777" w:rsidR="00252BA3" w:rsidRDefault="00252BA3">
          <w:pPr>
            <w:rPr>
              <w:b/>
              <w:bCs/>
            </w:rPr>
          </w:pPr>
        </w:p>
        <w:p w14:paraId="6E7D26B8" w14:textId="77777777" w:rsidR="00252BA3" w:rsidRDefault="00252BA3">
          <w:pPr>
            <w:rPr>
              <w:b/>
              <w:bCs/>
            </w:rPr>
          </w:pPr>
        </w:p>
        <w:p w14:paraId="7D5F2192" w14:textId="77777777" w:rsidR="00252BA3" w:rsidRDefault="00252BA3">
          <w:pPr>
            <w:rPr>
              <w:b/>
              <w:bCs/>
            </w:rPr>
          </w:pPr>
        </w:p>
        <w:p w14:paraId="6B924096" w14:textId="77777777" w:rsidR="00252BA3" w:rsidRDefault="00252BA3">
          <w:pPr>
            <w:rPr>
              <w:b/>
              <w:bCs/>
            </w:rPr>
          </w:pPr>
        </w:p>
        <w:p w14:paraId="091FADB6" w14:textId="4597CCA2" w:rsidR="00252BA3" w:rsidRDefault="00644953"/>
      </w:sdtContent>
    </w:sdt>
    <w:p w14:paraId="0255F0D2" w14:textId="031F5F20" w:rsidR="00F921C4" w:rsidRPr="00F921C4" w:rsidRDefault="00F921C4" w:rsidP="00855A39">
      <w:pPr>
        <w:pStyle w:val="Heading1"/>
      </w:pPr>
      <w:bookmarkStart w:id="38" w:name="_Toc225282277"/>
      <w:bookmarkStart w:id="39" w:name="_Toc225371235"/>
      <w:r w:rsidRPr="00F921C4">
        <w:lastRenderedPageBreak/>
        <w:t>Action Research Project</w:t>
      </w:r>
      <w:bookmarkEnd w:id="38"/>
      <w:bookmarkEnd w:id="39"/>
    </w:p>
    <w:p w14:paraId="360456AC" w14:textId="77777777" w:rsidR="00F921C4" w:rsidRPr="00F921C4" w:rsidRDefault="00F921C4" w:rsidP="00855A39">
      <w:pPr>
        <w:pStyle w:val="Heading2"/>
      </w:pPr>
      <w:bookmarkStart w:id="40" w:name="_Toc225282125"/>
      <w:bookmarkStart w:id="41" w:name="_Toc225282278"/>
      <w:bookmarkStart w:id="42" w:name="_Toc225371236"/>
      <w:r w:rsidRPr="00F921C4">
        <w:t>Transgender Students in Further Education in Wales: Challenges and Tutor Support</w:t>
      </w:r>
      <w:bookmarkEnd w:id="40"/>
      <w:bookmarkEnd w:id="41"/>
      <w:bookmarkEnd w:id="42"/>
    </w:p>
    <w:p w14:paraId="5F7DC8AB" w14:textId="6CDF19E9" w:rsidR="00F921C4" w:rsidRPr="00F921C4" w:rsidRDefault="00F921C4" w:rsidP="00855A39">
      <w:pPr>
        <w:pStyle w:val="Heading2"/>
      </w:pPr>
      <w:bookmarkStart w:id="43" w:name="_Toc225371237"/>
      <w:r w:rsidRPr="00F921C4">
        <w:t>Introduction</w:t>
      </w:r>
      <w:bookmarkEnd w:id="43"/>
      <w:r w:rsidRPr="00F921C4">
        <w:t xml:space="preserve"> </w:t>
      </w:r>
    </w:p>
    <w:p w14:paraId="77884433" w14:textId="057E652B" w:rsidR="00F921C4" w:rsidRPr="00DB16C2" w:rsidRDefault="00F921C4" w:rsidP="00DB16C2">
      <w:pPr>
        <w:spacing w:line="360" w:lineRule="auto"/>
        <w:rPr>
          <w:rFonts w:ascii="Arial" w:hAnsi="Arial" w:cs="Arial"/>
        </w:rPr>
      </w:pPr>
      <w:r w:rsidRPr="00DB16C2">
        <w:rPr>
          <w:rFonts w:ascii="Arial" w:hAnsi="Arial" w:cs="Arial"/>
        </w:rPr>
        <w:t>Further education in Wales serves a diverse learner population, including transgender and non-binary students who may already have experienced significant disadvantage before entering college. Stonewall Cymru’s School Report Cymru found that 73% of trans pupils in Wales were bullied for being LGBT, compared with 54% of LGBT pupils overall, while many also reported hearing transphobic language and being unable to use toilets or names that matched their identity (Stonewall Cymru, 2017). The same report showed that 77% of trans young people had self-harmed and 41% had attempted suicide, highlighting the seriousness of the wellbeing issues faced by this group (Stonewall Cymru, 2017). These figures matter for FE because they suggest that many trans learners arrive in college having already experienced repeated harm, exclusion and reduced confidence in education.</w:t>
      </w:r>
    </w:p>
    <w:p w14:paraId="41AD50F0" w14:textId="7D12E4AB" w:rsidR="00F921C4" w:rsidRPr="00DB16C2" w:rsidRDefault="00F921C4" w:rsidP="00DB16C2">
      <w:pPr>
        <w:spacing w:line="360" w:lineRule="auto"/>
        <w:rPr>
          <w:rFonts w:ascii="Arial" w:hAnsi="Arial" w:cs="Arial"/>
        </w:rPr>
      </w:pPr>
      <w:r w:rsidRPr="00DB16C2">
        <w:rPr>
          <w:rFonts w:ascii="Arial" w:hAnsi="Arial" w:cs="Arial"/>
        </w:rPr>
        <w:t xml:space="preserve">This study is justified because the Wales Centre for Public Policy’s rapid evidence review found that trans children and young people in Wales are more likely to experience poorer wellbeing, higher levels of peer victimisation, lower </w:t>
      </w:r>
      <w:r w:rsidR="008F19EA" w:rsidRPr="00DB16C2">
        <w:rPr>
          <w:rFonts w:ascii="Arial" w:hAnsi="Arial" w:cs="Arial"/>
        </w:rPr>
        <w:t>educational</w:t>
      </w:r>
      <w:r w:rsidRPr="00DB16C2">
        <w:rPr>
          <w:rFonts w:ascii="Arial" w:hAnsi="Arial" w:cs="Arial"/>
        </w:rPr>
        <w:t xml:space="preserve"> belonging, worse academic performance and attendance, and lower intentions to continue into post-secondary education (Wales Centre for Public Policy, 2025). In other words, the barriers trans learners face are not only social or emotional, but educational and structural. This means FE tutors have an important role in helping to interrupt patterns of exclusion and in supporting learners to remain engaged in education.</w:t>
      </w:r>
    </w:p>
    <w:p w14:paraId="3106DD22" w14:textId="6F3B3473" w:rsidR="00F921C4" w:rsidRPr="00DB16C2" w:rsidRDefault="00F921C4" w:rsidP="00DB16C2">
      <w:pPr>
        <w:spacing w:line="360" w:lineRule="auto"/>
        <w:rPr>
          <w:rFonts w:ascii="Arial" w:hAnsi="Arial" w:cs="Arial"/>
        </w:rPr>
      </w:pPr>
      <w:r w:rsidRPr="00DB16C2">
        <w:rPr>
          <w:rFonts w:ascii="Arial" w:hAnsi="Arial" w:cs="Arial"/>
        </w:rPr>
        <w:t xml:space="preserve">The study is also timely in relation to Welsh policy. The Welsh Government’s LGBTQ+ Action Plan progress update states that </w:t>
      </w:r>
      <w:proofErr w:type="spellStart"/>
      <w:r w:rsidRPr="00DB16C2">
        <w:rPr>
          <w:rFonts w:ascii="Arial" w:hAnsi="Arial" w:cs="Arial"/>
        </w:rPr>
        <w:t>Medr</w:t>
      </w:r>
      <w:proofErr w:type="spellEnd"/>
      <w:r w:rsidRPr="00DB16C2">
        <w:rPr>
          <w:rFonts w:ascii="Arial" w:hAnsi="Arial" w:cs="Arial"/>
        </w:rPr>
        <w:t xml:space="preserve"> is developing conditions related to equality of opportunity and staff and student welfare, including the prevention of harassment, hate crime and misconduct (Welsh Government, 2026). This places a clear responsibility on providers to create safer, more inclusive environments for learners with protected characteristics. Research on trans inclusion </w:t>
      </w:r>
      <w:r w:rsidRPr="00DB16C2">
        <w:rPr>
          <w:rFonts w:ascii="Arial" w:hAnsi="Arial" w:cs="Arial"/>
        </w:rPr>
        <w:lastRenderedPageBreak/>
        <w:t xml:space="preserve">in education also shows that </w:t>
      </w:r>
      <w:proofErr w:type="spellStart"/>
      <w:r w:rsidRPr="00DB16C2">
        <w:rPr>
          <w:rFonts w:ascii="Arial" w:hAnsi="Arial" w:cs="Arial"/>
        </w:rPr>
        <w:t>cisnormative</w:t>
      </w:r>
      <w:proofErr w:type="spellEnd"/>
      <w:r w:rsidRPr="00DB16C2">
        <w:rPr>
          <w:rFonts w:ascii="Arial" w:hAnsi="Arial" w:cs="Arial"/>
        </w:rPr>
        <w:t xml:space="preserve"> systems, such as rigid name-change procedures and gendered facilities, can continue to marginalise trans students even where policy is positive (</w:t>
      </w:r>
      <w:r w:rsidR="00B05801" w:rsidRPr="00DB16C2">
        <w:rPr>
          <w:rFonts w:ascii="Arial" w:hAnsi="Arial" w:cs="Arial"/>
        </w:rPr>
        <w:t>Regan</w:t>
      </w:r>
      <w:r w:rsidRPr="00DB16C2">
        <w:rPr>
          <w:rFonts w:ascii="Arial" w:hAnsi="Arial" w:cs="Arial"/>
        </w:rPr>
        <w:t xml:space="preserve">, 2023). As a PGCE PCET </w:t>
      </w:r>
      <w:r w:rsidR="00581764" w:rsidRPr="00DB16C2">
        <w:rPr>
          <w:rFonts w:ascii="Arial" w:hAnsi="Arial" w:cs="Arial"/>
        </w:rPr>
        <w:t>student</w:t>
      </w:r>
      <w:r w:rsidRPr="00DB16C2">
        <w:rPr>
          <w:rFonts w:ascii="Arial" w:hAnsi="Arial" w:cs="Arial"/>
        </w:rPr>
        <w:t xml:space="preserve"> tutor, I am particularly interested in how tutors can respond in practical ways through inclusive pedagogy, respectful language and effective pastoral support. This action research therefore aims to explore the challenges transgender students in FE in Wales may face and identify what tutors can do to help improve their educational experience.</w:t>
      </w:r>
    </w:p>
    <w:p w14:paraId="2705DBC0" w14:textId="77777777" w:rsidR="00BF693E" w:rsidRPr="00DB16C2" w:rsidRDefault="00BF693E" w:rsidP="00DB16C2">
      <w:pPr>
        <w:pStyle w:val="Heading2"/>
        <w:spacing w:line="360" w:lineRule="auto"/>
        <w:rPr>
          <w:rFonts w:ascii="Arial" w:hAnsi="Arial" w:cs="Arial"/>
        </w:rPr>
      </w:pPr>
      <w:bookmarkStart w:id="44" w:name="_Toc225371238"/>
      <w:r w:rsidRPr="00DB16C2">
        <w:rPr>
          <w:rFonts w:ascii="Arial" w:hAnsi="Arial" w:cs="Arial"/>
        </w:rPr>
        <w:t>Literature review</w:t>
      </w:r>
      <w:bookmarkEnd w:id="44"/>
    </w:p>
    <w:p w14:paraId="26CC2F44" w14:textId="77777777" w:rsidR="00BF693E" w:rsidRPr="00DB16C2" w:rsidRDefault="00BF693E" w:rsidP="00DB16C2">
      <w:pPr>
        <w:spacing w:line="360" w:lineRule="auto"/>
        <w:rPr>
          <w:rFonts w:ascii="Arial" w:hAnsi="Arial" w:cs="Arial"/>
          <w:b/>
          <w:bCs/>
        </w:rPr>
      </w:pPr>
      <w:r w:rsidRPr="00DB16C2">
        <w:rPr>
          <w:rFonts w:ascii="Arial" w:hAnsi="Arial" w:cs="Arial"/>
          <w:b/>
          <w:bCs/>
        </w:rPr>
        <w:t>Prevalence, pathways and higher education evidence</w:t>
      </w:r>
    </w:p>
    <w:p w14:paraId="20AD5573" w14:textId="0E9DAF87" w:rsidR="00BF693E" w:rsidRPr="00DB16C2" w:rsidRDefault="00BF693E" w:rsidP="00DB16C2">
      <w:pPr>
        <w:spacing w:line="360" w:lineRule="auto"/>
        <w:rPr>
          <w:rFonts w:ascii="Arial" w:hAnsi="Arial" w:cs="Arial"/>
        </w:rPr>
      </w:pPr>
      <w:r w:rsidRPr="00DB16C2">
        <w:rPr>
          <w:rFonts w:ascii="Arial" w:hAnsi="Arial" w:cs="Arial"/>
        </w:rPr>
        <w:t xml:space="preserve">Although FE-specific research on transgender and non-binary students in Wales is still limited, recent work from the wider UK post-16 sector provides important evidence that can be applied cautiously to further education. One of the strongest sources is the HEPI report Trans and non-binary student experiences in UK higher education, which shows that trans and non-binary applicants are more likely than other applicants to have experienced care, to have a disability, and to have lower prior attainment such as A-level and BTEC grades (Freeman </w:t>
      </w:r>
      <w:r w:rsidR="00694025" w:rsidRPr="00DB16C2">
        <w:rPr>
          <w:rFonts w:ascii="Arial" w:hAnsi="Arial" w:cs="Arial"/>
        </w:rPr>
        <w:t>and Ste</w:t>
      </w:r>
      <w:r w:rsidR="006F3541" w:rsidRPr="00DB16C2">
        <w:rPr>
          <w:rFonts w:ascii="Arial" w:hAnsi="Arial" w:cs="Arial"/>
        </w:rPr>
        <w:t>phenson</w:t>
      </w:r>
      <w:r w:rsidRPr="00DB16C2">
        <w:rPr>
          <w:rFonts w:ascii="Arial" w:hAnsi="Arial" w:cs="Arial"/>
        </w:rPr>
        <w:t>, 2024). These findings suggest that many trans learners arrive in post-16 education with cumulative disadvantage already in place. This is especially important for FE, where learners may be entering vocational pathways, foundation programmes or progression routes after already experiencing school-based exclusion, disrupted attendance or lower confidence in their academic ability.</w:t>
      </w:r>
    </w:p>
    <w:p w14:paraId="763D02F6" w14:textId="60F747B5" w:rsidR="00BF693E" w:rsidRPr="00DB16C2" w:rsidRDefault="00BF693E" w:rsidP="00DB16C2">
      <w:pPr>
        <w:spacing w:line="360" w:lineRule="auto"/>
        <w:rPr>
          <w:rFonts w:ascii="Arial" w:hAnsi="Arial" w:cs="Arial"/>
        </w:rPr>
      </w:pPr>
      <w:r w:rsidRPr="00DB16C2">
        <w:rPr>
          <w:rFonts w:ascii="Arial" w:hAnsi="Arial" w:cs="Arial"/>
        </w:rPr>
        <w:t>The HEPI report also found that more than half of trans applicants felt rejected by others, compared with only a quarter of non-trans applicants, and that they were more likely to report poorer wellbeing, greater financial difficulty and barriers to accessing appropriate support (</w:t>
      </w:r>
      <w:r w:rsidR="006F3541" w:rsidRPr="00DB16C2">
        <w:rPr>
          <w:rFonts w:ascii="Arial" w:hAnsi="Arial" w:cs="Arial"/>
        </w:rPr>
        <w:t>Freeman and Stephenson, 2024</w:t>
      </w:r>
      <w:r w:rsidRPr="00DB16C2">
        <w:rPr>
          <w:rFonts w:ascii="Arial" w:hAnsi="Arial" w:cs="Arial"/>
        </w:rPr>
        <w:t>). Students who feel rejected or unsafe are less likely to participate fully, ask for help or remain engaged in learning. The report therefore strengthens the argument that trans students should not be seen simply as a small minority group, but as learners whose experiences are shaped by wider structures of inequality.</w:t>
      </w:r>
    </w:p>
    <w:p w14:paraId="41F5A7C8" w14:textId="4E405CB5" w:rsidR="00BF693E" w:rsidRPr="00DB16C2" w:rsidRDefault="00BF693E" w:rsidP="00DB16C2">
      <w:pPr>
        <w:spacing w:line="360" w:lineRule="auto"/>
        <w:rPr>
          <w:rFonts w:ascii="Arial" w:hAnsi="Arial" w:cs="Arial"/>
        </w:rPr>
      </w:pPr>
      <w:r w:rsidRPr="00DB16C2">
        <w:rPr>
          <w:rFonts w:ascii="Arial" w:hAnsi="Arial" w:cs="Arial"/>
        </w:rPr>
        <w:t xml:space="preserve">The literature on pathways also shows that trans learners are not a homogeneous group. Some may enter FE after positive school experiences, but others may have </w:t>
      </w:r>
      <w:r w:rsidRPr="00DB16C2">
        <w:rPr>
          <w:rFonts w:ascii="Arial" w:hAnsi="Arial" w:cs="Arial"/>
        </w:rPr>
        <w:lastRenderedPageBreak/>
        <w:t>been excluded, home-schooled, withdrawn by families or allowed to become invisible within the system. This variation matters because FE tutors cannot assume a single model of need. Instead, they need to understand that trans students may be at very different stages of identity development, disclosure and support-seeking. In practice, this means that FE settings should not expect students to disclose gender identity in the same way, or at the same time, and they should allow students to determine how much information they share.</w:t>
      </w:r>
    </w:p>
    <w:p w14:paraId="0832891D" w14:textId="77777777" w:rsidR="00BF693E" w:rsidRPr="00DB16C2" w:rsidRDefault="00BF693E" w:rsidP="00DB16C2">
      <w:pPr>
        <w:spacing w:line="360" w:lineRule="auto"/>
        <w:rPr>
          <w:rFonts w:ascii="Arial" w:hAnsi="Arial" w:cs="Arial"/>
          <w:b/>
          <w:bCs/>
        </w:rPr>
      </w:pPr>
      <w:r w:rsidRPr="00DB16C2">
        <w:rPr>
          <w:rFonts w:ascii="Arial" w:hAnsi="Arial" w:cs="Arial"/>
          <w:b/>
          <w:bCs/>
        </w:rPr>
        <w:t>Institutional support models and Welsh examples</w:t>
      </w:r>
    </w:p>
    <w:p w14:paraId="6D82F5A4" w14:textId="41D69E40" w:rsidR="00BF693E" w:rsidRPr="00DB16C2" w:rsidRDefault="00BF693E" w:rsidP="00DB16C2">
      <w:pPr>
        <w:spacing w:line="360" w:lineRule="auto"/>
        <w:rPr>
          <w:rFonts w:ascii="Arial" w:hAnsi="Arial" w:cs="Arial"/>
        </w:rPr>
      </w:pPr>
      <w:r w:rsidRPr="00DB16C2">
        <w:rPr>
          <w:rFonts w:ascii="Arial" w:hAnsi="Arial" w:cs="Arial"/>
        </w:rPr>
        <w:t>In contrast to literature documenting problems, some sources focus on what good institutional practice looks like in a Welsh context. The University of South Wales provides a useful example through its online Trans Support and Resources hub, which brings together practical information about name and gender change procedures, signposting to NHS Wales Gender Service pathways and access to confidential advice and peer support (University of South Wales, n.d.). This is important because it shows that support for trans students does not have to rely on informal knowledge or individual staff goodwill. Instead, it can be built into institutional systems in a way that is visible, accessible and easier to navigate.</w:t>
      </w:r>
    </w:p>
    <w:p w14:paraId="598A3BA1" w14:textId="3C71AC4B" w:rsidR="00BF693E" w:rsidRPr="00DB16C2" w:rsidRDefault="00BF693E" w:rsidP="00DB16C2">
      <w:pPr>
        <w:spacing w:line="360" w:lineRule="auto"/>
        <w:rPr>
          <w:rFonts w:ascii="Arial" w:hAnsi="Arial" w:cs="Arial"/>
        </w:rPr>
      </w:pPr>
      <w:r w:rsidRPr="00DB16C2">
        <w:rPr>
          <w:rFonts w:ascii="Arial" w:hAnsi="Arial" w:cs="Arial"/>
        </w:rPr>
        <w:t>The USW guidance also makes an important symbolic point: it states clearly that students can seek support through the Advice Zone, can choose who to tell about transition, and should expect staff to respect their names and pronouns (University of South Wales, n.d.). Such clarity matters because trans students often describe uncertainty about who knows their identity, who has access to their data, and what will happen if they ask for changes to be made. When institutions make their processes transparent, they reduce the emotional labour placed on the student and make it more likely that learners will seek help early rather than waiting until difficulties become overwhelming.</w:t>
      </w:r>
      <w:r w:rsidR="00C74FBE" w:rsidRPr="00DB16C2">
        <w:rPr>
          <w:rFonts w:ascii="Arial" w:hAnsi="Arial" w:cs="Arial"/>
        </w:rPr>
        <w:t xml:space="preserve"> </w:t>
      </w:r>
      <w:r w:rsidR="00923967" w:rsidRPr="00DB16C2">
        <w:rPr>
          <w:rFonts w:ascii="Arial" w:hAnsi="Arial" w:cs="Arial"/>
        </w:rPr>
        <w:t xml:space="preserve">Colleges </w:t>
      </w:r>
      <w:r w:rsidRPr="00DB16C2">
        <w:rPr>
          <w:rFonts w:ascii="Arial" w:hAnsi="Arial" w:cs="Arial"/>
        </w:rPr>
        <w:t xml:space="preserve">could adapt this model by developing their own clear web pages, named contacts and step-by-step guides for students. This would be particularly valuable for learners who are new to college life and may not feel confident asking around for support. </w:t>
      </w:r>
    </w:p>
    <w:p w14:paraId="1B7F7B05" w14:textId="649A1606" w:rsidR="008C06E5" w:rsidRPr="00DB16C2" w:rsidRDefault="00BF693E" w:rsidP="00DB16C2">
      <w:pPr>
        <w:spacing w:line="360" w:lineRule="auto"/>
        <w:rPr>
          <w:rFonts w:ascii="Arial" w:hAnsi="Arial" w:cs="Arial"/>
        </w:rPr>
      </w:pPr>
      <w:r w:rsidRPr="00DB16C2">
        <w:rPr>
          <w:rFonts w:ascii="Arial" w:hAnsi="Arial" w:cs="Arial"/>
        </w:rPr>
        <w:t xml:space="preserve">The Welsh context is especially important because FE tutors and managers are working within a policy environment that increasingly emphasises equality, learner voice and welfare. However, the literature suggests that policy alone does not </w:t>
      </w:r>
      <w:r w:rsidRPr="00DB16C2">
        <w:rPr>
          <w:rFonts w:ascii="Arial" w:hAnsi="Arial" w:cs="Arial"/>
        </w:rPr>
        <w:lastRenderedPageBreak/>
        <w:t>guarantee positive experiences. Trans students may still encounter confusion, inconsistency or a lack of confidence among staff when policies are not translated into daily practice.</w:t>
      </w:r>
    </w:p>
    <w:p w14:paraId="7911B4AF" w14:textId="77777777" w:rsidR="00BF693E" w:rsidRPr="00DB16C2" w:rsidRDefault="00BF693E" w:rsidP="00DB16C2">
      <w:pPr>
        <w:spacing w:line="360" w:lineRule="auto"/>
        <w:rPr>
          <w:rFonts w:ascii="Arial" w:hAnsi="Arial" w:cs="Arial"/>
          <w:b/>
          <w:bCs/>
        </w:rPr>
      </w:pPr>
      <w:r w:rsidRPr="00DB16C2">
        <w:rPr>
          <w:rFonts w:ascii="Arial" w:hAnsi="Arial" w:cs="Arial"/>
          <w:b/>
          <w:bCs/>
        </w:rPr>
        <w:t>Practical guidance for FE and HE staff</w:t>
      </w:r>
    </w:p>
    <w:p w14:paraId="3890A2B2" w14:textId="44E8F5A8" w:rsidR="00BF693E" w:rsidRPr="00DB16C2" w:rsidRDefault="00BF693E" w:rsidP="00DB16C2">
      <w:pPr>
        <w:spacing w:line="360" w:lineRule="auto"/>
        <w:rPr>
          <w:rFonts w:ascii="Arial" w:hAnsi="Arial" w:cs="Arial"/>
        </w:rPr>
      </w:pPr>
      <w:r w:rsidRPr="00DB16C2">
        <w:rPr>
          <w:rFonts w:ascii="Arial" w:hAnsi="Arial" w:cs="Arial"/>
        </w:rPr>
        <w:t xml:space="preserve">A particularly useful source for this action research focus is Supporting Transgender and Non-Binary Students and Staff in Further and Higher Education: Practical Advice for Colleges and Universities </w:t>
      </w:r>
      <w:r w:rsidR="009B6F72" w:rsidRPr="00DB16C2">
        <w:rPr>
          <w:rFonts w:ascii="Arial" w:hAnsi="Arial" w:cs="Arial"/>
        </w:rPr>
        <w:t>Lawrence and McKendry</w:t>
      </w:r>
      <w:r w:rsidR="00572CCF" w:rsidRPr="00DB16C2">
        <w:rPr>
          <w:rFonts w:ascii="Arial" w:hAnsi="Arial" w:cs="Arial"/>
        </w:rPr>
        <w:t xml:space="preserve"> (</w:t>
      </w:r>
      <w:r w:rsidRPr="00DB16C2">
        <w:rPr>
          <w:rFonts w:ascii="Arial" w:hAnsi="Arial" w:cs="Arial"/>
        </w:rPr>
        <w:t>201</w:t>
      </w:r>
      <w:r w:rsidR="00572CCF" w:rsidRPr="00DB16C2">
        <w:rPr>
          <w:rFonts w:ascii="Arial" w:hAnsi="Arial" w:cs="Arial"/>
        </w:rPr>
        <w:t>9</w:t>
      </w:r>
      <w:r w:rsidRPr="00DB16C2">
        <w:rPr>
          <w:rFonts w:ascii="Arial" w:hAnsi="Arial" w:cs="Arial"/>
        </w:rPr>
        <w:t xml:space="preserve">). This book is highly relevant because it is specifically aimed at post-16 education settings and therefore speaks directly to both FE and HE practice. Drawing on survey data suggesting that around 85% of trans students and staff had encountered barriers in educational settings, the authors describe common problems such as misgendering, lack of access to appropriate facilities, poor curriculum representation and weak support structures </w:t>
      </w:r>
      <w:r w:rsidR="009B6F72" w:rsidRPr="00DB16C2">
        <w:rPr>
          <w:rFonts w:ascii="Arial" w:hAnsi="Arial" w:cs="Arial"/>
        </w:rPr>
        <w:t>Lawrence and McKendry</w:t>
      </w:r>
      <w:r w:rsidRPr="00DB16C2">
        <w:rPr>
          <w:rFonts w:ascii="Arial" w:hAnsi="Arial" w:cs="Arial"/>
        </w:rPr>
        <w:t>, 201</w:t>
      </w:r>
      <w:r w:rsidR="000535AC" w:rsidRPr="00DB16C2">
        <w:rPr>
          <w:rFonts w:ascii="Arial" w:hAnsi="Arial" w:cs="Arial"/>
        </w:rPr>
        <w:t>9</w:t>
      </w:r>
      <w:r w:rsidRPr="00DB16C2">
        <w:rPr>
          <w:rFonts w:ascii="Arial" w:hAnsi="Arial" w:cs="Arial"/>
        </w:rPr>
        <w:t>). The scale of these barriers indicates that trans exclusion is not caused by one or two isolated problems, but by a wider pattern of institutional inattention.</w:t>
      </w:r>
    </w:p>
    <w:p w14:paraId="63194299" w14:textId="2E736CDA" w:rsidR="00BF693E" w:rsidRPr="00DB16C2" w:rsidRDefault="00BF693E" w:rsidP="00DB16C2">
      <w:pPr>
        <w:spacing w:line="360" w:lineRule="auto"/>
        <w:rPr>
          <w:rFonts w:ascii="Arial" w:hAnsi="Arial" w:cs="Arial"/>
        </w:rPr>
      </w:pPr>
      <w:r w:rsidRPr="00DB16C2">
        <w:rPr>
          <w:rFonts w:ascii="Arial" w:hAnsi="Arial" w:cs="Arial"/>
        </w:rPr>
        <w:t xml:space="preserve">What makes </w:t>
      </w:r>
      <w:r w:rsidR="009B6F72" w:rsidRPr="00DB16C2">
        <w:rPr>
          <w:rFonts w:ascii="Arial" w:hAnsi="Arial" w:cs="Arial"/>
        </w:rPr>
        <w:t>Lawrence and McKendry</w:t>
      </w:r>
      <w:r w:rsidRPr="00DB16C2">
        <w:rPr>
          <w:rFonts w:ascii="Arial" w:hAnsi="Arial" w:cs="Arial"/>
        </w:rPr>
        <w:t xml:space="preserve"> (201</w:t>
      </w:r>
      <w:r w:rsidR="000535AC" w:rsidRPr="00DB16C2">
        <w:rPr>
          <w:rFonts w:ascii="Arial" w:hAnsi="Arial" w:cs="Arial"/>
        </w:rPr>
        <w:t>9</w:t>
      </w:r>
      <w:r w:rsidRPr="00DB16C2">
        <w:rPr>
          <w:rFonts w:ascii="Arial" w:hAnsi="Arial" w:cs="Arial"/>
        </w:rPr>
        <w:t>) especially valuable is that they do not stop at identifying difficulties. They offer practical recommendations for improvement, including staff training on terminology and legal duties, clear trans-inclusive policies, confidential transition plans, and review of forms, IT systems and learning materials for unnecessary gendering. This is particularly important for FE because tutors often want to help but may feel unsure what practical changes are within their control. The book makes clear that inclusion is not just the responsibility of HR or senior leadership: tutors, support staff and managers all have a role in shaping the student experience.</w:t>
      </w:r>
    </w:p>
    <w:p w14:paraId="7AECEA1E" w14:textId="7D0E05D0" w:rsidR="00BF693E" w:rsidRPr="00DB16C2" w:rsidRDefault="00BF693E" w:rsidP="00DB16C2">
      <w:pPr>
        <w:spacing w:line="360" w:lineRule="auto"/>
        <w:rPr>
          <w:rFonts w:ascii="Arial" w:hAnsi="Arial" w:cs="Arial"/>
        </w:rPr>
      </w:pPr>
      <w:r w:rsidRPr="00DB16C2">
        <w:rPr>
          <w:rFonts w:ascii="Arial" w:hAnsi="Arial" w:cs="Arial"/>
        </w:rPr>
        <w:t xml:space="preserve">From a Welsh FE perspective, this is highly transferable. Many of the recommendations can be implemented directly at course or classroom level without requiring major structural change. For example, tutors can normalise pronoun sharing at the start of modules, use correct names consistently, challenge transphobic comments immediately and include trans-related examples where relevant to the subject area </w:t>
      </w:r>
      <w:r w:rsidR="00A03D59" w:rsidRPr="00DB16C2">
        <w:rPr>
          <w:rFonts w:ascii="Arial" w:hAnsi="Arial" w:cs="Arial"/>
        </w:rPr>
        <w:t>(</w:t>
      </w:r>
      <w:r w:rsidR="009B6F72" w:rsidRPr="00DB16C2">
        <w:rPr>
          <w:rFonts w:ascii="Arial" w:hAnsi="Arial" w:cs="Arial"/>
        </w:rPr>
        <w:t>Lawrence and McKendry</w:t>
      </w:r>
      <w:r w:rsidR="00A03D59" w:rsidRPr="00DB16C2">
        <w:rPr>
          <w:rFonts w:ascii="Arial" w:hAnsi="Arial" w:cs="Arial"/>
        </w:rPr>
        <w:t xml:space="preserve">, </w:t>
      </w:r>
      <w:r w:rsidRPr="00DB16C2">
        <w:rPr>
          <w:rFonts w:ascii="Arial" w:hAnsi="Arial" w:cs="Arial"/>
        </w:rPr>
        <w:t>201</w:t>
      </w:r>
      <w:r w:rsidR="00374109" w:rsidRPr="00DB16C2">
        <w:rPr>
          <w:rFonts w:ascii="Arial" w:hAnsi="Arial" w:cs="Arial"/>
        </w:rPr>
        <w:t>9</w:t>
      </w:r>
      <w:r w:rsidRPr="00DB16C2">
        <w:rPr>
          <w:rFonts w:ascii="Arial" w:hAnsi="Arial" w:cs="Arial"/>
        </w:rPr>
        <w:t xml:space="preserve">). These actions also align with the view that classroom relationships are central to inclusion. If learners </w:t>
      </w:r>
      <w:r w:rsidRPr="00DB16C2">
        <w:rPr>
          <w:rFonts w:ascii="Arial" w:hAnsi="Arial" w:cs="Arial"/>
        </w:rPr>
        <w:lastRenderedPageBreak/>
        <w:t>feel respected and safe, they are more likely to participate, collaborate and persist in their studies.</w:t>
      </w:r>
    </w:p>
    <w:p w14:paraId="097951E3" w14:textId="4D649BB6" w:rsidR="00BF693E" w:rsidRPr="00DB16C2" w:rsidRDefault="009B6F72" w:rsidP="00DB16C2">
      <w:pPr>
        <w:spacing w:line="360" w:lineRule="auto"/>
        <w:rPr>
          <w:rFonts w:ascii="Arial" w:hAnsi="Arial" w:cs="Arial"/>
        </w:rPr>
      </w:pPr>
      <w:r w:rsidRPr="00DB16C2">
        <w:rPr>
          <w:rFonts w:ascii="Arial" w:hAnsi="Arial" w:cs="Arial"/>
        </w:rPr>
        <w:t>Lawrence and McKendry</w:t>
      </w:r>
      <w:r w:rsidR="00BF693E" w:rsidRPr="00DB16C2">
        <w:rPr>
          <w:rFonts w:ascii="Arial" w:hAnsi="Arial" w:cs="Arial"/>
        </w:rPr>
        <w:t xml:space="preserve"> (201</w:t>
      </w:r>
      <w:r w:rsidR="00374109" w:rsidRPr="00DB16C2">
        <w:rPr>
          <w:rFonts w:ascii="Arial" w:hAnsi="Arial" w:cs="Arial"/>
        </w:rPr>
        <w:t>9</w:t>
      </w:r>
      <w:r w:rsidR="00BF693E" w:rsidRPr="00DB16C2">
        <w:rPr>
          <w:rFonts w:ascii="Arial" w:hAnsi="Arial" w:cs="Arial"/>
        </w:rPr>
        <w:t>) also emphasise the importance of confidentiality and student choice. This is significant because trans students do not always want to be “visible” in a way that exposes them to risk. Inclusive practice therefore does not mean forcing disclosure or making identity the centre of attention. Instead, it means creating a space where students can decide how they want to be known and where that choice is respected.</w:t>
      </w:r>
    </w:p>
    <w:p w14:paraId="0E472325" w14:textId="77777777" w:rsidR="00BF693E" w:rsidRPr="00DB16C2" w:rsidRDefault="00BF693E" w:rsidP="00DB16C2">
      <w:pPr>
        <w:spacing w:line="360" w:lineRule="auto"/>
        <w:rPr>
          <w:rFonts w:ascii="Arial" w:hAnsi="Arial" w:cs="Arial"/>
          <w:b/>
          <w:bCs/>
        </w:rPr>
      </w:pPr>
      <w:r w:rsidRPr="00DB16C2">
        <w:rPr>
          <w:rFonts w:ascii="Arial" w:hAnsi="Arial" w:cs="Arial"/>
          <w:b/>
          <w:bCs/>
        </w:rPr>
        <w:t>Recent empirical work on trans inclusion in education</w:t>
      </w:r>
    </w:p>
    <w:p w14:paraId="002B8DBA" w14:textId="4C56E391" w:rsidR="00BF693E" w:rsidRPr="00DB16C2" w:rsidRDefault="00BF693E" w:rsidP="00DB16C2">
      <w:pPr>
        <w:spacing w:line="360" w:lineRule="auto"/>
        <w:rPr>
          <w:rFonts w:ascii="Arial" w:hAnsi="Arial" w:cs="Arial"/>
        </w:rPr>
      </w:pPr>
      <w:r w:rsidRPr="00DB16C2">
        <w:rPr>
          <w:rFonts w:ascii="Arial" w:hAnsi="Arial" w:cs="Arial"/>
        </w:rPr>
        <w:t>More recent empirical work continues to refine understanding of how trans inclusion and exclusion operate in education</w:t>
      </w:r>
      <w:r w:rsidR="00BB5A68" w:rsidRPr="00DB16C2">
        <w:rPr>
          <w:rFonts w:ascii="Arial" w:hAnsi="Arial" w:cs="Arial"/>
        </w:rPr>
        <w:t>. The 2024 article L</w:t>
      </w:r>
      <w:r w:rsidR="004D67D9" w:rsidRPr="00DB16C2">
        <w:rPr>
          <w:rFonts w:ascii="Arial" w:hAnsi="Arial" w:cs="Arial"/>
        </w:rPr>
        <w:t>GBT+ representation higher education in England and Wales</w:t>
      </w:r>
      <w:r w:rsidR="00BB5A68" w:rsidRPr="00DB16C2">
        <w:rPr>
          <w:rFonts w:ascii="Arial" w:hAnsi="Arial" w:cs="Arial"/>
        </w:rPr>
        <w:t xml:space="preserve"> by Armstrong and Sullivan</w:t>
      </w:r>
      <w:r w:rsidR="00D27E8B" w:rsidRPr="00DB16C2">
        <w:rPr>
          <w:rFonts w:ascii="Arial" w:hAnsi="Arial" w:cs="Arial"/>
        </w:rPr>
        <w:t xml:space="preserve"> </w:t>
      </w:r>
      <w:r w:rsidRPr="00DB16C2">
        <w:rPr>
          <w:rFonts w:ascii="Arial" w:hAnsi="Arial" w:cs="Arial"/>
        </w:rPr>
        <w:t>examines trans and non-binary students’ experiences in school and college and shows how policy can be undermined by everyday interpretations of safeguarding and fairness</w:t>
      </w:r>
      <w:r w:rsidR="0053541E" w:rsidRPr="00DB16C2">
        <w:rPr>
          <w:rFonts w:ascii="Arial" w:hAnsi="Arial" w:cs="Arial"/>
        </w:rPr>
        <w:t xml:space="preserve">. </w:t>
      </w:r>
      <w:r w:rsidRPr="00DB16C2">
        <w:rPr>
          <w:rFonts w:ascii="Arial" w:hAnsi="Arial" w:cs="Arial"/>
        </w:rPr>
        <w:t>In particular, the study suggests that some institutions use “fairness” language to justify restrictions on gender-affirming practices such as chosen names, access to facilities or recognition of identity. This is significant because it shows that even in institutions that claim to be inclusive, trans students may still be positioned as problematic or controversial.</w:t>
      </w:r>
    </w:p>
    <w:p w14:paraId="77D23D98" w14:textId="13170E2A" w:rsidR="00BF693E" w:rsidRPr="00DB16C2" w:rsidRDefault="00BF693E" w:rsidP="00DB16C2">
      <w:pPr>
        <w:spacing w:line="360" w:lineRule="auto"/>
        <w:rPr>
          <w:rFonts w:ascii="Arial" w:hAnsi="Arial" w:cs="Arial"/>
        </w:rPr>
      </w:pPr>
      <w:r w:rsidRPr="00DB16C2">
        <w:rPr>
          <w:rFonts w:ascii="Arial" w:hAnsi="Arial" w:cs="Arial"/>
        </w:rPr>
        <w:t xml:space="preserve">This kind of finding helps explain why Welsh FE students may continue to feel unsafe or unwelcome even when national policy appears supportive. It is not enough for an institution to state that it is inclusive; that inclusion must be felt in daily life. The article therefore supports the argument that inclusion must be understood as a practice rather than a statement. </w:t>
      </w:r>
    </w:p>
    <w:p w14:paraId="14345765" w14:textId="01B49443" w:rsidR="00BF693E" w:rsidRPr="00DB16C2" w:rsidRDefault="00BF693E" w:rsidP="00DB16C2">
      <w:pPr>
        <w:spacing w:line="360" w:lineRule="auto"/>
        <w:rPr>
          <w:rFonts w:ascii="Arial" w:hAnsi="Arial" w:cs="Arial"/>
        </w:rPr>
      </w:pPr>
      <w:r w:rsidRPr="00DB16C2">
        <w:rPr>
          <w:rFonts w:ascii="Arial" w:hAnsi="Arial" w:cs="Arial"/>
        </w:rPr>
        <w:t xml:space="preserve">Similarly, the </w:t>
      </w:r>
      <w:r w:rsidR="007D3E66" w:rsidRPr="00DB16C2">
        <w:rPr>
          <w:rFonts w:ascii="Arial" w:hAnsi="Arial" w:cs="Arial"/>
        </w:rPr>
        <w:t>20</w:t>
      </w:r>
      <w:r w:rsidR="00702537" w:rsidRPr="00DB16C2">
        <w:rPr>
          <w:rFonts w:ascii="Arial" w:hAnsi="Arial" w:cs="Arial"/>
        </w:rPr>
        <w:t xml:space="preserve">26 </w:t>
      </w:r>
      <w:r w:rsidRPr="00DB16C2">
        <w:rPr>
          <w:rFonts w:ascii="Arial" w:hAnsi="Arial" w:cs="Arial"/>
        </w:rPr>
        <w:t xml:space="preserve">article </w:t>
      </w:r>
      <w:r w:rsidR="007D3E66" w:rsidRPr="00DB16C2">
        <w:rPr>
          <w:rFonts w:ascii="Arial" w:hAnsi="Arial" w:cs="Arial"/>
        </w:rPr>
        <w:t>‘</w:t>
      </w:r>
      <w:r w:rsidR="00372EDA" w:rsidRPr="00DB16C2">
        <w:rPr>
          <w:rFonts w:ascii="Arial" w:hAnsi="Arial" w:cs="Arial"/>
        </w:rPr>
        <w:t>Policy versus practice: Barriers to inclusion for trans and gender diverse students in UK higher education</w:t>
      </w:r>
      <w:r w:rsidR="007D3E66" w:rsidRPr="00DB16C2">
        <w:rPr>
          <w:rFonts w:ascii="Arial" w:hAnsi="Arial" w:cs="Arial"/>
        </w:rPr>
        <w:t xml:space="preserve">’ by Rengel et al </w:t>
      </w:r>
      <w:r w:rsidRPr="00DB16C2">
        <w:rPr>
          <w:rFonts w:ascii="Arial" w:hAnsi="Arial" w:cs="Arial"/>
        </w:rPr>
        <w:t>adds to the evidence by focusing on practical support and the experiences of trans and non-binary students and staff in post-16 education settings. The value of this kind of research lies in its attention to the everyday realities of implementation. Participants in such studies often describe a gap between policy and practice</w:t>
      </w:r>
      <w:r w:rsidR="00E22795" w:rsidRPr="00DB16C2">
        <w:rPr>
          <w:rFonts w:ascii="Arial" w:hAnsi="Arial" w:cs="Arial"/>
        </w:rPr>
        <w:t>,</w:t>
      </w:r>
      <w:r w:rsidRPr="00DB16C2">
        <w:rPr>
          <w:rFonts w:ascii="Arial" w:hAnsi="Arial" w:cs="Arial"/>
        </w:rPr>
        <w:t xml:space="preserve"> institutions may have inclusive documents, but staff may not always know how to apply </w:t>
      </w:r>
      <w:r w:rsidR="00A03D59" w:rsidRPr="00DB16C2">
        <w:rPr>
          <w:rFonts w:ascii="Arial" w:hAnsi="Arial" w:cs="Arial"/>
        </w:rPr>
        <w:t>them or</w:t>
      </w:r>
      <w:r w:rsidRPr="00DB16C2">
        <w:rPr>
          <w:rFonts w:ascii="Arial" w:hAnsi="Arial" w:cs="Arial"/>
        </w:rPr>
        <w:t xml:space="preserve"> may be inconsistent in how they respond to students. This is particularly relevant to FE, </w:t>
      </w:r>
      <w:r w:rsidRPr="00DB16C2">
        <w:rPr>
          <w:rFonts w:ascii="Arial" w:hAnsi="Arial" w:cs="Arial"/>
        </w:rPr>
        <w:lastRenderedPageBreak/>
        <w:t xml:space="preserve">where students may encounter multiple staff across different rooms, departments and sites. </w:t>
      </w:r>
    </w:p>
    <w:p w14:paraId="03D0C78F" w14:textId="7551876A" w:rsidR="00BF693E" w:rsidRPr="00DB16C2" w:rsidRDefault="00BF693E" w:rsidP="00DB16C2">
      <w:pPr>
        <w:spacing w:line="360" w:lineRule="auto"/>
        <w:rPr>
          <w:rFonts w:ascii="Arial" w:hAnsi="Arial" w:cs="Arial"/>
        </w:rPr>
      </w:pPr>
      <w:r w:rsidRPr="00DB16C2">
        <w:rPr>
          <w:rFonts w:ascii="Arial" w:hAnsi="Arial" w:cs="Arial"/>
        </w:rPr>
        <w:t>These more recent studies reinforce a recurring theme across the literature: trans inclusion is not simply about formal rights, but about whether those rights are experienced in practice. They also show that trans students are often highly aware of staff attitudes, support systems and institutional culture. When staff educate themselves, protect confidentiality and avoid making trans students do the work of explaining or defending their identity, learners report better experiences (</w:t>
      </w:r>
      <w:r w:rsidR="00B66FE9" w:rsidRPr="00DB16C2">
        <w:rPr>
          <w:rFonts w:ascii="Arial" w:hAnsi="Arial" w:cs="Arial"/>
        </w:rPr>
        <w:t>Rengel et al</w:t>
      </w:r>
      <w:r w:rsidRPr="00DB16C2">
        <w:rPr>
          <w:rFonts w:ascii="Arial" w:hAnsi="Arial" w:cs="Arial"/>
        </w:rPr>
        <w:t>, 20</w:t>
      </w:r>
      <w:r w:rsidR="00C74FE8" w:rsidRPr="00DB16C2">
        <w:rPr>
          <w:rFonts w:ascii="Arial" w:hAnsi="Arial" w:cs="Arial"/>
        </w:rPr>
        <w:t>26</w:t>
      </w:r>
      <w:r w:rsidRPr="00DB16C2">
        <w:rPr>
          <w:rFonts w:ascii="Arial" w:hAnsi="Arial" w:cs="Arial"/>
        </w:rPr>
        <w:t>). When staff delay changes, question identities or fail to challenge hostile comments, the opposite occurs.</w:t>
      </w:r>
    </w:p>
    <w:p w14:paraId="66129486" w14:textId="5500F12E" w:rsidR="00F921C4" w:rsidRPr="00513DB5" w:rsidRDefault="00F921C4" w:rsidP="00513DB5">
      <w:pPr>
        <w:pStyle w:val="Heading2"/>
      </w:pPr>
      <w:bookmarkStart w:id="45" w:name="_Toc225371239"/>
      <w:r w:rsidRPr="00513DB5">
        <w:t>Methodology</w:t>
      </w:r>
      <w:bookmarkEnd w:id="45"/>
    </w:p>
    <w:p w14:paraId="71D8D462" w14:textId="77777777" w:rsidR="00F921C4" w:rsidRPr="00DB16C2" w:rsidRDefault="00F921C4" w:rsidP="00DB16C2">
      <w:pPr>
        <w:spacing w:line="360" w:lineRule="auto"/>
        <w:rPr>
          <w:rFonts w:ascii="Arial" w:hAnsi="Arial" w:cs="Arial"/>
        </w:rPr>
      </w:pPr>
      <w:r w:rsidRPr="00DB16C2">
        <w:rPr>
          <w:rFonts w:ascii="Arial" w:hAnsi="Arial" w:cs="Arial"/>
        </w:rPr>
        <w:t>This project uses secondary research only. No primary data were collected from students or staff. This approach was appropriate because the purpose of the project was to identify and analyse existing evidence about transgender students’ experiences in FE and related post-16 settings, and to draw out implications for tutor practice in Wales.</w:t>
      </w:r>
    </w:p>
    <w:p w14:paraId="2658AF89" w14:textId="77777777" w:rsidR="00F921C4" w:rsidRPr="00DB16C2" w:rsidRDefault="00F921C4" w:rsidP="00DB16C2">
      <w:pPr>
        <w:spacing w:line="360" w:lineRule="auto"/>
        <w:rPr>
          <w:rFonts w:ascii="Arial" w:hAnsi="Arial" w:cs="Arial"/>
        </w:rPr>
      </w:pPr>
      <w:r w:rsidRPr="00DB16C2">
        <w:rPr>
          <w:rFonts w:ascii="Arial" w:hAnsi="Arial" w:cs="Arial"/>
        </w:rPr>
        <w:t>The literature was selected using a focused search of academic and policy sources, including journal articles, reports, books and institutional guidance. Priority was given to recent sources, especially those published from 2017 onwards, because the policy and social context for trans students has developed rapidly in recent years. Welsh sources were prioritised where possible, including Stonewall Cymru, the Wales Centre for Public Policy and Welsh Government documents. Sources from higher education were also included where they offered relevant evidence for FE, particularly around wellbeing, belonging and institutional inclusion.</w:t>
      </w:r>
    </w:p>
    <w:p w14:paraId="3352DF08" w14:textId="2D5E3CDC" w:rsidR="00F921C4" w:rsidRPr="00DB16C2" w:rsidRDefault="00F921C4" w:rsidP="00DB16C2">
      <w:pPr>
        <w:spacing w:line="360" w:lineRule="auto"/>
        <w:rPr>
          <w:rFonts w:ascii="Arial" w:hAnsi="Arial" w:cs="Arial"/>
        </w:rPr>
      </w:pPr>
      <w:r w:rsidRPr="00DB16C2">
        <w:rPr>
          <w:rFonts w:ascii="Arial" w:hAnsi="Arial" w:cs="Arial"/>
        </w:rPr>
        <w:t xml:space="preserve">The analysis followed a thematic approach. The key themes identified across the literature were bullying and harassment, mental health and wellbeing, institutional and administrative exclusion, curriculum and facilities, and academic and socio-economic disadvantage. These themes were then interpreted in relation to tutor practice and Welsh FE policy. Using secondary research has the advantage of drawing together evidence from several contexts and identifying common patterns across studies. It also has limitations: much of the available evidence is from schools or higher education rather than FE specifically, and therefore some conclusions must </w:t>
      </w:r>
      <w:r w:rsidRPr="00DB16C2">
        <w:rPr>
          <w:rFonts w:ascii="Arial" w:hAnsi="Arial" w:cs="Arial"/>
        </w:rPr>
        <w:lastRenderedPageBreak/>
        <w:t xml:space="preserve">be applied cautiously. However, given the lack of FE-specific Welsh research, secondary analysis provides a useful and evidence-based starting point for </w:t>
      </w:r>
      <w:r w:rsidR="00685916" w:rsidRPr="00DB16C2">
        <w:rPr>
          <w:rFonts w:ascii="Arial" w:hAnsi="Arial" w:cs="Arial"/>
        </w:rPr>
        <w:t xml:space="preserve">a </w:t>
      </w:r>
      <w:r w:rsidR="00812489" w:rsidRPr="00DB16C2">
        <w:rPr>
          <w:rFonts w:ascii="Arial" w:hAnsi="Arial" w:cs="Arial"/>
        </w:rPr>
        <w:t xml:space="preserve">much deeper </w:t>
      </w:r>
      <w:r w:rsidRPr="00DB16C2">
        <w:rPr>
          <w:rFonts w:ascii="Arial" w:hAnsi="Arial" w:cs="Arial"/>
        </w:rPr>
        <w:t>action research.</w:t>
      </w:r>
    </w:p>
    <w:p w14:paraId="46E48B32" w14:textId="77777777" w:rsidR="002B5732" w:rsidRPr="00DB16C2" w:rsidRDefault="002B5732" w:rsidP="00DB16C2">
      <w:pPr>
        <w:pStyle w:val="Heading2"/>
        <w:spacing w:line="360" w:lineRule="auto"/>
        <w:rPr>
          <w:rFonts w:ascii="Arial" w:hAnsi="Arial" w:cs="Arial"/>
        </w:rPr>
      </w:pPr>
      <w:bookmarkStart w:id="46" w:name="_Toc225371240"/>
      <w:r w:rsidRPr="00DB16C2">
        <w:rPr>
          <w:rFonts w:ascii="Arial" w:hAnsi="Arial" w:cs="Arial"/>
        </w:rPr>
        <w:t>Results and discussion</w:t>
      </w:r>
      <w:bookmarkEnd w:id="46"/>
    </w:p>
    <w:p w14:paraId="188CCD9C" w14:textId="77777777" w:rsidR="006061DF" w:rsidRPr="00DB16C2" w:rsidRDefault="006061DF" w:rsidP="00DB16C2">
      <w:pPr>
        <w:spacing w:line="360" w:lineRule="auto"/>
        <w:rPr>
          <w:rFonts w:ascii="Arial" w:hAnsi="Arial" w:cs="Arial"/>
        </w:rPr>
      </w:pPr>
      <w:r w:rsidRPr="00DB16C2">
        <w:rPr>
          <w:rFonts w:ascii="Arial" w:hAnsi="Arial" w:cs="Arial"/>
        </w:rPr>
        <w:t>The literature shows that transgender and non-binary students in post-16 education face interlinked barriers that affect both their educational experience and wider wellbeing. These barriers overlap and reinforce one another, creating a cumulative effect that can make further education feel unsafe, alienating or difficult to sustain. Across the literature, five main themes emerge: bullying and hostile climates, mental health impacts, institutional and administrative exclusion, curriculum and facilities, and intersecting academic and socio-economic disadvantage. Together, these findings suggest that trans inclusion in FE is not simply about policy compliance, but about whether learners feel safe, recognised and supported in everyday practice.</w:t>
      </w:r>
    </w:p>
    <w:p w14:paraId="6CB89B4F" w14:textId="77777777" w:rsidR="006061DF" w:rsidRPr="00DB16C2" w:rsidRDefault="006061DF" w:rsidP="00DB16C2">
      <w:pPr>
        <w:spacing w:line="360" w:lineRule="auto"/>
        <w:rPr>
          <w:rFonts w:ascii="Arial" w:hAnsi="Arial" w:cs="Arial"/>
          <w:b/>
          <w:bCs/>
        </w:rPr>
      </w:pPr>
      <w:r w:rsidRPr="00DB16C2">
        <w:rPr>
          <w:rFonts w:ascii="Arial" w:hAnsi="Arial" w:cs="Arial"/>
          <w:b/>
          <w:bCs/>
        </w:rPr>
        <w:t>Bullying and hostile climates</w:t>
      </w:r>
    </w:p>
    <w:p w14:paraId="012B040A" w14:textId="77777777" w:rsidR="006061DF" w:rsidRPr="00DB16C2" w:rsidRDefault="006061DF" w:rsidP="00DB16C2">
      <w:pPr>
        <w:spacing w:line="360" w:lineRule="auto"/>
        <w:rPr>
          <w:rFonts w:ascii="Arial" w:hAnsi="Arial" w:cs="Arial"/>
        </w:rPr>
      </w:pPr>
      <w:r w:rsidRPr="00DB16C2">
        <w:rPr>
          <w:rFonts w:ascii="Arial" w:hAnsi="Arial" w:cs="Arial"/>
        </w:rPr>
        <w:t>A consistent finding is that trans learners experience high levels of bullying, harassment and social exclusion. Stonewall Cymru reported that 73% of trans pupils in Wales were bullied for being LGBT, indicating that many trans learners arrive in FE with a history of negative and potentially traumatic educational experiences (Stonewall Cymru, 2017). The Wales Centre for Public Policy review similarly found that trans young people in Wales are more likely to experience peer victimisation and lower school belonging than cisgender peers (Wales Centre for Public Policy, 2025). Belonging is strongly linked to engagement, confidence, retention and achievement; if students do not feel safe or accepted, they are less likely to participate fully in learning and more likely to withdraw emotionally or physically from educational spaces.</w:t>
      </w:r>
    </w:p>
    <w:p w14:paraId="6A469B1E" w14:textId="77777777" w:rsidR="006061DF" w:rsidRPr="00DB16C2" w:rsidRDefault="006061DF" w:rsidP="00DB16C2">
      <w:pPr>
        <w:spacing w:line="360" w:lineRule="auto"/>
        <w:rPr>
          <w:rFonts w:ascii="Arial" w:hAnsi="Arial" w:cs="Arial"/>
        </w:rPr>
      </w:pPr>
      <w:r w:rsidRPr="00DB16C2">
        <w:rPr>
          <w:rFonts w:ascii="Arial" w:hAnsi="Arial" w:cs="Arial"/>
        </w:rPr>
        <w:t xml:space="preserve">Hostile climates are not limited to overt bullying. The literature highlights frequent microaggressions, misgendering and the normalisation of transphobic comments in classrooms and social spaces. Even when such behaviours are not intended as deliberate abuse, their cumulative effect can be damaging. Trans students may become hyper-aware of how they are perceived, increasing stress and reducing capacity to focus on learning. This is particularly significant in FE settings, where </w:t>
      </w:r>
      <w:r w:rsidRPr="00DB16C2">
        <w:rPr>
          <w:rFonts w:ascii="Arial" w:hAnsi="Arial" w:cs="Arial"/>
        </w:rPr>
        <w:lastRenderedPageBreak/>
        <w:t>students move between multiple teaching spaces and social areas, often with less continuity of support than in school.</w:t>
      </w:r>
    </w:p>
    <w:p w14:paraId="31B9C38A" w14:textId="729340C7" w:rsidR="006061DF" w:rsidRPr="00DB16C2" w:rsidRDefault="006061DF" w:rsidP="00DB16C2">
      <w:pPr>
        <w:spacing w:line="360" w:lineRule="auto"/>
        <w:rPr>
          <w:rFonts w:ascii="Arial" w:hAnsi="Arial" w:cs="Arial"/>
        </w:rPr>
      </w:pPr>
      <w:r w:rsidRPr="00DB16C2">
        <w:rPr>
          <w:rFonts w:ascii="Arial" w:hAnsi="Arial" w:cs="Arial"/>
        </w:rPr>
        <w:t xml:space="preserve">For tutors, this means that classroom climate cannot be left to chance. Tutors need to set clear expectations from the beginning of a course, challenge discriminatory language consistently and establish a culture in which transphobia is not tolerated. </w:t>
      </w:r>
      <w:r w:rsidR="009B6F72" w:rsidRPr="00DB16C2">
        <w:rPr>
          <w:rFonts w:ascii="Arial" w:hAnsi="Arial" w:cs="Arial"/>
        </w:rPr>
        <w:t>Lawrence and McKendry</w:t>
      </w:r>
      <w:r w:rsidRPr="00DB16C2">
        <w:rPr>
          <w:rFonts w:ascii="Arial" w:hAnsi="Arial" w:cs="Arial"/>
        </w:rPr>
        <w:t>. (2018) argue that staff should not assume students will report harassment if they feel unsafe; instead, tutors should proactively build trust and make reporting routes visible. In practice, this can include agreeing group norms at induction, using inclusive language, explaining reporting procedures clearly and checking in with students who appear isolated or withdrawn.</w:t>
      </w:r>
    </w:p>
    <w:p w14:paraId="3E8F4AD1" w14:textId="77777777" w:rsidR="006061DF" w:rsidRPr="00DB16C2" w:rsidRDefault="006061DF" w:rsidP="00DB16C2">
      <w:pPr>
        <w:spacing w:line="360" w:lineRule="auto"/>
        <w:rPr>
          <w:rFonts w:ascii="Arial" w:hAnsi="Arial" w:cs="Arial"/>
          <w:b/>
          <w:bCs/>
        </w:rPr>
      </w:pPr>
      <w:r w:rsidRPr="00DB16C2">
        <w:rPr>
          <w:rFonts w:ascii="Arial" w:hAnsi="Arial" w:cs="Arial"/>
          <w:b/>
          <w:bCs/>
        </w:rPr>
        <w:t>Mental health and wellbeing</w:t>
      </w:r>
    </w:p>
    <w:p w14:paraId="1A360AEC" w14:textId="77777777" w:rsidR="006061DF" w:rsidRPr="00DB16C2" w:rsidRDefault="006061DF" w:rsidP="00DB16C2">
      <w:pPr>
        <w:spacing w:line="360" w:lineRule="auto"/>
        <w:rPr>
          <w:rFonts w:ascii="Arial" w:hAnsi="Arial" w:cs="Arial"/>
        </w:rPr>
      </w:pPr>
      <w:r w:rsidRPr="00DB16C2">
        <w:rPr>
          <w:rFonts w:ascii="Arial" w:hAnsi="Arial" w:cs="Arial"/>
        </w:rPr>
        <w:t>A second major theme is that trans learners face serious mental health pressures. In Wales, Stonewall Cymru reported very high levels of self-harm and suicide attempts among trans young people, illustrating the severity of the risks associated with exclusion and discrimination (Stonewall Cymru, 2017). The WCPP review also identified poorer wellbeing and lower school belonging among trans learners (Wales Centre for Public Policy, 2025). These findings align with minority stress theory, which explains how repeated stigma, prejudice and discrimination create chronic psychological harm over time (Meyer, 2003). For trans learners, stress may arise from direct bullying, fear of being outed, anxiety about using toilets or changing rooms, or the constant effort of managing identity in environments that do not feel safe.</w:t>
      </w:r>
    </w:p>
    <w:p w14:paraId="264DAECB" w14:textId="1666BC65" w:rsidR="006061DF" w:rsidRPr="00DB16C2" w:rsidRDefault="006061DF" w:rsidP="00DB16C2">
      <w:pPr>
        <w:spacing w:line="360" w:lineRule="auto"/>
        <w:rPr>
          <w:rFonts w:ascii="Arial" w:hAnsi="Arial" w:cs="Arial"/>
        </w:rPr>
      </w:pPr>
      <w:r w:rsidRPr="00DB16C2">
        <w:rPr>
          <w:rFonts w:ascii="Arial" w:hAnsi="Arial" w:cs="Arial"/>
        </w:rPr>
        <w:t>The HEPI report adds further weight by showing that trans and non-binary students are more likely to disclose mental health conditions and experience difficulties accessing support services (</w:t>
      </w:r>
      <w:r w:rsidR="006F3541" w:rsidRPr="00DB16C2">
        <w:rPr>
          <w:rFonts w:ascii="Arial" w:hAnsi="Arial" w:cs="Arial"/>
        </w:rPr>
        <w:t>Freeman and Stephenson, 2024</w:t>
      </w:r>
      <w:r w:rsidRPr="00DB16C2">
        <w:rPr>
          <w:rFonts w:ascii="Arial" w:hAnsi="Arial" w:cs="Arial"/>
        </w:rPr>
        <w:t>). Although this is higher education evidence, FE tutors are likely to encounter similar patterns. Many trans learners are managing academic demands alongside distress, uncertainty and possible family or community rejection.</w:t>
      </w:r>
    </w:p>
    <w:p w14:paraId="0D3757EC" w14:textId="77777777" w:rsidR="006061DF" w:rsidRPr="00DB16C2" w:rsidRDefault="006061DF" w:rsidP="00DB16C2">
      <w:pPr>
        <w:spacing w:line="360" w:lineRule="auto"/>
        <w:rPr>
          <w:rFonts w:ascii="Arial" w:hAnsi="Arial" w:cs="Arial"/>
        </w:rPr>
      </w:pPr>
      <w:r w:rsidRPr="00DB16C2">
        <w:rPr>
          <w:rFonts w:ascii="Arial" w:hAnsi="Arial" w:cs="Arial"/>
        </w:rPr>
        <w:t xml:space="preserve">For FE tutors, this means pastoral care is as important as academic delivery. Tutors may not be counsellors, but they play a key role in noticing distress, being approachable and signposting students to appropriate support. The University of South Wales guidance illustrates the value of clear and visible support pathways, </w:t>
      </w:r>
      <w:r w:rsidRPr="00DB16C2">
        <w:rPr>
          <w:rFonts w:ascii="Arial" w:hAnsi="Arial" w:cs="Arial"/>
        </w:rPr>
        <w:lastRenderedPageBreak/>
        <w:t>and FE colleges could use similar models to make support easier to access (University of South Wales, n.d.). This might include prominent information about wellbeing services, named contacts, confidential processes and visible messages that trans students are welcome. Tutors should avoid positioning trans identity itself as a problem, focusing instead on providing stability, consistency and reassurance.</w:t>
      </w:r>
    </w:p>
    <w:p w14:paraId="1F34B8BA" w14:textId="77777777" w:rsidR="006061DF" w:rsidRPr="00DB16C2" w:rsidRDefault="006061DF" w:rsidP="00DB16C2">
      <w:pPr>
        <w:spacing w:line="360" w:lineRule="auto"/>
        <w:rPr>
          <w:rFonts w:ascii="Arial" w:hAnsi="Arial" w:cs="Arial"/>
        </w:rPr>
      </w:pPr>
      <w:r w:rsidRPr="00DB16C2">
        <w:rPr>
          <w:rFonts w:ascii="Arial" w:hAnsi="Arial" w:cs="Arial"/>
        </w:rPr>
        <w:t>The literature also emphasises that mental health support must be culturally competent. If students are worried that counsellors or support workers will not understand trans issues, they may not seek help at all. Tutor awareness therefore becomes crucial. A supportive tutor can reduce barriers by believing students, listening carefully, avoiding assumptions and helping them access suitable support. Even without specialist knowledge, tutors’ attitudes can shape whether learners feel able to remain engaged.</w:t>
      </w:r>
    </w:p>
    <w:p w14:paraId="449F6FB1" w14:textId="77777777" w:rsidR="006061DF" w:rsidRPr="00DB16C2" w:rsidRDefault="006061DF" w:rsidP="00DB16C2">
      <w:pPr>
        <w:spacing w:line="360" w:lineRule="auto"/>
        <w:rPr>
          <w:rFonts w:ascii="Arial" w:hAnsi="Arial" w:cs="Arial"/>
          <w:b/>
          <w:bCs/>
        </w:rPr>
      </w:pPr>
      <w:r w:rsidRPr="00DB16C2">
        <w:rPr>
          <w:rFonts w:ascii="Arial" w:hAnsi="Arial" w:cs="Arial"/>
          <w:b/>
          <w:bCs/>
        </w:rPr>
        <w:t>Institutional and administrative exclusion</w:t>
      </w:r>
    </w:p>
    <w:p w14:paraId="338CB504" w14:textId="49731EFB" w:rsidR="006061DF" w:rsidRPr="00DB16C2" w:rsidRDefault="006061DF" w:rsidP="00DB16C2">
      <w:pPr>
        <w:spacing w:line="360" w:lineRule="auto"/>
        <w:rPr>
          <w:rFonts w:ascii="Arial" w:hAnsi="Arial" w:cs="Arial"/>
        </w:rPr>
      </w:pPr>
      <w:r w:rsidRPr="00DB16C2">
        <w:rPr>
          <w:rFonts w:ascii="Arial" w:hAnsi="Arial" w:cs="Arial"/>
        </w:rPr>
        <w:t xml:space="preserve">A third finding is that students are often marginalised by administrative systems. </w:t>
      </w:r>
      <w:r w:rsidR="00235ECB" w:rsidRPr="00DB16C2">
        <w:rPr>
          <w:rFonts w:ascii="Arial" w:hAnsi="Arial" w:cs="Arial"/>
        </w:rPr>
        <w:t>Re</w:t>
      </w:r>
      <w:r w:rsidR="00BA3985" w:rsidRPr="00DB16C2">
        <w:rPr>
          <w:rFonts w:ascii="Arial" w:hAnsi="Arial" w:cs="Arial"/>
        </w:rPr>
        <w:t>gan</w:t>
      </w:r>
      <w:r w:rsidRPr="00DB16C2">
        <w:rPr>
          <w:rFonts w:ascii="Arial" w:hAnsi="Arial" w:cs="Arial"/>
        </w:rPr>
        <w:t xml:space="preserve"> (2023) describes how trans inclusion can be undermined by rigid systems that do not allow for chosen names, pronouns or gender markers. Students may be repeatedly deadnamed in registers, emails or class lists, which can be distressing and may expose them to peers in ways they do not want. This is not just a technical problem; it is a matter of recognition and dignity. When systems do not reflect a learner’s identity, the institution effectively communicates that the student is not fully legitimate within that space.</w:t>
      </w:r>
    </w:p>
    <w:p w14:paraId="38091A85" w14:textId="3DB7E657" w:rsidR="006061DF" w:rsidRPr="00DB16C2" w:rsidRDefault="009B6F72" w:rsidP="00DB16C2">
      <w:pPr>
        <w:spacing w:line="360" w:lineRule="auto"/>
        <w:rPr>
          <w:rFonts w:ascii="Arial" w:hAnsi="Arial" w:cs="Arial"/>
        </w:rPr>
      </w:pPr>
      <w:r w:rsidRPr="00DB16C2">
        <w:rPr>
          <w:rFonts w:ascii="Arial" w:hAnsi="Arial" w:cs="Arial"/>
        </w:rPr>
        <w:t>Lawrence and McKendry</w:t>
      </w:r>
      <w:r w:rsidR="006061DF" w:rsidRPr="00DB16C2">
        <w:rPr>
          <w:rFonts w:ascii="Arial" w:hAnsi="Arial" w:cs="Arial"/>
        </w:rPr>
        <w:t>. (2018) recommend that institutions create clear transition plans and review systems so that students are not forced to repeatedly explain themselves. Trans students often report frustration at having to tell the same story to multiple staff members. Repetition can be exhausting, especially when each interaction carries the risk of being misunderstood or challenged. Administrative exclusion therefore creates emotional labour as well as practical difficulties.</w:t>
      </w:r>
    </w:p>
    <w:p w14:paraId="504B1F68" w14:textId="77777777" w:rsidR="006061DF" w:rsidRPr="00DB16C2" w:rsidRDefault="006061DF" w:rsidP="00DB16C2">
      <w:pPr>
        <w:spacing w:line="360" w:lineRule="auto"/>
        <w:rPr>
          <w:rFonts w:ascii="Arial" w:hAnsi="Arial" w:cs="Arial"/>
        </w:rPr>
      </w:pPr>
      <w:r w:rsidRPr="00DB16C2">
        <w:rPr>
          <w:rFonts w:ascii="Arial" w:hAnsi="Arial" w:cs="Arial"/>
        </w:rPr>
        <w:t xml:space="preserve">For FE tutors in Wales, these issues have direct implications. Even where tutors cannot change management information systems, they can advocate for students by using correct names and pronouns, ensuring class lists are updated where possible and helping students understand who to contact if problems arise. The University of South </w:t>
      </w:r>
      <w:proofErr w:type="spellStart"/>
      <w:r w:rsidRPr="00DB16C2">
        <w:rPr>
          <w:rFonts w:ascii="Arial" w:hAnsi="Arial" w:cs="Arial"/>
        </w:rPr>
        <w:t>Wales’</w:t>
      </w:r>
      <w:proofErr w:type="spellEnd"/>
      <w:r w:rsidRPr="00DB16C2">
        <w:rPr>
          <w:rFonts w:ascii="Arial" w:hAnsi="Arial" w:cs="Arial"/>
        </w:rPr>
        <w:t xml:space="preserve"> online support information is useful because it makes procedures </w:t>
      </w:r>
      <w:r w:rsidRPr="00DB16C2">
        <w:rPr>
          <w:rFonts w:ascii="Arial" w:hAnsi="Arial" w:cs="Arial"/>
        </w:rPr>
        <w:lastRenderedPageBreak/>
        <w:t>accessible and visible, reducing the burden on the student (University of South Wales, n.d.). FE colleges can learn from this by making support routes clear, standardised and easy to navigate.</w:t>
      </w:r>
    </w:p>
    <w:p w14:paraId="6D00B05F" w14:textId="77777777" w:rsidR="006061DF" w:rsidRPr="00DB16C2" w:rsidRDefault="006061DF" w:rsidP="00DB16C2">
      <w:pPr>
        <w:spacing w:line="360" w:lineRule="auto"/>
        <w:rPr>
          <w:rFonts w:ascii="Arial" w:hAnsi="Arial" w:cs="Arial"/>
        </w:rPr>
      </w:pPr>
      <w:r w:rsidRPr="00DB16C2">
        <w:rPr>
          <w:rFonts w:ascii="Arial" w:hAnsi="Arial" w:cs="Arial"/>
        </w:rPr>
        <w:t>Importantly, administrative inclusion should not depend on a student being willing or able to “prove” their identity. The literature suggests that processes should be respectful, proportionate and centred on student wellbeing. Where systems are slow, confusing or inconsistent, students are left to do the work of educating staff and correcting records. This can damage trust and reinforce the sense that trans students are an afterthought rather than a priority.</w:t>
      </w:r>
    </w:p>
    <w:p w14:paraId="4E7B1350" w14:textId="77777777" w:rsidR="006061DF" w:rsidRPr="00DB16C2" w:rsidRDefault="006061DF" w:rsidP="00DB16C2">
      <w:pPr>
        <w:spacing w:line="360" w:lineRule="auto"/>
        <w:rPr>
          <w:rFonts w:ascii="Arial" w:hAnsi="Arial" w:cs="Arial"/>
          <w:b/>
          <w:bCs/>
        </w:rPr>
      </w:pPr>
      <w:r w:rsidRPr="00DB16C2">
        <w:rPr>
          <w:rFonts w:ascii="Arial" w:hAnsi="Arial" w:cs="Arial"/>
          <w:b/>
          <w:bCs/>
        </w:rPr>
        <w:t>Curriculum and facilities</w:t>
      </w:r>
    </w:p>
    <w:p w14:paraId="62A0C5FE" w14:textId="24B37C4A" w:rsidR="006061DF" w:rsidRPr="00DB16C2" w:rsidRDefault="006061DF" w:rsidP="00DB16C2">
      <w:pPr>
        <w:spacing w:line="360" w:lineRule="auto"/>
        <w:rPr>
          <w:rFonts w:ascii="Arial" w:hAnsi="Arial" w:cs="Arial"/>
        </w:rPr>
      </w:pPr>
      <w:r w:rsidRPr="00DB16C2">
        <w:rPr>
          <w:rFonts w:ascii="Arial" w:hAnsi="Arial" w:cs="Arial"/>
        </w:rPr>
        <w:t xml:space="preserve">The literature also shows that physical and curricular environments are crucial. Trans learners can feel unsafe using gendered toilets or changing rooms, especially in vocational courses where practical work is common </w:t>
      </w:r>
      <w:r w:rsidR="009B6F72" w:rsidRPr="00DB16C2">
        <w:rPr>
          <w:rFonts w:ascii="Arial" w:hAnsi="Arial" w:cs="Arial"/>
        </w:rPr>
        <w:t>Lawrence and McKendry</w:t>
      </w:r>
      <w:r w:rsidRPr="00DB16C2">
        <w:rPr>
          <w:rFonts w:ascii="Arial" w:hAnsi="Arial" w:cs="Arial"/>
        </w:rPr>
        <w:t>., 2018). Inadequate facilities can lead students to avoid certain spaces, delay breaks, restrict food and drink intake or miss classes altogether. In vocational FE settings, where workshops and changing facilities are often unavoidable, this issue becomes particularly acute. Access to safe spaces is therefore a basic condition for participation, not a minor convenience.</w:t>
      </w:r>
    </w:p>
    <w:p w14:paraId="4CD88A9F" w14:textId="0DDD68EB" w:rsidR="006061DF" w:rsidRPr="00DB16C2" w:rsidRDefault="006061DF" w:rsidP="00DB16C2">
      <w:pPr>
        <w:spacing w:line="360" w:lineRule="auto"/>
        <w:rPr>
          <w:rFonts w:ascii="Arial" w:hAnsi="Arial" w:cs="Arial"/>
        </w:rPr>
      </w:pPr>
      <w:r w:rsidRPr="00DB16C2">
        <w:rPr>
          <w:rFonts w:ascii="Arial" w:hAnsi="Arial" w:cs="Arial"/>
        </w:rPr>
        <w:t>Curriculum content often fails to represent trans identities in positive or realistic ways. When trans people are mentioned only in relation to debate, controversy or safeguarding concerns, students may feel their identities are treated as problems rather than as normal aspects of human diversity (</w:t>
      </w:r>
      <w:r w:rsidR="00B97867" w:rsidRPr="00DB16C2">
        <w:rPr>
          <w:rFonts w:ascii="Arial" w:hAnsi="Arial" w:cs="Arial"/>
        </w:rPr>
        <w:t>Regan</w:t>
      </w:r>
      <w:r w:rsidRPr="00DB16C2">
        <w:rPr>
          <w:rFonts w:ascii="Arial" w:hAnsi="Arial" w:cs="Arial"/>
        </w:rPr>
        <w:t>, 2023). This can contribute to invisibility and alienation. For trans learners, not seeing themselves represented may signal that they do not belong in the subject area, the profession or the institution.</w:t>
      </w:r>
    </w:p>
    <w:p w14:paraId="2A4ADE70" w14:textId="1D8329F2" w:rsidR="006061DF" w:rsidRPr="00DB16C2" w:rsidRDefault="006061DF" w:rsidP="00DB16C2">
      <w:pPr>
        <w:spacing w:line="360" w:lineRule="auto"/>
        <w:rPr>
          <w:rFonts w:ascii="Arial" w:hAnsi="Arial" w:cs="Arial"/>
        </w:rPr>
      </w:pPr>
      <w:r w:rsidRPr="00DB16C2">
        <w:rPr>
          <w:rFonts w:ascii="Arial" w:hAnsi="Arial" w:cs="Arial"/>
        </w:rPr>
        <w:t xml:space="preserve">Tutors can respond by reviewing examples, case studies and resources to ensure trans people are visible in respectful ways. Where relevant, trans inclusion can be embedded into teaching rather than added as a one-off. </w:t>
      </w:r>
      <w:r w:rsidR="009B6F72" w:rsidRPr="00DB16C2">
        <w:rPr>
          <w:rFonts w:ascii="Arial" w:hAnsi="Arial" w:cs="Arial"/>
        </w:rPr>
        <w:t>Lawrence and McKendry</w:t>
      </w:r>
      <w:r w:rsidRPr="00DB16C2">
        <w:rPr>
          <w:rFonts w:ascii="Arial" w:hAnsi="Arial" w:cs="Arial"/>
        </w:rPr>
        <w:t xml:space="preserve">. (2018) argue that this helps students feel seen and signals that the classroom is a safe space. In FE, this is particularly relevant in health and social care, science, public services, education and humanities. Even in more practical subjects, tutors </w:t>
      </w:r>
      <w:r w:rsidRPr="00DB16C2">
        <w:rPr>
          <w:rFonts w:ascii="Arial" w:hAnsi="Arial" w:cs="Arial"/>
        </w:rPr>
        <w:lastRenderedPageBreak/>
        <w:t>can make meaningful adjustments by avoiding gender stereotypes, using inclusive examples and ensuring all students can participate without fear of embarrassment.</w:t>
      </w:r>
    </w:p>
    <w:p w14:paraId="15443F03" w14:textId="77777777" w:rsidR="006061DF" w:rsidRPr="00DB16C2" w:rsidRDefault="006061DF" w:rsidP="00DB16C2">
      <w:pPr>
        <w:spacing w:line="360" w:lineRule="auto"/>
        <w:rPr>
          <w:rFonts w:ascii="Arial" w:hAnsi="Arial" w:cs="Arial"/>
        </w:rPr>
      </w:pPr>
      <w:r w:rsidRPr="00DB16C2">
        <w:rPr>
          <w:rFonts w:ascii="Arial" w:hAnsi="Arial" w:cs="Arial"/>
        </w:rPr>
        <w:t>Facilities also shape whether students feel physically safe and able to attend. Gender-neutral toilets, inclusive changing options and clear signposting can reduce anxiety and prevent exclusion. Where colleges lack resources for immediate structural changes, tutors can still advocate for interim solutions and ensure students are not singled out or placed in humiliating arrangements. The literature makes clear that supportive environments are built not only through policy, but through the physical and symbolic spaces students use every day.</w:t>
      </w:r>
    </w:p>
    <w:p w14:paraId="76322523" w14:textId="77777777" w:rsidR="006061DF" w:rsidRPr="00DB16C2" w:rsidRDefault="006061DF" w:rsidP="00DB16C2">
      <w:pPr>
        <w:spacing w:line="360" w:lineRule="auto"/>
        <w:rPr>
          <w:rFonts w:ascii="Arial" w:hAnsi="Arial" w:cs="Arial"/>
          <w:b/>
          <w:bCs/>
        </w:rPr>
      </w:pPr>
      <w:r w:rsidRPr="00DB16C2">
        <w:rPr>
          <w:rFonts w:ascii="Arial" w:hAnsi="Arial" w:cs="Arial"/>
          <w:b/>
          <w:bCs/>
        </w:rPr>
        <w:t>Academic and socio-economic disadvantage</w:t>
      </w:r>
    </w:p>
    <w:p w14:paraId="7CC7A1C1" w14:textId="3D48E33C" w:rsidR="006061DF" w:rsidRPr="00DB16C2" w:rsidRDefault="006061DF" w:rsidP="00DB16C2">
      <w:pPr>
        <w:spacing w:line="360" w:lineRule="auto"/>
        <w:rPr>
          <w:rFonts w:ascii="Arial" w:hAnsi="Arial" w:cs="Arial"/>
        </w:rPr>
      </w:pPr>
      <w:r w:rsidRPr="00DB16C2">
        <w:rPr>
          <w:rFonts w:ascii="Arial" w:hAnsi="Arial" w:cs="Arial"/>
        </w:rPr>
        <w:t>The final theme is that trans learners often face broader structural disadvantage. Freeman</w:t>
      </w:r>
      <w:r w:rsidR="00B97867" w:rsidRPr="00DB16C2">
        <w:rPr>
          <w:rFonts w:ascii="Arial" w:hAnsi="Arial" w:cs="Arial"/>
        </w:rPr>
        <w:t xml:space="preserve"> and Stephenson </w:t>
      </w:r>
      <w:r w:rsidRPr="00DB16C2">
        <w:rPr>
          <w:rFonts w:ascii="Arial" w:hAnsi="Arial" w:cs="Arial"/>
        </w:rPr>
        <w:t>(2024) found that trans and non-binary applicants were more likely than others to have experienced care, disability and financial hardship. While this is a higher education study, it suggests that many trans learners may enter FE with additional barriers. The WCPP review also reported poorer academic performance, attendance and engagement among trans young people in Wales (Wales Centre for Public Policy, 2025). Trans students may therefore need practical and academic support as well as emotional support.</w:t>
      </w:r>
    </w:p>
    <w:p w14:paraId="119554A3" w14:textId="78A0EAC1" w:rsidR="006061DF" w:rsidRPr="00DB16C2" w:rsidRDefault="006061DF" w:rsidP="00DB16C2">
      <w:pPr>
        <w:spacing w:line="360" w:lineRule="auto"/>
        <w:rPr>
          <w:rFonts w:ascii="Arial" w:hAnsi="Arial" w:cs="Arial"/>
        </w:rPr>
      </w:pPr>
      <w:r w:rsidRPr="00DB16C2">
        <w:rPr>
          <w:rFonts w:ascii="Arial" w:hAnsi="Arial" w:cs="Arial"/>
        </w:rPr>
        <w:t>These findings show that trans learners are affected not only by identity-based discrimination, but also by wider forms of inequality. A learner who is trans may also be a care leaver, disabled, from a low-income background or experiencing family rejection. These factors can combine to increase stress and make it harder to remain in education. Intersectional thinking is therefore essential because gender identity may interact with class, disability, care experience and other forms of disadvantage (Wickenden, 202</w:t>
      </w:r>
      <w:r w:rsidR="00D578B5">
        <w:rPr>
          <w:rFonts w:ascii="Arial" w:hAnsi="Arial" w:cs="Arial"/>
        </w:rPr>
        <w:t>3</w:t>
      </w:r>
      <w:r w:rsidRPr="00DB16C2">
        <w:rPr>
          <w:rFonts w:ascii="Arial" w:hAnsi="Arial" w:cs="Arial"/>
        </w:rPr>
        <w:t>).</w:t>
      </w:r>
    </w:p>
    <w:p w14:paraId="28DCBDDE" w14:textId="77777777" w:rsidR="006061DF" w:rsidRPr="00DB16C2" w:rsidRDefault="006061DF" w:rsidP="00DB16C2">
      <w:pPr>
        <w:spacing w:line="360" w:lineRule="auto"/>
        <w:rPr>
          <w:rFonts w:ascii="Arial" w:hAnsi="Arial" w:cs="Arial"/>
        </w:rPr>
      </w:pPr>
      <w:r w:rsidRPr="00DB16C2">
        <w:rPr>
          <w:rFonts w:ascii="Arial" w:hAnsi="Arial" w:cs="Arial"/>
        </w:rPr>
        <w:t xml:space="preserve">Tutors can help by using flexible and inclusive approaches to attendance, deadlines and assessment where appropriate, particularly when students are dealing with health appointments, family conflict or identity-related stress. They can work with learning support and widening participation teams to ensure that trans students are not overlooked when additional help is allocated. This is especially important in FE, where students may be balancing study with work, caring responsibilities or travel </w:t>
      </w:r>
      <w:r w:rsidRPr="00DB16C2">
        <w:rPr>
          <w:rFonts w:ascii="Arial" w:hAnsi="Arial" w:cs="Arial"/>
        </w:rPr>
        <w:lastRenderedPageBreak/>
        <w:t>constraints. If support is only offered to those who actively request it, many trans learners may miss out, especially if they are unsure whether disclosure will be safe.</w:t>
      </w:r>
    </w:p>
    <w:p w14:paraId="376CC085" w14:textId="77777777" w:rsidR="006061DF" w:rsidRPr="00DB16C2" w:rsidRDefault="006061DF" w:rsidP="00DB16C2">
      <w:pPr>
        <w:spacing w:line="360" w:lineRule="auto"/>
        <w:rPr>
          <w:rFonts w:ascii="Arial" w:hAnsi="Arial" w:cs="Arial"/>
          <w:b/>
          <w:bCs/>
        </w:rPr>
      </w:pPr>
      <w:r w:rsidRPr="00DB16C2">
        <w:rPr>
          <w:rFonts w:ascii="Arial" w:hAnsi="Arial" w:cs="Arial"/>
          <w:b/>
          <w:bCs/>
        </w:rPr>
        <w:t>Overall tutor implications</w:t>
      </w:r>
    </w:p>
    <w:p w14:paraId="6222841C" w14:textId="77777777" w:rsidR="006061DF" w:rsidRPr="00DB16C2" w:rsidRDefault="006061DF" w:rsidP="00DB16C2">
      <w:pPr>
        <w:spacing w:line="360" w:lineRule="auto"/>
        <w:rPr>
          <w:rFonts w:ascii="Arial" w:hAnsi="Arial" w:cs="Arial"/>
        </w:rPr>
      </w:pPr>
      <w:r w:rsidRPr="00DB16C2">
        <w:rPr>
          <w:rFonts w:ascii="Arial" w:hAnsi="Arial" w:cs="Arial"/>
        </w:rPr>
        <w:t>Across all themes, the literature shows that tutors are not powerless. Tutors are often the staff members who have the most direct influence on students’ daily experiences. The evidence suggests that tutors can make a positive difference by using correct names and pronouns consistently, challenging bullying and transphobic comments, creating a classroom culture of respect, signposting students to support services, advocating for better systems and facilities, embedding trans-inclusive examples into teaching and recognising intersectional disadvantage.</w:t>
      </w:r>
    </w:p>
    <w:p w14:paraId="6132FF2F" w14:textId="77777777" w:rsidR="006061DF" w:rsidRPr="00DB16C2" w:rsidRDefault="006061DF" w:rsidP="00DB16C2">
      <w:pPr>
        <w:spacing w:line="360" w:lineRule="auto"/>
        <w:rPr>
          <w:rFonts w:ascii="Arial" w:hAnsi="Arial" w:cs="Arial"/>
        </w:rPr>
      </w:pPr>
      <w:r w:rsidRPr="00DB16C2">
        <w:rPr>
          <w:rFonts w:ascii="Arial" w:hAnsi="Arial" w:cs="Arial"/>
        </w:rPr>
        <w:t>These actions do not solve structural inequality on their own, but they can improve belonging, reduce harm and support learner retention. They also help create a culture in which trans students are not merely tolerated but actively included. In this sense, the literature suggests that inclusive tutor practice is both a pedagogic responsibility and an ethical one. If FE in Wales is to meet the needs of all learners, trans inclusion must be understood as part of everyday professional practice rather than as an optional extra.</w:t>
      </w:r>
    </w:p>
    <w:p w14:paraId="662C05BC" w14:textId="77777777" w:rsidR="00F921C4" w:rsidRPr="00DB16C2" w:rsidRDefault="00F921C4" w:rsidP="00DB16C2">
      <w:pPr>
        <w:pStyle w:val="Heading2"/>
        <w:spacing w:line="360" w:lineRule="auto"/>
        <w:rPr>
          <w:rFonts w:ascii="Arial" w:hAnsi="Arial" w:cs="Arial"/>
        </w:rPr>
      </w:pPr>
      <w:bookmarkStart w:id="47" w:name="_Toc225371241"/>
      <w:r w:rsidRPr="00DB16C2">
        <w:rPr>
          <w:rFonts w:ascii="Arial" w:hAnsi="Arial" w:cs="Arial"/>
        </w:rPr>
        <w:t>Conclusion</w:t>
      </w:r>
      <w:bookmarkEnd w:id="47"/>
    </w:p>
    <w:p w14:paraId="41E4EFA3" w14:textId="77777777" w:rsidR="00F921C4" w:rsidRPr="00DB16C2" w:rsidRDefault="00F921C4" w:rsidP="00DB16C2">
      <w:pPr>
        <w:spacing w:line="360" w:lineRule="auto"/>
        <w:rPr>
          <w:rFonts w:ascii="Arial" w:hAnsi="Arial" w:cs="Arial"/>
        </w:rPr>
      </w:pPr>
      <w:r w:rsidRPr="00DB16C2">
        <w:rPr>
          <w:rFonts w:ascii="Arial" w:hAnsi="Arial" w:cs="Arial"/>
        </w:rPr>
        <w:t>This action research project has shown that transgender and non-binary students in further education in Wales face significant and overlapping barriers. These include bullying, poor mental health, exclusion from institutional systems, limited representation in curriculum and difficulty accessing safe facilities. Welsh evidence is particularly striking: Stonewall Cymru’s report found very high rates of bullying, self-harm and suicide attempts among trans young people, while the Wales Centre for Public Policy review showed poorer wellbeing, attendance and academic engagement among this group (Stonewall Cymru, 2017; Wales Centre for Public Policy, 2025). These findings make it clear that trans learners are not simply facing isolated difficulties but are often navigating a hostile educational environment.</w:t>
      </w:r>
    </w:p>
    <w:p w14:paraId="06CA211A" w14:textId="488ADC02" w:rsidR="00F921C4" w:rsidRPr="00DB16C2" w:rsidRDefault="00F921C4" w:rsidP="00DB16C2">
      <w:pPr>
        <w:spacing w:line="360" w:lineRule="auto"/>
        <w:rPr>
          <w:rFonts w:ascii="Arial" w:hAnsi="Arial" w:cs="Arial"/>
        </w:rPr>
      </w:pPr>
      <w:r w:rsidRPr="00DB16C2">
        <w:rPr>
          <w:rFonts w:ascii="Arial" w:hAnsi="Arial" w:cs="Arial"/>
        </w:rPr>
        <w:t xml:space="preserve">The literature also shows, however, that tutors can play a crucial role in improving students’ experiences. Simple but consistent actions such as using correct names and pronouns, challenging discriminatory behaviour, making support visible and </w:t>
      </w:r>
      <w:r w:rsidRPr="00DB16C2">
        <w:rPr>
          <w:rFonts w:ascii="Arial" w:hAnsi="Arial" w:cs="Arial"/>
        </w:rPr>
        <w:lastRenderedPageBreak/>
        <w:t xml:space="preserve">embedding inclusive examples into teaching can reduce harm and increase belonging. </w:t>
      </w:r>
      <w:r w:rsidR="00CA4F6D" w:rsidRPr="00DB16C2">
        <w:rPr>
          <w:rFonts w:ascii="Arial" w:hAnsi="Arial" w:cs="Arial"/>
        </w:rPr>
        <w:t>Recent guidance from Advance HE shows how clear, practical trans-inclusion information can help institutions create more welcoming environments for trans and non-binary students, while the Welsh Government’s LGBTQ+ Action Plan highlights the importance of intersectional support for LGBTQ+ learners in higher and further education</w:t>
      </w:r>
      <w:r w:rsidRPr="00DB16C2">
        <w:rPr>
          <w:rFonts w:ascii="Arial" w:hAnsi="Arial" w:cs="Arial"/>
        </w:rPr>
        <w:t>.</w:t>
      </w:r>
    </w:p>
    <w:p w14:paraId="1364909B" w14:textId="77777777" w:rsidR="00F921C4" w:rsidRPr="00DB16C2" w:rsidRDefault="00F921C4" w:rsidP="00DB16C2">
      <w:pPr>
        <w:spacing w:line="360" w:lineRule="auto"/>
        <w:rPr>
          <w:rFonts w:ascii="Arial" w:hAnsi="Arial" w:cs="Arial"/>
        </w:rPr>
      </w:pPr>
      <w:r w:rsidRPr="00DB16C2">
        <w:rPr>
          <w:rFonts w:ascii="Arial" w:hAnsi="Arial" w:cs="Arial"/>
        </w:rPr>
        <w:t>The main implication of this project is that trans inclusion in FE should not be treated as a specialist or optional issue. It should be part of everyday teaching, tutorial practice and institutional responsibility. For Welsh FE to be truly inclusive, tutors need training, confidence and institutional backing to support trans learners properly. Future action research could build on this secondary review by gathering primary evidence from trans students in a specific FE college in Wales and testing the impact of targeted inclusive interventions. Ultimately, creating safer and more affirming FE environments is not only about policy compliance; it is about enabling all learners to participate, achieve and feel that they belong.</w:t>
      </w:r>
    </w:p>
    <w:p w14:paraId="140C3997" w14:textId="77777777" w:rsidR="00F921C4" w:rsidRPr="00DB16C2" w:rsidRDefault="00644953" w:rsidP="00DB16C2">
      <w:pPr>
        <w:spacing w:line="360" w:lineRule="auto"/>
        <w:rPr>
          <w:rFonts w:ascii="Arial" w:hAnsi="Arial" w:cs="Arial"/>
        </w:rPr>
      </w:pPr>
      <w:r>
        <w:rPr>
          <w:rFonts w:ascii="Arial" w:hAnsi="Arial" w:cs="Arial"/>
        </w:rPr>
        <w:pict w14:anchorId="533A6588">
          <v:rect id="_x0000_i1025" style="width:0;height:.75pt" o:hralign="center" o:hrstd="t" o:hr="t" fillcolor="#a0a0a0" stroked="f"/>
        </w:pict>
      </w:r>
    </w:p>
    <w:p w14:paraId="3B579304" w14:textId="77777777" w:rsidR="00F52814" w:rsidRDefault="00F52814" w:rsidP="00DB16C2">
      <w:pPr>
        <w:pStyle w:val="Heading2"/>
        <w:spacing w:line="360" w:lineRule="auto"/>
        <w:rPr>
          <w:rFonts w:ascii="Arial" w:hAnsi="Arial" w:cs="Arial"/>
        </w:rPr>
      </w:pPr>
    </w:p>
    <w:p w14:paraId="56BE6A4D" w14:textId="77777777" w:rsidR="00F52814" w:rsidRDefault="00F52814" w:rsidP="00DB16C2">
      <w:pPr>
        <w:pStyle w:val="Heading2"/>
        <w:spacing w:line="360" w:lineRule="auto"/>
        <w:rPr>
          <w:rFonts w:ascii="Arial" w:hAnsi="Arial" w:cs="Arial"/>
        </w:rPr>
      </w:pPr>
    </w:p>
    <w:p w14:paraId="5993D62E" w14:textId="77777777" w:rsidR="00F52814" w:rsidRDefault="00F52814" w:rsidP="00DB16C2">
      <w:pPr>
        <w:pStyle w:val="Heading2"/>
        <w:spacing w:line="360" w:lineRule="auto"/>
        <w:rPr>
          <w:rFonts w:ascii="Arial" w:hAnsi="Arial" w:cs="Arial"/>
        </w:rPr>
      </w:pPr>
    </w:p>
    <w:p w14:paraId="039E7E62" w14:textId="77777777" w:rsidR="00F52814" w:rsidRDefault="00F52814" w:rsidP="00DB16C2">
      <w:pPr>
        <w:pStyle w:val="Heading2"/>
        <w:spacing w:line="360" w:lineRule="auto"/>
        <w:rPr>
          <w:rFonts w:ascii="Arial" w:hAnsi="Arial" w:cs="Arial"/>
        </w:rPr>
      </w:pPr>
    </w:p>
    <w:p w14:paraId="5EA2132A" w14:textId="77777777" w:rsidR="00F52814" w:rsidRDefault="00F52814" w:rsidP="00DB16C2">
      <w:pPr>
        <w:pStyle w:val="Heading2"/>
        <w:spacing w:line="360" w:lineRule="auto"/>
        <w:rPr>
          <w:rFonts w:ascii="Arial" w:hAnsi="Arial" w:cs="Arial"/>
        </w:rPr>
      </w:pPr>
    </w:p>
    <w:p w14:paraId="6C51DB2A" w14:textId="77777777" w:rsidR="00F52814" w:rsidRDefault="00F52814" w:rsidP="00DB16C2">
      <w:pPr>
        <w:pStyle w:val="Heading2"/>
        <w:spacing w:line="360" w:lineRule="auto"/>
        <w:rPr>
          <w:rFonts w:ascii="Arial" w:hAnsi="Arial" w:cs="Arial"/>
        </w:rPr>
      </w:pPr>
    </w:p>
    <w:p w14:paraId="3E2F7951" w14:textId="77777777" w:rsidR="00F52814" w:rsidRDefault="00F52814" w:rsidP="00DB16C2">
      <w:pPr>
        <w:pStyle w:val="Heading2"/>
        <w:spacing w:line="360" w:lineRule="auto"/>
        <w:rPr>
          <w:rFonts w:ascii="Arial" w:hAnsi="Arial" w:cs="Arial"/>
        </w:rPr>
      </w:pPr>
    </w:p>
    <w:p w14:paraId="7042CB56" w14:textId="77777777" w:rsidR="00F52814" w:rsidRPr="00F52814" w:rsidRDefault="00F52814" w:rsidP="00F52814"/>
    <w:p w14:paraId="76FCD966" w14:textId="6B0C1204" w:rsidR="00DB16C2" w:rsidRPr="00DB16C2" w:rsidRDefault="00DB16C2" w:rsidP="00F52814">
      <w:pPr>
        <w:pStyle w:val="Heading2"/>
        <w:spacing w:line="360" w:lineRule="auto"/>
        <w:rPr>
          <w:rFonts w:ascii="Arial" w:hAnsi="Arial" w:cs="Arial"/>
        </w:rPr>
      </w:pPr>
      <w:bookmarkStart w:id="48" w:name="_Toc225371242"/>
      <w:r w:rsidRPr="00DB16C2">
        <w:rPr>
          <w:rFonts w:ascii="Arial" w:hAnsi="Arial" w:cs="Arial"/>
        </w:rPr>
        <w:lastRenderedPageBreak/>
        <w:t>Reference list</w:t>
      </w:r>
      <w:bookmarkEnd w:id="48"/>
    </w:p>
    <w:p w14:paraId="00A5D488" w14:textId="0982B8EC" w:rsidR="002E2B02" w:rsidRPr="00DB16C2" w:rsidRDefault="002E2B02" w:rsidP="00DB16C2">
      <w:pPr>
        <w:spacing w:line="360" w:lineRule="auto"/>
        <w:rPr>
          <w:rFonts w:ascii="Arial" w:hAnsi="Arial" w:cs="Arial"/>
        </w:rPr>
      </w:pPr>
      <w:r w:rsidRPr="00DB16C2">
        <w:rPr>
          <w:rFonts w:ascii="Arial" w:hAnsi="Arial" w:cs="Arial"/>
        </w:rPr>
        <w:t>Armstrong, J. and Sullivan, A. (2024). LGBT Representation Higher Education in England and Wales. </w:t>
      </w:r>
      <w:r w:rsidRPr="00DB16C2">
        <w:rPr>
          <w:rFonts w:ascii="Arial" w:hAnsi="Arial" w:cs="Arial"/>
          <w:i/>
          <w:iCs/>
        </w:rPr>
        <w:t>SSRN Electronic Journal</w:t>
      </w:r>
      <w:r w:rsidRPr="00DB16C2">
        <w:rPr>
          <w:rFonts w:ascii="Arial" w:hAnsi="Arial" w:cs="Arial"/>
        </w:rPr>
        <w:t xml:space="preserve">. Available at: </w:t>
      </w:r>
      <w:proofErr w:type="spellStart"/>
      <w:r w:rsidRPr="00DB16C2">
        <w:rPr>
          <w:rFonts w:ascii="Arial" w:hAnsi="Arial" w:cs="Arial"/>
        </w:rPr>
        <w:t>doi</w:t>
      </w:r>
      <w:proofErr w:type="spellEnd"/>
      <w:r w:rsidRPr="00DB16C2">
        <w:rPr>
          <w:rFonts w:ascii="Arial" w:hAnsi="Arial" w:cs="Arial"/>
        </w:rPr>
        <w:t>: https://doi.org/10.2139/ssrn.4737620.(Accessed: 20 March 2026)</w:t>
      </w:r>
    </w:p>
    <w:p w14:paraId="787B4372" w14:textId="77777777" w:rsidR="002E2B02" w:rsidRPr="00DB16C2" w:rsidRDefault="002E2B02" w:rsidP="00DB16C2">
      <w:pPr>
        <w:spacing w:line="360" w:lineRule="auto"/>
        <w:rPr>
          <w:rFonts w:ascii="Arial" w:hAnsi="Arial" w:cs="Arial"/>
        </w:rPr>
      </w:pPr>
      <w:r w:rsidRPr="00DB16C2">
        <w:rPr>
          <w:rFonts w:ascii="Arial" w:hAnsi="Arial" w:cs="Arial"/>
        </w:rPr>
        <w:t>Freeman, J. and Stephenson, R. (2024</w:t>
      </w:r>
      <w:proofErr w:type="gramStart"/>
      <w:r w:rsidRPr="00DB16C2">
        <w:rPr>
          <w:rFonts w:ascii="Arial" w:hAnsi="Arial" w:cs="Arial"/>
        </w:rPr>
        <w:t>)  </w:t>
      </w:r>
      <w:r w:rsidRPr="00DB16C2">
        <w:rPr>
          <w:rFonts w:ascii="Arial" w:hAnsi="Arial" w:cs="Arial"/>
          <w:i/>
          <w:iCs/>
        </w:rPr>
        <w:t>Trans</w:t>
      </w:r>
      <w:proofErr w:type="gramEnd"/>
      <w:r w:rsidRPr="00DB16C2">
        <w:rPr>
          <w:rFonts w:ascii="Arial" w:hAnsi="Arial" w:cs="Arial"/>
          <w:i/>
          <w:iCs/>
        </w:rPr>
        <w:t xml:space="preserve"> and non-binary student experiences in higher education</w:t>
      </w:r>
      <w:r w:rsidRPr="00DB16C2">
        <w:rPr>
          <w:rFonts w:ascii="Arial" w:hAnsi="Arial" w:cs="Arial"/>
        </w:rPr>
        <w:t xml:space="preserve"> HEPI. Available at: </w:t>
      </w:r>
      <w:hyperlink r:id="rId9" w:history="1">
        <w:r w:rsidRPr="00DB16C2">
          <w:rPr>
            <w:rStyle w:val="Hyperlink"/>
            <w:rFonts w:ascii="Arial" w:hAnsi="Arial" w:cs="Arial"/>
          </w:rPr>
          <w:t>https://www.hepi.ac.uk/2024/05/23/trans-and-non-binary-student-experiences-in-higher-education/.(Accessed</w:t>
        </w:r>
      </w:hyperlink>
      <w:r w:rsidRPr="00DB16C2">
        <w:rPr>
          <w:rFonts w:ascii="Arial" w:hAnsi="Arial" w:cs="Arial"/>
        </w:rPr>
        <w:t>: 23 March)</w:t>
      </w:r>
    </w:p>
    <w:p w14:paraId="2BD77742" w14:textId="77777777" w:rsidR="002E2B02" w:rsidRPr="00DB16C2" w:rsidRDefault="002E2B02" w:rsidP="00DB16C2">
      <w:pPr>
        <w:spacing w:line="360" w:lineRule="auto"/>
        <w:rPr>
          <w:rFonts w:ascii="Arial" w:hAnsi="Arial" w:cs="Arial"/>
        </w:rPr>
      </w:pPr>
      <w:r w:rsidRPr="00DB16C2">
        <w:rPr>
          <w:rFonts w:ascii="Arial" w:hAnsi="Arial" w:cs="Arial"/>
        </w:rPr>
        <w:t>Lawrence, M. and McKendry, S. (2019). </w:t>
      </w:r>
      <w:r w:rsidRPr="00DB16C2">
        <w:rPr>
          <w:rFonts w:ascii="Arial" w:hAnsi="Arial" w:cs="Arial"/>
          <w:i/>
          <w:iCs/>
        </w:rPr>
        <w:t>Supporting transgender and non-binary students and staff in further and higher education: practical advice for colleges and universities</w:t>
      </w:r>
      <w:r w:rsidRPr="00DB16C2">
        <w:rPr>
          <w:rFonts w:ascii="Arial" w:hAnsi="Arial" w:cs="Arial"/>
        </w:rPr>
        <w:t>. London: Jessica Kingsley Publishers.</w:t>
      </w:r>
    </w:p>
    <w:p w14:paraId="0406E8C9" w14:textId="77777777" w:rsidR="002E2B02" w:rsidRPr="00DB16C2" w:rsidRDefault="002E2B02" w:rsidP="00DB16C2">
      <w:pPr>
        <w:spacing w:line="360" w:lineRule="auto"/>
        <w:rPr>
          <w:rFonts w:ascii="Arial" w:hAnsi="Arial" w:cs="Arial"/>
        </w:rPr>
      </w:pPr>
      <w:r w:rsidRPr="00DB16C2">
        <w:rPr>
          <w:rFonts w:ascii="Arial" w:hAnsi="Arial" w:cs="Arial"/>
        </w:rPr>
        <w:t>Meyer, I.H. (2003) ‘Prejudice, social stress, and mental health in lesbian, gay, and bisexual populations: conceptual issues and research evidence’, Psychological Bulletin, 129(5), pp. 674–697.</w:t>
      </w:r>
    </w:p>
    <w:p w14:paraId="2F12B15F" w14:textId="77777777" w:rsidR="002E2B02" w:rsidRPr="00DB16C2" w:rsidRDefault="002E2B02" w:rsidP="00DB16C2">
      <w:pPr>
        <w:spacing w:line="360" w:lineRule="auto"/>
        <w:rPr>
          <w:rFonts w:ascii="Arial" w:hAnsi="Arial" w:cs="Arial"/>
        </w:rPr>
      </w:pPr>
      <w:r w:rsidRPr="00DB16C2">
        <w:rPr>
          <w:rFonts w:ascii="Arial" w:hAnsi="Arial" w:cs="Arial"/>
        </w:rPr>
        <w:t xml:space="preserve">Regan, L. (2023) "A Mixed Methods Investigation into the Experiences of Transgender Students in Higher Education in the UK." Bulletin of Applied Transgender Studies 2 (3-4): 195-222. Available at: </w:t>
      </w:r>
      <w:hyperlink r:id="rId10" w:history="1">
        <w:r w:rsidRPr="00DB16C2">
          <w:rPr>
            <w:rStyle w:val="Hyperlink"/>
            <w:rFonts w:ascii="Arial" w:hAnsi="Arial" w:cs="Arial"/>
          </w:rPr>
          <w:t>https://doi.org/10.57814/8n20-g959</w:t>
        </w:r>
      </w:hyperlink>
      <w:r w:rsidRPr="00DB16C2">
        <w:rPr>
          <w:rFonts w:ascii="Arial" w:hAnsi="Arial" w:cs="Arial"/>
        </w:rPr>
        <w:t xml:space="preserve"> (Accessed: 23 March 2026).</w:t>
      </w:r>
    </w:p>
    <w:p w14:paraId="7B2B5449" w14:textId="77777777" w:rsidR="002E2B02" w:rsidRPr="00DB16C2" w:rsidRDefault="002E2B02" w:rsidP="00DB16C2">
      <w:pPr>
        <w:spacing w:line="360" w:lineRule="auto"/>
        <w:rPr>
          <w:rFonts w:ascii="Arial" w:hAnsi="Arial" w:cs="Arial"/>
        </w:rPr>
      </w:pPr>
      <w:r w:rsidRPr="00DB16C2">
        <w:rPr>
          <w:rFonts w:ascii="Arial" w:hAnsi="Arial" w:cs="Arial"/>
        </w:rPr>
        <w:t>Rengel, B., Gregory, T., Cottrell, F. and Dickinson, S. (2026). Policy versus practice: Barriers to inclusion for trans and gender diverse students in UK higher education. </w:t>
      </w:r>
      <w:r w:rsidRPr="00DB16C2">
        <w:rPr>
          <w:rFonts w:ascii="Arial" w:hAnsi="Arial" w:cs="Arial"/>
          <w:i/>
          <w:iCs/>
        </w:rPr>
        <w:t>Equity in Education &amp; Society</w:t>
      </w:r>
      <w:r w:rsidRPr="00DB16C2">
        <w:rPr>
          <w:rFonts w:ascii="Arial" w:hAnsi="Arial" w:cs="Arial"/>
        </w:rPr>
        <w:t>. Available at: https://doi.org/10.1177/27526461261424446. (Accessed: 23 March 2026).</w:t>
      </w:r>
    </w:p>
    <w:p w14:paraId="484D7F5D" w14:textId="77777777" w:rsidR="002E2B02" w:rsidRPr="00DB16C2" w:rsidRDefault="002E2B02" w:rsidP="00DB16C2">
      <w:pPr>
        <w:spacing w:line="360" w:lineRule="auto"/>
        <w:rPr>
          <w:rFonts w:ascii="Arial" w:hAnsi="Arial" w:cs="Arial"/>
        </w:rPr>
      </w:pPr>
      <w:r w:rsidRPr="00DB16C2">
        <w:rPr>
          <w:rFonts w:ascii="Arial" w:hAnsi="Arial" w:cs="Arial"/>
        </w:rPr>
        <w:t>Stonewall. (2017). </w:t>
      </w:r>
      <w:r w:rsidRPr="00DB16C2">
        <w:rPr>
          <w:rFonts w:ascii="Arial" w:hAnsi="Arial" w:cs="Arial"/>
          <w:i/>
          <w:iCs/>
        </w:rPr>
        <w:t>School Report Cymru (2017)</w:t>
      </w:r>
      <w:r w:rsidRPr="00DB16C2">
        <w:rPr>
          <w:rFonts w:ascii="Arial" w:hAnsi="Arial" w:cs="Arial"/>
        </w:rPr>
        <w:t xml:space="preserve">. Available at: https://www.stonewall.org.uk/resources/school-report-cymru-2017. (Accessed: 23 March </w:t>
      </w:r>
    </w:p>
    <w:p w14:paraId="601BDC97" w14:textId="77777777" w:rsidR="002E2B02" w:rsidRPr="00DB16C2" w:rsidRDefault="002E2B02" w:rsidP="00DB16C2">
      <w:pPr>
        <w:spacing w:line="360" w:lineRule="auto"/>
        <w:rPr>
          <w:rFonts w:ascii="Arial" w:hAnsi="Arial" w:cs="Arial"/>
        </w:rPr>
      </w:pPr>
      <w:r w:rsidRPr="00DB16C2">
        <w:rPr>
          <w:rFonts w:ascii="Arial" w:hAnsi="Arial" w:cs="Arial"/>
        </w:rPr>
        <w:t>University of South Wales (n.d.) Trans support and resources. Available at: https://www.southwales.ac.uk/current-students/advice-zone/a-z/lgbtq-support-and-information/trans-support-and-resources/ (Accessed: 23 March 2026).</w:t>
      </w:r>
    </w:p>
    <w:p w14:paraId="27EA6379" w14:textId="77777777" w:rsidR="002E2B02" w:rsidRPr="00DB16C2" w:rsidRDefault="002E2B02" w:rsidP="00DB16C2">
      <w:pPr>
        <w:spacing w:line="360" w:lineRule="auto"/>
        <w:rPr>
          <w:rFonts w:ascii="Arial" w:hAnsi="Arial" w:cs="Arial"/>
        </w:rPr>
      </w:pPr>
      <w:r w:rsidRPr="00DB16C2">
        <w:rPr>
          <w:rFonts w:ascii="Arial" w:hAnsi="Arial" w:cs="Arial"/>
        </w:rPr>
        <w:t>Wales Centre for Public Policy (2025)</w:t>
      </w:r>
      <w:r w:rsidRPr="00DB16C2">
        <w:rPr>
          <w:rFonts w:ascii="Arial" w:hAnsi="Arial" w:cs="Arial"/>
          <w:i/>
          <w:iCs/>
        </w:rPr>
        <w:t xml:space="preserve"> Guidance for schools to support trans young people - Wales Centre for Public Policy</w:t>
      </w:r>
      <w:r w:rsidRPr="00DB16C2">
        <w:rPr>
          <w:rFonts w:ascii="Arial" w:hAnsi="Arial" w:cs="Arial"/>
        </w:rPr>
        <w:t xml:space="preserve">. [online] Available at: </w:t>
      </w:r>
      <w:r w:rsidRPr="00DB16C2">
        <w:rPr>
          <w:rFonts w:ascii="Arial" w:hAnsi="Arial" w:cs="Arial"/>
        </w:rPr>
        <w:lastRenderedPageBreak/>
        <w:t>https://wcpp.org.uk/project/guidance-for-schools-to-support-trans-young-people/ (Accessed 25 Mar. 2026).</w:t>
      </w:r>
    </w:p>
    <w:p w14:paraId="65F6F1E5" w14:textId="77777777" w:rsidR="002E2B02" w:rsidRDefault="002E2B02" w:rsidP="00DB16C2">
      <w:pPr>
        <w:spacing w:line="360" w:lineRule="auto"/>
      </w:pPr>
      <w:r w:rsidRPr="00DB16C2">
        <w:rPr>
          <w:rFonts w:ascii="Arial" w:hAnsi="Arial" w:cs="Arial"/>
        </w:rPr>
        <w:t>Welsh Government (2026). </w:t>
      </w:r>
      <w:r w:rsidRPr="00DB16C2">
        <w:rPr>
          <w:rFonts w:ascii="Arial" w:hAnsi="Arial" w:cs="Arial"/>
          <w:i/>
          <w:iCs/>
        </w:rPr>
        <w:t>LGBTQ+ Action Plan for Wales</w:t>
      </w:r>
      <w:r w:rsidRPr="00DB16C2">
        <w:rPr>
          <w:rFonts w:ascii="Arial" w:hAnsi="Arial" w:cs="Arial"/>
        </w:rPr>
        <w:t xml:space="preserve">.  Available at: </w:t>
      </w:r>
      <w:hyperlink r:id="rId11" w:history="1">
        <w:r w:rsidRPr="00DB16C2">
          <w:rPr>
            <w:rStyle w:val="Hyperlink"/>
            <w:rFonts w:ascii="Arial" w:hAnsi="Arial" w:cs="Arial"/>
          </w:rPr>
          <w:t>https://www.gov.wales/lgbtq-action-plan-wales</w:t>
        </w:r>
      </w:hyperlink>
      <w:r w:rsidRPr="00DB16C2">
        <w:rPr>
          <w:rFonts w:ascii="Arial" w:hAnsi="Arial" w:cs="Arial"/>
        </w:rPr>
        <w:t>. (Accessed: 20 March 20</w:t>
      </w:r>
      <w:r>
        <w:t>26)</w:t>
      </w:r>
    </w:p>
    <w:p w14:paraId="5C013522" w14:textId="713C1A60" w:rsidR="00740590" w:rsidRPr="00DE1DBE" w:rsidRDefault="00DE1DBE" w:rsidP="00DB16C2">
      <w:pPr>
        <w:spacing w:line="360" w:lineRule="auto"/>
        <w:rPr>
          <w:rFonts w:ascii="Arial" w:hAnsi="Arial" w:cs="Arial"/>
        </w:rPr>
      </w:pPr>
      <w:r w:rsidRPr="00DE1DBE">
        <w:rPr>
          <w:rFonts w:ascii="Arial" w:hAnsi="Arial" w:cs="Arial"/>
        </w:rPr>
        <w:t xml:space="preserve">Wickenden, M. (2023). Disability and other </w:t>
      </w:r>
      <w:proofErr w:type="gramStart"/>
      <w:r w:rsidRPr="00DE1DBE">
        <w:rPr>
          <w:rFonts w:ascii="Arial" w:hAnsi="Arial" w:cs="Arial"/>
        </w:rPr>
        <w:t>identities?—</w:t>
      </w:r>
      <w:proofErr w:type="gramEnd"/>
      <w:r w:rsidRPr="00DE1DBE">
        <w:rPr>
          <w:rFonts w:ascii="Arial" w:hAnsi="Arial" w:cs="Arial"/>
        </w:rPr>
        <w:t xml:space="preserve">how do they intersect? Frontiers in rehabilitation sciences, 4(4). </w:t>
      </w:r>
      <w:r w:rsidR="00722DD5" w:rsidRPr="00DB16C2">
        <w:rPr>
          <w:rFonts w:ascii="Arial" w:hAnsi="Arial" w:cs="Arial"/>
        </w:rPr>
        <w:t xml:space="preserve">Available at: </w:t>
      </w:r>
      <w:proofErr w:type="spellStart"/>
      <w:proofErr w:type="gramStart"/>
      <w:r w:rsidRPr="00DE1DBE">
        <w:rPr>
          <w:rFonts w:ascii="Arial" w:hAnsi="Arial" w:cs="Arial"/>
        </w:rPr>
        <w:t>doi:https</w:t>
      </w:r>
      <w:proofErr w:type="spellEnd"/>
      <w:r w:rsidRPr="00DE1DBE">
        <w:rPr>
          <w:rFonts w:ascii="Arial" w:hAnsi="Arial" w:cs="Arial"/>
        </w:rPr>
        <w:t>://doi.org/10.3389/fresc.2023.1200386</w:t>
      </w:r>
      <w:proofErr w:type="gramEnd"/>
      <w:r w:rsidRPr="00DE1DBE">
        <w:rPr>
          <w:rFonts w:ascii="Arial" w:hAnsi="Arial" w:cs="Arial"/>
        </w:rPr>
        <w:t>.</w:t>
      </w:r>
      <w:r w:rsidR="00722DD5" w:rsidRPr="00722DD5">
        <w:rPr>
          <w:rFonts w:ascii="Arial" w:hAnsi="Arial" w:cs="Arial"/>
        </w:rPr>
        <w:t xml:space="preserve"> </w:t>
      </w:r>
      <w:r w:rsidR="00722DD5" w:rsidRPr="00DB16C2">
        <w:rPr>
          <w:rFonts w:ascii="Arial" w:hAnsi="Arial" w:cs="Arial"/>
        </w:rPr>
        <w:t>(Accessed: 20 March 20</w:t>
      </w:r>
      <w:r w:rsidR="00722DD5">
        <w:t>26)</w:t>
      </w:r>
    </w:p>
    <w:sectPr w:rsidR="00740590" w:rsidRPr="00DE1DBE" w:rsidSect="009A4AB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AEC65" w14:textId="77777777" w:rsidR="00644953" w:rsidRDefault="00644953" w:rsidP="00235DD3">
      <w:pPr>
        <w:spacing w:after="0" w:line="240" w:lineRule="auto"/>
      </w:pPr>
      <w:r>
        <w:separator/>
      </w:r>
    </w:p>
  </w:endnote>
  <w:endnote w:type="continuationSeparator" w:id="0">
    <w:p w14:paraId="19CD664C" w14:textId="77777777" w:rsidR="00644953" w:rsidRDefault="00644953" w:rsidP="00235D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FF146" w14:textId="77777777" w:rsidR="00644953" w:rsidRDefault="00644953" w:rsidP="00235DD3">
      <w:pPr>
        <w:spacing w:after="0" w:line="240" w:lineRule="auto"/>
      </w:pPr>
      <w:r>
        <w:separator/>
      </w:r>
    </w:p>
  </w:footnote>
  <w:footnote w:type="continuationSeparator" w:id="0">
    <w:p w14:paraId="4FCDDA8A" w14:textId="77777777" w:rsidR="00644953" w:rsidRDefault="00644953" w:rsidP="00235D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050CD3"/>
    <w:multiLevelType w:val="hybridMultilevel"/>
    <w:tmpl w:val="6304F2A8"/>
    <w:lvl w:ilvl="0" w:tplc="C8B8D7AC">
      <w:start w:val="1"/>
      <w:numFmt w:val="bullet"/>
      <w:lvlText w:val=""/>
      <w:lvlJc w:val="left"/>
      <w:pPr>
        <w:ind w:left="720" w:hanging="360"/>
      </w:pPr>
      <w:rPr>
        <w:rFonts w:ascii="Symbol" w:hAnsi="Symbol" w:hint="default"/>
      </w:rPr>
    </w:lvl>
    <w:lvl w:ilvl="1" w:tplc="70586312">
      <w:start w:val="1"/>
      <w:numFmt w:val="bullet"/>
      <w:lvlText w:val="o"/>
      <w:lvlJc w:val="left"/>
      <w:pPr>
        <w:ind w:left="1440" w:hanging="360"/>
      </w:pPr>
      <w:rPr>
        <w:rFonts w:ascii="Courier New" w:hAnsi="Courier New" w:cs="Times New Roman" w:hint="default"/>
      </w:rPr>
    </w:lvl>
    <w:lvl w:ilvl="2" w:tplc="2A52EA02">
      <w:start w:val="1"/>
      <w:numFmt w:val="bullet"/>
      <w:lvlText w:val=""/>
      <w:lvlJc w:val="left"/>
      <w:pPr>
        <w:ind w:left="2160" w:hanging="360"/>
      </w:pPr>
      <w:rPr>
        <w:rFonts w:ascii="Wingdings" w:hAnsi="Wingdings" w:hint="default"/>
      </w:rPr>
    </w:lvl>
    <w:lvl w:ilvl="3" w:tplc="FB6E6428">
      <w:start w:val="1"/>
      <w:numFmt w:val="bullet"/>
      <w:lvlText w:val=""/>
      <w:lvlJc w:val="left"/>
      <w:pPr>
        <w:ind w:left="2880" w:hanging="360"/>
      </w:pPr>
      <w:rPr>
        <w:rFonts w:ascii="Symbol" w:hAnsi="Symbol" w:hint="default"/>
      </w:rPr>
    </w:lvl>
    <w:lvl w:ilvl="4" w:tplc="BEA0B86A">
      <w:start w:val="1"/>
      <w:numFmt w:val="bullet"/>
      <w:lvlText w:val="o"/>
      <w:lvlJc w:val="left"/>
      <w:pPr>
        <w:ind w:left="3600" w:hanging="360"/>
      </w:pPr>
      <w:rPr>
        <w:rFonts w:ascii="Courier New" w:hAnsi="Courier New" w:cs="Times New Roman" w:hint="default"/>
      </w:rPr>
    </w:lvl>
    <w:lvl w:ilvl="5" w:tplc="56AED0A0">
      <w:start w:val="1"/>
      <w:numFmt w:val="bullet"/>
      <w:lvlText w:val=""/>
      <w:lvlJc w:val="left"/>
      <w:pPr>
        <w:ind w:left="4320" w:hanging="360"/>
      </w:pPr>
      <w:rPr>
        <w:rFonts w:ascii="Wingdings" w:hAnsi="Wingdings" w:hint="default"/>
      </w:rPr>
    </w:lvl>
    <w:lvl w:ilvl="6" w:tplc="39CEF146">
      <w:start w:val="1"/>
      <w:numFmt w:val="bullet"/>
      <w:lvlText w:val=""/>
      <w:lvlJc w:val="left"/>
      <w:pPr>
        <w:ind w:left="5040" w:hanging="360"/>
      </w:pPr>
      <w:rPr>
        <w:rFonts w:ascii="Symbol" w:hAnsi="Symbol" w:hint="default"/>
      </w:rPr>
    </w:lvl>
    <w:lvl w:ilvl="7" w:tplc="A3660CA4">
      <w:start w:val="1"/>
      <w:numFmt w:val="bullet"/>
      <w:lvlText w:val="o"/>
      <w:lvlJc w:val="left"/>
      <w:pPr>
        <w:ind w:left="5760" w:hanging="360"/>
      </w:pPr>
      <w:rPr>
        <w:rFonts w:ascii="Courier New" w:hAnsi="Courier New" w:cs="Times New Roman" w:hint="default"/>
      </w:rPr>
    </w:lvl>
    <w:lvl w:ilvl="8" w:tplc="47F61DA4">
      <w:start w:val="1"/>
      <w:numFmt w:val="bullet"/>
      <w:lvlText w:val=""/>
      <w:lvlJc w:val="left"/>
      <w:pPr>
        <w:ind w:left="6480" w:hanging="360"/>
      </w:pPr>
      <w:rPr>
        <w:rFonts w:ascii="Wingdings" w:hAnsi="Wingdings" w:hint="default"/>
      </w:rPr>
    </w:lvl>
  </w:abstractNum>
  <w:abstractNum w:abstractNumId="1" w15:restartNumberingAfterBreak="0">
    <w:nsid w:val="68350A97"/>
    <w:multiLevelType w:val="multilevel"/>
    <w:tmpl w:val="01D23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96313D3"/>
    <w:multiLevelType w:val="hybridMultilevel"/>
    <w:tmpl w:val="6180DC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814880172">
    <w:abstractNumId w:val="0"/>
  </w:num>
  <w:num w:numId="2" w16cid:durableId="1270695630">
    <w:abstractNumId w:val="1"/>
  </w:num>
  <w:num w:numId="3" w16cid:durableId="20960477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78B"/>
    <w:rsid w:val="00000FC7"/>
    <w:rsid w:val="00020688"/>
    <w:rsid w:val="00025BB6"/>
    <w:rsid w:val="00047AB2"/>
    <w:rsid w:val="000535AC"/>
    <w:rsid w:val="00060348"/>
    <w:rsid w:val="000613E5"/>
    <w:rsid w:val="000D278B"/>
    <w:rsid w:val="000F048B"/>
    <w:rsid w:val="00163FEC"/>
    <w:rsid w:val="00170B9A"/>
    <w:rsid w:val="0017295D"/>
    <w:rsid w:val="001972AD"/>
    <w:rsid w:val="001E6946"/>
    <w:rsid w:val="00216B65"/>
    <w:rsid w:val="00235DD3"/>
    <w:rsid w:val="00235ECB"/>
    <w:rsid w:val="00252BA3"/>
    <w:rsid w:val="00297B09"/>
    <w:rsid w:val="002B5732"/>
    <w:rsid w:val="002C1AF2"/>
    <w:rsid w:val="002E2B02"/>
    <w:rsid w:val="00336375"/>
    <w:rsid w:val="00372EDA"/>
    <w:rsid w:val="00374109"/>
    <w:rsid w:val="003E76CC"/>
    <w:rsid w:val="00422C67"/>
    <w:rsid w:val="00426B4A"/>
    <w:rsid w:val="004271AA"/>
    <w:rsid w:val="00475466"/>
    <w:rsid w:val="00496713"/>
    <w:rsid w:val="004A6697"/>
    <w:rsid w:val="004B4691"/>
    <w:rsid w:val="004D2F74"/>
    <w:rsid w:val="004D67D9"/>
    <w:rsid w:val="004F6076"/>
    <w:rsid w:val="00513DB5"/>
    <w:rsid w:val="0053541E"/>
    <w:rsid w:val="0057245B"/>
    <w:rsid w:val="00572CCF"/>
    <w:rsid w:val="00581764"/>
    <w:rsid w:val="00590DF2"/>
    <w:rsid w:val="00596002"/>
    <w:rsid w:val="005D5FC2"/>
    <w:rsid w:val="005E49FA"/>
    <w:rsid w:val="005F30A7"/>
    <w:rsid w:val="006061DF"/>
    <w:rsid w:val="006371B2"/>
    <w:rsid w:val="00644953"/>
    <w:rsid w:val="00653699"/>
    <w:rsid w:val="00672AE1"/>
    <w:rsid w:val="006730DA"/>
    <w:rsid w:val="006760D3"/>
    <w:rsid w:val="00685916"/>
    <w:rsid w:val="00687869"/>
    <w:rsid w:val="00694025"/>
    <w:rsid w:val="006E60FE"/>
    <w:rsid w:val="006F3541"/>
    <w:rsid w:val="00702537"/>
    <w:rsid w:val="00722DD5"/>
    <w:rsid w:val="00740590"/>
    <w:rsid w:val="00740FCC"/>
    <w:rsid w:val="00750799"/>
    <w:rsid w:val="00775E32"/>
    <w:rsid w:val="007B071F"/>
    <w:rsid w:val="007D13FE"/>
    <w:rsid w:val="007D3E66"/>
    <w:rsid w:val="00812489"/>
    <w:rsid w:val="008470B1"/>
    <w:rsid w:val="00855A39"/>
    <w:rsid w:val="00880DA9"/>
    <w:rsid w:val="008B7C28"/>
    <w:rsid w:val="008C06E5"/>
    <w:rsid w:val="008E044D"/>
    <w:rsid w:val="008F19EA"/>
    <w:rsid w:val="00923967"/>
    <w:rsid w:val="0095235E"/>
    <w:rsid w:val="0097388E"/>
    <w:rsid w:val="0097703C"/>
    <w:rsid w:val="009A4ABB"/>
    <w:rsid w:val="009B6F72"/>
    <w:rsid w:val="009E1B60"/>
    <w:rsid w:val="009F615D"/>
    <w:rsid w:val="00A03D59"/>
    <w:rsid w:val="00A12E10"/>
    <w:rsid w:val="00A72569"/>
    <w:rsid w:val="00AE0C7A"/>
    <w:rsid w:val="00AE0DE8"/>
    <w:rsid w:val="00AF0A36"/>
    <w:rsid w:val="00AF4F65"/>
    <w:rsid w:val="00AF5864"/>
    <w:rsid w:val="00B05801"/>
    <w:rsid w:val="00B14E67"/>
    <w:rsid w:val="00B15201"/>
    <w:rsid w:val="00B2388F"/>
    <w:rsid w:val="00B25872"/>
    <w:rsid w:val="00B316B0"/>
    <w:rsid w:val="00B60959"/>
    <w:rsid w:val="00B60A4B"/>
    <w:rsid w:val="00B66FE9"/>
    <w:rsid w:val="00B76A9F"/>
    <w:rsid w:val="00B951C0"/>
    <w:rsid w:val="00B97867"/>
    <w:rsid w:val="00BA3985"/>
    <w:rsid w:val="00BB5A68"/>
    <w:rsid w:val="00BC5163"/>
    <w:rsid w:val="00BC6F0B"/>
    <w:rsid w:val="00BF693E"/>
    <w:rsid w:val="00C019A8"/>
    <w:rsid w:val="00C33650"/>
    <w:rsid w:val="00C66AF4"/>
    <w:rsid w:val="00C70B03"/>
    <w:rsid w:val="00C71A20"/>
    <w:rsid w:val="00C74FBE"/>
    <w:rsid w:val="00C74FE8"/>
    <w:rsid w:val="00C824AA"/>
    <w:rsid w:val="00CA4F6D"/>
    <w:rsid w:val="00CB4677"/>
    <w:rsid w:val="00CD734F"/>
    <w:rsid w:val="00CF7E42"/>
    <w:rsid w:val="00D27E8B"/>
    <w:rsid w:val="00D578B5"/>
    <w:rsid w:val="00D764D6"/>
    <w:rsid w:val="00D960C4"/>
    <w:rsid w:val="00DA3180"/>
    <w:rsid w:val="00DA7E00"/>
    <w:rsid w:val="00DB16C2"/>
    <w:rsid w:val="00DC44CE"/>
    <w:rsid w:val="00DC7E0D"/>
    <w:rsid w:val="00DD4CC2"/>
    <w:rsid w:val="00DE1DBE"/>
    <w:rsid w:val="00DE6912"/>
    <w:rsid w:val="00E22795"/>
    <w:rsid w:val="00E27846"/>
    <w:rsid w:val="00E70930"/>
    <w:rsid w:val="00E95E51"/>
    <w:rsid w:val="00EA166A"/>
    <w:rsid w:val="00ED6B2E"/>
    <w:rsid w:val="00F07DA9"/>
    <w:rsid w:val="00F252A2"/>
    <w:rsid w:val="00F52814"/>
    <w:rsid w:val="00F631D0"/>
    <w:rsid w:val="00F921C4"/>
    <w:rsid w:val="00FB3786"/>
    <w:rsid w:val="00FC7F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7FD970"/>
  <w15:chartTrackingRefBased/>
  <w15:docId w15:val="{06819AA8-C388-413C-91D2-D1F3222C0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27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D27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27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27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27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27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27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27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27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7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D27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27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27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27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27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27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27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278B"/>
    <w:rPr>
      <w:rFonts w:eastAsiaTheme="majorEastAsia" w:cstheme="majorBidi"/>
      <w:color w:val="272727" w:themeColor="text1" w:themeTint="D8"/>
    </w:rPr>
  </w:style>
  <w:style w:type="paragraph" w:styleId="Title">
    <w:name w:val="Title"/>
    <w:basedOn w:val="Normal"/>
    <w:next w:val="Normal"/>
    <w:link w:val="TitleChar"/>
    <w:uiPriority w:val="10"/>
    <w:qFormat/>
    <w:rsid w:val="000D27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27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27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27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278B"/>
    <w:pPr>
      <w:spacing w:before="160"/>
      <w:jc w:val="center"/>
    </w:pPr>
    <w:rPr>
      <w:i/>
      <w:iCs/>
      <w:color w:val="404040" w:themeColor="text1" w:themeTint="BF"/>
    </w:rPr>
  </w:style>
  <w:style w:type="character" w:customStyle="1" w:styleId="QuoteChar">
    <w:name w:val="Quote Char"/>
    <w:basedOn w:val="DefaultParagraphFont"/>
    <w:link w:val="Quote"/>
    <w:uiPriority w:val="29"/>
    <w:rsid w:val="000D278B"/>
    <w:rPr>
      <w:i/>
      <w:iCs/>
      <w:color w:val="404040" w:themeColor="text1" w:themeTint="BF"/>
    </w:rPr>
  </w:style>
  <w:style w:type="paragraph" w:styleId="ListParagraph">
    <w:name w:val="List Paragraph"/>
    <w:basedOn w:val="Normal"/>
    <w:uiPriority w:val="34"/>
    <w:qFormat/>
    <w:rsid w:val="000D278B"/>
    <w:pPr>
      <w:ind w:left="720"/>
      <w:contextualSpacing/>
    </w:pPr>
  </w:style>
  <w:style w:type="character" w:styleId="IntenseEmphasis">
    <w:name w:val="Intense Emphasis"/>
    <w:basedOn w:val="DefaultParagraphFont"/>
    <w:uiPriority w:val="21"/>
    <w:qFormat/>
    <w:rsid w:val="000D278B"/>
    <w:rPr>
      <w:i/>
      <w:iCs/>
      <w:color w:val="0F4761" w:themeColor="accent1" w:themeShade="BF"/>
    </w:rPr>
  </w:style>
  <w:style w:type="paragraph" w:styleId="IntenseQuote">
    <w:name w:val="Intense Quote"/>
    <w:basedOn w:val="Normal"/>
    <w:next w:val="Normal"/>
    <w:link w:val="IntenseQuoteChar"/>
    <w:uiPriority w:val="30"/>
    <w:qFormat/>
    <w:rsid w:val="000D27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278B"/>
    <w:rPr>
      <w:i/>
      <w:iCs/>
      <w:color w:val="0F4761" w:themeColor="accent1" w:themeShade="BF"/>
    </w:rPr>
  </w:style>
  <w:style w:type="character" w:styleId="IntenseReference">
    <w:name w:val="Intense Reference"/>
    <w:basedOn w:val="DefaultParagraphFont"/>
    <w:uiPriority w:val="32"/>
    <w:qFormat/>
    <w:rsid w:val="000D278B"/>
    <w:rPr>
      <w:b/>
      <w:bCs/>
      <w:smallCaps/>
      <w:color w:val="0F4761" w:themeColor="accent1" w:themeShade="BF"/>
      <w:spacing w:val="5"/>
    </w:rPr>
  </w:style>
  <w:style w:type="paragraph" w:styleId="NoSpacing">
    <w:name w:val="No Spacing"/>
    <w:link w:val="NoSpacingChar"/>
    <w:uiPriority w:val="1"/>
    <w:qFormat/>
    <w:rsid w:val="009A4ABB"/>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9A4ABB"/>
    <w:rPr>
      <w:rFonts w:eastAsiaTheme="minorEastAsia"/>
      <w:kern w:val="0"/>
      <w:sz w:val="22"/>
      <w:szCs w:val="22"/>
      <w:lang w:eastAsia="en-GB"/>
      <w14:ligatures w14:val="none"/>
    </w:rPr>
  </w:style>
  <w:style w:type="paragraph" w:styleId="Header">
    <w:name w:val="header"/>
    <w:basedOn w:val="Normal"/>
    <w:link w:val="HeaderChar"/>
    <w:uiPriority w:val="99"/>
    <w:unhideWhenUsed/>
    <w:rsid w:val="00235D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DD3"/>
  </w:style>
  <w:style w:type="paragraph" w:styleId="Footer">
    <w:name w:val="footer"/>
    <w:basedOn w:val="Normal"/>
    <w:link w:val="FooterChar"/>
    <w:uiPriority w:val="99"/>
    <w:unhideWhenUsed/>
    <w:rsid w:val="00235D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DD3"/>
  </w:style>
  <w:style w:type="paragraph" w:styleId="TOCHeading">
    <w:name w:val="TOC Heading"/>
    <w:basedOn w:val="Heading1"/>
    <w:next w:val="Normal"/>
    <w:uiPriority w:val="39"/>
    <w:unhideWhenUsed/>
    <w:qFormat/>
    <w:rsid w:val="00B2388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2388F"/>
    <w:pPr>
      <w:spacing w:after="100"/>
    </w:pPr>
  </w:style>
  <w:style w:type="paragraph" w:styleId="TOC2">
    <w:name w:val="toc 2"/>
    <w:basedOn w:val="Normal"/>
    <w:next w:val="Normal"/>
    <w:autoRedefine/>
    <w:uiPriority w:val="39"/>
    <w:unhideWhenUsed/>
    <w:rsid w:val="00B2388F"/>
    <w:pPr>
      <w:spacing w:after="100"/>
      <w:ind w:left="240"/>
    </w:pPr>
  </w:style>
  <w:style w:type="character" w:styleId="Hyperlink">
    <w:name w:val="Hyperlink"/>
    <w:basedOn w:val="DefaultParagraphFont"/>
    <w:uiPriority w:val="99"/>
    <w:unhideWhenUsed/>
    <w:rsid w:val="00B2388F"/>
    <w:rPr>
      <w:color w:val="467886" w:themeColor="hyperlink"/>
      <w:u w:val="single"/>
    </w:rPr>
  </w:style>
  <w:style w:type="character" w:styleId="UnresolvedMention">
    <w:name w:val="Unresolved Mention"/>
    <w:basedOn w:val="DefaultParagraphFont"/>
    <w:uiPriority w:val="99"/>
    <w:semiHidden/>
    <w:unhideWhenUsed/>
    <w:rsid w:val="000206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wales/lgbtq-action-plan-wales" TargetMode="External"/><Relationship Id="rId5" Type="http://schemas.openxmlformats.org/officeDocument/2006/relationships/settings" Target="settings.xml"/><Relationship Id="rId10" Type="http://schemas.openxmlformats.org/officeDocument/2006/relationships/hyperlink" Target="https://doi.org/10.57814/8n20-g959" TargetMode="External"/><Relationship Id="rId4" Type="http://schemas.openxmlformats.org/officeDocument/2006/relationships/styles" Target="styles.xml"/><Relationship Id="rId9" Type="http://schemas.openxmlformats.org/officeDocument/2006/relationships/hyperlink" Target="https://www.hepi.ac.uk/2024/05/23/trans-and-non-binary-student-experiences-in-higher-education/.(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2009547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F1CE4D-C88F-4109-AE01-00B1096F6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3437</TotalTime>
  <Pages>17</Pages>
  <Words>4860</Words>
  <Characters>27702</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Transgender Students in Further Education in Wales: Challenges and Tutor Support</dc:title>
  <dc:subject/>
  <dc:creator>Catherine  Salter</dc:creator>
  <cp:keywords/>
  <dc:description/>
  <cp:lastModifiedBy>Cat Salter</cp:lastModifiedBy>
  <cp:revision>134</cp:revision>
  <dcterms:created xsi:type="dcterms:W3CDTF">2026-03-07T19:45:00Z</dcterms:created>
  <dcterms:modified xsi:type="dcterms:W3CDTF">2026-03-27T19:47:00Z</dcterms:modified>
</cp:coreProperties>
</file>