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84517" w14:textId="77777777" w:rsidR="00535DA3" w:rsidRPr="00535DA3" w:rsidRDefault="00535DA3" w:rsidP="00535DA3">
      <w:pPr>
        <w:rPr>
          <w:b/>
          <w:bCs/>
          <w:u w:val="single"/>
        </w:rPr>
      </w:pPr>
      <w:r w:rsidRPr="00535DA3">
        <w:rPr>
          <w:b/>
          <w:bCs/>
          <w:u w:val="single"/>
        </w:rPr>
        <w:t>Analysis of results</w:t>
      </w:r>
    </w:p>
    <w:p w14:paraId="1FEF5089" w14:textId="77777777" w:rsidR="00535DA3" w:rsidRPr="00535DA3" w:rsidRDefault="00535DA3" w:rsidP="00535DA3">
      <w:pPr>
        <w:rPr>
          <w:b/>
          <w:bCs/>
        </w:rPr>
      </w:pPr>
      <w:r w:rsidRPr="00535DA3">
        <w:rPr>
          <w:b/>
          <w:bCs/>
        </w:rPr>
        <w:t>4.0 Introduction</w:t>
      </w:r>
    </w:p>
    <w:p w14:paraId="5664BB9C" w14:textId="6AC32572" w:rsidR="00535DA3" w:rsidRPr="00535DA3" w:rsidRDefault="00535DA3" w:rsidP="00535DA3">
      <w:r w:rsidRPr="00535DA3">
        <w:t>This chapter discusses the analysis of data used in this study. The analysis of primary data, both quantitative and qualitative, is presented (see Appendices F, G and H), followed by the triangulation of secondary data (PF 2020) (2020b).</w:t>
      </w:r>
    </w:p>
    <w:p w14:paraId="74DFC941" w14:textId="28FB09D0" w:rsidR="00535DA3" w:rsidRPr="00535DA3" w:rsidRDefault="00535DA3" w:rsidP="00535DA3">
      <w:pPr>
        <w:rPr>
          <w:b/>
          <w:bCs/>
        </w:rPr>
      </w:pPr>
      <w:r w:rsidRPr="00535DA3">
        <w:rPr>
          <w:b/>
          <w:bCs/>
        </w:rPr>
        <w:t xml:space="preserve">4.1 Primary Data </w:t>
      </w:r>
    </w:p>
    <w:p w14:paraId="4838A7C4" w14:textId="5D6C4F7A" w:rsidR="00535DA3" w:rsidRPr="00535DA3" w:rsidRDefault="00535DA3" w:rsidP="00535DA3">
      <w:r w:rsidRPr="00535DA3">
        <w:t>Data from the survey was collected via SmartSurvey. SmartSurvey was advantageous in allowing respondents to easily access the survey and in collating and presenting the data in a useful format which has increased efficiency (see Appendix B). SmartSurvey also contains basic thematic coding tools, which have helped with the preliminary analysis stages.</w:t>
      </w:r>
    </w:p>
    <w:p w14:paraId="4088EC6F" w14:textId="77777777" w:rsidR="00535DA3" w:rsidRPr="00535DA3" w:rsidRDefault="00535DA3" w:rsidP="00535DA3">
      <w:r w:rsidRPr="00535DA3">
        <w:t>The survey was distributed by posting the survey link in two closed Facebook groups that only permit access to SWP employees. The link was also shared in WhatsApp groups to widen distribution to those not on Facebook.</w:t>
      </w:r>
      <w:r w:rsidRPr="00535DA3">
        <w:rPr>
          <w:vertAlign w:val="superscript"/>
        </w:rPr>
        <w:footnoteReference w:id="1"/>
      </w:r>
      <w:r w:rsidRPr="00535DA3">
        <w:t xml:space="preserve"> In total 184 responses were received, 182 of which were eligible.</w:t>
      </w:r>
      <w:r w:rsidRPr="00535DA3">
        <w:rPr>
          <w:vertAlign w:val="superscript"/>
        </w:rPr>
        <w:footnoteReference w:id="2"/>
      </w:r>
      <w:r w:rsidRPr="00535DA3">
        <w:t xml:space="preserve"> The response rate for this survey was (TBC once receive response from HR as to how many officers are currently employed by SWP).</w:t>
      </w:r>
    </w:p>
    <w:p w14:paraId="5FE33D2F" w14:textId="77777777" w:rsidR="00535DA3" w:rsidRPr="00535DA3" w:rsidRDefault="00535DA3" w:rsidP="00535DA3">
      <w:pPr>
        <w:rPr>
          <w:b/>
          <w:bCs/>
        </w:rPr>
      </w:pPr>
      <w:r w:rsidRPr="00535DA3">
        <w:rPr>
          <w:b/>
          <w:bCs/>
        </w:rPr>
        <w:t>4.1.2 Demographics</w:t>
      </w:r>
    </w:p>
    <w:p w14:paraId="2BAF0C44" w14:textId="77777777" w:rsidR="00535DA3" w:rsidRPr="00535DA3" w:rsidRDefault="00535DA3" w:rsidP="00535DA3">
      <w:r w:rsidRPr="00535DA3">
        <w:t>The survey started with five demographic questions, capturing data on gender, age, ethnicity, rank and department (see Appendices A and B). This data has allowed the disaggregated analysis of the data captured by the other questions; for instance, it is possible to divide answers into male and female groups to see if experience is influenced by gender, or to analyse whether certain ranks or departments experience or consider mental health and welfare issues differently. The demographic data was collected in a format to allow for cross-analysis with the PF 2020 data.</w:t>
      </w:r>
    </w:p>
    <w:p w14:paraId="75765E86" w14:textId="77777777" w:rsidR="00535DA3" w:rsidRPr="00535DA3" w:rsidRDefault="00535DA3" w:rsidP="00535DA3">
      <w:pPr>
        <w:rPr>
          <w:b/>
          <w:bCs/>
        </w:rPr>
      </w:pPr>
      <w:r w:rsidRPr="00535DA3">
        <w:rPr>
          <w:b/>
          <w:bCs/>
        </w:rPr>
        <w:t>4.1.3 Quantitative data</w:t>
      </w:r>
    </w:p>
    <w:p w14:paraId="59152201" w14:textId="77777777" w:rsidR="00535DA3" w:rsidRPr="00535DA3" w:rsidRDefault="00535DA3" w:rsidP="00535DA3">
      <w:r w:rsidRPr="00535DA3">
        <w:t xml:space="preserve">Quantitative data was gathered from eight closed questions within the survey (see Appendices A and B). The raw data from SmartSurvey was exported into Excel, allowing for free data manipulation and analysis to pursue the research question and aims and objectives of this research. Given these, analysis focused on finding correlations between respondents’ experiences and the stressors or mitigations they reported. This allows the analysis to go past the experiential and to make real findings on the causes and impacts of negative mental health and practical, evidence-based recommendations for prevention and mitigation. </w:t>
      </w:r>
    </w:p>
    <w:p w14:paraId="1AC66CCA" w14:textId="77777777" w:rsidR="00535DA3" w:rsidRPr="00535DA3" w:rsidRDefault="00535DA3" w:rsidP="00535DA3">
      <w:r w:rsidRPr="00535DA3">
        <w:t>Appendix G contains the full data and manipulation; Appendix H presents this analysis in detail. In particular, the following methods were used:</w:t>
      </w:r>
    </w:p>
    <w:p w14:paraId="49482E7D" w14:textId="5C37652B" w:rsidR="00535DA3" w:rsidRPr="00535DA3" w:rsidRDefault="00535DA3" w:rsidP="00970519">
      <w:pPr>
        <w:pStyle w:val="ListParagraph"/>
        <w:numPr>
          <w:ilvl w:val="0"/>
          <w:numId w:val="8"/>
        </w:numPr>
      </w:pPr>
      <w:r w:rsidRPr="00535DA3">
        <w:t>Sex disaggregation, to reveal any differences in the perceived impact of work on mental health and wellbeing between male and female police officers</w:t>
      </w:r>
    </w:p>
    <w:p w14:paraId="712C5895" w14:textId="7F476969" w:rsidR="00535DA3" w:rsidRPr="00535DA3" w:rsidRDefault="00535DA3" w:rsidP="00970519">
      <w:pPr>
        <w:pStyle w:val="ListParagraph"/>
        <w:numPr>
          <w:ilvl w:val="0"/>
          <w:numId w:val="8"/>
        </w:numPr>
      </w:pPr>
      <w:r w:rsidRPr="00535DA3">
        <w:t xml:space="preserve">Cross-referencing and drilling down into data. For instance, looking at the significance of stressors (Q9) for the group replying “strongly” or “very strongly” to Q7.1 “my mental health </w:t>
      </w:r>
      <w:r w:rsidRPr="00535DA3">
        <w:lastRenderedPageBreak/>
        <w:t>and wellbeing has been negatively impacted as a direct result of work”. The intention here is analysis to enable clearer findings and recommendations, as the identification (and mitigation) of stressors is particularly significant in relation to those who report negative impacts.</w:t>
      </w:r>
    </w:p>
    <w:p w14:paraId="4D4F50E7" w14:textId="1F76887B" w:rsidR="00535DA3" w:rsidRPr="00535DA3" w:rsidRDefault="00535DA3" w:rsidP="00970519">
      <w:pPr>
        <w:numPr>
          <w:ilvl w:val="0"/>
          <w:numId w:val="8"/>
        </w:numPr>
      </w:pPr>
      <w:r w:rsidRPr="00535DA3">
        <w:t xml:space="preserve">Likert scale analysis using a scale of +2 to -2 for the 5-point response from “strongly agree” to “strongly disagree”. This enables a Likert value to be produced for each question or sub-question (the product of the scale and the response number), showing how cumulatively significant each element is, and allowing for accurate comparison. For instance, this method of analysis allows Appendix H, Figure 2 to compare the weightings </w:t>
      </w:r>
      <w:r w:rsidR="004B546A" w:rsidRPr="00535DA3">
        <w:t>respondents</w:t>
      </w:r>
      <w:r w:rsidRPr="00535DA3">
        <w:t xml:space="preserve"> gave to the causes of negative mental health impacts at work.</w:t>
      </w:r>
    </w:p>
    <w:p w14:paraId="76DF82A9" w14:textId="77777777" w:rsidR="00535DA3" w:rsidRPr="00535DA3" w:rsidRDefault="00535DA3" w:rsidP="00970519">
      <w:pPr>
        <w:numPr>
          <w:ilvl w:val="0"/>
          <w:numId w:val="8"/>
        </w:numPr>
      </w:pPr>
      <w:r w:rsidRPr="00535DA3">
        <w:t>Average (mean) Likert scale values were also used in order to allow the summary and comparison across questions and sub-questions. For instance, Appendix G, Figure 8 enables this research to analyse the relationship between respondent’s perceptions of any training they have received on mental health and wellbeing and their perception of the extent to which their own mental health and wellbeing has been negatively impacted by their work in the previous 12 months. This is significant analysis because it helps to understand the value of any previous resilience training on respondents’ mental health and wellbeing.</w:t>
      </w:r>
    </w:p>
    <w:p w14:paraId="77A477F1" w14:textId="77777777" w:rsidR="00535DA3" w:rsidRPr="00535DA3" w:rsidRDefault="00535DA3" w:rsidP="00535DA3">
      <w:pPr>
        <w:rPr>
          <w:b/>
          <w:bCs/>
        </w:rPr>
      </w:pPr>
      <w:r w:rsidRPr="00535DA3">
        <w:rPr>
          <w:b/>
          <w:bCs/>
        </w:rPr>
        <w:t>4.1.3 Qualitative data</w:t>
      </w:r>
    </w:p>
    <w:p w14:paraId="7B9A3DC7" w14:textId="77777777" w:rsidR="00535DA3" w:rsidRPr="00535DA3" w:rsidRDefault="00535DA3" w:rsidP="00535DA3">
      <w:r w:rsidRPr="00535DA3">
        <w:t>Qualitative data was collected by five open questions (see Appendices A and B). This textual data was analysed using thematic coding methods, to reveal trends and themes in the data and allow this to be broken down into thematic groupings for detailed analysis. SmartSurvey allowed for categories to be created, and for each response to be tagged into one or more category, as relevant. This had to be done question by question online. The data per question was then downloaded into CSV and collated into an Excel file to allow for more detailed analysis (Appendix H). The categories were grouped follows:</w:t>
      </w:r>
    </w:p>
    <w:p w14:paraId="6740E46A" w14:textId="77777777" w:rsidR="00535DA3" w:rsidRPr="00535DA3" w:rsidRDefault="00535DA3" w:rsidP="00970519">
      <w:pPr>
        <w:numPr>
          <w:ilvl w:val="0"/>
          <w:numId w:val="7"/>
        </w:numPr>
      </w:pPr>
      <w:r w:rsidRPr="00535DA3">
        <w:t>Group 1: Factors: where respondents gave explicit reasons for negative health and wellbeing at work. These categories were: poor leadership</w:t>
      </w:r>
      <w:r w:rsidRPr="00535DA3">
        <w:tab/>
        <w:t>; low morale; staffing and workloads; Covid19 (including measures); discrimination/</w:t>
      </w:r>
      <w:proofErr w:type="spellStart"/>
      <w:r w:rsidRPr="00535DA3">
        <w:t>non compliance</w:t>
      </w:r>
      <w:proofErr w:type="spellEnd"/>
      <w:r w:rsidRPr="00535DA3">
        <w:t xml:space="preserve"> (including comments on MH stigma, gender-related comments and sick leave non-compliance); pay; criticism/scrutiny; poor facilities or resources; changes in procedure; trauma and risk; shift patterns and changes; lack of training/experience (general training and mental health training).</w:t>
      </w:r>
    </w:p>
    <w:p w14:paraId="3F87B0B7" w14:textId="77777777" w:rsidR="00535DA3" w:rsidRPr="00535DA3" w:rsidRDefault="00535DA3" w:rsidP="00970519">
      <w:pPr>
        <w:numPr>
          <w:ilvl w:val="0"/>
          <w:numId w:val="7"/>
        </w:numPr>
      </w:pPr>
      <w:r w:rsidRPr="00535DA3">
        <w:t>Group 2: Help: where respondents mentioned or praised support available to them. These categories were: external support; internal support.</w:t>
      </w:r>
    </w:p>
    <w:p w14:paraId="53934022" w14:textId="77777777" w:rsidR="00535DA3" w:rsidRPr="00535DA3" w:rsidRDefault="00535DA3" w:rsidP="00970519">
      <w:pPr>
        <w:numPr>
          <w:ilvl w:val="0"/>
          <w:numId w:val="7"/>
        </w:numPr>
      </w:pPr>
      <w:r w:rsidRPr="00535DA3">
        <w:t>Group 3: Wanted: measures that respondents explicitly called for. These categories were: respect/recognition/value; an improved health/MH policy; better staffing levels; increased communication/listening; organisational change</w:t>
      </w:r>
      <w:r w:rsidRPr="00535DA3">
        <w:tab/>
        <w:t>; better working conditions; better leadership/management; rest days/leave respected or increased; pay/benefits (including suggestions for fitness/exercise allowances which were a sub-theme); reduced admin/workload (including comments regarding non-police work, picking up from other agencies, and CPS demands); improved training</w:t>
      </w:r>
      <w:r w:rsidRPr="00535DA3">
        <w:tab/>
        <w:t>(general training and MH/welfare-specific training); changed shift patterns</w:t>
      </w:r>
      <w:r w:rsidRPr="00535DA3">
        <w:tab/>
        <w:t>; more timeliness/availability of MH support.</w:t>
      </w:r>
    </w:p>
    <w:p w14:paraId="53104885" w14:textId="77777777" w:rsidR="00535DA3" w:rsidRPr="00535DA3" w:rsidRDefault="00535DA3" w:rsidP="00970519">
      <w:pPr>
        <w:numPr>
          <w:ilvl w:val="0"/>
          <w:numId w:val="7"/>
        </w:numPr>
      </w:pPr>
      <w:r w:rsidRPr="00535DA3">
        <w:t xml:space="preserve">Group 4: Impacts: where respondents explicitly mentioned the consequences of poor mental health and wellbeing. These categories were: public service/performance/standards; </w:t>
      </w:r>
      <w:r w:rsidRPr="00535DA3">
        <w:lastRenderedPageBreak/>
        <w:t>ethics/judgement; staff attrition/productivity; resilience/personal welfare (including comments on work-life balance, family issues and unhappiness/sickness)</w:t>
      </w:r>
    </w:p>
    <w:p w14:paraId="32BAECEF" w14:textId="77777777" w:rsidR="00535DA3" w:rsidRPr="00535DA3" w:rsidRDefault="00535DA3" w:rsidP="00970519">
      <w:pPr>
        <w:numPr>
          <w:ilvl w:val="0"/>
          <w:numId w:val="7"/>
        </w:numPr>
      </w:pPr>
      <w:r w:rsidRPr="00535DA3">
        <w:t>Group 5: Keywords: other themes which were identified as recurrent or of particular interest to this study. Categories were: bullying; lack of support; PDCA (degree course); value/care (including the recurrent phrase of "just a number" which was a sub theme here); lip service/tick box attitude to welfare; discipline/fear (including a general fear of blame/disciplinary processes and fear of repercussions for speaking out on MH; front line/response (all answers which make reference to front line or response team).</w:t>
      </w:r>
    </w:p>
    <w:p w14:paraId="482065C4" w14:textId="77777777" w:rsidR="00535DA3" w:rsidRPr="00535DA3" w:rsidRDefault="00535DA3" w:rsidP="00535DA3">
      <w:r w:rsidRPr="00535DA3">
        <w:t xml:space="preserve">This data has been manipulated in Excel, showing where answers fall into each group and category, allowing for detailed analysis when sorted by group or by category. The groups allowed for analysis between the qualitative and quantitative data, as the quantitative data was structured into causes, impacts, measures, etc. However, it has also been useful to compare and combine some themes and groups (for instance, to look at low staffing as a cause and increased staffing as a wanted measure as two sides of the same issue). </w:t>
      </w:r>
    </w:p>
    <w:p w14:paraId="1DECDAFC" w14:textId="3CD6C5A9" w:rsidR="00535DA3" w:rsidRPr="00535DA3" w:rsidRDefault="00535DA3" w:rsidP="00535DA3">
      <w:r w:rsidRPr="00535DA3">
        <w:t xml:space="preserve">The coding method of analysis has been particularly beneficial in encapsulating respondents’ freedom to raise issues which might not have been anticipated in open questions, and which have potentially been overlooked by previous research. In particular, this includes issues of bullying, </w:t>
      </w:r>
      <w:r w:rsidR="0062574F" w:rsidRPr="00535DA3">
        <w:t>non-compliance,</w:t>
      </w:r>
      <w:r w:rsidRPr="00535DA3">
        <w:t xml:space="preserve"> and discrimination as a cause of poor welfare, and a common fear of stigma or even discipline as a result of raising mental health concerns. Another major theme analysed across the data was value/care (or a lack or need for this), and its connection to a desire for increased respect, open communication. </w:t>
      </w:r>
    </w:p>
    <w:p w14:paraId="2299B3AA" w14:textId="3D7E7252" w:rsidR="00535DA3" w:rsidRPr="00535DA3" w:rsidRDefault="00535DA3" w:rsidP="00535DA3">
      <w:pPr>
        <w:rPr>
          <w:b/>
          <w:bCs/>
        </w:rPr>
      </w:pPr>
      <w:r w:rsidRPr="00535DA3">
        <w:rPr>
          <w:b/>
          <w:bCs/>
        </w:rPr>
        <w:t>4.</w:t>
      </w:r>
      <w:r w:rsidR="00BF0560">
        <w:rPr>
          <w:b/>
          <w:bCs/>
        </w:rPr>
        <w:t>2</w:t>
      </w:r>
      <w:r w:rsidRPr="00535DA3">
        <w:rPr>
          <w:b/>
          <w:bCs/>
        </w:rPr>
        <w:t xml:space="preserve"> Secondary Data </w:t>
      </w:r>
    </w:p>
    <w:p w14:paraId="7B80B595" w14:textId="77777777" w:rsidR="00535DA3" w:rsidRPr="00535DA3" w:rsidRDefault="00535DA3" w:rsidP="00535DA3">
      <w:pPr>
        <w:rPr>
          <w:b/>
          <w:bCs/>
        </w:rPr>
      </w:pPr>
    </w:p>
    <w:p w14:paraId="13C30CDE" w14:textId="77777777" w:rsidR="00535DA3" w:rsidRPr="00535DA3" w:rsidRDefault="00535DA3" w:rsidP="00535DA3">
      <w:pPr>
        <w:rPr>
          <w:b/>
          <w:bCs/>
        </w:rPr>
      </w:pPr>
    </w:p>
    <w:p w14:paraId="7B862C0C" w14:textId="77777777" w:rsidR="00A23CC1" w:rsidRDefault="00A23CC1"/>
    <w:sectPr w:rsidR="00A23C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9B8BA" w14:textId="77777777" w:rsidR="00ED66E7" w:rsidRDefault="00ED66E7" w:rsidP="001C30F5">
      <w:pPr>
        <w:spacing w:after="0" w:line="240" w:lineRule="auto"/>
      </w:pPr>
      <w:r>
        <w:separator/>
      </w:r>
    </w:p>
  </w:endnote>
  <w:endnote w:type="continuationSeparator" w:id="0">
    <w:p w14:paraId="5F7A7C1C" w14:textId="77777777" w:rsidR="00ED66E7" w:rsidRDefault="00ED66E7" w:rsidP="001C30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5A6D3" w14:textId="77777777" w:rsidR="00ED66E7" w:rsidRDefault="00ED66E7" w:rsidP="001C30F5">
      <w:pPr>
        <w:spacing w:after="0" w:line="240" w:lineRule="auto"/>
      </w:pPr>
      <w:r>
        <w:separator/>
      </w:r>
    </w:p>
  </w:footnote>
  <w:footnote w:type="continuationSeparator" w:id="0">
    <w:p w14:paraId="01564659" w14:textId="77777777" w:rsidR="00ED66E7" w:rsidRDefault="00ED66E7" w:rsidP="001C30F5">
      <w:pPr>
        <w:spacing w:after="0" w:line="240" w:lineRule="auto"/>
      </w:pPr>
      <w:r>
        <w:continuationSeparator/>
      </w:r>
    </w:p>
  </w:footnote>
  <w:footnote w:id="1">
    <w:p w14:paraId="0065D194" w14:textId="77777777" w:rsidR="00535DA3" w:rsidRPr="00B327F3" w:rsidRDefault="00535DA3" w:rsidP="00535DA3">
      <w:pPr>
        <w:pStyle w:val="FootnoteText"/>
        <w:rPr>
          <w:lang w:val="en-US"/>
        </w:rPr>
      </w:pPr>
      <w:r>
        <w:rPr>
          <w:rStyle w:val="FootnoteReference"/>
        </w:rPr>
        <w:footnoteRef/>
      </w:r>
      <w:r>
        <w:t xml:space="preserve"> </w:t>
      </w:r>
      <w:r>
        <w:rPr>
          <w:lang w:val="en-US"/>
        </w:rPr>
        <w:t>This is significant because, beyond personal choice, some Police roles require little or no social media activity for security reasons.</w:t>
      </w:r>
    </w:p>
  </w:footnote>
  <w:footnote w:id="2">
    <w:p w14:paraId="5D25C10D" w14:textId="7A8C24A2" w:rsidR="00535DA3" w:rsidRPr="00B327F3" w:rsidRDefault="00535DA3" w:rsidP="00535DA3">
      <w:pPr>
        <w:pStyle w:val="FootnoteText"/>
        <w:rPr>
          <w:lang w:val="en-US"/>
        </w:rPr>
      </w:pPr>
      <w:r>
        <w:rPr>
          <w:rStyle w:val="FootnoteReference"/>
        </w:rPr>
        <w:footnoteRef/>
      </w:r>
      <w:r>
        <w:t xml:space="preserve"> Two responses were ineligible. One was from an ex-officer and it was unclear whether all or some of the responses related to his new job outside the Police</w:t>
      </w:r>
      <w:r w:rsidR="006A3636">
        <w:t xml:space="preserve"> (Appendix I).</w:t>
      </w:r>
      <w:r>
        <w:t xml:space="preserve"> The second was from a member of staff not an officer</w:t>
      </w:r>
      <w:r w:rsidR="006A3636">
        <w:t xml:space="preserve"> (Appendix J)</w:t>
      </w:r>
      <w:r>
        <w:t>. The criteria was current serving officers only. It is noted that the comments of the staff member raise a potential research gap around staff welfare but this is outside the scope of this chapter.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84EB5"/>
    <w:multiLevelType w:val="hybridMultilevel"/>
    <w:tmpl w:val="D3C850BC"/>
    <w:lvl w:ilvl="0" w:tplc="E6724D8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1B2025"/>
    <w:multiLevelType w:val="hybridMultilevel"/>
    <w:tmpl w:val="E5B88480"/>
    <w:lvl w:ilvl="0" w:tplc="E6724D82">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2A70DB"/>
    <w:multiLevelType w:val="hybridMultilevel"/>
    <w:tmpl w:val="7A5A3140"/>
    <w:lvl w:ilvl="0" w:tplc="F6E2C6F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2F21F0F"/>
    <w:multiLevelType w:val="hybridMultilevel"/>
    <w:tmpl w:val="0B4A9790"/>
    <w:lvl w:ilvl="0" w:tplc="F6E2C6F0">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1202F64"/>
    <w:multiLevelType w:val="hybridMultilevel"/>
    <w:tmpl w:val="66F2B74C"/>
    <w:lvl w:ilvl="0" w:tplc="F6E2C6F0">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551B3744"/>
    <w:multiLevelType w:val="hybridMultilevel"/>
    <w:tmpl w:val="EFFE9D60"/>
    <w:lvl w:ilvl="0" w:tplc="A760847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D66BA9"/>
    <w:multiLevelType w:val="hybridMultilevel"/>
    <w:tmpl w:val="11427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BA24C79"/>
    <w:multiLevelType w:val="hybridMultilevel"/>
    <w:tmpl w:val="0226B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8349088">
    <w:abstractNumId w:val="6"/>
  </w:num>
  <w:num w:numId="2" w16cid:durableId="1406418727">
    <w:abstractNumId w:val="7"/>
  </w:num>
  <w:num w:numId="3" w16cid:durableId="94442604">
    <w:abstractNumId w:val="1"/>
  </w:num>
  <w:num w:numId="4" w16cid:durableId="1167862766">
    <w:abstractNumId w:val="2"/>
  </w:num>
  <w:num w:numId="5" w16cid:durableId="260143766">
    <w:abstractNumId w:val="0"/>
  </w:num>
  <w:num w:numId="6" w16cid:durableId="716508155">
    <w:abstractNumId w:val="5"/>
  </w:num>
  <w:num w:numId="7" w16cid:durableId="1342975550">
    <w:abstractNumId w:val="4"/>
  </w:num>
  <w:num w:numId="8" w16cid:durableId="10474150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0F5"/>
    <w:rsid w:val="0019210B"/>
    <w:rsid w:val="001C30F5"/>
    <w:rsid w:val="002D4762"/>
    <w:rsid w:val="004B546A"/>
    <w:rsid w:val="00535DA3"/>
    <w:rsid w:val="0062574F"/>
    <w:rsid w:val="006A3636"/>
    <w:rsid w:val="006D6F54"/>
    <w:rsid w:val="0070621B"/>
    <w:rsid w:val="00812514"/>
    <w:rsid w:val="00970519"/>
    <w:rsid w:val="00A23CC1"/>
    <w:rsid w:val="00BF0560"/>
    <w:rsid w:val="00C82CFB"/>
    <w:rsid w:val="00CA3BC9"/>
    <w:rsid w:val="00ED66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5BC3A"/>
  <w15:chartTrackingRefBased/>
  <w15:docId w15:val="{B196FD85-A03D-4BA9-83DB-C213E63C3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35DA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5DA3"/>
    <w:rPr>
      <w:sz w:val="20"/>
      <w:szCs w:val="20"/>
    </w:rPr>
  </w:style>
  <w:style w:type="character" w:styleId="FootnoteReference">
    <w:name w:val="footnote reference"/>
    <w:basedOn w:val="DefaultParagraphFont"/>
    <w:uiPriority w:val="99"/>
    <w:semiHidden/>
    <w:unhideWhenUsed/>
    <w:rsid w:val="00535DA3"/>
    <w:rPr>
      <w:vertAlign w:val="superscript"/>
    </w:rPr>
  </w:style>
  <w:style w:type="character" w:styleId="CommentReference">
    <w:name w:val="annotation reference"/>
    <w:basedOn w:val="DefaultParagraphFont"/>
    <w:uiPriority w:val="99"/>
    <w:semiHidden/>
    <w:unhideWhenUsed/>
    <w:rsid w:val="00535DA3"/>
    <w:rPr>
      <w:sz w:val="16"/>
      <w:szCs w:val="16"/>
    </w:rPr>
  </w:style>
  <w:style w:type="paragraph" w:styleId="CommentText">
    <w:name w:val="annotation text"/>
    <w:basedOn w:val="Normal"/>
    <w:link w:val="CommentTextChar"/>
    <w:uiPriority w:val="99"/>
    <w:semiHidden/>
    <w:unhideWhenUsed/>
    <w:rsid w:val="00535DA3"/>
    <w:pPr>
      <w:spacing w:line="240" w:lineRule="auto"/>
    </w:pPr>
    <w:rPr>
      <w:sz w:val="20"/>
      <w:szCs w:val="20"/>
    </w:rPr>
  </w:style>
  <w:style w:type="character" w:customStyle="1" w:styleId="CommentTextChar">
    <w:name w:val="Comment Text Char"/>
    <w:basedOn w:val="DefaultParagraphFont"/>
    <w:link w:val="CommentText"/>
    <w:uiPriority w:val="99"/>
    <w:semiHidden/>
    <w:rsid w:val="00535DA3"/>
    <w:rPr>
      <w:sz w:val="20"/>
      <w:szCs w:val="20"/>
    </w:rPr>
  </w:style>
  <w:style w:type="paragraph" w:styleId="ListParagraph">
    <w:name w:val="List Paragraph"/>
    <w:basedOn w:val="Normal"/>
    <w:uiPriority w:val="34"/>
    <w:qFormat/>
    <w:rsid w:val="006A36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264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3B531-B315-4CA7-84CA-DCF471B5D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2890</TotalTime>
  <Pages>3</Pages>
  <Words>1219</Words>
  <Characters>6950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Nixon</dc:creator>
  <cp:keywords/>
  <dc:description/>
  <cp:lastModifiedBy>Anna Nixon</cp:lastModifiedBy>
  <cp:revision>3</cp:revision>
  <dcterms:created xsi:type="dcterms:W3CDTF">2022-04-22T15:13:00Z</dcterms:created>
  <dcterms:modified xsi:type="dcterms:W3CDTF">2022-04-25T18:00:00Z</dcterms:modified>
</cp:coreProperties>
</file>