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2E5BCF" w14:textId="24B54628" w:rsidR="00BA3F75" w:rsidRDefault="00BA3F75" w:rsidP="00BA3F75">
      <w:pPr>
        <w:spacing w:before="100" w:beforeAutospacing="1" w:after="100" w:afterAutospacing="1" w:line="240" w:lineRule="auto"/>
        <w:jc w:val="center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>
        <w:rPr>
          <w:rFonts w:ascii="Times New Roman" w:eastAsia="Times New Roman" w:hAnsi="Times New Roman" w:cs="Times New Roman"/>
          <w:b/>
          <w:bCs/>
          <w:noProof/>
          <w:sz w:val="36"/>
          <w:szCs w:val="36"/>
        </w:rPr>
        <w:drawing>
          <wp:inline distT="0" distB="0" distL="0" distR="0" wp14:anchorId="59512C4B" wp14:editId="77BE210F">
            <wp:extent cx="3221108" cy="17907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9542" cy="1795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1A0264" w14:textId="77777777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614F9980" w14:textId="0D7042C6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Name: </w:t>
      </w:r>
      <w:r w:rsidRPr="00BA3F75">
        <w:rPr>
          <w:rFonts w:ascii="Times New Roman" w:eastAsia="Times New Roman" w:hAnsi="Times New Roman" w:cs="Times New Roman"/>
          <w:sz w:val="24"/>
          <w:szCs w:val="24"/>
        </w:rPr>
        <w:t>Vihona Agnes De Oliveira</w:t>
      </w:r>
    </w:p>
    <w:p w14:paraId="26BE6732" w14:textId="00510F32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Student ID: </w:t>
      </w:r>
      <w:r w:rsidRPr="00BA3F75">
        <w:rPr>
          <w:rFonts w:ascii="Times New Roman" w:eastAsia="Times New Roman" w:hAnsi="Times New Roman" w:cs="Times New Roman"/>
          <w:sz w:val="24"/>
          <w:szCs w:val="24"/>
        </w:rPr>
        <w:t>2422046</w:t>
      </w:r>
    </w:p>
    <w:p w14:paraId="40C0A251" w14:textId="154D4D80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sz w:val="24"/>
          <w:szCs w:val="24"/>
        </w:rPr>
      </w:pPr>
      <w:r w:rsidRPr="00BA3F75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Module ID: </w:t>
      </w:r>
      <w:r w:rsidRPr="00BA3F75">
        <w:rPr>
          <w:rFonts w:ascii="Times New Roman" w:eastAsia="Times New Roman" w:hAnsi="Times New Roman" w:cs="Times New Roman"/>
          <w:sz w:val="24"/>
          <w:szCs w:val="24"/>
        </w:rPr>
        <w:t>BMHP5021</w:t>
      </w:r>
    </w:p>
    <w:p w14:paraId="51A2E6BD" w14:textId="278F8540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sz w:val="24"/>
          <w:szCs w:val="24"/>
        </w:rPr>
      </w:pPr>
      <w:r w:rsidRPr="00BA3F75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Module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 w:rsidRPr="00BA3F75">
        <w:rPr>
          <w:rFonts w:ascii="Times New Roman" w:eastAsia="Times New Roman" w:hAnsi="Times New Roman" w:cs="Times New Roman"/>
          <w:b/>
          <w:bCs/>
          <w:sz w:val="24"/>
          <w:szCs w:val="24"/>
        </w:rPr>
        <w:t>itle: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r w:rsidRPr="00BA3F75">
        <w:rPr>
          <w:rFonts w:ascii="Times New Roman" w:eastAsia="Times New Roman" w:hAnsi="Times New Roman" w:cs="Times New Roman"/>
          <w:sz w:val="24"/>
          <w:szCs w:val="24"/>
        </w:rPr>
        <w:t xml:space="preserve">Protecting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Pr="00BA3F75">
        <w:rPr>
          <w:rFonts w:ascii="Times New Roman" w:eastAsia="Times New Roman" w:hAnsi="Times New Roman" w:cs="Times New Roman"/>
          <w:sz w:val="24"/>
          <w:szCs w:val="24"/>
        </w:rPr>
        <w:t xml:space="preserve">nd Supporting Families 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 w:rsidRPr="00BA3F75">
        <w:rPr>
          <w:rFonts w:ascii="Times New Roman" w:eastAsia="Times New Roman" w:hAnsi="Times New Roman" w:cs="Times New Roman"/>
          <w:sz w:val="24"/>
          <w:szCs w:val="24"/>
        </w:rPr>
        <w:t xml:space="preserve">n Health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Pr="00BA3F75"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 w:rsidR="00E950D5">
        <w:rPr>
          <w:rFonts w:ascii="Times New Roman" w:eastAsia="Times New Roman" w:hAnsi="Times New Roman" w:cs="Times New Roman"/>
          <w:sz w:val="24"/>
          <w:szCs w:val="24"/>
        </w:rPr>
        <w:t>Social Care</w:t>
      </w:r>
    </w:p>
    <w:p w14:paraId="18C3A365" w14:textId="04A1B7C4" w:rsidR="00BA3F75" w:rsidRPr="00BA3F75" w:rsidRDefault="00C264DC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C264D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Lectures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</w:t>
      </w:r>
      <w:r w:rsidRPr="00C264DC">
        <w:rPr>
          <w:rFonts w:ascii="Times New Roman" w:eastAsia="Times New Roman" w:hAnsi="Times New Roman" w:cs="Times New Roman"/>
          <w:b/>
          <w:bCs/>
          <w:sz w:val="24"/>
          <w:szCs w:val="24"/>
        </w:rPr>
        <w:t>ame: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r w:rsidR="00E950D5">
        <w:rPr>
          <w:rFonts w:ascii="Times New Roman" w:eastAsia="Times New Roman" w:hAnsi="Times New Roman" w:cs="Times New Roman"/>
          <w:sz w:val="24"/>
          <w:szCs w:val="24"/>
        </w:rPr>
        <w:t>U</w:t>
      </w:r>
      <w:r w:rsidRPr="00C264DC">
        <w:rPr>
          <w:rFonts w:ascii="Times New Roman" w:eastAsia="Times New Roman" w:hAnsi="Times New Roman" w:cs="Times New Roman"/>
          <w:sz w:val="24"/>
          <w:szCs w:val="24"/>
        </w:rPr>
        <w:t xml:space="preserve">mma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 w:rsidRPr="00C264DC">
        <w:rPr>
          <w:rFonts w:ascii="Times New Roman" w:eastAsia="Times New Roman" w:hAnsi="Times New Roman" w:cs="Times New Roman"/>
          <w:sz w:val="24"/>
          <w:szCs w:val="24"/>
        </w:rPr>
        <w:t>uleiman</w:t>
      </w:r>
    </w:p>
    <w:p w14:paraId="0A359AB6" w14:textId="77777777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64A0754D" w14:textId="77777777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59EAD99F" w14:textId="77777777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5052EADA" w14:textId="77777777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1B1CEB57" w14:textId="77777777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3EB39767" w14:textId="77777777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224B02AB" w14:textId="77777777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74D46BD6" w14:textId="77777777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0C001B22" w14:textId="77777777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39CC688F" w14:textId="77777777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6EC211D0" w14:textId="77777777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71484E31" w14:textId="77777777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7C7A4712" w14:textId="77777777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3C855880" w14:textId="77777777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53BF707C" w14:textId="77777777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4A67D40C" w14:textId="77777777" w:rsidR="00BA3F75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469F77A8" w14:textId="0C3E9E37" w:rsidR="00BA3F75" w:rsidRPr="00BD1872" w:rsidRDefault="00BA3F75" w:rsidP="00BA3F7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>
        <w:rPr>
          <w:rFonts w:ascii="Times New Roman" w:eastAsia="Times New Roman" w:hAnsi="Times New Roman" w:cs="Times New Roman"/>
          <w:b/>
          <w:bCs/>
          <w:sz w:val="36"/>
          <w:szCs w:val="36"/>
        </w:rPr>
        <w:t>R</w:t>
      </w:r>
      <w:r w:rsidRPr="00BD1872">
        <w:rPr>
          <w:rFonts w:ascii="Times New Roman" w:eastAsia="Times New Roman" w:hAnsi="Times New Roman" w:cs="Times New Roman"/>
          <w:b/>
          <w:bCs/>
          <w:sz w:val="36"/>
          <w:szCs w:val="36"/>
        </w:rPr>
        <w:t xml:space="preserve">eference </w:t>
      </w:r>
      <w:r>
        <w:rPr>
          <w:rFonts w:ascii="Times New Roman" w:eastAsia="Times New Roman" w:hAnsi="Times New Roman" w:cs="Times New Roman"/>
          <w:b/>
          <w:bCs/>
          <w:sz w:val="36"/>
          <w:szCs w:val="36"/>
        </w:rPr>
        <w:t>L</w:t>
      </w:r>
      <w:r w:rsidRPr="00BD1872">
        <w:rPr>
          <w:rFonts w:ascii="Times New Roman" w:eastAsia="Times New Roman" w:hAnsi="Times New Roman" w:cs="Times New Roman"/>
          <w:b/>
          <w:bCs/>
          <w:sz w:val="36"/>
          <w:szCs w:val="36"/>
        </w:rPr>
        <w:t>ist</w:t>
      </w:r>
    </w:p>
    <w:p w14:paraId="6EBE385A" w14:textId="77777777" w:rsidR="00BA3F75" w:rsidRDefault="00BA3F75" w:rsidP="00BA3F7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D2170">
        <w:rPr>
          <w:rFonts w:ascii="Times New Roman" w:eastAsia="Times New Roman" w:hAnsi="Times New Roman" w:cs="Times New Roman"/>
          <w:sz w:val="24"/>
          <w:szCs w:val="24"/>
        </w:rPr>
        <w:t xml:space="preserve">Powell, L. et al. (2024) </w:t>
      </w:r>
      <w:r w:rsidRPr="009D2170">
        <w:rPr>
          <w:rFonts w:ascii="Times New Roman" w:eastAsia="Times New Roman" w:hAnsi="Times New Roman" w:cs="Times New Roman"/>
          <w:i/>
          <w:iCs/>
          <w:sz w:val="24"/>
          <w:szCs w:val="24"/>
        </w:rPr>
        <w:t>A country that works for all children and young people: An evidence-based approach to supporting children in the preschool years, White Rose Research Online (University of Leeds, the University of Sheffield, University of York).</w:t>
      </w:r>
      <w:r w:rsidRPr="009D21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6" w:history="1">
        <w:r w:rsidRPr="00D561F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https://doi.org/10.48785/100/273</w:t>
        </w:r>
      </w:hyperlink>
      <w:r w:rsidRPr="009D217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1284CA1C" w14:textId="77777777" w:rsidR="00BA3F75" w:rsidRPr="009D2170" w:rsidRDefault="00BA3F75" w:rsidP="00BA3F7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r w:rsidRPr="009D2170">
        <w:rPr>
          <w:rFonts w:ascii="Times New Roman" w:eastAsia="Times New Roman" w:hAnsi="Times New Roman" w:cs="Times New Roman"/>
          <w:sz w:val="24"/>
          <w:szCs w:val="24"/>
        </w:rPr>
        <w:t xml:space="preserve">Skills, </w:t>
      </w:r>
      <w:proofErr w:type="spellStart"/>
      <w:r w:rsidRPr="009D2170">
        <w:rPr>
          <w:rFonts w:ascii="Times New Roman" w:eastAsia="Times New Roman" w:hAnsi="Times New Roman" w:cs="Times New Roman"/>
          <w:sz w:val="24"/>
          <w:szCs w:val="24"/>
        </w:rPr>
        <w:t>G.Britain.D</w:t>
      </w:r>
      <w:proofErr w:type="spellEnd"/>
      <w:r w:rsidRPr="009D2170">
        <w:rPr>
          <w:rFonts w:ascii="Times New Roman" w:eastAsia="Times New Roman" w:hAnsi="Times New Roman" w:cs="Times New Roman"/>
          <w:sz w:val="24"/>
          <w:szCs w:val="24"/>
        </w:rPr>
        <w:t xml:space="preserve">. for E.A. (2006) Working together to safeguard children: </w:t>
      </w:r>
      <w:r w:rsidRPr="009D2170">
        <w:rPr>
          <w:rFonts w:ascii="Times New Roman" w:eastAsia="Times New Roman" w:hAnsi="Times New Roman" w:cs="Times New Roman"/>
          <w:i/>
          <w:iCs/>
          <w:sz w:val="24"/>
          <w:szCs w:val="24"/>
        </w:rPr>
        <w:t>A Guide to Inter-agency Working to Safeguard and Promote the Welfare of Children. The Stationery Office.</w:t>
      </w:r>
    </w:p>
    <w:p w14:paraId="0B4A5FEE" w14:textId="77777777" w:rsidR="00BA3F75" w:rsidRPr="009D2170" w:rsidRDefault="00BA3F75" w:rsidP="00BA3F7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r w:rsidRPr="009D2170">
        <w:rPr>
          <w:rFonts w:ascii="Times New Roman" w:eastAsia="Times New Roman" w:hAnsi="Times New Roman" w:cs="Times New Roman"/>
          <w:sz w:val="24"/>
          <w:szCs w:val="24"/>
        </w:rPr>
        <w:t xml:space="preserve">Stevens, M.J., 2025. </w:t>
      </w:r>
      <w:r w:rsidRPr="009D2170">
        <w:rPr>
          <w:rFonts w:ascii="Times New Roman" w:eastAsia="Times New Roman" w:hAnsi="Times New Roman" w:cs="Times New Roman"/>
          <w:i/>
          <w:iCs/>
          <w:sz w:val="24"/>
          <w:szCs w:val="24"/>
        </w:rPr>
        <w:t>Safeguarding and Child Protection Policy and Procedures.</w:t>
      </w:r>
    </w:p>
    <w:p w14:paraId="3F4ED313" w14:textId="77777777" w:rsidR="00BA3F75" w:rsidRDefault="00BA3F75" w:rsidP="00BA3F7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D2170">
        <w:rPr>
          <w:rFonts w:ascii="Times New Roman" w:eastAsia="Times New Roman" w:hAnsi="Times New Roman" w:cs="Times New Roman"/>
          <w:sz w:val="24"/>
          <w:szCs w:val="24"/>
        </w:rPr>
        <w:t xml:space="preserve">Statham, J. and Aldgate, J. (2003) 'From legislation to practice: learning from the Children Act 1989 research </w:t>
      </w:r>
      <w:proofErr w:type="spellStart"/>
      <w:r w:rsidRPr="009D2170">
        <w:rPr>
          <w:rFonts w:ascii="Times New Roman" w:eastAsia="Times New Roman" w:hAnsi="Times New Roman" w:cs="Times New Roman"/>
          <w:sz w:val="24"/>
          <w:szCs w:val="24"/>
        </w:rPr>
        <w:t>programme</w:t>
      </w:r>
      <w:proofErr w:type="spellEnd"/>
      <w:r w:rsidRPr="009D2170">
        <w:rPr>
          <w:rFonts w:ascii="Times New Roman" w:eastAsia="Times New Roman" w:hAnsi="Times New Roman" w:cs="Times New Roman"/>
          <w:sz w:val="24"/>
          <w:szCs w:val="24"/>
        </w:rPr>
        <w:t xml:space="preserve">,' </w:t>
      </w:r>
      <w:r w:rsidRPr="000528FA">
        <w:rPr>
          <w:rFonts w:ascii="Times New Roman" w:eastAsia="Times New Roman" w:hAnsi="Times New Roman" w:cs="Times New Roman"/>
          <w:i/>
          <w:iCs/>
          <w:sz w:val="24"/>
          <w:szCs w:val="24"/>
        </w:rPr>
        <w:t>Children &amp; Society</w:t>
      </w:r>
      <w:r w:rsidRPr="009D2170">
        <w:rPr>
          <w:rFonts w:ascii="Times New Roman" w:eastAsia="Times New Roman" w:hAnsi="Times New Roman" w:cs="Times New Roman"/>
          <w:sz w:val="24"/>
          <w:szCs w:val="24"/>
        </w:rPr>
        <w:t xml:space="preserve">, 17(2), pp. 149–156. </w:t>
      </w:r>
      <w:hyperlink r:id="rId7" w:history="1">
        <w:r w:rsidRPr="00D561F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https://doi.org/10.1002/chi.763</w:t>
        </w:r>
      </w:hyperlink>
      <w:r w:rsidRPr="009D217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4E0460C9" w14:textId="77777777" w:rsidR="00BA3F75" w:rsidRPr="00BD1872" w:rsidRDefault="00BA3F75" w:rsidP="00BA3F7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4F0A32">
        <w:rPr>
          <w:rFonts w:ascii="Times New Roman" w:eastAsia="Times New Roman" w:hAnsi="Times New Roman" w:cs="Times New Roman"/>
          <w:sz w:val="24"/>
          <w:szCs w:val="24"/>
        </w:rPr>
        <w:t>Great Britain Staff, 2008. </w:t>
      </w:r>
      <w:r w:rsidRPr="004F0A32">
        <w:rPr>
          <w:rFonts w:ascii="Times New Roman" w:eastAsia="Times New Roman" w:hAnsi="Times New Roman" w:cs="Times New Roman"/>
          <w:i/>
          <w:iCs/>
          <w:sz w:val="24"/>
          <w:szCs w:val="24"/>
        </w:rPr>
        <w:t>Children and Young Persons Act 2008</w:t>
      </w:r>
      <w:r w:rsidRPr="004F0A32">
        <w:rPr>
          <w:rFonts w:ascii="Times New Roman" w:eastAsia="Times New Roman" w:hAnsi="Times New Roman" w:cs="Times New Roman"/>
          <w:sz w:val="24"/>
          <w:szCs w:val="24"/>
        </w:rPr>
        <w:t>. The Stationery Office.</w:t>
      </w:r>
    </w:p>
    <w:p w14:paraId="1901D38B" w14:textId="77777777" w:rsidR="00BA3F75" w:rsidRDefault="00BA3F75" w:rsidP="00BA3F7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4F0A32">
        <w:rPr>
          <w:rFonts w:ascii="Times New Roman" w:eastAsia="Times New Roman" w:hAnsi="Times New Roman" w:cs="Times New Roman"/>
          <w:sz w:val="24"/>
          <w:szCs w:val="24"/>
        </w:rPr>
        <w:t xml:space="preserve">Barrow-Grint, K., </w:t>
      </w:r>
      <w:proofErr w:type="spellStart"/>
      <w:r w:rsidRPr="004F0A32">
        <w:rPr>
          <w:rFonts w:ascii="Times New Roman" w:eastAsia="Times New Roman" w:hAnsi="Times New Roman" w:cs="Times New Roman"/>
          <w:sz w:val="24"/>
          <w:szCs w:val="24"/>
        </w:rPr>
        <w:t>Sebire</w:t>
      </w:r>
      <w:proofErr w:type="spellEnd"/>
      <w:r w:rsidRPr="004F0A32">
        <w:rPr>
          <w:rFonts w:ascii="Times New Roman" w:eastAsia="Times New Roman" w:hAnsi="Times New Roman" w:cs="Times New Roman"/>
          <w:sz w:val="24"/>
          <w:szCs w:val="24"/>
        </w:rPr>
        <w:t xml:space="preserve">, J. and Turton, J. (2022) </w:t>
      </w:r>
      <w:r w:rsidRPr="004F0A32">
        <w:rPr>
          <w:rFonts w:ascii="Times New Roman" w:eastAsia="Times New Roman" w:hAnsi="Times New Roman" w:cs="Times New Roman"/>
          <w:i/>
          <w:iCs/>
          <w:sz w:val="24"/>
          <w:szCs w:val="24"/>
        </w:rPr>
        <w:t>Policing domestic abuse: Risk, Policy, and Practice.</w:t>
      </w:r>
      <w:r w:rsidRPr="004F0A32">
        <w:rPr>
          <w:rFonts w:ascii="Times New Roman" w:eastAsia="Times New Roman" w:hAnsi="Times New Roman" w:cs="Times New Roman"/>
          <w:sz w:val="24"/>
          <w:szCs w:val="24"/>
        </w:rPr>
        <w:t xml:space="preserve"> Routledge Advances in Police Practice and Knowledge.</w:t>
      </w:r>
    </w:p>
    <w:p w14:paraId="761D2AC6" w14:textId="77777777" w:rsidR="00BA3F75" w:rsidRDefault="00BA3F75" w:rsidP="00BA3F7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4F0A32">
        <w:rPr>
          <w:rFonts w:ascii="Times New Roman" w:eastAsia="Times New Roman" w:hAnsi="Times New Roman" w:cs="Times New Roman"/>
          <w:sz w:val="24"/>
          <w:szCs w:val="24"/>
        </w:rPr>
        <w:t>Thomas, P. (2024) 'British Educators Preventing Terrorism Through ‘Safeguarding’ the ‘Vulnerable,’' </w:t>
      </w:r>
      <w:r w:rsidRPr="004F0A32">
        <w:rPr>
          <w:rFonts w:ascii="Times New Roman" w:eastAsia="Times New Roman" w:hAnsi="Times New Roman" w:cs="Times New Roman"/>
          <w:i/>
          <w:iCs/>
          <w:sz w:val="24"/>
          <w:szCs w:val="24"/>
        </w:rPr>
        <w:t>British Journal of Educational Studies</w:t>
      </w:r>
      <w:r w:rsidRPr="004F0A32">
        <w:rPr>
          <w:rFonts w:ascii="Times New Roman" w:eastAsia="Times New Roman" w:hAnsi="Times New Roman" w:cs="Times New Roman"/>
          <w:sz w:val="24"/>
          <w:szCs w:val="24"/>
        </w:rPr>
        <w:t>, 72(6), pp. 675–692. </w:t>
      </w:r>
      <w:hyperlink r:id="rId8" w:history="1">
        <w:r w:rsidRPr="003059C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https://doi.org/10.1080/00071005.2024.2318697</w:t>
        </w:r>
      </w:hyperlink>
      <w:r w:rsidRPr="004F0A32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57FEDF5F" w14:textId="77777777" w:rsidR="00BA3F75" w:rsidRDefault="00BA3F75" w:rsidP="00BA3F7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C34B32">
        <w:rPr>
          <w:rFonts w:ascii="Times New Roman" w:eastAsia="Times New Roman" w:hAnsi="Times New Roman" w:cs="Times New Roman"/>
          <w:sz w:val="24"/>
          <w:szCs w:val="24"/>
        </w:rPr>
        <w:t xml:space="preserve">Hesketh, I. (2025) </w:t>
      </w:r>
      <w:r w:rsidRPr="00C34B32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Wellbeing in </w:t>
      </w:r>
      <w:proofErr w:type="gramStart"/>
      <w:r w:rsidRPr="00C34B32">
        <w:rPr>
          <w:rFonts w:ascii="Times New Roman" w:eastAsia="Times New Roman" w:hAnsi="Times New Roman" w:cs="Times New Roman"/>
          <w:i/>
          <w:iCs/>
          <w:sz w:val="24"/>
          <w:szCs w:val="24"/>
        </w:rPr>
        <w:t>policing</w:t>
      </w:r>
      <w:proofErr w:type="gramEnd"/>
      <w:r w:rsidRPr="00C34B3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hyperlink r:id="rId9" w:history="1">
        <w:r w:rsidRPr="003059C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https://doi.org/10.4324/9781003518860</w:t>
        </w:r>
      </w:hyperlink>
      <w:r w:rsidRPr="00C34B32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67CC19A6" w14:textId="77777777" w:rsidR="00BA3F75" w:rsidRDefault="00BA3F75" w:rsidP="00BA3F75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C34B32">
        <w:rPr>
          <w:rFonts w:ascii="Times New Roman" w:eastAsia="Times New Roman" w:hAnsi="Times New Roman" w:cs="Times New Roman"/>
          <w:sz w:val="24"/>
          <w:szCs w:val="24"/>
        </w:rPr>
        <w:t xml:space="preserve">Hughes, K. et al. (2017) 'The effect of multiple adverse childhood experiences on health: a systematic review and meta-analysis,' The Lancet Public Health, 2(8), pp. e356–e366. </w:t>
      </w:r>
      <w:hyperlink r:id="rId10" w:history="1">
        <w:r w:rsidRPr="003059C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https://doi.org/10.1016/s2468-2667(17)30118-4</w:t>
        </w:r>
      </w:hyperlink>
      <w:r w:rsidRPr="00C34B32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64B88609" w14:textId="77777777" w:rsidR="001F25E0" w:rsidRDefault="001F25E0"/>
    <w:sectPr w:rsidR="001F25E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FC6A89"/>
    <w:multiLevelType w:val="multilevel"/>
    <w:tmpl w:val="D38415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697889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5754"/>
    <w:rsid w:val="001F25E0"/>
    <w:rsid w:val="00246E6D"/>
    <w:rsid w:val="00A0379C"/>
    <w:rsid w:val="00BA3F75"/>
    <w:rsid w:val="00BD73F0"/>
    <w:rsid w:val="00C264DC"/>
    <w:rsid w:val="00E950D5"/>
    <w:rsid w:val="00FA57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8AC91B"/>
  <w15:chartTrackingRefBased/>
  <w15:docId w15:val="{281AE2EF-53D5-4AB5-86B4-A5BD8B8AFD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3F7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3F7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A3F7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00071005.2024.2318697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02/chi.763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48785/100/273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doi.org/10.1016/s2468-2667(17)30118-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4324/978100351886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295</Words>
  <Characters>1685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DIGITAL OUTLET</dc:creator>
  <cp:keywords/>
  <dc:description/>
  <cp:lastModifiedBy>vihona de oliveira</cp:lastModifiedBy>
  <cp:revision>3</cp:revision>
  <dcterms:created xsi:type="dcterms:W3CDTF">2026-07-22T18:00:00Z</dcterms:created>
  <dcterms:modified xsi:type="dcterms:W3CDTF">2026-07-23T10:42:00Z</dcterms:modified>
</cp:coreProperties>
</file>