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348690" w14:textId="1A55AFD6" w:rsidR="00190186" w:rsidRDefault="00190186" w:rsidP="00190186">
      <w:pPr>
        <w:rPr>
          <w:rFonts w:ascii="Arial" w:hAnsi="Arial" w:cs="Arial"/>
          <w:b/>
          <w:bCs/>
          <w:sz w:val="24"/>
          <w:szCs w:val="24"/>
        </w:rPr>
      </w:pPr>
      <w:r w:rsidRPr="00A17791">
        <w:rPr>
          <w:rFonts w:ascii="Arial" w:hAnsi="Arial" w:cs="Arial"/>
          <w:b/>
          <w:bCs/>
          <w:sz w:val="24"/>
          <w:szCs w:val="24"/>
        </w:rPr>
        <w:t xml:space="preserve">BMGM4002 </w:t>
      </w:r>
    </w:p>
    <w:p w14:paraId="243A9E0A" w14:textId="43A0660A" w:rsidR="00AA4B2E" w:rsidRPr="00A17791" w:rsidRDefault="00AA4B2E" w:rsidP="00190186">
      <w:pPr>
        <w:rPr>
          <w:rFonts w:ascii="Arial" w:hAnsi="Arial" w:cs="Arial"/>
          <w:b/>
          <w:bCs/>
          <w:sz w:val="24"/>
          <w:szCs w:val="24"/>
        </w:rPr>
      </w:pPr>
      <w:r>
        <w:rPr>
          <w:rFonts w:ascii="Arial" w:hAnsi="Arial" w:cs="Arial"/>
          <w:b/>
          <w:bCs/>
          <w:sz w:val="24"/>
          <w:szCs w:val="24"/>
        </w:rPr>
        <w:t>Ionut Moldovan</w:t>
      </w:r>
    </w:p>
    <w:p w14:paraId="621AF5B7" w14:textId="77777777" w:rsidR="00190186" w:rsidRPr="00A17791" w:rsidRDefault="00190186" w:rsidP="00190186">
      <w:pPr>
        <w:rPr>
          <w:rFonts w:ascii="Arial" w:hAnsi="Arial" w:cs="Arial"/>
          <w:b/>
          <w:bCs/>
          <w:sz w:val="24"/>
          <w:szCs w:val="24"/>
        </w:rPr>
      </w:pPr>
      <w:r w:rsidRPr="00A17791">
        <w:rPr>
          <w:rFonts w:ascii="Arial" w:hAnsi="Arial" w:cs="Arial"/>
          <w:b/>
          <w:bCs/>
          <w:sz w:val="24"/>
          <w:szCs w:val="24"/>
        </w:rPr>
        <w:t>Introduction</w:t>
      </w:r>
    </w:p>
    <w:p w14:paraId="3F514F2E" w14:textId="77777777" w:rsidR="00190186" w:rsidRPr="00A17791" w:rsidRDefault="00190186" w:rsidP="00190186">
      <w:pPr>
        <w:rPr>
          <w:rFonts w:ascii="Arial" w:hAnsi="Arial" w:cs="Arial"/>
          <w:sz w:val="24"/>
          <w:szCs w:val="24"/>
        </w:rPr>
      </w:pPr>
      <w:r w:rsidRPr="00A17791">
        <w:rPr>
          <w:rFonts w:ascii="Arial" w:hAnsi="Arial" w:cs="Arial"/>
          <w:sz w:val="24"/>
          <w:szCs w:val="24"/>
        </w:rPr>
        <w:t>I completed my placement at Wagamama, where I worked as a Chef in a busy restaurant kitchen. Before starting my placement, I only had basic cooking knowledge and very little experience in a professional kitchen. I knew simple food preparation, basic knife skills and food hygiene, but I had never worked in an environment where every order had to be prepared quickly while still meeting the same quality standards.</w:t>
      </w:r>
    </w:p>
    <w:p w14:paraId="2D575CDF" w14:textId="77777777" w:rsidR="00190186" w:rsidRPr="00A17791" w:rsidRDefault="00190186" w:rsidP="00190186">
      <w:pPr>
        <w:rPr>
          <w:rFonts w:ascii="Arial" w:hAnsi="Arial" w:cs="Arial"/>
          <w:sz w:val="24"/>
          <w:szCs w:val="24"/>
        </w:rPr>
      </w:pPr>
      <w:r w:rsidRPr="00A17791">
        <w:rPr>
          <w:rFonts w:ascii="Arial" w:hAnsi="Arial" w:cs="Arial"/>
          <w:sz w:val="24"/>
          <w:szCs w:val="24"/>
        </w:rPr>
        <w:t>I remember feeling nervous on my first day. Everything seemed to move much faster than I expected. The chefs communicated constantly, different sections were preparing food at the same time and there was always something happening. For the first few shifts, I spent more time listening and watching than talking because I wanted to understand how the kitchen worked before becoming more confident. Looking back now, I realise this helped me build a strong foundation instead of rushing into tasks that I was not ready for.</w:t>
      </w:r>
    </w:p>
    <w:p w14:paraId="0B92A398" w14:textId="77777777" w:rsidR="00190186" w:rsidRPr="00A17791" w:rsidRDefault="00190186" w:rsidP="00190186">
      <w:pPr>
        <w:rPr>
          <w:rFonts w:ascii="Arial" w:hAnsi="Arial" w:cs="Arial"/>
          <w:sz w:val="24"/>
          <w:szCs w:val="24"/>
        </w:rPr>
      </w:pPr>
      <w:r w:rsidRPr="00A17791">
        <w:rPr>
          <w:rFonts w:ascii="Arial" w:hAnsi="Arial" w:cs="Arial"/>
          <w:sz w:val="24"/>
          <w:szCs w:val="24"/>
        </w:rPr>
        <w:t>At the beginning, my responsibilities were quite simple. I prepared ingredients, followed food safety procedures, cleaned my workstation and helped the team whenever I could. As I became more confident, I started learning different kitchen stations and took on more responsibility during service. Every week I was trusted with new tasks, which motivated me to keep improving.</w:t>
      </w:r>
    </w:p>
    <w:p w14:paraId="139AA3C3" w14:textId="69FE788C" w:rsidR="00190186" w:rsidRPr="00A17791" w:rsidRDefault="00190186" w:rsidP="00190186">
      <w:pPr>
        <w:rPr>
          <w:rFonts w:ascii="Arial" w:hAnsi="Arial" w:cs="Arial"/>
          <w:sz w:val="24"/>
          <w:szCs w:val="24"/>
        </w:rPr>
      </w:pPr>
      <w:r w:rsidRPr="00A17791">
        <w:rPr>
          <w:rFonts w:ascii="Arial" w:hAnsi="Arial" w:cs="Arial"/>
          <w:sz w:val="24"/>
          <w:szCs w:val="24"/>
        </w:rPr>
        <w:t xml:space="preserve">Before my placement, I hoped to become a better cook, but by the end I realised I had learned much more than cooking. I developed confidence, learned how to work under pressure, improved my communication and understood how important teamwork is in a professional kitchen. Learning through real experience helped me understand ideas that I had previously only studied at university, supporting Kolb's (1984) view that people learn best through experience. I also found that regular feedback and reflecting on my own performance helped me improve after every shift </w:t>
      </w:r>
      <w:sdt>
        <w:sdtPr>
          <w:rPr>
            <w:rFonts w:ascii="Arial" w:hAnsi="Arial" w:cs="Arial"/>
            <w:sz w:val="24"/>
            <w:szCs w:val="24"/>
          </w:rPr>
          <w:id w:val="1863861366"/>
          <w:citation/>
        </w:sdtPr>
        <w:sdtContent>
          <w:r w:rsidR="00A17791">
            <w:rPr>
              <w:rFonts w:ascii="Arial" w:hAnsi="Arial" w:cs="Arial"/>
              <w:sz w:val="24"/>
              <w:szCs w:val="24"/>
            </w:rPr>
            <w:fldChar w:fldCharType="begin"/>
          </w:r>
          <w:r w:rsidR="00A17791">
            <w:rPr>
              <w:rFonts w:ascii="Arial" w:hAnsi="Arial" w:cs="Arial"/>
              <w:sz w:val="24"/>
              <w:szCs w:val="24"/>
            </w:rPr>
            <w:instrText xml:space="preserve"> CITATION Mic04 \l 2057 </w:instrText>
          </w:r>
          <w:r w:rsidR="00A17791">
            <w:rPr>
              <w:rFonts w:ascii="Arial" w:hAnsi="Arial" w:cs="Arial"/>
              <w:sz w:val="24"/>
              <w:szCs w:val="24"/>
            </w:rPr>
            <w:fldChar w:fldCharType="separate"/>
          </w:r>
          <w:r w:rsidR="00A17791" w:rsidRPr="00A17791">
            <w:rPr>
              <w:rFonts w:ascii="Arial" w:hAnsi="Arial" w:cs="Arial"/>
              <w:noProof/>
              <w:sz w:val="24"/>
              <w:szCs w:val="24"/>
            </w:rPr>
            <w:t>(Eraut, 2004)</w:t>
          </w:r>
          <w:r w:rsidR="00A17791">
            <w:rPr>
              <w:rFonts w:ascii="Arial" w:hAnsi="Arial" w:cs="Arial"/>
              <w:sz w:val="24"/>
              <w:szCs w:val="24"/>
            </w:rPr>
            <w:fldChar w:fldCharType="end"/>
          </w:r>
        </w:sdtContent>
      </w:sdt>
      <w:r w:rsidRPr="00A17791">
        <w:rPr>
          <w:rFonts w:ascii="Arial" w:hAnsi="Arial" w:cs="Arial"/>
          <w:sz w:val="24"/>
          <w:szCs w:val="24"/>
        </w:rPr>
        <w:t>.</w:t>
      </w:r>
    </w:p>
    <w:p w14:paraId="2E892364" w14:textId="77777777" w:rsidR="00190186" w:rsidRPr="00A17791" w:rsidRDefault="00190186" w:rsidP="00190186">
      <w:pPr>
        <w:rPr>
          <w:rFonts w:ascii="Arial" w:hAnsi="Arial" w:cs="Arial"/>
          <w:b/>
          <w:bCs/>
          <w:sz w:val="24"/>
          <w:szCs w:val="24"/>
        </w:rPr>
      </w:pPr>
      <w:r w:rsidRPr="00A17791">
        <w:rPr>
          <w:rFonts w:ascii="Arial" w:hAnsi="Arial" w:cs="Arial"/>
          <w:b/>
          <w:bCs/>
          <w:sz w:val="24"/>
          <w:szCs w:val="24"/>
        </w:rPr>
        <w:t>Culinary Skills Development</w:t>
      </w:r>
    </w:p>
    <w:p w14:paraId="5E1F8BF7" w14:textId="77777777" w:rsidR="00190186" w:rsidRPr="00A17791" w:rsidRDefault="00190186" w:rsidP="00190186">
      <w:pPr>
        <w:rPr>
          <w:rFonts w:ascii="Arial" w:hAnsi="Arial" w:cs="Arial"/>
          <w:sz w:val="24"/>
          <w:szCs w:val="24"/>
        </w:rPr>
      </w:pPr>
      <w:r w:rsidRPr="00A17791">
        <w:rPr>
          <w:rFonts w:ascii="Arial" w:hAnsi="Arial" w:cs="Arial"/>
          <w:sz w:val="24"/>
          <w:szCs w:val="24"/>
        </w:rPr>
        <w:t>When I joined Wagamama, I quickly realised that knowing how to cook and working as a chef were two very different things. I could prepare simple food, but I had never worked in a kitchen where timing, organisation and consistency were just as important as cooking itself. During my first few weeks I made small mistakes, forgot ingredients and often needed reassurance that I was doing things correctly. Instead of feeling discouraged, I tried to learn something from every shift.</w:t>
      </w:r>
    </w:p>
    <w:p w14:paraId="7B497E5C" w14:textId="28F4C0D0" w:rsidR="00190186" w:rsidRPr="00A17791" w:rsidRDefault="00190186" w:rsidP="00190186">
      <w:pPr>
        <w:rPr>
          <w:rFonts w:ascii="Arial" w:hAnsi="Arial" w:cs="Arial"/>
          <w:sz w:val="24"/>
          <w:szCs w:val="24"/>
        </w:rPr>
      </w:pPr>
      <w:r w:rsidRPr="00A17791">
        <w:rPr>
          <w:rFonts w:ascii="Arial" w:hAnsi="Arial" w:cs="Arial"/>
          <w:sz w:val="24"/>
          <w:szCs w:val="24"/>
        </w:rPr>
        <w:t xml:space="preserve">The first section I learned was preparation. Although it looked like one of the easiest jobs, I soon understood how important it was. Preparing vegetables, sauces and ingredients correctly made the rest of the service much easier. I also improved my knife skills because I repeated the same tasks every day. At </w:t>
      </w:r>
      <w:r w:rsidR="00A17791" w:rsidRPr="00A17791">
        <w:rPr>
          <w:rFonts w:ascii="Arial" w:hAnsi="Arial" w:cs="Arial"/>
          <w:sz w:val="24"/>
          <w:szCs w:val="24"/>
        </w:rPr>
        <w:t>first,</w:t>
      </w:r>
      <w:r w:rsidRPr="00A17791">
        <w:rPr>
          <w:rFonts w:ascii="Arial" w:hAnsi="Arial" w:cs="Arial"/>
          <w:sz w:val="24"/>
          <w:szCs w:val="24"/>
        </w:rPr>
        <w:t xml:space="preserve"> I worked slowly because I wanted every cut to be perfect. After a few weeks, I noticed that my hands moved more naturally, and I no longer had to think about every movement. Practice </w:t>
      </w:r>
      <w:r w:rsidRPr="00A17791">
        <w:rPr>
          <w:rFonts w:ascii="Arial" w:hAnsi="Arial" w:cs="Arial"/>
          <w:sz w:val="24"/>
          <w:szCs w:val="24"/>
        </w:rPr>
        <w:lastRenderedPageBreak/>
        <w:t xml:space="preserve">gave me confidence rather than speed alone, which reflects the importance of developing practical culinary skills through repetition </w:t>
      </w:r>
      <w:sdt>
        <w:sdtPr>
          <w:rPr>
            <w:rFonts w:ascii="Arial" w:hAnsi="Arial" w:cs="Arial"/>
            <w:sz w:val="24"/>
            <w:szCs w:val="24"/>
          </w:rPr>
          <w:id w:val="227967652"/>
          <w:citation/>
        </w:sdtPr>
        <w:sdtContent>
          <w:r w:rsidR="00A17791">
            <w:rPr>
              <w:rFonts w:ascii="Arial" w:hAnsi="Arial" w:cs="Arial"/>
              <w:sz w:val="24"/>
              <w:szCs w:val="24"/>
            </w:rPr>
            <w:fldChar w:fldCharType="begin"/>
          </w:r>
          <w:r w:rsidR="00A17791">
            <w:rPr>
              <w:rFonts w:ascii="Arial" w:hAnsi="Arial" w:cs="Arial"/>
              <w:sz w:val="24"/>
              <w:szCs w:val="24"/>
            </w:rPr>
            <w:instrText xml:space="preserve"> CITATION Jos11 \l 2057 </w:instrText>
          </w:r>
          <w:r w:rsidR="00A17791">
            <w:rPr>
              <w:rFonts w:ascii="Arial" w:hAnsi="Arial" w:cs="Arial"/>
              <w:sz w:val="24"/>
              <w:szCs w:val="24"/>
            </w:rPr>
            <w:fldChar w:fldCharType="separate"/>
          </w:r>
          <w:r w:rsidR="00A17791" w:rsidRPr="00A17791">
            <w:rPr>
              <w:rFonts w:ascii="Arial" w:hAnsi="Arial" w:cs="Arial"/>
              <w:noProof/>
              <w:sz w:val="24"/>
              <w:szCs w:val="24"/>
            </w:rPr>
            <w:t>(Hegarty, 2011)</w:t>
          </w:r>
          <w:r w:rsidR="00A17791">
            <w:rPr>
              <w:rFonts w:ascii="Arial" w:hAnsi="Arial" w:cs="Arial"/>
              <w:sz w:val="24"/>
              <w:szCs w:val="24"/>
            </w:rPr>
            <w:fldChar w:fldCharType="end"/>
          </w:r>
        </w:sdtContent>
      </w:sdt>
      <w:r w:rsidRPr="00A17791">
        <w:rPr>
          <w:rFonts w:ascii="Arial" w:hAnsi="Arial" w:cs="Arial"/>
          <w:sz w:val="24"/>
          <w:szCs w:val="24"/>
        </w:rPr>
        <w:t>.</w:t>
      </w:r>
    </w:p>
    <w:p w14:paraId="4D818462" w14:textId="77777777" w:rsidR="00190186" w:rsidRPr="00A17791" w:rsidRDefault="00190186" w:rsidP="00190186">
      <w:pPr>
        <w:rPr>
          <w:rFonts w:ascii="Arial" w:hAnsi="Arial" w:cs="Arial"/>
          <w:sz w:val="24"/>
          <w:szCs w:val="24"/>
        </w:rPr>
      </w:pPr>
      <w:r w:rsidRPr="00A17791">
        <w:rPr>
          <w:rFonts w:ascii="Arial" w:hAnsi="Arial" w:cs="Arial"/>
          <w:sz w:val="24"/>
          <w:szCs w:val="24"/>
        </w:rPr>
        <w:t xml:space="preserve">One thing I remember clearly was learning mise </w:t>
      </w:r>
      <w:proofErr w:type="spellStart"/>
      <w:r w:rsidRPr="00A17791">
        <w:rPr>
          <w:rFonts w:ascii="Arial" w:hAnsi="Arial" w:cs="Arial"/>
          <w:sz w:val="24"/>
          <w:szCs w:val="24"/>
        </w:rPr>
        <w:t>en</w:t>
      </w:r>
      <w:proofErr w:type="spellEnd"/>
      <w:r w:rsidRPr="00A17791">
        <w:rPr>
          <w:rFonts w:ascii="Arial" w:hAnsi="Arial" w:cs="Arial"/>
          <w:sz w:val="24"/>
          <w:szCs w:val="24"/>
        </w:rPr>
        <w:t xml:space="preserve"> place. Before my placement, I did not realise how much preparation happened before customers even arrived. Every ingredient had to be labelled, stored correctly and placed where it could be reached quickly during service. On one of my first busy evenings, I wasted valuable time because I had not organised my station properly. I remember looking for ingredients while other chefs were already cooking. Nobody became angry, but one of the senior chefs quietly told me, "If your station is ready, your service will be easier." I still remember that advice because it completely changed the way I prepared for every shift.</w:t>
      </w:r>
    </w:p>
    <w:p w14:paraId="7CC09244" w14:textId="77777777" w:rsidR="00190186" w:rsidRPr="00A17791" w:rsidRDefault="00190186" w:rsidP="00190186">
      <w:pPr>
        <w:rPr>
          <w:rFonts w:ascii="Arial" w:hAnsi="Arial" w:cs="Arial"/>
          <w:sz w:val="24"/>
          <w:szCs w:val="24"/>
        </w:rPr>
      </w:pPr>
      <w:r w:rsidRPr="00A17791">
        <w:rPr>
          <w:rFonts w:ascii="Arial" w:hAnsi="Arial" w:cs="Arial"/>
          <w:sz w:val="24"/>
          <w:szCs w:val="24"/>
        </w:rPr>
        <w:t xml:space="preserve">As I improved, I started training on different kitchen stations, including ramen, fry, teppanyaki and gyoza. Each station had different recipes, cooking times and responsibilities. At </w:t>
      </w:r>
      <w:proofErr w:type="gramStart"/>
      <w:r w:rsidRPr="00A17791">
        <w:rPr>
          <w:rFonts w:ascii="Arial" w:hAnsi="Arial" w:cs="Arial"/>
          <w:sz w:val="24"/>
          <w:szCs w:val="24"/>
        </w:rPr>
        <w:t>first</w:t>
      </w:r>
      <w:proofErr w:type="gramEnd"/>
      <w:r w:rsidRPr="00A17791">
        <w:rPr>
          <w:rFonts w:ascii="Arial" w:hAnsi="Arial" w:cs="Arial"/>
          <w:sz w:val="24"/>
          <w:szCs w:val="24"/>
        </w:rPr>
        <w:t xml:space="preserve"> I worried that I would never remember everything. Instead of trying to learn every station at once, I focused on becoming confident on one before moving to the next. Looking back, this made learning much less stressful and allowed me to build my confidence step by step rather than feeling overwhelmed.</w:t>
      </w:r>
    </w:p>
    <w:p w14:paraId="02B845C6" w14:textId="0A3B086A" w:rsidR="00190186" w:rsidRPr="00A17791" w:rsidRDefault="00190186" w:rsidP="00190186">
      <w:pPr>
        <w:rPr>
          <w:rFonts w:ascii="Arial" w:hAnsi="Arial" w:cs="Arial"/>
          <w:sz w:val="24"/>
          <w:szCs w:val="24"/>
        </w:rPr>
      </w:pPr>
      <w:r w:rsidRPr="00A17791">
        <w:rPr>
          <w:rFonts w:ascii="Arial" w:hAnsi="Arial" w:cs="Arial"/>
          <w:sz w:val="24"/>
          <w:szCs w:val="24"/>
        </w:rPr>
        <w:t>Another area where I improved was time management. During busy lunch and evening services, orders arrived continuously. In the beginning, I believed working faster was the answer. After a few weeks, I realised that good organisation was much more important than simply moving quickly. When my station was organised and I planned my next steps, I naturally became faster while making fewer mistakes. This experience helped me understand that efficiency comes from preparation rather than rushing</w:t>
      </w:r>
      <w:sdt>
        <w:sdtPr>
          <w:rPr>
            <w:rFonts w:ascii="Arial" w:hAnsi="Arial" w:cs="Arial"/>
            <w:sz w:val="24"/>
            <w:szCs w:val="24"/>
          </w:rPr>
          <w:id w:val="-1446376662"/>
          <w:citation/>
        </w:sdtPr>
        <w:sdtContent>
          <w:r w:rsidR="00A17791">
            <w:rPr>
              <w:rFonts w:ascii="Arial" w:hAnsi="Arial" w:cs="Arial"/>
              <w:sz w:val="24"/>
              <w:szCs w:val="24"/>
            </w:rPr>
            <w:fldChar w:fldCharType="begin"/>
          </w:r>
          <w:r w:rsidR="00A17791">
            <w:rPr>
              <w:rFonts w:ascii="Arial" w:hAnsi="Arial" w:cs="Arial"/>
              <w:sz w:val="24"/>
              <w:szCs w:val="24"/>
            </w:rPr>
            <w:instrText xml:space="preserve"> CITATION Joh19 \l 2057 </w:instrText>
          </w:r>
          <w:r w:rsidR="00A17791">
            <w:rPr>
              <w:rFonts w:ascii="Arial" w:hAnsi="Arial" w:cs="Arial"/>
              <w:sz w:val="24"/>
              <w:szCs w:val="24"/>
            </w:rPr>
            <w:fldChar w:fldCharType="separate"/>
          </w:r>
          <w:r w:rsidR="00A17791">
            <w:rPr>
              <w:rFonts w:ascii="Arial" w:hAnsi="Arial" w:cs="Arial"/>
              <w:noProof/>
              <w:sz w:val="24"/>
              <w:szCs w:val="24"/>
            </w:rPr>
            <w:t xml:space="preserve"> </w:t>
          </w:r>
          <w:r w:rsidR="00A17791" w:rsidRPr="00A17791">
            <w:rPr>
              <w:rFonts w:ascii="Arial" w:hAnsi="Arial" w:cs="Arial"/>
              <w:noProof/>
              <w:sz w:val="24"/>
              <w:szCs w:val="24"/>
            </w:rPr>
            <w:t>(Cousins, et al., 2019)</w:t>
          </w:r>
          <w:r w:rsidR="00A17791">
            <w:rPr>
              <w:rFonts w:ascii="Arial" w:hAnsi="Arial" w:cs="Arial"/>
              <w:sz w:val="24"/>
              <w:szCs w:val="24"/>
            </w:rPr>
            <w:fldChar w:fldCharType="end"/>
          </w:r>
        </w:sdtContent>
      </w:sdt>
      <w:r w:rsidRPr="00A17791">
        <w:rPr>
          <w:rFonts w:ascii="Arial" w:hAnsi="Arial" w:cs="Arial"/>
          <w:sz w:val="24"/>
          <w:szCs w:val="24"/>
        </w:rPr>
        <w:t>.</w:t>
      </w:r>
    </w:p>
    <w:p w14:paraId="72597533" w14:textId="6B07A82E" w:rsidR="00190186" w:rsidRPr="00A17791" w:rsidRDefault="00190186" w:rsidP="00190186">
      <w:pPr>
        <w:rPr>
          <w:rFonts w:ascii="Arial" w:hAnsi="Arial" w:cs="Arial"/>
          <w:sz w:val="24"/>
          <w:szCs w:val="24"/>
        </w:rPr>
      </w:pPr>
      <w:r w:rsidRPr="00A17791">
        <w:rPr>
          <w:rFonts w:ascii="Arial" w:hAnsi="Arial" w:cs="Arial"/>
          <w:sz w:val="24"/>
          <w:szCs w:val="24"/>
        </w:rPr>
        <w:t xml:space="preserve">Food safety also became part of everything I did. At university I had learned the theory behind cross-contamination, temperature control and personal hygiene, but working in Wagamama showed me why these procedures matter every day. I became much more aware of checking temperatures, rotating stock correctly, cleaning my station regularly and handling food safely throughout service. These routines soon became habits rather than rules that I had to remember, supporting the importance of consistent food safety practices in professional kitchens </w:t>
      </w:r>
      <w:sdt>
        <w:sdtPr>
          <w:rPr>
            <w:rFonts w:ascii="Arial" w:hAnsi="Arial" w:cs="Arial"/>
            <w:sz w:val="24"/>
            <w:szCs w:val="24"/>
          </w:rPr>
          <w:id w:val="-802313576"/>
          <w:citation/>
        </w:sdtPr>
        <w:sdtContent>
          <w:r w:rsidR="00A17791">
            <w:rPr>
              <w:rFonts w:ascii="Arial" w:hAnsi="Arial" w:cs="Arial"/>
              <w:sz w:val="24"/>
              <w:szCs w:val="24"/>
            </w:rPr>
            <w:fldChar w:fldCharType="begin"/>
          </w:r>
          <w:r w:rsidR="00A17791">
            <w:rPr>
              <w:rFonts w:ascii="Arial" w:hAnsi="Arial" w:cs="Arial"/>
              <w:sz w:val="24"/>
              <w:szCs w:val="24"/>
            </w:rPr>
            <w:instrText xml:space="preserve"> CITATION Foo241 \l 2057 </w:instrText>
          </w:r>
          <w:r w:rsidR="00A17791">
            <w:rPr>
              <w:rFonts w:ascii="Arial" w:hAnsi="Arial" w:cs="Arial"/>
              <w:sz w:val="24"/>
              <w:szCs w:val="24"/>
            </w:rPr>
            <w:fldChar w:fldCharType="separate"/>
          </w:r>
          <w:r w:rsidR="00A17791" w:rsidRPr="00A17791">
            <w:rPr>
              <w:rFonts w:ascii="Arial" w:hAnsi="Arial" w:cs="Arial"/>
              <w:noProof/>
              <w:sz w:val="24"/>
              <w:szCs w:val="24"/>
            </w:rPr>
            <w:t>(Agency, 2024)</w:t>
          </w:r>
          <w:r w:rsidR="00A17791">
            <w:rPr>
              <w:rFonts w:ascii="Arial" w:hAnsi="Arial" w:cs="Arial"/>
              <w:sz w:val="24"/>
              <w:szCs w:val="24"/>
            </w:rPr>
            <w:fldChar w:fldCharType="end"/>
          </w:r>
        </w:sdtContent>
      </w:sdt>
      <w:r w:rsidRPr="00A17791">
        <w:rPr>
          <w:rFonts w:ascii="Arial" w:hAnsi="Arial" w:cs="Arial"/>
          <w:sz w:val="24"/>
          <w:szCs w:val="24"/>
        </w:rPr>
        <w:t>.</w:t>
      </w:r>
    </w:p>
    <w:p w14:paraId="5E6053AC" w14:textId="41D23C67" w:rsidR="007C13CB" w:rsidRPr="00A17791" w:rsidRDefault="007C13CB">
      <w:pPr>
        <w:rPr>
          <w:rFonts w:ascii="Arial" w:hAnsi="Arial" w:cs="Arial"/>
          <w:sz w:val="24"/>
          <w:szCs w:val="24"/>
        </w:rPr>
      </w:pPr>
    </w:p>
    <w:p w14:paraId="7C7CCF61" w14:textId="77777777" w:rsidR="00190186" w:rsidRPr="00A17791" w:rsidRDefault="00190186" w:rsidP="00190186">
      <w:pPr>
        <w:rPr>
          <w:rFonts w:ascii="Arial" w:hAnsi="Arial" w:cs="Arial"/>
          <w:b/>
          <w:bCs/>
          <w:sz w:val="24"/>
          <w:szCs w:val="24"/>
        </w:rPr>
      </w:pPr>
      <w:r w:rsidRPr="00A17791">
        <w:rPr>
          <w:rFonts w:ascii="Arial" w:hAnsi="Arial" w:cs="Arial"/>
          <w:b/>
          <w:bCs/>
          <w:sz w:val="24"/>
          <w:szCs w:val="24"/>
        </w:rPr>
        <w:t>Professional Kitchen Experience</w:t>
      </w:r>
    </w:p>
    <w:p w14:paraId="5B2CAFA0" w14:textId="77777777" w:rsidR="00190186" w:rsidRPr="00A17791" w:rsidRDefault="00190186" w:rsidP="00190186">
      <w:pPr>
        <w:rPr>
          <w:rFonts w:ascii="Arial" w:hAnsi="Arial" w:cs="Arial"/>
          <w:sz w:val="24"/>
          <w:szCs w:val="24"/>
        </w:rPr>
      </w:pPr>
      <w:r w:rsidRPr="00A17791">
        <w:rPr>
          <w:rFonts w:ascii="Arial" w:hAnsi="Arial" w:cs="Arial"/>
          <w:sz w:val="24"/>
          <w:szCs w:val="24"/>
        </w:rPr>
        <w:t>My placement showed me that working in a professional kitchen is about much more than preparing food. Every chef had their own responsibilities, but nobody worked alone. During every service, communication, teamwork and trust were just as important as cooking. This was one of the biggest differences between what I had learned at university and what I experienced at Wagamama.</w:t>
      </w:r>
    </w:p>
    <w:p w14:paraId="5C5A82D6" w14:textId="47F93703" w:rsidR="00190186" w:rsidRPr="00A17791" w:rsidRDefault="00190186" w:rsidP="00190186">
      <w:pPr>
        <w:rPr>
          <w:rFonts w:ascii="Arial" w:hAnsi="Arial" w:cs="Arial"/>
          <w:sz w:val="24"/>
          <w:szCs w:val="24"/>
        </w:rPr>
      </w:pPr>
      <w:r w:rsidRPr="00A17791">
        <w:rPr>
          <w:rFonts w:ascii="Arial" w:hAnsi="Arial" w:cs="Arial"/>
          <w:sz w:val="24"/>
          <w:szCs w:val="24"/>
        </w:rPr>
        <w:t xml:space="preserve">At first, I was quite quiet because I did not want to interrupt the other chefs. I worried about asking too many questions or making mistakes. After a few weeks, I realised that good communication </w:t>
      </w:r>
      <w:r w:rsidR="00A17791" w:rsidRPr="00A17791">
        <w:rPr>
          <w:rFonts w:ascii="Arial" w:hAnsi="Arial" w:cs="Arial"/>
          <w:sz w:val="24"/>
          <w:szCs w:val="24"/>
        </w:rPr>
        <w:t>helped</w:t>
      </w:r>
      <w:r w:rsidRPr="00A17791">
        <w:rPr>
          <w:rFonts w:ascii="Arial" w:hAnsi="Arial" w:cs="Arial"/>
          <w:sz w:val="24"/>
          <w:szCs w:val="24"/>
        </w:rPr>
        <w:t xml:space="preserve"> the whole team. If I was unsure about an order or a </w:t>
      </w:r>
      <w:r w:rsidRPr="00A17791">
        <w:rPr>
          <w:rFonts w:ascii="Arial" w:hAnsi="Arial" w:cs="Arial"/>
          <w:sz w:val="24"/>
          <w:szCs w:val="24"/>
        </w:rPr>
        <w:lastRenderedPageBreak/>
        <w:t xml:space="preserve">recipe, it was better to ask immediately than make a mistake that could slow down the service. The more I communicated with my colleagues, the more confident I became. I also noticed that experienced chefs were always happy to help because they had all been beginners at some point. This experience helped me understand why communication is considered one of the most important skills in successful teams </w:t>
      </w:r>
      <w:sdt>
        <w:sdtPr>
          <w:rPr>
            <w:rFonts w:ascii="Arial" w:hAnsi="Arial" w:cs="Arial"/>
            <w:sz w:val="24"/>
            <w:szCs w:val="24"/>
          </w:rPr>
          <w:id w:val="1238285514"/>
          <w:citation/>
        </w:sdtPr>
        <w:sdtContent>
          <w:r w:rsidR="00A17791">
            <w:rPr>
              <w:rFonts w:ascii="Arial" w:hAnsi="Arial" w:cs="Arial"/>
              <w:sz w:val="24"/>
              <w:szCs w:val="24"/>
            </w:rPr>
            <w:fldChar w:fldCharType="begin"/>
          </w:r>
          <w:r w:rsidR="00A17791">
            <w:rPr>
              <w:rFonts w:ascii="Arial" w:hAnsi="Arial" w:cs="Arial"/>
              <w:sz w:val="24"/>
              <w:szCs w:val="24"/>
            </w:rPr>
            <w:instrText xml:space="preserve"> CITATION Edu05 \l 2057 </w:instrText>
          </w:r>
          <w:r w:rsidR="00A17791">
            <w:rPr>
              <w:rFonts w:ascii="Arial" w:hAnsi="Arial" w:cs="Arial"/>
              <w:sz w:val="24"/>
              <w:szCs w:val="24"/>
            </w:rPr>
            <w:fldChar w:fldCharType="separate"/>
          </w:r>
          <w:r w:rsidR="00A17791" w:rsidRPr="00A17791">
            <w:rPr>
              <w:rFonts w:ascii="Arial" w:hAnsi="Arial" w:cs="Arial"/>
              <w:noProof/>
              <w:sz w:val="24"/>
              <w:szCs w:val="24"/>
            </w:rPr>
            <w:t>(Salas, et al., 2005)</w:t>
          </w:r>
          <w:r w:rsidR="00A17791">
            <w:rPr>
              <w:rFonts w:ascii="Arial" w:hAnsi="Arial" w:cs="Arial"/>
              <w:sz w:val="24"/>
              <w:szCs w:val="24"/>
            </w:rPr>
            <w:fldChar w:fldCharType="end"/>
          </w:r>
        </w:sdtContent>
      </w:sdt>
      <w:r w:rsidRPr="00A17791">
        <w:rPr>
          <w:rFonts w:ascii="Arial" w:hAnsi="Arial" w:cs="Arial"/>
          <w:sz w:val="24"/>
          <w:szCs w:val="24"/>
        </w:rPr>
        <w:t>.</w:t>
      </w:r>
    </w:p>
    <w:p w14:paraId="175A334C" w14:textId="70C85A59" w:rsidR="00190186" w:rsidRPr="00A17791" w:rsidRDefault="00190186" w:rsidP="00190186">
      <w:pPr>
        <w:rPr>
          <w:rFonts w:ascii="Arial" w:hAnsi="Arial" w:cs="Arial"/>
          <w:sz w:val="24"/>
          <w:szCs w:val="24"/>
        </w:rPr>
      </w:pPr>
      <w:r w:rsidRPr="00A17791">
        <w:rPr>
          <w:rFonts w:ascii="Arial" w:hAnsi="Arial" w:cs="Arial"/>
          <w:sz w:val="24"/>
          <w:szCs w:val="24"/>
        </w:rPr>
        <w:t xml:space="preserve">Another lesson I learned was that teamwork is not something people talk about; it is something they do every day. When one station became busy, another chef would step in without being asked. I experienced </w:t>
      </w:r>
      <w:r w:rsidR="00A17791" w:rsidRPr="00A17791">
        <w:rPr>
          <w:rFonts w:ascii="Arial" w:hAnsi="Arial" w:cs="Arial"/>
          <w:sz w:val="24"/>
          <w:szCs w:val="24"/>
        </w:rPr>
        <w:t>these many times</w:t>
      </w:r>
      <w:r w:rsidRPr="00A17791">
        <w:rPr>
          <w:rFonts w:ascii="Arial" w:hAnsi="Arial" w:cs="Arial"/>
          <w:sz w:val="24"/>
          <w:szCs w:val="24"/>
        </w:rPr>
        <w:t xml:space="preserve">. On one occasion, I was working on the ramen section during a busy evening service. I had several orders waiting, and another chef immediately helped me prepare part of the order while I finished the rest. A few weeks later, I found myself doing </w:t>
      </w:r>
      <w:r w:rsidR="00A17791" w:rsidRPr="00A17791">
        <w:rPr>
          <w:rFonts w:ascii="Arial" w:hAnsi="Arial" w:cs="Arial"/>
          <w:sz w:val="24"/>
          <w:szCs w:val="24"/>
        </w:rPr>
        <w:t>the same</w:t>
      </w:r>
      <w:r w:rsidRPr="00A17791">
        <w:rPr>
          <w:rFonts w:ascii="Arial" w:hAnsi="Arial" w:cs="Arial"/>
          <w:sz w:val="24"/>
          <w:szCs w:val="24"/>
        </w:rPr>
        <w:t xml:space="preserve"> for a new member of the team. That moment made me realise how much I had grown since my first day. I was no longer the person who always needed help; I had become someone who could support others. This reflects the idea that effective teams achieve better results by sharing responsibility and supporting each other </w:t>
      </w:r>
      <w:sdt>
        <w:sdtPr>
          <w:rPr>
            <w:rFonts w:ascii="Arial" w:hAnsi="Arial" w:cs="Arial"/>
            <w:sz w:val="24"/>
            <w:szCs w:val="24"/>
          </w:rPr>
          <w:id w:val="-1354948071"/>
          <w:citation/>
        </w:sdtPr>
        <w:sdtContent>
          <w:r w:rsidR="00A17791">
            <w:rPr>
              <w:rFonts w:ascii="Arial" w:hAnsi="Arial" w:cs="Arial"/>
              <w:sz w:val="24"/>
              <w:szCs w:val="24"/>
            </w:rPr>
            <w:fldChar w:fldCharType="begin"/>
          </w:r>
          <w:r w:rsidR="00A17791">
            <w:rPr>
              <w:rFonts w:ascii="Arial" w:hAnsi="Arial" w:cs="Arial"/>
              <w:sz w:val="24"/>
              <w:szCs w:val="24"/>
            </w:rPr>
            <w:instrText xml:space="preserve"> CITATION Jon15 \l 2057 </w:instrText>
          </w:r>
          <w:r w:rsidR="00A17791">
            <w:rPr>
              <w:rFonts w:ascii="Arial" w:hAnsi="Arial" w:cs="Arial"/>
              <w:sz w:val="24"/>
              <w:szCs w:val="24"/>
            </w:rPr>
            <w:fldChar w:fldCharType="separate"/>
          </w:r>
          <w:r w:rsidR="00A17791" w:rsidRPr="00A17791">
            <w:rPr>
              <w:rFonts w:ascii="Arial" w:hAnsi="Arial" w:cs="Arial"/>
              <w:noProof/>
              <w:sz w:val="24"/>
              <w:szCs w:val="24"/>
            </w:rPr>
            <w:t>(Jon R. Katzenbach, 2015)</w:t>
          </w:r>
          <w:r w:rsidR="00A17791">
            <w:rPr>
              <w:rFonts w:ascii="Arial" w:hAnsi="Arial" w:cs="Arial"/>
              <w:sz w:val="24"/>
              <w:szCs w:val="24"/>
            </w:rPr>
            <w:fldChar w:fldCharType="end"/>
          </w:r>
        </w:sdtContent>
      </w:sdt>
      <w:r w:rsidRPr="00A17791">
        <w:rPr>
          <w:rFonts w:ascii="Arial" w:hAnsi="Arial" w:cs="Arial"/>
          <w:sz w:val="24"/>
          <w:szCs w:val="24"/>
        </w:rPr>
        <w:t>.</w:t>
      </w:r>
    </w:p>
    <w:p w14:paraId="7A6E9F22" w14:textId="105E1113" w:rsidR="00190186" w:rsidRPr="00A17791" w:rsidRDefault="00190186" w:rsidP="00190186">
      <w:pPr>
        <w:rPr>
          <w:rFonts w:ascii="Arial" w:hAnsi="Arial" w:cs="Arial"/>
          <w:sz w:val="24"/>
          <w:szCs w:val="24"/>
        </w:rPr>
      </w:pPr>
      <w:r w:rsidRPr="00A17791">
        <w:rPr>
          <w:rFonts w:ascii="Arial" w:hAnsi="Arial" w:cs="Arial"/>
          <w:sz w:val="24"/>
          <w:szCs w:val="24"/>
        </w:rPr>
        <w:t xml:space="preserve">The placement also changed the way I dealt with pressure. In the beginning, I believed that confidence came from never making mistakes. Now I think confidence comes from staying calm, accepting feedback and finding solutions quickly. Looking back, I can clearly see the difference between the person who walked into the kitchen on the first day and the chef who finished the placement. University gave me the theoretical knowledge, but Wagamama taught me how to use that knowledge in real situations through practice, teamwork and continuous feedback </w:t>
      </w:r>
      <w:sdt>
        <w:sdtPr>
          <w:rPr>
            <w:rFonts w:ascii="Arial" w:hAnsi="Arial" w:cs="Arial"/>
            <w:sz w:val="24"/>
            <w:szCs w:val="24"/>
          </w:rPr>
          <w:id w:val="-650983023"/>
          <w:citation/>
        </w:sdtPr>
        <w:sdtContent>
          <w:r w:rsidR="00A17791">
            <w:rPr>
              <w:rFonts w:ascii="Arial" w:hAnsi="Arial" w:cs="Arial"/>
              <w:sz w:val="24"/>
              <w:szCs w:val="24"/>
            </w:rPr>
            <w:fldChar w:fldCharType="begin"/>
          </w:r>
          <w:r w:rsidR="00A17791">
            <w:rPr>
              <w:rFonts w:ascii="Arial" w:hAnsi="Arial" w:cs="Arial"/>
              <w:sz w:val="24"/>
              <w:szCs w:val="24"/>
            </w:rPr>
            <w:instrText xml:space="preserve"> CITATION Don831 \l 2057 </w:instrText>
          </w:r>
          <w:r w:rsidR="00A17791">
            <w:rPr>
              <w:rFonts w:ascii="Arial" w:hAnsi="Arial" w:cs="Arial"/>
              <w:sz w:val="24"/>
              <w:szCs w:val="24"/>
            </w:rPr>
            <w:fldChar w:fldCharType="separate"/>
          </w:r>
          <w:r w:rsidR="00A17791" w:rsidRPr="00A17791">
            <w:rPr>
              <w:rFonts w:ascii="Arial" w:hAnsi="Arial" w:cs="Arial"/>
              <w:noProof/>
              <w:sz w:val="24"/>
              <w:szCs w:val="24"/>
            </w:rPr>
            <w:t>(Schön, 1983)</w:t>
          </w:r>
          <w:r w:rsidR="00A17791">
            <w:rPr>
              <w:rFonts w:ascii="Arial" w:hAnsi="Arial" w:cs="Arial"/>
              <w:sz w:val="24"/>
              <w:szCs w:val="24"/>
            </w:rPr>
            <w:fldChar w:fldCharType="end"/>
          </w:r>
        </w:sdtContent>
      </w:sdt>
      <w:r w:rsidRPr="00A17791">
        <w:rPr>
          <w:rFonts w:ascii="Arial" w:hAnsi="Arial" w:cs="Arial"/>
          <w:sz w:val="24"/>
          <w:szCs w:val="24"/>
        </w:rPr>
        <w:t>.</w:t>
      </w:r>
    </w:p>
    <w:p w14:paraId="00DBC1DC" w14:textId="77777777" w:rsidR="00190186" w:rsidRPr="00A17791" w:rsidRDefault="00190186" w:rsidP="00190186">
      <w:pPr>
        <w:rPr>
          <w:rFonts w:ascii="Arial" w:hAnsi="Arial" w:cs="Arial"/>
          <w:b/>
          <w:bCs/>
          <w:sz w:val="24"/>
          <w:szCs w:val="24"/>
        </w:rPr>
      </w:pPr>
      <w:r w:rsidRPr="00A17791">
        <w:rPr>
          <w:rFonts w:ascii="Arial" w:hAnsi="Arial" w:cs="Arial"/>
          <w:b/>
          <w:bCs/>
          <w:sz w:val="24"/>
          <w:szCs w:val="24"/>
        </w:rPr>
        <w:t>Reflection and Personal Development</w:t>
      </w:r>
    </w:p>
    <w:p w14:paraId="09A8B49F" w14:textId="65991896" w:rsidR="00190186" w:rsidRPr="00A17791" w:rsidRDefault="00190186" w:rsidP="00190186">
      <w:pPr>
        <w:rPr>
          <w:rFonts w:ascii="Arial" w:hAnsi="Arial" w:cs="Arial"/>
          <w:sz w:val="24"/>
          <w:szCs w:val="24"/>
        </w:rPr>
      </w:pPr>
      <w:r w:rsidRPr="00A17791">
        <w:rPr>
          <w:rFonts w:ascii="Arial" w:hAnsi="Arial" w:cs="Arial"/>
          <w:sz w:val="24"/>
          <w:szCs w:val="24"/>
        </w:rPr>
        <w:t xml:space="preserve">To reflect on my placement, I used </w:t>
      </w:r>
      <w:r w:rsidRPr="00A17791">
        <w:rPr>
          <w:rFonts w:ascii="Arial" w:hAnsi="Arial" w:cs="Arial"/>
          <w:b/>
          <w:bCs/>
          <w:sz w:val="24"/>
          <w:szCs w:val="24"/>
        </w:rPr>
        <w:t>Gibbs' Reflective Cycle</w:t>
      </w:r>
      <w:r w:rsidRPr="00A17791">
        <w:rPr>
          <w:rFonts w:ascii="Arial" w:hAnsi="Arial" w:cs="Arial"/>
          <w:sz w:val="24"/>
          <w:szCs w:val="24"/>
        </w:rPr>
        <w:t xml:space="preserve"> because it encouraged me to think beyond what happened and consider how the experience changed the way I work </w:t>
      </w:r>
      <w:sdt>
        <w:sdtPr>
          <w:rPr>
            <w:rFonts w:ascii="Arial" w:hAnsi="Arial" w:cs="Arial"/>
            <w:sz w:val="24"/>
            <w:szCs w:val="24"/>
          </w:rPr>
          <w:id w:val="1433783869"/>
          <w:citation/>
        </w:sdtPr>
        <w:sdtContent>
          <w:r w:rsidR="00A17791">
            <w:rPr>
              <w:rFonts w:ascii="Arial" w:hAnsi="Arial" w:cs="Arial"/>
              <w:sz w:val="24"/>
              <w:szCs w:val="24"/>
            </w:rPr>
            <w:fldChar w:fldCharType="begin"/>
          </w:r>
          <w:r w:rsidR="00A17791">
            <w:rPr>
              <w:rFonts w:ascii="Arial" w:hAnsi="Arial" w:cs="Arial"/>
              <w:sz w:val="24"/>
              <w:szCs w:val="24"/>
            </w:rPr>
            <w:instrText xml:space="preserve"> CITATION Gra881 \l 2057 </w:instrText>
          </w:r>
          <w:r w:rsidR="00A17791">
            <w:rPr>
              <w:rFonts w:ascii="Arial" w:hAnsi="Arial" w:cs="Arial"/>
              <w:sz w:val="24"/>
              <w:szCs w:val="24"/>
            </w:rPr>
            <w:fldChar w:fldCharType="separate"/>
          </w:r>
          <w:r w:rsidR="00A17791" w:rsidRPr="00A17791">
            <w:rPr>
              <w:rFonts w:ascii="Arial" w:hAnsi="Arial" w:cs="Arial"/>
              <w:noProof/>
              <w:sz w:val="24"/>
              <w:szCs w:val="24"/>
            </w:rPr>
            <w:t>(Gibbs, 1988)</w:t>
          </w:r>
          <w:r w:rsidR="00A17791">
            <w:rPr>
              <w:rFonts w:ascii="Arial" w:hAnsi="Arial" w:cs="Arial"/>
              <w:sz w:val="24"/>
              <w:szCs w:val="24"/>
            </w:rPr>
            <w:fldChar w:fldCharType="end"/>
          </w:r>
        </w:sdtContent>
      </w:sdt>
      <w:r w:rsidRPr="00A17791">
        <w:rPr>
          <w:rFonts w:ascii="Arial" w:hAnsi="Arial" w:cs="Arial"/>
          <w:sz w:val="24"/>
          <w:szCs w:val="24"/>
        </w:rPr>
        <w:t>.</w:t>
      </w:r>
    </w:p>
    <w:p w14:paraId="2825E4DF" w14:textId="77777777" w:rsidR="00190186" w:rsidRPr="00A17791" w:rsidRDefault="00190186" w:rsidP="00190186">
      <w:pPr>
        <w:rPr>
          <w:rFonts w:ascii="Arial" w:hAnsi="Arial" w:cs="Arial"/>
          <w:sz w:val="24"/>
          <w:szCs w:val="24"/>
        </w:rPr>
      </w:pPr>
      <w:r w:rsidRPr="00A17791">
        <w:rPr>
          <w:rFonts w:ascii="Arial" w:hAnsi="Arial" w:cs="Arial"/>
          <w:sz w:val="24"/>
          <w:szCs w:val="24"/>
        </w:rPr>
        <w:t>One experience I will always remember happened during one of the busiest Friday evening services. I was working on the ramen section, and the restaurant quickly became full. Orders kept appearing on the screen, and for the first time I felt that I could not keep up. I tried to do everything myself because I wanted to prove that I was ready to work independently. Instead of asking for help, I became more stressed and started losing track of the order in which dishes should be prepared.</w:t>
      </w:r>
    </w:p>
    <w:p w14:paraId="50CA0B53" w14:textId="77777777" w:rsidR="00190186" w:rsidRPr="00A17791" w:rsidRDefault="00190186" w:rsidP="00190186">
      <w:pPr>
        <w:rPr>
          <w:rFonts w:ascii="Arial" w:hAnsi="Arial" w:cs="Arial"/>
          <w:sz w:val="24"/>
          <w:szCs w:val="24"/>
        </w:rPr>
      </w:pPr>
      <w:r w:rsidRPr="00A17791">
        <w:rPr>
          <w:rFonts w:ascii="Arial" w:hAnsi="Arial" w:cs="Arial"/>
          <w:sz w:val="24"/>
          <w:szCs w:val="24"/>
        </w:rPr>
        <w:t>A senior chef noticed that I was struggling and stepped in before the situation became worse. After the service, he spoke to me calmly and explained that every chef has difficult shifts, especially while learning. He told me that being part of a team means recognising when support is needed, not trying to solve every problem alone. That conversation stayed with me because I realised my biggest challenge was not my cooking ability; it was my confidence.</w:t>
      </w:r>
    </w:p>
    <w:p w14:paraId="72215C35" w14:textId="77777777" w:rsidR="00190186" w:rsidRPr="00A17791" w:rsidRDefault="00190186" w:rsidP="00190186">
      <w:pPr>
        <w:rPr>
          <w:rFonts w:ascii="Arial" w:hAnsi="Arial" w:cs="Arial"/>
          <w:sz w:val="24"/>
          <w:szCs w:val="24"/>
        </w:rPr>
      </w:pPr>
      <w:r w:rsidRPr="00A17791">
        <w:rPr>
          <w:rFonts w:ascii="Arial" w:hAnsi="Arial" w:cs="Arial"/>
          <w:sz w:val="24"/>
          <w:szCs w:val="24"/>
        </w:rPr>
        <w:t xml:space="preserve">From that day, I changed the way I approached every shift. I arrived with enough time to organise my station properly, checked that everything was ready before service and communicated earlier whenever I needed support. I also stopped </w:t>
      </w:r>
      <w:r w:rsidRPr="00A17791">
        <w:rPr>
          <w:rFonts w:ascii="Arial" w:hAnsi="Arial" w:cs="Arial"/>
          <w:sz w:val="24"/>
          <w:szCs w:val="24"/>
        </w:rPr>
        <w:lastRenderedPageBreak/>
        <w:t>worrying about trying to look perfect. Instead, I focused on learning something from every shift, even when things did not go as planned. I noticed that once I became more organised, I naturally became faster and made fewer mistakes.</w:t>
      </w:r>
    </w:p>
    <w:p w14:paraId="04DB58BD" w14:textId="7DCF4AD3" w:rsidR="00190186" w:rsidRPr="00A17791" w:rsidRDefault="00190186" w:rsidP="00190186">
      <w:pPr>
        <w:rPr>
          <w:rFonts w:ascii="Arial" w:hAnsi="Arial" w:cs="Arial"/>
          <w:sz w:val="24"/>
          <w:szCs w:val="24"/>
        </w:rPr>
      </w:pPr>
      <w:r w:rsidRPr="00A17791">
        <w:rPr>
          <w:rFonts w:ascii="Arial" w:hAnsi="Arial" w:cs="Arial"/>
          <w:sz w:val="24"/>
          <w:szCs w:val="24"/>
        </w:rPr>
        <w:t xml:space="preserve">This placement helped me grow both professionally and personally. I started with only basic culinary knowledge and very little confidence, but I finished my placement able to work across different kitchen stations, manage busy services and contribute to the team with confidence. More importantly, I learned that becoming a good chef is not about knowing everything from the beginning. It is about being willing to learn, accepting feedback and continuing to improve every day. This reflects Kolb's (1984) view that learning develops through experience and reflection, while workplace learning continues throughout a professional career </w:t>
      </w:r>
      <w:sdt>
        <w:sdtPr>
          <w:rPr>
            <w:rFonts w:ascii="Arial" w:hAnsi="Arial" w:cs="Arial"/>
            <w:sz w:val="24"/>
            <w:szCs w:val="24"/>
          </w:rPr>
          <w:id w:val="-1277250796"/>
          <w:citation/>
        </w:sdtPr>
        <w:sdtContent>
          <w:r w:rsidR="00A17791">
            <w:rPr>
              <w:rFonts w:ascii="Arial" w:hAnsi="Arial" w:cs="Arial"/>
              <w:sz w:val="24"/>
              <w:szCs w:val="24"/>
            </w:rPr>
            <w:fldChar w:fldCharType="begin"/>
          </w:r>
          <w:r w:rsidR="00A17791">
            <w:rPr>
              <w:rFonts w:ascii="Arial" w:hAnsi="Arial" w:cs="Arial"/>
              <w:sz w:val="24"/>
              <w:szCs w:val="24"/>
            </w:rPr>
            <w:instrText xml:space="preserve"> CITATION Mic04 \l 2057 </w:instrText>
          </w:r>
          <w:r w:rsidR="00A17791">
            <w:rPr>
              <w:rFonts w:ascii="Arial" w:hAnsi="Arial" w:cs="Arial"/>
              <w:sz w:val="24"/>
              <w:szCs w:val="24"/>
            </w:rPr>
            <w:fldChar w:fldCharType="separate"/>
          </w:r>
          <w:r w:rsidR="00A17791" w:rsidRPr="00A17791">
            <w:rPr>
              <w:rFonts w:ascii="Arial" w:hAnsi="Arial" w:cs="Arial"/>
              <w:noProof/>
              <w:sz w:val="24"/>
              <w:szCs w:val="24"/>
            </w:rPr>
            <w:t>(Eraut, 2004)</w:t>
          </w:r>
          <w:r w:rsidR="00A17791">
            <w:rPr>
              <w:rFonts w:ascii="Arial" w:hAnsi="Arial" w:cs="Arial"/>
              <w:sz w:val="24"/>
              <w:szCs w:val="24"/>
            </w:rPr>
            <w:fldChar w:fldCharType="end"/>
          </w:r>
        </w:sdtContent>
      </w:sdt>
      <w:r w:rsidRPr="00A17791">
        <w:rPr>
          <w:rFonts w:ascii="Arial" w:hAnsi="Arial" w:cs="Arial"/>
          <w:sz w:val="24"/>
          <w:szCs w:val="24"/>
        </w:rPr>
        <w:t>.</w:t>
      </w:r>
    </w:p>
    <w:p w14:paraId="6DE80B52" w14:textId="77777777" w:rsidR="00190186" w:rsidRPr="00A17791" w:rsidRDefault="00190186" w:rsidP="00190186">
      <w:pPr>
        <w:rPr>
          <w:rFonts w:ascii="Arial" w:hAnsi="Arial" w:cs="Arial"/>
          <w:sz w:val="24"/>
          <w:szCs w:val="24"/>
        </w:rPr>
      </w:pPr>
      <w:r w:rsidRPr="00A17791">
        <w:rPr>
          <w:rFonts w:ascii="Arial" w:hAnsi="Arial" w:cs="Arial"/>
          <w:sz w:val="24"/>
          <w:szCs w:val="24"/>
        </w:rPr>
        <w:t>There are still areas where I want to improve. I would like to develop stronger leadership skills, become even more efficient during very busy services and continue learning new cooking techniques. However, this placement confirmed that I have chosen the right career. It challenged me every day, but it also gave me confidence in my abilities and showed me how much I can achieve through hard work, practice and a positive attitude.</w:t>
      </w:r>
    </w:p>
    <w:p w14:paraId="6BB50F20" w14:textId="77777777" w:rsidR="00190186" w:rsidRDefault="00190186">
      <w:pPr>
        <w:rPr>
          <w:rFonts w:ascii="Arial" w:hAnsi="Arial" w:cs="Arial"/>
          <w:sz w:val="24"/>
          <w:szCs w:val="24"/>
        </w:rPr>
      </w:pPr>
    </w:p>
    <w:p w14:paraId="1F995623" w14:textId="77777777" w:rsidR="00A17791" w:rsidRDefault="00A17791">
      <w:pPr>
        <w:rPr>
          <w:rFonts w:ascii="Arial" w:hAnsi="Arial" w:cs="Arial"/>
          <w:sz w:val="24"/>
          <w:szCs w:val="24"/>
        </w:rPr>
      </w:pPr>
    </w:p>
    <w:p w14:paraId="47FD3E42" w14:textId="77777777" w:rsidR="00A17791" w:rsidRDefault="00A17791">
      <w:pPr>
        <w:rPr>
          <w:rFonts w:ascii="Arial" w:hAnsi="Arial" w:cs="Arial"/>
          <w:sz w:val="24"/>
          <w:szCs w:val="24"/>
        </w:rPr>
      </w:pPr>
    </w:p>
    <w:p w14:paraId="10E1DD0F" w14:textId="77777777" w:rsidR="00A17791" w:rsidRDefault="00A17791">
      <w:pPr>
        <w:rPr>
          <w:rFonts w:ascii="Arial" w:hAnsi="Arial" w:cs="Arial"/>
          <w:sz w:val="24"/>
          <w:szCs w:val="24"/>
        </w:rPr>
      </w:pPr>
    </w:p>
    <w:p w14:paraId="0C34E2D5" w14:textId="77777777" w:rsidR="00A17791" w:rsidRDefault="00A17791">
      <w:pPr>
        <w:rPr>
          <w:rFonts w:ascii="Arial" w:hAnsi="Arial" w:cs="Arial"/>
          <w:sz w:val="24"/>
          <w:szCs w:val="24"/>
        </w:rPr>
      </w:pPr>
    </w:p>
    <w:p w14:paraId="5A614245" w14:textId="77777777" w:rsidR="00A17791" w:rsidRDefault="00A17791">
      <w:pPr>
        <w:rPr>
          <w:rFonts w:ascii="Arial" w:hAnsi="Arial" w:cs="Arial"/>
          <w:sz w:val="24"/>
          <w:szCs w:val="24"/>
        </w:rPr>
      </w:pPr>
    </w:p>
    <w:p w14:paraId="674B6702" w14:textId="77777777" w:rsidR="00A17791" w:rsidRDefault="00A17791">
      <w:pPr>
        <w:rPr>
          <w:rFonts w:ascii="Arial" w:hAnsi="Arial" w:cs="Arial"/>
          <w:sz w:val="24"/>
          <w:szCs w:val="24"/>
        </w:rPr>
      </w:pPr>
    </w:p>
    <w:p w14:paraId="06105CB3" w14:textId="77777777" w:rsidR="00A17791" w:rsidRDefault="00A17791">
      <w:pPr>
        <w:rPr>
          <w:rFonts w:ascii="Arial" w:hAnsi="Arial" w:cs="Arial"/>
          <w:sz w:val="24"/>
          <w:szCs w:val="24"/>
        </w:rPr>
      </w:pPr>
    </w:p>
    <w:p w14:paraId="4EE24A87" w14:textId="77777777" w:rsidR="00A17791" w:rsidRDefault="00A17791">
      <w:pPr>
        <w:rPr>
          <w:rFonts w:ascii="Arial" w:hAnsi="Arial" w:cs="Arial"/>
          <w:sz w:val="24"/>
          <w:szCs w:val="24"/>
        </w:rPr>
      </w:pPr>
    </w:p>
    <w:p w14:paraId="18CEC75E" w14:textId="77777777" w:rsidR="00A17791" w:rsidRDefault="00A17791">
      <w:pPr>
        <w:rPr>
          <w:rFonts w:ascii="Arial" w:hAnsi="Arial" w:cs="Arial"/>
          <w:sz w:val="24"/>
          <w:szCs w:val="24"/>
        </w:rPr>
      </w:pPr>
    </w:p>
    <w:p w14:paraId="0A76AA3D" w14:textId="77777777" w:rsidR="00A17791" w:rsidRDefault="00A17791">
      <w:pPr>
        <w:rPr>
          <w:rFonts w:ascii="Arial" w:hAnsi="Arial" w:cs="Arial"/>
          <w:sz w:val="24"/>
          <w:szCs w:val="24"/>
        </w:rPr>
      </w:pPr>
    </w:p>
    <w:p w14:paraId="5ACB1B71" w14:textId="77777777" w:rsidR="00A17791" w:rsidRDefault="00A17791">
      <w:pPr>
        <w:rPr>
          <w:rFonts w:ascii="Arial" w:hAnsi="Arial" w:cs="Arial"/>
          <w:sz w:val="24"/>
          <w:szCs w:val="24"/>
        </w:rPr>
      </w:pPr>
    </w:p>
    <w:p w14:paraId="4608CA1B" w14:textId="77777777" w:rsidR="00A17791" w:rsidRDefault="00A17791">
      <w:pPr>
        <w:rPr>
          <w:rFonts w:ascii="Arial" w:hAnsi="Arial" w:cs="Arial"/>
          <w:sz w:val="24"/>
          <w:szCs w:val="24"/>
        </w:rPr>
      </w:pPr>
    </w:p>
    <w:p w14:paraId="23F04A3A" w14:textId="77777777" w:rsidR="00A17791" w:rsidRDefault="00A17791">
      <w:pPr>
        <w:rPr>
          <w:rFonts w:ascii="Arial" w:hAnsi="Arial" w:cs="Arial"/>
          <w:sz w:val="24"/>
          <w:szCs w:val="24"/>
        </w:rPr>
      </w:pPr>
    </w:p>
    <w:p w14:paraId="7569BF3E" w14:textId="77777777" w:rsidR="00A17791" w:rsidRDefault="00A17791">
      <w:pPr>
        <w:rPr>
          <w:rFonts w:ascii="Arial" w:hAnsi="Arial" w:cs="Arial"/>
          <w:sz w:val="24"/>
          <w:szCs w:val="24"/>
        </w:rPr>
      </w:pPr>
    </w:p>
    <w:p w14:paraId="0062171F" w14:textId="77777777" w:rsidR="00A17791" w:rsidRDefault="00A17791">
      <w:pPr>
        <w:rPr>
          <w:rFonts w:ascii="Arial" w:hAnsi="Arial" w:cs="Arial"/>
          <w:sz w:val="24"/>
          <w:szCs w:val="24"/>
        </w:rPr>
      </w:pPr>
    </w:p>
    <w:p w14:paraId="660C19BE" w14:textId="77777777" w:rsidR="00A17791" w:rsidRDefault="00A17791">
      <w:pPr>
        <w:rPr>
          <w:rFonts w:ascii="Arial" w:hAnsi="Arial" w:cs="Arial"/>
          <w:sz w:val="24"/>
          <w:szCs w:val="24"/>
        </w:rPr>
      </w:pPr>
    </w:p>
    <w:p w14:paraId="54A6E909" w14:textId="77777777" w:rsidR="00A17791" w:rsidRDefault="00A17791">
      <w:pPr>
        <w:rPr>
          <w:rFonts w:ascii="Arial" w:hAnsi="Arial" w:cs="Arial"/>
          <w:sz w:val="24"/>
          <w:szCs w:val="24"/>
        </w:rPr>
      </w:pPr>
    </w:p>
    <w:sdt>
      <w:sdtPr>
        <w:id w:val="-1181657881"/>
        <w:docPartObj>
          <w:docPartGallery w:val="Bibliographies"/>
          <w:docPartUnique/>
        </w:docPartObj>
      </w:sdtPr>
      <w:sdtEndPr>
        <w:rPr>
          <w:rFonts w:asciiTheme="minorHAnsi" w:eastAsiaTheme="minorHAnsi" w:hAnsiTheme="minorHAnsi" w:cstheme="minorBidi"/>
          <w:color w:val="auto"/>
          <w:sz w:val="22"/>
          <w:szCs w:val="22"/>
        </w:rPr>
      </w:sdtEndPr>
      <w:sdtContent>
        <w:p w14:paraId="1DB2FD31" w14:textId="64F31713" w:rsidR="00A17791" w:rsidRDefault="00A17791">
          <w:pPr>
            <w:pStyle w:val="Heading1"/>
          </w:pPr>
          <w:r>
            <w:t>References</w:t>
          </w:r>
        </w:p>
        <w:sdt>
          <w:sdtPr>
            <w:id w:val="-573587230"/>
            <w:bibliography/>
          </w:sdtPr>
          <w:sdtContent>
            <w:p w14:paraId="57672862" w14:textId="2017390A" w:rsidR="00A17791" w:rsidRPr="00AA4B2E" w:rsidRDefault="00A17791" w:rsidP="00AA4B2E">
              <w:pPr>
                <w:rPr>
                  <w:rFonts w:ascii="Arial" w:hAnsi="Arial" w:cs="Arial"/>
                  <w:sz w:val="24"/>
                  <w:szCs w:val="24"/>
                </w:rPr>
              </w:pPr>
              <w:r w:rsidRPr="00A17791">
                <w:rPr>
                  <w:sz w:val="24"/>
                  <w:szCs w:val="24"/>
                </w:rPr>
                <w:t xml:space="preserve">Cousins, J., Foskett, D. and Pennington, A. (2019) </w:t>
              </w:r>
              <w:r w:rsidRPr="00A17791">
                <w:rPr>
                  <w:i/>
                  <w:iCs/>
                  <w:sz w:val="24"/>
                  <w:szCs w:val="24"/>
                </w:rPr>
                <w:t>Food and Beverage Management</w:t>
              </w:r>
              <w:r w:rsidRPr="00A17791">
                <w:rPr>
                  <w:sz w:val="24"/>
                  <w:szCs w:val="24"/>
                </w:rPr>
                <w:t xml:space="preserve">. 11th </w:t>
              </w:r>
              <w:proofErr w:type="spellStart"/>
              <w:r w:rsidRPr="00A17791">
                <w:rPr>
                  <w:sz w:val="24"/>
                  <w:szCs w:val="24"/>
                </w:rPr>
                <w:t>edn</w:t>
              </w:r>
              <w:proofErr w:type="spellEnd"/>
              <w:r w:rsidRPr="00A17791">
                <w:rPr>
                  <w:sz w:val="24"/>
                  <w:szCs w:val="24"/>
                </w:rPr>
                <w:t>. London: Kogan Page.</w:t>
              </w:r>
              <w:r w:rsidR="00AA4B2E">
                <w:rPr>
                  <w:sz w:val="24"/>
                  <w:szCs w:val="24"/>
                </w:rPr>
                <w:t xml:space="preserve"> </w:t>
              </w:r>
              <w:hyperlink r:id="rId5" w:history="1">
                <w:r w:rsidR="00AA4B2E" w:rsidRPr="00A17791">
                  <w:rPr>
                    <w:rStyle w:val="Hyperlink"/>
                    <w:rFonts w:ascii="Arial" w:hAnsi="Arial" w:cs="Arial"/>
                    <w:sz w:val="24"/>
                    <w:szCs w:val="24"/>
                  </w:rPr>
                  <w:t>Food and Beverage Management: For the hospitality, tourism and event industries - John Cousins, David Foskett, David Graham, Amy Hollier - Google Books</w:t>
                </w:r>
              </w:hyperlink>
              <w:r w:rsidR="00AA4B2E" w:rsidRPr="00A17791">
                <w:rPr>
                  <w:rFonts w:ascii="Arial" w:hAnsi="Arial" w:cs="Arial"/>
                  <w:sz w:val="24"/>
                  <w:szCs w:val="24"/>
                </w:rPr>
                <w:t xml:space="preserve"> </w:t>
              </w:r>
            </w:p>
            <w:p w14:paraId="2B850DC5" w14:textId="77777777" w:rsidR="00A17791" w:rsidRPr="00A17791" w:rsidRDefault="00A17791" w:rsidP="00A17791">
              <w:pPr>
                <w:pStyle w:val="Bibliography"/>
                <w:rPr>
                  <w:sz w:val="24"/>
                  <w:szCs w:val="24"/>
                </w:rPr>
              </w:pPr>
              <w:proofErr w:type="spellStart"/>
              <w:r w:rsidRPr="00A17791">
                <w:rPr>
                  <w:sz w:val="24"/>
                  <w:szCs w:val="24"/>
                </w:rPr>
                <w:t>Eraut</w:t>
              </w:r>
              <w:proofErr w:type="spellEnd"/>
              <w:r w:rsidRPr="00A17791">
                <w:rPr>
                  <w:sz w:val="24"/>
                  <w:szCs w:val="24"/>
                </w:rPr>
                <w:t xml:space="preserve">, M. (2004) 'Informal learning in the workplace', </w:t>
              </w:r>
              <w:r w:rsidRPr="00A17791">
                <w:rPr>
                  <w:i/>
                  <w:iCs/>
                  <w:sz w:val="24"/>
                  <w:szCs w:val="24"/>
                </w:rPr>
                <w:t>Studies in Continuing Education</w:t>
              </w:r>
              <w:r w:rsidRPr="00A17791">
                <w:rPr>
                  <w:sz w:val="24"/>
                  <w:szCs w:val="24"/>
                </w:rPr>
                <w:t>, 26(2), pp. 247–273.</w:t>
              </w:r>
              <w:r w:rsidRPr="00A17791">
                <w:rPr>
                  <w:sz w:val="24"/>
                  <w:szCs w:val="24"/>
                </w:rPr>
                <w:br/>
              </w:r>
              <w:hyperlink r:id="rId6" w:tgtFrame="_new" w:history="1">
                <w:r w:rsidRPr="00A17791">
                  <w:rPr>
                    <w:rStyle w:val="Hyperlink"/>
                    <w:sz w:val="24"/>
                    <w:szCs w:val="24"/>
                  </w:rPr>
                  <w:t>https://doi.org/10.1080/1580370</w:t>
                </w:r>
                <w:r w:rsidRPr="00A17791">
                  <w:rPr>
                    <w:rStyle w:val="Hyperlink"/>
                    <w:sz w:val="24"/>
                    <w:szCs w:val="24"/>
                  </w:rPr>
                  <w:t>4</w:t>
                </w:r>
                <w:r w:rsidRPr="00A17791">
                  <w:rPr>
                    <w:rStyle w:val="Hyperlink"/>
                    <w:sz w:val="24"/>
                    <w:szCs w:val="24"/>
                  </w:rPr>
                  <w:t>2000225245</w:t>
                </w:r>
              </w:hyperlink>
            </w:p>
            <w:p w14:paraId="2A6E1410" w14:textId="77777777" w:rsidR="00A17791" w:rsidRPr="00A17791" w:rsidRDefault="00A17791" w:rsidP="00A17791">
              <w:pPr>
                <w:pStyle w:val="Bibliography"/>
                <w:rPr>
                  <w:sz w:val="24"/>
                  <w:szCs w:val="24"/>
                </w:rPr>
              </w:pPr>
              <w:r w:rsidRPr="00A17791">
                <w:rPr>
                  <w:sz w:val="24"/>
                  <w:szCs w:val="24"/>
                </w:rPr>
                <w:t xml:space="preserve">Food Standards Agency (2024) </w:t>
              </w:r>
              <w:r w:rsidRPr="00A17791">
                <w:rPr>
                  <w:i/>
                  <w:iCs/>
                  <w:sz w:val="24"/>
                  <w:szCs w:val="24"/>
                </w:rPr>
                <w:t>Safer Food Better Business</w:t>
              </w:r>
              <w:r w:rsidRPr="00A17791">
                <w:rPr>
                  <w:sz w:val="24"/>
                  <w:szCs w:val="24"/>
                </w:rPr>
                <w:t>. Available at:</w:t>
              </w:r>
              <w:r w:rsidRPr="00A17791">
                <w:rPr>
                  <w:sz w:val="24"/>
                  <w:szCs w:val="24"/>
                </w:rPr>
                <w:br/>
              </w:r>
              <w:hyperlink r:id="rId7" w:tgtFrame="_new" w:history="1">
                <w:r w:rsidRPr="00A17791">
                  <w:rPr>
                    <w:rStyle w:val="Hyperlink"/>
                    <w:sz w:val="24"/>
                    <w:szCs w:val="24"/>
                  </w:rPr>
                  <w:t>https://www.food.gov.uk/business-guidance/safer-fo</w:t>
                </w:r>
                <w:r w:rsidRPr="00A17791">
                  <w:rPr>
                    <w:rStyle w:val="Hyperlink"/>
                    <w:sz w:val="24"/>
                    <w:szCs w:val="24"/>
                  </w:rPr>
                  <w:t>o</w:t>
                </w:r>
                <w:r w:rsidRPr="00A17791">
                  <w:rPr>
                    <w:rStyle w:val="Hyperlink"/>
                    <w:sz w:val="24"/>
                    <w:szCs w:val="24"/>
                  </w:rPr>
                  <w:t>d-better-business-sfbb</w:t>
                </w:r>
              </w:hyperlink>
              <w:r w:rsidRPr="00A17791">
                <w:rPr>
                  <w:sz w:val="24"/>
                  <w:szCs w:val="24"/>
                </w:rPr>
                <w:br/>
                <w:t>(Accessed: 9 July 2026).</w:t>
              </w:r>
            </w:p>
            <w:p w14:paraId="5C0466F4" w14:textId="0A91F712" w:rsidR="00A17791" w:rsidRPr="00A17791" w:rsidRDefault="00A17791" w:rsidP="00A17791">
              <w:pPr>
                <w:pStyle w:val="Bibliography"/>
                <w:rPr>
                  <w:sz w:val="24"/>
                  <w:szCs w:val="24"/>
                </w:rPr>
              </w:pPr>
              <w:r w:rsidRPr="00A17791">
                <w:rPr>
                  <w:sz w:val="24"/>
                  <w:szCs w:val="24"/>
                </w:rPr>
                <w:t xml:space="preserve">Gibbs, G. (1988) </w:t>
              </w:r>
              <w:r w:rsidRPr="00A17791">
                <w:rPr>
                  <w:i/>
                  <w:iCs/>
                  <w:sz w:val="24"/>
                  <w:szCs w:val="24"/>
                </w:rPr>
                <w:t>Learning by Doing: A Guide to Teaching and Learning Methods</w:t>
              </w:r>
              <w:r w:rsidRPr="00A17791">
                <w:rPr>
                  <w:sz w:val="24"/>
                  <w:szCs w:val="24"/>
                </w:rPr>
                <w:t>. Oxford: Oxford Polytechnic.</w:t>
              </w:r>
              <w:r w:rsidR="00AA4B2E">
                <w:rPr>
                  <w:sz w:val="24"/>
                  <w:szCs w:val="24"/>
                </w:rPr>
                <w:t xml:space="preserve"> </w:t>
              </w:r>
              <w:hyperlink r:id="rId8" w:history="1">
                <w:r w:rsidR="00AA4B2E" w:rsidRPr="00AA4B2E">
                  <w:rPr>
                    <w:rStyle w:val="Hyperlink"/>
                    <w:sz w:val="24"/>
                    <w:szCs w:val="24"/>
                  </w:rPr>
                  <w:t>Learning by Doing: A Guide to Teaching and Learning Methods - Graham Gibbs, Great Britain. Further Education Unit - Google Books</w:t>
                </w:r>
              </w:hyperlink>
            </w:p>
            <w:p w14:paraId="2FEE80DF" w14:textId="7257AF39" w:rsidR="00A17791" w:rsidRPr="00A17791" w:rsidRDefault="00A17791" w:rsidP="00A17791">
              <w:pPr>
                <w:pStyle w:val="Bibliography"/>
                <w:rPr>
                  <w:sz w:val="24"/>
                  <w:szCs w:val="24"/>
                </w:rPr>
              </w:pPr>
              <w:r w:rsidRPr="00A17791">
                <w:rPr>
                  <w:sz w:val="24"/>
                  <w:szCs w:val="24"/>
                </w:rPr>
                <w:t xml:space="preserve">Hegarty, J.A. (2011) 'Achieving Excellence by Means of Critical Reflection and Cultural Imagination in Culinary Arts and Gastronomy Education', </w:t>
              </w:r>
              <w:r w:rsidRPr="00A17791">
                <w:rPr>
                  <w:i/>
                  <w:iCs/>
                  <w:sz w:val="24"/>
                  <w:szCs w:val="24"/>
                </w:rPr>
                <w:t>Journal of Culinary Science &amp; Technology</w:t>
              </w:r>
              <w:r w:rsidRPr="00A17791">
                <w:rPr>
                  <w:sz w:val="24"/>
                  <w:szCs w:val="24"/>
                </w:rPr>
                <w:t>, 9(2), pp. 55–71.</w:t>
              </w:r>
              <w:r w:rsidR="00AA4B2E">
                <w:rPr>
                  <w:sz w:val="24"/>
                  <w:szCs w:val="24"/>
                </w:rPr>
                <w:t xml:space="preserve"> </w:t>
              </w:r>
              <w:hyperlink r:id="rId9" w:history="1">
                <w:r w:rsidR="00AA4B2E" w:rsidRPr="00AA4B2E">
                  <w:rPr>
                    <w:rStyle w:val="Hyperlink"/>
                    <w:sz w:val="24"/>
                    <w:szCs w:val="24"/>
                  </w:rPr>
                  <w:t>Achieving Excellence by Means of Critical Reflection and Cultural Imagination in Culinary Arts and Gastronomy Education | Request PDF</w:t>
                </w:r>
              </w:hyperlink>
            </w:p>
            <w:p w14:paraId="6BD2C9DE" w14:textId="078725A8" w:rsidR="00A17791" w:rsidRPr="00A17791" w:rsidRDefault="00A17791" w:rsidP="00A17791">
              <w:pPr>
                <w:pStyle w:val="Bibliography"/>
                <w:rPr>
                  <w:sz w:val="24"/>
                  <w:szCs w:val="24"/>
                </w:rPr>
              </w:pPr>
              <w:r w:rsidRPr="00A17791">
                <w:rPr>
                  <w:sz w:val="24"/>
                  <w:szCs w:val="24"/>
                </w:rPr>
                <w:t xml:space="preserve">Katzenbach, J.R. and Smith, D.K. (2015) </w:t>
              </w:r>
              <w:r w:rsidRPr="00A17791">
                <w:rPr>
                  <w:i/>
                  <w:iCs/>
                  <w:sz w:val="24"/>
                  <w:szCs w:val="24"/>
                </w:rPr>
                <w:t>The Wisdom of Teams: Creating the High-Performance Organization</w:t>
              </w:r>
              <w:r w:rsidRPr="00A17791">
                <w:rPr>
                  <w:sz w:val="24"/>
                  <w:szCs w:val="24"/>
                </w:rPr>
                <w:t xml:space="preserve">. New York: </w:t>
              </w:r>
              <w:proofErr w:type="spellStart"/>
              <w:r w:rsidRPr="00A17791">
                <w:rPr>
                  <w:sz w:val="24"/>
                  <w:szCs w:val="24"/>
                </w:rPr>
                <w:t>HarperBusiness</w:t>
              </w:r>
              <w:proofErr w:type="spellEnd"/>
              <w:r w:rsidRPr="00A17791">
                <w:rPr>
                  <w:sz w:val="24"/>
                  <w:szCs w:val="24"/>
                </w:rPr>
                <w:t>.</w:t>
              </w:r>
              <w:r w:rsidR="00AA4B2E">
                <w:rPr>
                  <w:sz w:val="24"/>
                  <w:szCs w:val="24"/>
                </w:rPr>
                <w:t xml:space="preserve"> </w:t>
              </w:r>
              <w:hyperlink r:id="rId10" w:history="1">
                <w:r w:rsidR="00AA4B2E" w:rsidRPr="00A17791">
                  <w:rPr>
                    <w:rStyle w:val="Hyperlink"/>
                    <w:rFonts w:ascii="Arial" w:hAnsi="Arial" w:cs="Arial"/>
                    <w:sz w:val="24"/>
                    <w:szCs w:val="24"/>
                  </w:rPr>
                  <w:t>The Wisdom of Teams: Creating the High-Performance Organization - Jon R. Katzenbach, Douglas K. Smith - Google Books</w:t>
                </w:r>
              </w:hyperlink>
            </w:p>
            <w:p w14:paraId="10974835" w14:textId="79996B7B" w:rsidR="00A17791" w:rsidRPr="00AA4B2E" w:rsidRDefault="00A17791" w:rsidP="00AA4B2E">
              <w:pPr>
                <w:rPr>
                  <w:rFonts w:ascii="Arial" w:hAnsi="Arial" w:cs="Arial"/>
                  <w:sz w:val="24"/>
                  <w:szCs w:val="24"/>
                </w:rPr>
              </w:pPr>
              <w:r w:rsidRPr="00A17791">
                <w:rPr>
                  <w:sz w:val="24"/>
                  <w:szCs w:val="24"/>
                </w:rPr>
                <w:t xml:space="preserve">Kolb, D.A. (1984) </w:t>
              </w:r>
              <w:r w:rsidRPr="00A17791">
                <w:rPr>
                  <w:i/>
                  <w:iCs/>
                  <w:sz w:val="24"/>
                  <w:szCs w:val="24"/>
                </w:rPr>
                <w:t>Experiential Learning: Experience as the Source of Learning and Development</w:t>
              </w:r>
              <w:r w:rsidRPr="00A17791">
                <w:rPr>
                  <w:sz w:val="24"/>
                  <w:szCs w:val="24"/>
                </w:rPr>
                <w:t>. Englewood Cliffs, NJ: Prentice Hall.</w:t>
              </w:r>
              <w:r w:rsidR="00AA4B2E">
                <w:rPr>
                  <w:sz w:val="24"/>
                  <w:szCs w:val="24"/>
                </w:rPr>
                <w:t xml:space="preserve"> </w:t>
              </w:r>
              <w:hyperlink r:id="rId11" w:history="1">
                <w:r w:rsidR="00AA4B2E" w:rsidRPr="00A17791">
                  <w:rPr>
                    <w:rStyle w:val="Hyperlink"/>
                    <w:rFonts w:ascii="Arial" w:hAnsi="Arial" w:cs="Arial"/>
                    <w:sz w:val="24"/>
                    <w:szCs w:val="24"/>
                  </w:rPr>
                  <w:t>Experiential Learning: Experience as the Source of Learning and Development - David A. Kolb - Google Books</w:t>
                </w:r>
              </w:hyperlink>
              <w:r w:rsidR="00AA4B2E" w:rsidRPr="00A17791">
                <w:rPr>
                  <w:rFonts w:ascii="Arial" w:hAnsi="Arial" w:cs="Arial"/>
                  <w:sz w:val="24"/>
                  <w:szCs w:val="24"/>
                </w:rPr>
                <w:t xml:space="preserve"> </w:t>
              </w:r>
            </w:p>
            <w:p w14:paraId="16B9C4CA" w14:textId="77777777" w:rsidR="00A17791" w:rsidRPr="00A17791" w:rsidRDefault="00A17791" w:rsidP="00A17791">
              <w:pPr>
                <w:pStyle w:val="Bibliography"/>
                <w:rPr>
                  <w:sz w:val="24"/>
                  <w:szCs w:val="24"/>
                </w:rPr>
              </w:pPr>
              <w:r w:rsidRPr="00A17791">
                <w:rPr>
                  <w:sz w:val="24"/>
                  <w:szCs w:val="24"/>
                </w:rPr>
                <w:t xml:space="preserve">Moon, J.A. (2004) </w:t>
              </w:r>
              <w:r w:rsidRPr="00A17791">
                <w:rPr>
                  <w:i/>
                  <w:iCs/>
                  <w:sz w:val="24"/>
                  <w:szCs w:val="24"/>
                </w:rPr>
                <w:t>A Handbook of Reflective and Experiential Learning</w:t>
              </w:r>
              <w:r w:rsidRPr="00A17791">
                <w:rPr>
                  <w:sz w:val="24"/>
                  <w:szCs w:val="24"/>
                </w:rPr>
                <w:t>. London: Routledge.</w:t>
              </w:r>
            </w:p>
            <w:p w14:paraId="6FBF4150" w14:textId="77777777" w:rsidR="00A17791" w:rsidRPr="00A17791" w:rsidRDefault="00A17791" w:rsidP="00A17791">
              <w:pPr>
                <w:pStyle w:val="Bibliography"/>
                <w:rPr>
                  <w:sz w:val="24"/>
                  <w:szCs w:val="24"/>
                </w:rPr>
              </w:pPr>
              <w:r w:rsidRPr="00A17791">
                <w:rPr>
                  <w:sz w:val="24"/>
                  <w:szCs w:val="24"/>
                </w:rPr>
                <w:t xml:space="preserve">Oliveira, A., Rocha, A., Martins, C. and Ferreira, M. (2024) 'Learning experiences in the culinary classroom: Identifying barriers and enablers in the practical teaching-learning process in gastronomy', </w:t>
              </w:r>
              <w:r w:rsidRPr="00A17791">
                <w:rPr>
                  <w:i/>
                  <w:iCs/>
                  <w:sz w:val="24"/>
                  <w:szCs w:val="24"/>
                </w:rPr>
                <w:t>Journal of Hospitality, Leisure, Sport &amp; Tourism Education</w:t>
              </w:r>
              <w:r w:rsidRPr="00A17791">
                <w:rPr>
                  <w:sz w:val="24"/>
                  <w:szCs w:val="24"/>
                </w:rPr>
                <w:t>, 36, 100508.</w:t>
              </w:r>
              <w:r w:rsidRPr="00A17791">
                <w:rPr>
                  <w:sz w:val="24"/>
                  <w:szCs w:val="24"/>
                </w:rPr>
                <w:br/>
                <w:t>https://doi.org/10.1016/j.jhlste.2024.100508</w:t>
              </w:r>
            </w:p>
            <w:p w14:paraId="1739824A" w14:textId="77777777" w:rsidR="00A17791" w:rsidRPr="00A17791" w:rsidRDefault="00A17791" w:rsidP="00A17791">
              <w:pPr>
                <w:pStyle w:val="Bibliography"/>
                <w:rPr>
                  <w:sz w:val="24"/>
                  <w:szCs w:val="24"/>
                </w:rPr>
              </w:pPr>
              <w:r w:rsidRPr="00A17791">
                <w:rPr>
                  <w:sz w:val="24"/>
                  <w:szCs w:val="24"/>
                </w:rPr>
                <w:t xml:space="preserve">Salas, E., Sims, D.E. and Burke, C.S. (2005) 'Is there a "Big Five" in Teamwork?', </w:t>
              </w:r>
              <w:r w:rsidRPr="00A17791">
                <w:rPr>
                  <w:i/>
                  <w:iCs/>
                  <w:sz w:val="24"/>
                  <w:szCs w:val="24"/>
                </w:rPr>
                <w:t>Small Group Research</w:t>
              </w:r>
              <w:r w:rsidRPr="00A17791">
                <w:rPr>
                  <w:sz w:val="24"/>
                  <w:szCs w:val="24"/>
                </w:rPr>
                <w:t>, 36(5), pp. 555–599.</w:t>
              </w:r>
              <w:r w:rsidRPr="00A17791">
                <w:rPr>
                  <w:sz w:val="24"/>
                  <w:szCs w:val="24"/>
                </w:rPr>
                <w:br/>
              </w:r>
              <w:hyperlink r:id="rId12" w:tgtFrame="_new" w:history="1">
                <w:r w:rsidRPr="00A17791">
                  <w:rPr>
                    <w:rStyle w:val="Hyperlink"/>
                    <w:sz w:val="24"/>
                    <w:szCs w:val="24"/>
                  </w:rPr>
                  <w:t>https://doi.org/10.1177/104649640527</w:t>
                </w:r>
                <w:r w:rsidRPr="00A17791">
                  <w:rPr>
                    <w:rStyle w:val="Hyperlink"/>
                    <w:sz w:val="24"/>
                    <w:szCs w:val="24"/>
                  </w:rPr>
                  <w:t>7</w:t>
                </w:r>
                <w:r w:rsidRPr="00A17791">
                  <w:rPr>
                    <w:rStyle w:val="Hyperlink"/>
                    <w:sz w:val="24"/>
                    <w:szCs w:val="24"/>
                  </w:rPr>
                  <w:t>134</w:t>
                </w:r>
              </w:hyperlink>
            </w:p>
            <w:p w14:paraId="12EF7579" w14:textId="77777777" w:rsidR="00AA4B2E" w:rsidRPr="00A17791" w:rsidRDefault="00A17791" w:rsidP="00AA4B2E">
              <w:pPr>
                <w:rPr>
                  <w:rFonts w:ascii="Arial" w:hAnsi="Arial" w:cs="Arial"/>
                  <w:sz w:val="24"/>
                  <w:szCs w:val="24"/>
                </w:rPr>
              </w:pPr>
              <w:r w:rsidRPr="00A17791">
                <w:rPr>
                  <w:sz w:val="24"/>
                  <w:szCs w:val="24"/>
                </w:rPr>
                <w:t xml:space="preserve">Schön, D.A. (1983) </w:t>
              </w:r>
              <w:r w:rsidRPr="00A17791">
                <w:rPr>
                  <w:i/>
                  <w:iCs/>
                  <w:sz w:val="24"/>
                  <w:szCs w:val="24"/>
                </w:rPr>
                <w:t>The Reflective Practitioner: How Professionals Think in Action</w:t>
              </w:r>
              <w:r w:rsidRPr="00A17791">
                <w:rPr>
                  <w:sz w:val="24"/>
                  <w:szCs w:val="24"/>
                </w:rPr>
                <w:t>. New York: Basic Books.</w:t>
              </w:r>
              <w:r w:rsidR="00AA4B2E">
                <w:rPr>
                  <w:sz w:val="24"/>
                  <w:szCs w:val="24"/>
                </w:rPr>
                <w:t xml:space="preserve"> </w:t>
              </w:r>
              <w:hyperlink r:id="rId13" w:history="1">
                <w:r w:rsidR="00AA4B2E" w:rsidRPr="00A17791">
                  <w:rPr>
                    <w:rStyle w:val="Hyperlink"/>
                    <w:rFonts w:ascii="Arial" w:hAnsi="Arial" w:cs="Arial"/>
                    <w:sz w:val="24"/>
                    <w:szCs w:val="24"/>
                  </w:rPr>
                  <w:t>The Reflective Practitioner: How Professionals Think in Action - Donald A. Schön - Google Books</w:t>
                </w:r>
              </w:hyperlink>
            </w:p>
            <w:p w14:paraId="14481DD6" w14:textId="077A6F76" w:rsidR="00A17791" w:rsidRPr="00A17791" w:rsidRDefault="00A17791" w:rsidP="00A17791">
              <w:pPr>
                <w:pStyle w:val="Bibliography"/>
                <w:rPr>
                  <w:sz w:val="24"/>
                  <w:szCs w:val="24"/>
                </w:rPr>
              </w:pPr>
            </w:p>
            <w:p w14:paraId="2DAD6320" w14:textId="77777777" w:rsidR="00A17791" w:rsidRPr="00A17791" w:rsidRDefault="00A17791" w:rsidP="00A17791">
              <w:pPr>
                <w:pStyle w:val="Bibliography"/>
                <w:rPr>
                  <w:sz w:val="24"/>
                  <w:szCs w:val="24"/>
                </w:rPr>
              </w:pPr>
              <w:r w:rsidRPr="00A17791">
                <w:rPr>
                  <w:sz w:val="24"/>
                  <w:szCs w:val="24"/>
                </w:rPr>
                <w:lastRenderedPageBreak/>
                <w:t xml:space="preserve">Carbone, E.T. and Scarpati, S.E. (2013) 'Food Safety Practices Assessment Tool: An Innovative Way to Test Food Safety Skills', </w:t>
              </w:r>
              <w:r w:rsidRPr="00A17791">
                <w:rPr>
                  <w:i/>
                  <w:iCs/>
                  <w:sz w:val="24"/>
                  <w:szCs w:val="24"/>
                </w:rPr>
                <w:t>Journal of Food Science Education</w:t>
              </w:r>
              <w:r w:rsidRPr="00A17791">
                <w:rPr>
                  <w:sz w:val="24"/>
                  <w:szCs w:val="24"/>
                </w:rPr>
                <w:t>, 12(1), pp. 1–9.</w:t>
              </w:r>
              <w:r w:rsidRPr="00A17791">
                <w:rPr>
                  <w:sz w:val="24"/>
                  <w:szCs w:val="24"/>
                </w:rPr>
                <w:br/>
                <w:t>https://doi.org/10.1111/j.1541-4329.2012.00161.x</w:t>
              </w:r>
            </w:p>
            <w:p w14:paraId="6FC087EE" w14:textId="77777777" w:rsidR="00A17791" w:rsidRPr="00A17791" w:rsidRDefault="00A17791" w:rsidP="00A17791">
              <w:pPr>
                <w:pStyle w:val="Bibliography"/>
                <w:rPr>
                  <w:sz w:val="24"/>
                  <w:szCs w:val="24"/>
                </w:rPr>
              </w:pPr>
              <w:r w:rsidRPr="00A17791">
                <w:rPr>
                  <w:sz w:val="24"/>
                  <w:szCs w:val="24"/>
                </w:rPr>
                <w:t xml:space="preserve">Ceserani, V. and Kinton, R. (2017) </w:t>
              </w:r>
              <w:r w:rsidRPr="00A17791">
                <w:rPr>
                  <w:i/>
                  <w:iCs/>
                  <w:sz w:val="24"/>
                  <w:szCs w:val="24"/>
                </w:rPr>
                <w:t>The Theory of Catering</w:t>
              </w:r>
              <w:r w:rsidRPr="00A17791">
                <w:rPr>
                  <w:sz w:val="24"/>
                  <w:szCs w:val="24"/>
                </w:rPr>
                <w:t xml:space="preserve">. 13th </w:t>
              </w:r>
              <w:proofErr w:type="spellStart"/>
              <w:r w:rsidRPr="00A17791">
                <w:rPr>
                  <w:sz w:val="24"/>
                  <w:szCs w:val="24"/>
                </w:rPr>
                <w:t>edn</w:t>
              </w:r>
              <w:proofErr w:type="spellEnd"/>
              <w:r w:rsidRPr="00A17791">
                <w:rPr>
                  <w:sz w:val="24"/>
                  <w:szCs w:val="24"/>
                </w:rPr>
                <w:t>. London: Hodder Education.</w:t>
              </w:r>
            </w:p>
            <w:p w14:paraId="482BB656" w14:textId="77777777" w:rsidR="00A17791" w:rsidRPr="00A17791" w:rsidRDefault="00A17791" w:rsidP="00A17791">
              <w:pPr>
                <w:pStyle w:val="Bibliography"/>
                <w:rPr>
                  <w:sz w:val="24"/>
                  <w:szCs w:val="24"/>
                </w:rPr>
              </w:pPr>
              <w:r w:rsidRPr="00A17791">
                <w:rPr>
                  <w:sz w:val="24"/>
                  <w:szCs w:val="24"/>
                </w:rPr>
                <w:t xml:space="preserve">Cottrell, S. (2019) </w:t>
              </w:r>
              <w:r w:rsidRPr="00A17791">
                <w:rPr>
                  <w:i/>
                  <w:iCs/>
                  <w:sz w:val="24"/>
                  <w:szCs w:val="24"/>
                </w:rPr>
                <w:t>The Study Skills Handbook</w:t>
              </w:r>
              <w:r w:rsidRPr="00A17791">
                <w:rPr>
                  <w:sz w:val="24"/>
                  <w:szCs w:val="24"/>
                </w:rPr>
                <w:t xml:space="preserve">. 5th </w:t>
              </w:r>
              <w:proofErr w:type="spellStart"/>
              <w:r w:rsidRPr="00A17791">
                <w:rPr>
                  <w:sz w:val="24"/>
                  <w:szCs w:val="24"/>
                </w:rPr>
                <w:t>edn</w:t>
              </w:r>
              <w:proofErr w:type="spellEnd"/>
              <w:r w:rsidRPr="00A17791">
                <w:rPr>
                  <w:sz w:val="24"/>
                  <w:szCs w:val="24"/>
                </w:rPr>
                <w:t>. London: Red Globe Press.</w:t>
              </w:r>
            </w:p>
            <w:p w14:paraId="4FFEEB44" w14:textId="77777777" w:rsidR="00A17791" w:rsidRPr="00A17791" w:rsidRDefault="00A17791" w:rsidP="00A17791">
              <w:pPr>
                <w:pStyle w:val="Bibliography"/>
                <w:rPr>
                  <w:sz w:val="24"/>
                  <w:szCs w:val="24"/>
                </w:rPr>
              </w:pPr>
              <w:r w:rsidRPr="00A17791">
                <w:rPr>
                  <w:sz w:val="24"/>
                  <w:szCs w:val="24"/>
                </w:rPr>
                <w:t xml:space="preserve">World Health Organization (2022) </w:t>
              </w:r>
              <w:r w:rsidRPr="00A17791">
                <w:rPr>
                  <w:i/>
                  <w:iCs/>
                  <w:sz w:val="24"/>
                  <w:szCs w:val="24"/>
                </w:rPr>
                <w:t>Five Keys to Safer Food Manual</w:t>
              </w:r>
              <w:r w:rsidRPr="00A17791">
                <w:rPr>
                  <w:sz w:val="24"/>
                  <w:szCs w:val="24"/>
                </w:rPr>
                <w:t>. Geneva: World Health Organization.</w:t>
              </w:r>
              <w:r w:rsidRPr="00A17791">
                <w:rPr>
                  <w:sz w:val="24"/>
                  <w:szCs w:val="24"/>
                </w:rPr>
                <w:br/>
              </w:r>
              <w:hyperlink r:id="rId14" w:tgtFrame="_new" w:history="1">
                <w:r w:rsidRPr="00A17791">
                  <w:rPr>
                    <w:rStyle w:val="Hyperlink"/>
                    <w:sz w:val="24"/>
                    <w:szCs w:val="24"/>
                  </w:rPr>
                  <w:t>https://www.who.int/publ</w:t>
                </w:r>
                <w:r w:rsidRPr="00A17791">
                  <w:rPr>
                    <w:rStyle w:val="Hyperlink"/>
                    <w:sz w:val="24"/>
                    <w:szCs w:val="24"/>
                  </w:rPr>
                  <w:t>i</w:t>
                </w:r>
                <w:r w:rsidRPr="00A17791">
                  <w:rPr>
                    <w:rStyle w:val="Hyperlink"/>
                    <w:sz w:val="24"/>
                    <w:szCs w:val="24"/>
                  </w:rPr>
                  <w:t>cations/i/item/9789241594639</w:t>
                </w:r>
              </w:hyperlink>
            </w:p>
            <w:p w14:paraId="07D0B7B5" w14:textId="01946A5F" w:rsidR="00A17791" w:rsidRDefault="00A17791" w:rsidP="00A17791">
              <w:pPr>
                <w:pStyle w:val="Bibliography"/>
              </w:pPr>
            </w:p>
            <w:p w14:paraId="76A80369" w14:textId="40873C6C" w:rsidR="00A17791" w:rsidRDefault="00A17791" w:rsidP="00A17791"/>
          </w:sdtContent>
        </w:sdt>
      </w:sdtContent>
    </w:sdt>
    <w:p w14:paraId="10664BFE" w14:textId="3F570D9D" w:rsidR="00A17791" w:rsidRPr="00A17791" w:rsidRDefault="00A17791">
      <w:pPr>
        <w:rPr>
          <w:rFonts w:ascii="Arial" w:hAnsi="Arial" w:cs="Arial"/>
          <w:sz w:val="24"/>
          <w:szCs w:val="24"/>
        </w:rPr>
      </w:pPr>
    </w:p>
    <w:sectPr w:rsidR="00A17791" w:rsidRPr="00A177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13CB"/>
    <w:rsid w:val="0004178A"/>
    <w:rsid w:val="00190186"/>
    <w:rsid w:val="005940E1"/>
    <w:rsid w:val="00690748"/>
    <w:rsid w:val="0078373D"/>
    <w:rsid w:val="007C13CB"/>
    <w:rsid w:val="00A17791"/>
    <w:rsid w:val="00AA4B2E"/>
    <w:rsid w:val="00B36D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8D8461"/>
  <w15:chartTrackingRefBased/>
  <w15:docId w15:val="{F1A9FCCD-AB43-488D-92B3-EFF99C900D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C13C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C13C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C13C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C13C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C13C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C13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C13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C13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C13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13C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C13C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C13C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C13C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C13C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C13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C13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C13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C13CB"/>
    <w:rPr>
      <w:rFonts w:eastAsiaTheme="majorEastAsia" w:cstheme="majorBidi"/>
      <w:color w:val="272727" w:themeColor="text1" w:themeTint="D8"/>
    </w:rPr>
  </w:style>
  <w:style w:type="paragraph" w:styleId="Title">
    <w:name w:val="Title"/>
    <w:basedOn w:val="Normal"/>
    <w:next w:val="Normal"/>
    <w:link w:val="TitleChar"/>
    <w:uiPriority w:val="10"/>
    <w:qFormat/>
    <w:rsid w:val="007C13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13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C13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C13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C13CB"/>
    <w:pPr>
      <w:spacing w:before="160"/>
      <w:jc w:val="center"/>
    </w:pPr>
    <w:rPr>
      <w:i/>
      <w:iCs/>
      <w:color w:val="404040" w:themeColor="text1" w:themeTint="BF"/>
    </w:rPr>
  </w:style>
  <w:style w:type="character" w:customStyle="1" w:styleId="QuoteChar">
    <w:name w:val="Quote Char"/>
    <w:basedOn w:val="DefaultParagraphFont"/>
    <w:link w:val="Quote"/>
    <w:uiPriority w:val="29"/>
    <w:rsid w:val="007C13CB"/>
    <w:rPr>
      <w:i/>
      <w:iCs/>
      <w:color w:val="404040" w:themeColor="text1" w:themeTint="BF"/>
    </w:rPr>
  </w:style>
  <w:style w:type="paragraph" w:styleId="ListParagraph">
    <w:name w:val="List Paragraph"/>
    <w:basedOn w:val="Normal"/>
    <w:uiPriority w:val="34"/>
    <w:qFormat/>
    <w:rsid w:val="007C13CB"/>
    <w:pPr>
      <w:ind w:left="720"/>
      <w:contextualSpacing/>
    </w:pPr>
  </w:style>
  <w:style w:type="character" w:styleId="IntenseEmphasis">
    <w:name w:val="Intense Emphasis"/>
    <w:basedOn w:val="DefaultParagraphFont"/>
    <w:uiPriority w:val="21"/>
    <w:qFormat/>
    <w:rsid w:val="007C13CB"/>
    <w:rPr>
      <w:i/>
      <w:iCs/>
      <w:color w:val="2F5496" w:themeColor="accent1" w:themeShade="BF"/>
    </w:rPr>
  </w:style>
  <w:style w:type="paragraph" w:styleId="IntenseQuote">
    <w:name w:val="Intense Quote"/>
    <w:basedOn w:val="Normal"/>
    <w:next w:val="Normal"/>
    <w:link w:val="IntenseQuoteChar"/>
    <w:uiPriority w:val="30"/>
    <w:qFormat/>
    <w:rsid w:val="007C13C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C13CB"/>
    <w:rPr>
      <w:i/>
      <w:iCs/>
      <w:color w:val="2F5496" w:themeColor="accent1" w:themeShade="BF"/>
    </w:rPr>
  </w:style>
  <w:style w:type="character" w:styleId="IntenseReference">
    <w:name w:val="Intense Reference"/>
    <w:basedOn w:val="DefaultParagraphFont"/>
    <w:uiPriority w:val="32"/>
    <w:qFormat/>
    <w:rsid w:val="007C13CB"/>
    <w:rPr>
      <w:b/>
      <w:bCs/>
      <w:smallCaps/>
      <w:color w:val="2F5496" w:themeColor="accent1" w:themeShade="BF"/>
      <w:spacing w:val="5"/>
    </w:rPr>
  </w:style>
  <w:style w:type="character" w:styleId="Hyperlink">
    <w:name w:val="Hyperlink"/>
    <w:basedOn w:val="DefaultParagraphFont"/>
    <w:uiPriority w:val="99"/>
    <w:unhideWhenUsed/>
    <w:rsid w:val="00190186"/>
    <w:rPr>
      <w:color w:val="0563C1" w:themeColor="hyperlink"/>
      <w:u w:val="single"/>
    </w:rPr>
  </w:style>
  <w:style w:type="character" w:styleId="UnresolvedMention">
    <w:name w:val="Unresolved Mention"/>
    <w:basedOn w:val="DefaultParagraphFont"/>
    <w:uiPriority w:val="99"/>
    <w:semiHidden/>
    <w:unhideWhenUsed/>
    <w:rsid w:val="00190186"/>
    <w:rPr>
      <w:color w:val="605E5C"/>
      <w:shd w:val="clear" w:color="auto" w:fill="E1DFDD"/>
    </w:rPr>
  </w:style>
  <w:style w:type="paragraph" w:styleId="Bibliography">
    <w:name w:val="Bibliography"/>
    <w:basedOn w:val="Normal"/>
    <w:next w:val="Normal"/>
    <w:uiPriority w:val="37"/>
    <w:unhideWhenUsed/>
    <w:rsid w:val="00A17791"/>
  </w:style>
  <w:style w:type="character" w:styleId="FollowedHyperlink">
    <w:name w:val="FollowedHyperlink"/>
    <w:basedOn w:val="DefaultParagraphFont"/>
    <w:uiPriority w:val="99"/>
    <w:semiHidden/>
    <w:unhideWhenUsed/>
    <w:rsid w:val="00AA4B2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1856512">
      <w:bodyDiv w:val="1"/>
      <w:marLeft w:val="0"/>
      <w:marRight w:val="0"/>
      <w:marTop w:val="0"/>
      <w:marBottom w:val="0"/>
      <w:divBdr>
        <w:top w:val="none" w:sz="0" w:space="0" w:color="auto"/>
        <w:left w:val="none" w:sz="0" w:space="0" w:color="auto"/>
        <w:bottom w:val="none" w:sz="0" w:space="0" w:color="auto"/>
        <w:right w:val="none" w:sz="0" w:space="0" w:color="auto"/>
      </w:divBdr>
    </w:div>
    <w:div w:id="253520081">
      <w:bodyDiv w:val="1"/>
      <w:marLeft w:val="0"/>
      <w:marRight w:val="0"/>
      <w:marTop w:val="0"/>
      <w:marBottom w:val="0"/>
      <w:divBdr>
        <w:top w:val="none" w:sz="0" w:space="0" w:color="auto"/>
        <w:left w:val="none" w:sz="0" w:space="0" w:color="auto"/>
        <w:bottom w:val="none" w:sz="0" w:space="0" w:color="auto"/>
        <w:right w:val="none" w:sz="0" w:space="0" w:color="auto"/>
      </w:divBdr>
    </w:div>
    <w:div w:id="635842066">
      <w:bodyDiv w:val="1"/>
      <w:marLeft w:val="0"/>
      <w:marRight w:val="0"/>
      <w:marTop w:val="0"/>
      <w:marBottom w:val="0"/>
      <w:divBdr>
        <w:top w:val="none" w:sz="0" w:space="0" w:color="auto"/>
        <w:left w:val="none" w:sz="0" w:space="0" w:color="auto"/>
        <w:bottom w:val="none" w:sz="0" w:space="0" w:color="auto"/>
        <w:right w:val="none" w:sz="0" w:space="0" w:color="auto"/>
      </w:divBdr>
    </w:div>
    <w:div w:id="715396248">
      <w:bodyDiv w:val="1"/>
      <w:marLeft w:val="0"/>
      <w:marRight w:val="0"/>
      <w:marTop w:val="0"/>
      <w:marBottom w:val="0"/>
      <w:divBdr>
        <w:top w:val="none" w:sz="0" w:space="0" w:color="auto"/>
        <w:left w:val="none" w:sz="0" w:space="0" w:color="auto"/>
        <w:bottom w:val="none" w:sz="0" w:space="0" w:color="auto"/>
        <w:right w:val="none" w:sz="0" w:space="0" w:color="auto"/>
      </w:divBdr>
    </w:div>
    <w:div w:id="742724042">
      <w:bodyDiv w:val="1"/>
      <w:marLeft w:val="0"/>
      <w:marRight w:val="0"/>
      <w:marTop w:val="0"/>
      <w:marBottom w:val="0"/>
      <w:divBdr>
        <w:top w:val="none" w:sz="0" w:space="0" w:color="auto"/>
        <w:left w:val="none" w:sz="0" w:space="0" w:color="auto"/>
        <w:bottom w:val="none" w:sz="0" w:space="0" w:color="auto"/>
        <w:right w:val="none" w:sz="0" w:space="0" w:color="auto"/>
      </w:divBdr>
    </w:div>
    <w:div w:id="1229730689">
      <w:bodyDiv w:val="1"/>
      <w:marLeft w:val="0"/>
      <w:marRight w:val="0"/>
      <w:marTop w:val="0"/>
      <w:marBottom w:val="0"/>
      <w:divBdr>
        <w:top w:val="none" w:sz="0" w:space="0" w:color="auto"/>
        <w:left w:val="none" w:sz="0" w:space="0" w:color="auto"/>
        <w:bottom w:val="none" w:sz="0" w:space="0" w:color="auto"/>
        <w:right w:val="none" w:sz="0" w:space="0" w:color="auto"/>
      </w:divBdr>
    </w:div>
    <w:div w:id="1429042715">
      <w:bodyDiv w:val="1"/>
      <w:marLeft w:val="0"/>
      <w:marRight w:val="0"/>
      <w:marTop w:val="0"/>
      <w:marBottom w:val="0"/>
      <w:divBdr>
        <w:top w:val="none" w:sz="0" w:space="0" w:color="auto"/>
        <w:left w:val="none" w:sz="0" w:space="0" w:color="auto"/>
        <w:bottom w:val="none" w:sz="0" w:space="0" w:color="auto"/>
        <w:right w:val="none" w:sz="0" w:space="0" w:color="auto"/>
      </w:divBdr>
    </w:div>
    <w:div w:id="1700664674">
      <w:bodyDiv w:val="1"/>
      <w:marLeft w:val="0"/>
      <w:marRight w:val="0"/>
      <w:marTop w:val="0"/>
      <w:marBottom w:val="0"/>
      <w:divBdr>
        <w:top w:val="none" w:sz="0" w:space="0" w:color="auto"/>
        <w:left w:val="none" w:sz="0" w:space="0" w:color="auto"/>
        <w:bottom w:val="none" w:sz="0" w:space="0" w:color="auto"/>
        <w:right w:val="none" w:sz="0" w:space="0" w:color="auto"/>
      </w:divBdr>
    </w:div>
    <w:div w:id="2001421080">
      <w:bodyDiv w:val="1"/>
      <w:marLeft w:val="0"/>
      <w:marRight w:val="0"/>
      <w:marTop w:val="0"/>
      <w:marBottom w:val="0"/>
      <w:divBdr>
        <w:top w:val="none" w:sz="0" w:space="0" w:color="auto"/>
        <w:left w:val="none" w:sz="0" w:space="0" w:color="auto"/>
        <w:bottom w:val="none" w:sz="0" w:space="0" w:color="auto"/>
        <w:right w:val="none" w:sz="0" w:space="0" w:color="auto"/>
      </w:divBdr>
    </w:div>
    <w:div w:id="21145951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uk/books/about/Learning_by_Doing.html?id=z2CxAAAACAAJ&amp;redir_esc=y" TargetMode="External"/><Relationship Id="rId13" Type="http://schemas.openxmlformats.org/officeDocument/2006/relationships/hyperlink" Target="https://books.google.co.uk/books/about/The_reflective_practitioner.html?id=E85qAAAAMAAJ&amp;redir_esc=y" TargetMode="External"/><Relationship Id="rId3" Type="http://schemas.openxmlformats.org/officeDocument/2006/relationships/settings" Target="settings.xml"/><Relationship Id="rId7" Type="http://schemas.openxmlformats.org/officeDocument/2006/relationships/hyperlink" Target="https://www.food.gov.uk/business-guidance/safer-food-better-business-sfbb" TargetMode="External"/><Relationship Id="rId12" Type="http://schemas.openxmlformats.org/officeDocument/2006/relationships/hyperlink" Target="https://doi.org/10.1177/1046496405277134"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doi.org/10.1080/158037042000225245" TargetMode="External"/><Relationship Id="rId11" Type="http://schemas.openxmlformats.org/officeDocument/2006/relationships/hyperlink" Target="https://books.google.co.uk/books/about/Experiential_Learning.html?id=zXruAAAAMAAJ&amp;redir_esc=y" TargetMode="External"/><Relationship Id="rId5" Type="http://schemas.openxmlformats.org/officeDocument/2006/relationships/hyperlink" Target="https://books.google.co.uk/books/about/Food_and_Beverage_Management.html?id=aMRLEAAAQBAJ&amp;redir_esc=y" TargetMode="External"/><Relationship Id="rId15" Type="http://schemas.openxmlformats.org/officeDocument/2006/relationships/fontTable" Target="fontTable.xml"/><Relationship Id="rId10" Type="http://schemas.openxmlformats.org/officeDocument/2006/relationships/hyperlink" Target="https://books.google.co.uk/books/about/The_Wisdom_of_Teams.html?id=qVpkCQAAQBAJ&amp;redir_esc=y" TargetMode="External"/><Relationship Id="rId4" Type="http://schemas.openxmlformats.org/officeDocument/2006/relationships/webSettings" Target="webSettings.xml"/><Relationship Id="rId9" Type="http://schemas.openxmlformats.org/officeDocument/2006/relationships/hyperlink" Target="https://www.researchgate.net/publication/233145982_Achieving_Excellence_by_Means_of_Critical_Reflection_and_Cultural_Imagination_in_Culinary_Arts_and_Gastronomy_Education" TargetMode="External"/><Relationship Id="rId14" Type="http://schemas.openxmlformats.org/officeDocument/2006/relationships/hyperlink" Target="https://www.who.int/publications/i/item/978924159463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Dav84</b:Tag>
    <b:SourceType>Book</b:SourceType>
    <b:Guid>{C118215B-DD44-4577-9481-5F38768853FC}</b:Guid>
    <b:Title>Experiential Learning</b:Title>
    <b:Year>1984</b:Year>
    <b:Author>
      <b:Author>
        <b:NameList>
          <b:Person>
            <b:Last>Kolb</b:Last>
            <b:First>David</b:First>
            <b:Middle>A.</b:Middle>
          </b:Person>
        </b:NameList>
      </b:Author>
    </b:Author>
    <b:Publisher>Prentice-Hal</b:Publisher>
    <b:RefOrder>9</b:RefOrder>
  </b:Source>
  <b:Source>
    <b:Tag>Mic04</b:Tag>
    <b:SourceType>JournalArticle</b:SourceType>
    <b:Guid>{8B3EA286-EA85-4024-9FE6-DE0AA04241C2}</b:Guid>
    <b:Title> Studies in Continuing Education</b:Title>
    <b:Year>2004</b:Year>
    <b:Author>
      <b:Author>
        <b:NameList>
          <b:Person>
            <b:Last>Eraut</b:Last>
            <b:First>Michael</b:First>
          </b:Person>
        </b:NameList>
      </b:Author>
    </b:Author>
    <b:JournalName>Informal Learning in the Workplace </b:JournalName>
    <b:Pages>247-273</b:Pages>
    <b:Volume>26</b:Volume>
    <b:Issue>2</b:Issue>
    <b:RefOrder>1</b:RefOrder>
  </b:Source>
  <b:Source>
    <b:Tag>Jos11</b:Tag>
    <b:SourceType>JournalArticle</b:SourceType>
    <b:Guid>{050CEEE9-0830-425C-8CB9-653D6C96CE8B}</b:Guid>
    <b:Author>
      <b:Author>
        <b:NameList>
          <b:Person>
            <b:Last>Hegarty</b:Last>
            <b:First>Joseph</b:First>
          </b:Person>
        </b:NameList>
      </b:Author>
    </b:Author>
    <b:Title>Achieving Excellence by Means of Critical Reflection and Cultural Imagination in Culinary Arts and Gastronomy Education</b:Title>
    <b:JournalName>Journal of Culinary Science &amp; Technology </b:JournalName>
    <b:Year>2011</b:Year>
    <b:Pages>55-65</b:Pages>
    <b:Volume>9</b:Volume>
    <b:Issue>2</b:Issue>
    <b:RefOrder>2</b:RefOrder>
  </b:Source>
  <b:Source>
    <b:Tag>Joh19</b:Tag>
    <b:SourceType>JournalArticle</b:SourceType>
    <b:Guid>{7723F715-0785-4C21-BFBB-C97BB28EBECA}</b:Guid>
    <b:Author>
      <b:Author>
        <b:NameList>
          <b:Person>
            <b:Last>Cousins</b:Last>
            <b:First>John</b:First>
          </b:Person>
          <b:Person>
            <b:Last>Foskett</b:Last>
            <b:First>David</b:First>
          </b:Person>
          <b:Person>
            <b:Last>Graham</b:Last>
            <b:First>David</b:First>
          </b:Person>
          <b:Person>
            <b:Last>Hollier</b:Last>
            <b:First>Amy</b:First>
          </b:Person>
        </b:NameList>
      </b:Author>
    </b:Author>
    <b:Title>  For the hospitality, tourism and event industries</b:Title>
    <b:JournalName>Food and Beverage Management</b:JournalName>
    <b:Year>2019</b:Year>
    <b:RefOrder>3</b:RefOrder>
  </b:Source>
  <b:Source>
    <b:Tag>Foo241</b:Tag>
    <b:SourceType>InternetSite</b:SourceType>
    <b:Guid>{59E9DB08-A850-4D40-9412-78E6E1767F2C}</b:Guid>
    <b:Title>Safer Food Better Business.</b:Title>
    <b:Year>2024</b:Year>
    <b:Author>
      <b:Author>
        <b:NameList>
          <b:Person>
            <b:Last>Agency</b:Last>
            <b:First>Food</b:First>
            <b:Middle>Standards</b:Middle>
          </b:Person>
        </b:NameList>
      </b:Author>
    </b:Author>
    <b:YearAccessed>2026</b:YearAccessed>
    <b:MonthAccessed>07</b:MonthAccessed>
    <b:DayAccessed>08</b:DayAccessed>
    <b:URL>https://chatgpt.com/c/6a4fe388-8ba4-83eb-ad5d-03c28319b2aa</b:URL>
    <b:RefOrder>4</b:RefOrder>
  </b:Source>
  <b:Source>
    <b:Tag>Edu05</b:Tag>
    <b:SourceType>JournalArticle</b:SourceType>
    <b:Guid>{FDF94A37-984B-4353-B018-C8FE66D74786}</b:Guid>
    <b:Title>Is there a “Big Five” in Teamwork?</b:Title>
    <b:Year>2005</b:Year>
    <b:Author>
      <b:Author>
        <b:NameList>
          <b:Person>
            <b:Last>Salas</b:Last>
            <b:First>Eduardo</b:First>
          </b:Person>
          <b:Person>
            <b:Last>Sims</b:Last>
            <b:First>Dana</b:First>
            <b:Middle>E</b:Middle>
          </b:Person>
          <b:Person>
            <b:Last>Burke</b:Last>
            <b:First>Shawn</b:First>
          </b:Person>
        </b:NameList>
      </b:Author>
    </b:Author>
    <b:JournalName>Is there a “Big Five” in Teamwork?</b:JournalName>
    <b:Pages>555-599</b:Pages>
    <b:Volume>36</b:Volume>
    <b:RefOrder>5</b:RefOrder>
  </b:Source>
  <b:Source>
    <b:Tag>Jon15</b:Tag>
    <b:SourceType>Book</b:SourceType>
    <b:Guid>{6999CC9C-20E4-44C5-ADA0-95616FE491B2}</b:Guid>
    <b:Title>Creating the High-Performance Organization</b:Title>
    <b:Year>2015</b:Year>
    <b:Author>
      <b:Author>
        <b:NameList>
          <b:Person>
            <b:Last>Jon R. Katzenbach</b:Last>
            <b:First>Douglas</b:First>
            <b:Middle>K. Smith</b:Middle>
          </b:Person>
        </b:NameList>
      </b:Author>
    </b:Author>
    <b:Publisher>Harvard Business Review Pres</b:Publisher>
    <b:RefOrder>6</b:RefOrder>
  </b:Source>
  <b:Source>
    <b:Tag>Don831</b:Tag>
    <b:SourceType>Book</b:SourceType>
    <b:Guid>{7A841D41-C9DA-43E2-B4D3-48B6503BA89A}</b:Guid>
    <b:Author>
      <b:Author>
        <b:NameList>
          <b:Person>
            <b:Last>Schön</b:Last>
            <b:First>Donald</b:First>
            <b:Middle>A.</b:Middle>
          </b:Person>
        </b:NameList>
      </b:Author>
    </b:Author>
    <b:Title>The Reflective Practitioner: How Professionals Think in Action</b:Title>
    <b:Year>1983</b:Year>
    <b:Publisher>Ashgate</b:Publisher>
    <b:RefOrder>7</b:RefOrder>
  </b:Source>
  <b:Source>
    <b:Tag>Gra881</b:Tag>
    <b:SourceType>Book</b:SourceType>
    <b:Guid>{5FB68A36-7F03-4569-98C3-0F45B3DD0763}</b:Guid>
    <b:Author>
      <b:Author>
        <b:NameList>
          <b:Person>
            <b:Last>Gibbs</b:Last>
            <b:First>Graham</b:First>
          </b:Person>
        </b:NameList>
      </b:Author>
    </b:Author>
    <b:Title>Learning by Doing: A Guide to Teaching and Learning Methods</b:Title>
    <b:Year>1988</b:Year>
    <b:Publisher>FEU</b:Publisher>
    <b:RefOrder>8</b:RefOrder>
  </b:Source>
</b:Sources>
</file>

<file path=customXml/itemProps1.xml><?xml version="1.0" encoding="utf-8"?>
<ds:datastoreItem xmlns:ds="http://schemas.openxmlformats.org/officeDocument/2006/customXml" ds:itemID="{986131F4-2C77-419E-944F-B9003D8EE2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1362</TotalTime>
  <Pages>6</Pages>
  <Words>2219</Words>
  <Characters>12652</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Mihaela-Geanina Oneamoise (2232227)</dc:creator>
  <cp:keywords/>
  <dc:description/>
  <cp:lastModifiedBy>Mihaela-Geanina Oneamoise (2232227)</cp:lastModifiedBy>
  <cp:revision>1</cp:revision>
  <dcterms:created xsi:type="dcterms:W3CDTF">2026-07-09T18:39:00Z</dcterms:created>
  <dcterms:modified xsi:type="dcterms:W3CDTF">2026-07-10T17:21:00Z</dcterms:modified>
</cp:coreProperties>
</file>