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center"/>
        <w:rPr>
          <w:rFonts w:ascii="Times New Roman" w:cs="Times New Roman" w:eastAsia="Times New Roman" w:hAnsi="Times New Roman"/>
          <w:b w:val="1"/>
          <w:sz w:val="36"/>
          <w:szCs w:val="36"/>
        </w:rPr>
      </w:pPr>
      <w:bookmarkStart w:colFirst="0" w:colLast="0" w:name="_gjdgxs" w:id="0"/>
      <w:bookmarkEnd w:id="0"/>
      <w:r w:rsidDel="00000000" w:rsidR="00000000" w:rsidRPr="00000000">
        <w:rPr>
          <w:rtl w:val="0"/>
        </w:rPr>
      </w:r>
    </w:p>
    <w:p w:rsidR="00000000" w:rsidDel="00000000" w:rsidP="00000000" w:rsidRDefault="00000000" w:rsidRPr="00000000" w14:paraId="00000002">
      <w:pPr>
        <w:pStyle w:val="Title"/>
        <w:spacing w:line="360" w:lineRule="auto"/>
        <w:jc w:val="center"/>
        <w:rPr>
          <w:rFonts w:ascii="Times New Roman" w:cs="Times New Roman" w:eastAsia="Times New Roman" w:hAnsi="Times New Roman"/>
          <w:b w:val="1"/>
          <w:sz w:val="36"/>
          <w:szCs w:val="36"/>
        </w:rPr>
      </w:pPr>
      <w:bookmarkStart w:colFirst="0" w:colLast="0" w:name="_30j0zll" w:id="1"/>
      <w:bookmarkEnd w:id="1"/>
      <w:r w:rsidDel="00000000" w:rsidR="00000000" w:rsidRPr="00000000">
        <w:rPr>
          <w:rtl w:val="0"/>
        </w:rPr>
      </w:r>
    </w:p>
    <w:p w:rsidR="00000000" w:rsidDel="00000000" w:rsidP="00000000" w:rsidRDefault="00000000" w:rsidRPr="00000000" w14:paraId="00000003">
      <w:pPr>
        <w:pStyle w:val="Title"/>
        <w:spacing w:line="360" w:lineRule="auto"/>
        <w:jc w:val="center"/>
        <w:rPr>
          <w:rFonts w:ascii="Times New Roman" w:cs="Times New Roman" w:eastAsia="Times New Roman" w:hAnsi="Times New Roman"/>
          <w:b w:val="1"/>
          <w:sz w:val="36"/>
          <w:szCs w:val="36"/>
        </w:rPr>
      </w:pPr>
      <w:bookmarkStart w:colFirst="0" w:colLast="0" w:name="_1fob9te" w:id="2"/>
      <w:bookmarkEnd w:id="2"/>
      <w:r w:rsidDel="00000000" w:rsidR="00000000" w:rsidRPr="00000000">
        <w:rPr>
          <w:rtl w:val="0"/>
        </w:rPr>
      </w:r>
    </w:p>
    <w:p w:rsidR="00000000" w:rsidDel="00000000" w:rsidP="00000000" w:rsidRDefault="00000000" w:rsidRPr="00000000" w14:paraId="00000004">
      <w:pPr>
        <w:pStyle w:val="Title"/>
        <w:spacing w:line="360" w:lineRule="auto"/>
        <w:jc w:val="center"/>
        <w:rPr>
          <w:rFonts w:ascii="Times New Roman" w:cs="Times New Roman" w:eastAsia="Times New Roman" w:hAnsi="Times New Roman"/>
          <w:b w:val="1"/>
          <w:sz w:val="36"/>
          <w:szCs w:val="36"/>
        </w:rPr>
      </w:pPr>
      <w:bookmarkStart w:colFirst="0" w:colLast="0" w:name="_3znysh7" w:id="3"/>
      <w:bookmarkEnd w:id="3"/>
      <w:r w:rsidDel="00000000" w:rsidR="00000000" w:rsidRPr="00000000">
        <w:rPr>
          <w:rFonts w:ascii="Times New Roman" w:cs="Times New Roman" w:eastAsia="Times New Roman" w:hAnsi="Times New Roman"/>
          <w:b w:val="1"/>
          <w:sz w:val="36"/>
          <w:szCs w:val="36"/>
          <w:rtl w:val="0"/>
        </w:rPr>
        <w:t xml:space="preserve">Food and Beverage Operations</w:t>
      </w:r>
    </w:p>
    <w:p w:rsidR="00000000" w:rsidDel="00000000" w:rsidP="00000000" w:rsidRDefault="00000000" w:rsidRPr="00000000" w14:paraId="00000005">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Student ID:2018070</w:t>
      </w:r>
    </w:p>
    <w:p w:rsidR="00000000" w:rsidDel="00000000" w:rsidP="00000000" w:rsidRDefault="00000000" w:rsidRPr="00000000" w14:paraId="00000006">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Student Name:Emanuela Ioana Muntean</w:t>
      </w:r>
    </w:p>
    <w:p w:rsidR="00000000" w:rsidDel="00000000" w:rsidP="00000000" w:rsidRDefault="00000000" w:rsidRPr="00000000" w14:paraId="00000007">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Course ID:food&amp;beverage operations bmih4002</w:t>
      </w:r>
    </w:p>
    <w:p w:rsidR="00000000" w:rsidDel="00000000" w:rsidP="00000000" w:rsidRDefault="00000000" w:rsidRPr="00000000" w14:paraId="00000008">
      <w:pPr>
        <w:pStyle w:val="Title"/>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Subject Name: Resit as2 food and beverage operations</w:t>
      </w:r>
    </w:p>
    <w:p w:rsidR="00000000" w:rsidDel="00000000" w:rsidP="00000000" w:rsidRDefault="00000000" w:rsidRPr="00000000" w14:paraId="00000009">
      <w:pPr>
        <w:pStyle w:val="Title"/>
        <w:spacing w:line="360" w:lineRule="auto"/>
        <w:jc w:val="center"/>
        <w:rPr/>
      </w:pPr>
      <w:r w:rsidDel="00000000" w:rsidR="00000000" w:rsidRPr="00000000">
        <w:rPr>
          <w:rFonts w:ascii="Times New Roman" w:cs="Times New Roman" w:eastAsia="Times New Roman" w:hAnsi="Times New Roman"/>
          <w:b w:val="1"/>
          <w:i w:val="1"/>
          <w:sz w:val="24"/>
          <w:szCs w:val="24"/>
          <w:rtl w:val="0"/>
        </w:rPr>
        <w:t xml:space="preserve">Ffion Cumberpatch</w:t>
      </w: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Explaining the restaurant concept</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Target audience</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Justification of the menu choices</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0">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pStyle w:val="Title"/>
        <w:spacing w:line="360" w:lineRule="auto"/>
        <w:jc w:val="both"/>
        <w:rPr>
          <w:rFonts w:ascii="Times New Roman" w:cs="Times New Roman" w:eastAsia="Times New Roman" w:hAnsi="Times New Roman"/>
          <w:b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2et92p0" w:id="4"/>
      <w:bookmarkEnd w:id="4"/>
      <w:r w:rsidDel="00000000" w:rsidR="00000000" w:rsidRPr="00000000">
        <w:rPr>
          <w:rtl w:val="0"/>
        </w:rPr>
        <w:t xml:space="preserve">Explaining the restaurant concept </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purpose of the restaurant concept being introduced into the Trinity Hotel Chain is to add to the existing consumer experience of the business and to promote its business growth. The restaurant is based on the attribute of its couple-friendly nature which is reflected in the host of service options that the entity provides to its consumers. In order to further enhance the provision of the consumer base meals for singles are also induced; however, since the major emphasis rests on its couple-friendly nature the menu choices are planned in its alignment.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restaurant is to be initiated within the hotel outlets of the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Trinity Hotel Chain,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diversity in space options ranging from private dining spaces to open-air dining areas. It will enable the business to resonate with the consumer preference while providing them with a unique ambience to suffice their inherent needs. Further apart from the fine dining experience, events are also to be organised to engage the consumers and alleviate their restaurant visit experience. </w:t>
      </w:r>
    </w:p>
    <w:p w:rsidR="00000000" w:rsidDel="00000000" w:rsidP="00000000" w:rsidRDefault="00000000" w:rsidRPr="00000000" w14:paraId="00000015">
      <w:pPr>
        <w:pStyle w:val="Heading1"/>
        <w:rPr/>
      </w:pPr>
      <w:bookmarkStart w:colFirst="0" w:colLast="0" w:name="_tyjcwt" w:id="5"/>
      <w:bookmarkEnd w:id="5"/>
      <w:r w:rsidDel="00000000" w:rsidR="00000000" w:rsidRPr="00000000">
        <w:rPr>
          <w:rtl w:val="0"/>
        </w:rPr>
        <w:t xml:space="preserve">Target audience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Segmentation </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Cousins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(2020),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refers to the process of grouping consumers on the basis of certain common attributes that are depicted by them in their purchase behaviours. It proves beneficial in recognising consumer trends as well as planning appropriate strategies to influence their purchase-making decisions. There are majorly four types of segmentation, psychographic, demographic, behavioural and geographic, (Davis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In the present context, the demographic variables of segmentation are to have adhered to determine the fundamental attributes that influence the purchase-making behaviour of consumers.</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Targeting </w:t>
      </w:r>
      <w:r w:rsidDel="00000000" w:rsidR="00000000" w:rsidRPr="00000000">
        <w:rPr>
          <w:rtl w:val="0"/>
        </w:rPr>
      </w:r>
    </w:p>
    <w:tbl>
      <w:tblPr>
        <w:tblStyle w:val="Table1"/>
        <w:tblW w:w="900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3015"/>
        <w:gridCol w:w="5985"/>
        <w:tblGridChange w:id="0">
          <w:tblGrid>
            <w:gridCol w:w="3015"/>
            <w:gridCol w:w="5985"/>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Age </w:t>
            </w:r>
          </w:p>
        </w:tc>
        <w:tc>
          <w:tcPr>
            <w:shd w:fill="auto" w:val="clear"/>
            <w:tcMar>
              <w:top w:w="100.0" w:type="dxa"/>
              <w:left w:w="100.0" w:type="dxa"/>
              <w:bottom w:w="100.0" w:type="dxa"/>
              <w:right w:w="100.0" w:type="dxa"/>
            </w:tcMar>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16-60-year-olds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Gender </w:t>
            </w:r>
          </w:p>
        </w:tc>
        <w:tc>
          <w:tcPr>
            <w:shd w:fill="auto" w:val="clear"/>
            <w:tcMar>
              <w:top w:w="100.0" w:type="dxa"/>
              <w:left w:w="100.0" w:type="dxa"/>
              <w:bottom w:w="100.0" w:type="dxa"/>
              <w:right w:w="100.0" w:type="dxa"/>
            </w:tcMar>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Male, female and LGBTQ+</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Income Group </w:t>
            </w:r>
          </w:p>
        </w:tc>
        <w:tc>
          <w:tcPr>
            <w:shd w:fill="auto" w:val="clear"/>
            <w:tcMar>
              <w:top w:w="100.0" w:type="dxa"/>
              <w:left w:w="100.0" w:type="dxa"/>
              <w:bottom w:w="100.0" w:type="dxa"/>
              <w:right w:w="100.0" w:type="dxa"/>
            </w:tcMar>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 Medium and low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Preferences </w:t>
            </w:r>
          </w:p>
        </w:tc>
        <w:tc>
          <w:tcPr>
            <w:shd w:fill="auto" w:val="clear"/>
            <w:tcMar>
              <w:top w:w="100.0" w:type="dxa"/>
              <w:left w:w="100.0" w:type="dxa"/>
              <w:bottom w:w="100.0" w:type="dxa"/>
              <w:right w:w="100.0" w:type="dxa"/>
            </w:tcMar>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Value experience and quality over price </w:t>
            </w:r>
          </w:p>
        </w:tc>
      </w:tr>
    </w:tbl>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Positioning </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114300" distT="114300" distL="114300" distR="114300">
            <wp:extent cx="5543550" cy="3743325"/>
            <wp:effectExtent b="0" l="0" r="0" t="0"/>
            <wp:docPr id="3"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543550" cy="3743325"/>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Positioning map </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Developed by the author)</w:t>
      </w:r>
    </w:p>
    <w:p w:rsidR="00000000" w:rsidDel="00000000" w:rsidP="00000000" w:rsidRDefault="00000000" w:rsidRPr="00000000" w14:paraId="00000025">
      <w:pPr>
        <w:pStyle w:val="Heading1"/>
        <w:rPr/>
      </w:pPr>
      <w:bookmarkStart w:colFirst="0" w:colLast="0" w:name="_3dy6vkm" w:id="6"/>
      <w:bookmarkEnd w:id="6"/>
      <w:r w:rsidDel="00000000" w:rsidR="00000000" w:rsidRPr="00000000">
        <w:rPr>
          <w:rtl w:val="0"/>
        </w:rPr>
        <w:t xml:space="preserve">Justification of the menu choices </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menu choices that are formulated to support the dining activities of the restaurant at Trinity Hotel Chain are planned to suffice the consumer preferences of the target market. The inclusion of dishes such as beef Wellington, a Prawn cocktail with avocado and Roast Chicken with dauphinoise potatoes and buttered carrots is to satisfy the local customer preferences. The inclusion of alcohol and English breakfast within the menu options also is to enable the business to serve a wide range of consumers. Subsequently, since the majority of the hospitality business in UK is supported through the tourist inflow, the planned menu dishes are to enable the restaurant to showcase English culture within their offerings. The adherence to local customs serves as a reliable option for an enriching English Dining experience and Breakfast for regional customers of the regions who are a part of the inbound tourist customers of the business as well as satisfies the intriguing nature of foreign tourists in the country. Subsequently, the wide variety of options that the restaurant entails within its purview is a reflection of its couple-friendly nature and an emphasis on its target consumer base. The restaurant service readily understands compatibility benefits which it intends to suffice among its customer offerings by enriching their dining experience with a wide variety of choices.  </w:t>
      </w: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1t3h5sf" w:id="7"/>
      <w:bookmarkEnd w:id="7"/>
      <w:r w:rsidDel="00000000" w:rsidR="00000000" w:rsidRPr="00000000">
        <w:rPr>
          <w:rtl w:val="0"/>
        </w:rPr>
        <w:t xml:space="preserve">References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1155cc"/>
          <w:sz w:val="24"/>
          <w:szCs w:val="24"/>
          <w:highlight w:val="white"/>
          <w:u w:val="singl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Cousins, J., Lillicrap, D. and Weekes, S.,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Food and beverage service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Hachette UK.</w:t>
      </w:r>
      <w:hyperlink r:id="rId7">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https://scholar.google.com/scholar?cites=15762513332722956627&amp;as_sdt=2005&amp;sciodt=0,5&amp;hl=en</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Davis, B et al. 2018 Food and Beverage Management. 6 ed London: Routledge.</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81153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200" cy="8115300"/>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8115300"/>
            <wp:effectExtent b="0" l="0" r="0" t="0"/>
            <wp:docPr id="1"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1200" cy="81153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8115300"/>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731200" cy="8115300"/>
                    </a:xfrm>
                    <a:prstGeom prst="rect"/>
                    <a:ln/>
                  </pic:spPr>
                </pic:pic>
              </a:graphicData>
            </a:graphic>
          </wp:inline>
        </w:drawing>
      </w:r>
      <w:r w:rsidDel="00000000" w:rsidR="00000000" w:rsidRPr="00000000">
        <w:rPr>
          <w:rtl w:val="0"/>
        </w:rPr>
      </w:r>
    </w:p>
    <w:sectPr>
      <w:foot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4.pn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scholar.google.com/scholar?cites=15762513332722956627&amp;as_sdt=2005&amp;sciodt=0,5&amp;hl=en"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