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E041A" w14:textId="504FDD9D" w:rsidR="00EA768D" w:rsidRDefault="00EA768D" w:rsidP="00EA768D">
      <w:r>
        <w:t>Module: LCBB5010 - Management Accounting for Managers</w:t>
      </w:r>
    </w:p>
    <w:p w14:paraId="488DC500" w14:textId="4D9D550E" w:rsidR="00EA768D" w:rsidRDefault="00EA768D" w:rsidP="00EA768D">
      <w:r>
        <w:t xml:space="preserve">Tutor's name: </w:t>
      </w:r>
      <w:r w:rsidRPr="00EA768D">
        <w:t>Zainab Atta</w:t>
      </w:r>
    </w:p>
    <w:p w14:paraId="6980EBC8" w14:textId="1CC866FF" w:rsidR="00EA768D" w:rsidRDefault="00EA768D" w:rsidP="00EA768D">
      <w:r>
        <w:t xml:space="preserve">Student's name: Danut Constantin Chinole- </w:t>
      </w:r>
      <w:r w:rsidRPr="00EA768D">
        <w:t>2316293</w:t>
      </w:r>
    </w:p>
    <w:p w14:paraId="5EF033C3" w14:textId="1FD331B6" w:rsidR="0053297C" w:rsidRDefault="00EA768D" w:rsidP="00EA768D">
      <w:r>
        <w:t>Individual Report – British Airways</w:t>
      </w:r>
    </w:p>
    <w:p w14:paraId="620E6ADC" w14:textId="77777777" w:rsidR="00EA768D" w:rsidRDefault="00EA768D" w:rsidP="00EA768D"/>
    <w:p w14:paraId="00BE4220" w14:textId="77777777" w:rsidR="00EA768D" w:rsidRDefault="00EA768D" w:rsidP="00EA768D"/>
    <w:p w14:paraId="548F7E8A" w14:textId="77777777" w:rsidR="00EA768D" w:rsidRDefault="00EA768D" w:rsidP="00EA768D"/>
    <w:p w14:paraId="47270A82" w14:textId="77777777" w:rsidR="00EA768D" w:rsidRDefault="00EA768D" w:rsidP="00EA768D"/>
    <w:p w14:paraId="6AD67D6E" w14:textId="77777777" w:rsidR="00EA768D" w:rsidRDefault="00EA768D" w:rsidP="00EA768D"/>
    <w:p w14:paraId="505EC1FE" w14:textId="77777777" w:rsidR="00EA768D" w:rsidRDefault="00EA768D" w:rsidP="00EA768D"/>
    <w:p w14:paraId="17F51FDE" w14:textId="77777777" w:rsidR="00EA768D" w:rsidRDefault="00EA768D" w:rsidP="00EA768D"/>
    <w:p w14:paraId="1B36FDCD" w14:textId="77777777" w:rsidR="00EA768D" w:rsidRDefault="00EA768D" w:rsidP="00EA768D"/>
    <w:p w14:paraId="28F0BBDE" w14:textId="12A1E490" w:rsidR="00EA768D" w:rsidRDefault="00EA768D" w:rsidP="00EA768D">
      <w:pPr>
        <w:jc w:val="center"/>
        <w:rPr>
          <w:b/>
          <w:bCs/>
          <w:sz w:val="36"/>
          <w:szCs w:val="36"/>
        </w:rPr>
      </w:pPr>
      <w:r w:rsidRPr="00EA768D">
        <w:rPr>
          <w:b/>
          <w:bCs/>
          <w:sz w:val="36"/>
          <w:szCs w:val="36"/>
        </w:rPr>
        <w:t>Management Accounting Tools and Techniques at British Airways</w:t>
      </w:r>
    </w:p>
    <w:p w14:paraId="4E4B750E" w14:textId="77777777" w:rsidR="00EA768D" w:rsidRDefault="00EA768D" w:rsidP="00EA768D">
      <w:pPr>
        <w:jc w:val="center"/>
        <w:rPr>
          <w:b/>
          <w:bCs/>
          <w:sz w:val="36"/>
          <w:szCs w:val="36"/>
        </w:rPr>
      </w:pPr>
    </w:p>
    <w:p w14:paraId="23BF3F07" w14:textId="77777777" w:rsidR="00EA768D" w:rsidRDefault="00EA768D" w:rsidP="00EA768D">
      <w:pPr>
        <w:jc w:val="center"/>
        <w:rPr>
          <w:b/>
          <w:bCs/>
          <w:sz w:val="36"/>
          <w:szCs w:val="36"/>
        </w:rPr>
      </w:pPr>
    </w:p>
    <w:p w14:paraId="3ED5B5DE" w14:textId="77777777" w:rsidR="00EA768D" w:rsidRDefault="00EA768D" w:rsidP="00EA768D">
      <w:pPr>
        <w:jc w:val="center"/>
        <w:rPr>
          <w:b/>
          <w:bCs/>
          <w:sz w:val="36"/>
          <w:szCs w:val="36"/>
        </w:rPr>
      </w:pPr>
    </w:p>
    <w:p w14:paraId="78032FA2" w14:textId="77777777" w:rsidR="00EA768D" w:rsidRDefault="00EA768D" w:rsidP="00EA768D">
      <w:pPr>
        <w:jc w:val="center"/>
        <w:rPr>
          <w:b/>
          <w:bCs/>
          <w:sz w:val="36"/>
          <w:szCs w:val="36"/>
        </w:rPr>
      </w:pPr>
    </w:p>
    <w:p w14:paraId="267BCFA5" w14:textId="77777777" w:rsidR="00EA768D" w:rsidRDefault="00EA768D" w:rsidP="00EA768D">
      <w:pPr>
        <w:jc w:val="center"/>
        <w:rPr>
          <w:b/>
          <w:bCs/>
          <w:sz w:val="36"/>
          <w:szCs w:val="36"/>
        </w:rPr>
      </w:pPr>
    </w:p>
    <w:p w14:paraId="17254C73" w14:textId="77777777" w:rsidR="00EA768D" w:rsidRDefault="00EA768D" w:rsidP="00EA768D">
      <w:pPr>
        <w:jc w:val="center"/>
        <w:rPr>
          <w:b/>
          <w:bCs/>
          <w:sz w:val="36"/>
          <w:szCs w:val="36"/>
        </w:rPr>
      </w:pPr>
    </w:p>
    <w:p w14:paraId="5172FBA9" w14:textId="77777777" w:rsidR="00EA768D" w:rsidRDefault="00EA768D" w:rsidP="00EA768D">
      <w:pPr>
        <w:jc w:val="center"/>
        <w:rPr>
          <w:b/>
          <w:bCs/>
          <w:sz w:val="36"/>
          <w:szCs w:val="36"/>
        </w:rPr>
      </w:pPr>
    </w:p>
    <w:p w14:paraId="4134D911" w14:textId="77777777" w:rsidR="00EA768D" w:rsidRDefault="00EA768D" w:rsidP="00EA768D">
      <w:pPr>
        <w:jc w:val="center"/>
        <w:rPr>
          <w:b/>
          <w:bCs/>
          <w:sz w:val="36"/>
          <w:szCs w:val="36"/>
        </w:rPr>
      </w:pPr>
    </w:p>
    <w:p w14:paraId="58DE3EB5" w14:textId="77777777" w:rsidR="00EA768D" w:rsidRDefault="00EA768D" w:rsidP="00EA768D">
      <w:pPr>
        <w:jc w:val="center"/>
        <w:rPr>
          <w:b/>
          <w:bCs/>
          <w:sz w:val="36"/>
          <w:szCs w:val="36"/>
        </w:rPr>
      </w:pPr>
    </w:p>
    <w:p w14:paraId="051FEDAB" w14:textId="77777777" w:rsidR="00EA768D" w:rsidRDefault="00EA768D" w:rsidP="00EA768D">
      <w:pPr>
        <w:jc w:val="center"/>
        <w:rPr>
          <w:b/>
          <w:bCs/>
          <w:sz w:val="36"/>
          <w:szCs w:val="36"/>
        </w:rPr>
      </w:pPr>
    </w:p>
    <w:p w14:paraId="1468EFE0" w14:textId="77777777" w:rsidR="00EA768D" w:rsidRDefault="00EA768D" w:rsidP="00EA768D">
      <w:pPr>
        <w:jc w:val="center"/>
        <w:rPr>
          <w:b/>
          <w:bCs/>
          <w:sz w:val="36"/>
          <w:szCs w:val="36"/>
        </w:rPr>
      </w:pPr>
    </w:p>
    <w:p w14:paraId="47152C48" w14:textId="77777777" w:rsidR="00B2679D" w:rsidRDefault="00B2679D" w:rsidP="00EA768D">
      <w:pPr>
        <w:jc w:val="center"/>
        <w:rPr>
          <w:b/>
          <w:bCs/>
          <w:sz w:val="36"/>
          <w:szCs w:val="36"/>
        </w:rPr>
      </w:pPr>
    </w:p>
    <w:bookmarkStart w:id="0" w:name="_Toc234746409" w:displacedByCustomXml="next"/>
    <w:sdt>
      <w:sdtPr>
        <w:rPr>
          <w:rFonts w:asciiTheme="minorHAnsi" w:eastAsiaTheme="minorEastAsia" w:hAnsiTheme="minorHAnsi" w:cs="Times New Roman"/>
          <w:color w:val="auto"/>
          <w:sz w:val="3276"/>
          <w:szCs w:val="3276"/>
        </w:rPr>
        <w:id w:val="-1485006363"/>
        <w:docPartObj>
          <w:docPartGallery w:val="Table of Contents"/>
          <w:docPartUnique/>
        </w:docPartObj>
      </w:sdtPr>
      <w:sdtEndPr>
        <w:rPr>
          <w:rFonts w:eastAsiaTheme="minorHAnsi" w:cstheme="minorBidi"/>
          <w:b/>
          <w:bCs/>
          <w:kern w:val="2"/>
          <w:sz w:val="22"/>
          <w:szCs w:val="22"/>
          <w:lang w:eastAsia="en-US"/>
          <w14:ligatures w14:val="standardContextual"/>
        </w:rPr>
      </w:sdtEndPr>
      <w:sdtContent>
        <w:p w14:paraId="29C46B8D" w14:textId="0081D2C4" w:rsidR="00ED08E5" w:rsidRPr="00C8592D" w:rsidRDefault="00ED08E5" w:rsidP="00B472E6">
          <w:pPr>
            <w:pStyle w:val="TOCHeading"/>
            <w:outlineLvl w:val="2"/>
            <w:rPr>
              <w:rFonts w:asciiTheme="minorHAnsi" w:eastAsiaTheme="minorEastAsia" w:hAnsiTheme="minorHAnsi" w:cs="Times New Roman"/>
              <w:color w:val="auto"/>
              <w:sz w:val="3276"/>
              <w:szCs w:val="3276"/>
            </w:rPr>
          </w:pPr>
          <w:r>
            <w:t>Table of Contents</w:t>
          </w:r>
          <w:bookmarkEnd w:id="0"/>
        </w:p>
        <w:p w14:paraId="7C161ED2" w14:textId="77777777" w:rsidR="00C8592D" w:rsidRDefault="00C8592D" w:rsidP="00C8592D">
          <w:pPr>
            <w:pStyle w:val="TOC3"/>
            <w:tabs>
              <w:tab w:val="right" w:leader="dot" w:pos="9016"/>
            </w:tabs>
          </w:pPr>
        </w:p>
        <w:p w14:paraId="35B7EF3F" w14:textId="77777777" w:rsidR="00C8592D" w:rsidRDefault="00C8592D" w:rsidP="00C8592D">
          <w:pPr>
            <w:pStyle w:val="TOC3"/>
            <w:tabs>
              <w:tab w:val="right" w:leader="dot" w:pos="9016"/>
            </w:tabs>
          </w:pPr>
        </w:p>
        <w:p w14:paraId="0C5D2BC3" w14:textId="77777777" w:rsidR="00C8592D" w:rsidRDefault="00C8592D" w:rsidP="00C8592D">
          <w:pPr>
            <w:pStyle w:val="TOC3"/>
            <w:tabs>
              <w:tab w:val="right" w:leader="dot" w:pos="9016"/>
            </w:tabs>
          </w:pPr>
        </w:p>
        <w:p w14:paraId="4507F6AF" w14:textId="77777777" w:rsidR="00C8592D" w:rsidRDefault="00C8592D" w:rsidP="00C8592D">
          <w:pPr>
            <w:pStyle w:val="TOC3"/>
            <w:tabs>
              <w:tab w:val="right" w:leader="dot" w:pos="9016"/>
            </w:tabs>
          </w:pPr>
        </w:p>
        <w:p w14:paraId="28118C51" w14:textId="6D6489D1" w:rsidR="006727A5" w:rsidRPr="00C8592D" w:rsidRDefault="00ED08E5" w:rsidP="00C8592D">
          <w:pPr>
            <w:pStyle w:val="TOC3"/>
            <w:tabs>
              <w:tab w:val="right" w:leader="dot" w:pos="9016"/>
            </w:tabs>
            <w:rPr>
              <w:noProof/>
              <w:color w:val="467886" w:themeColor="hyperlink"/>
              <w:u w:val="single"/>
            </w:rPr>
          </w:pPr>
          <w:r>
            <w:fldChar w:fldCharType="begin"/>
          </w:r>
          <w:r>
            <w:instrText xml:space="preserve"> TOC \o "1-3" \h \z \u </w:instrText>
          </w:r>
          <w:r>
            <w:fldChar w:fldCharType="separate"/>
          </w:r>
          <w:hyperlink w:anchor="_Toc234746409" w:history="1">
            <w:r w:rsidR="00923A61" w:rsidRPr="00074CF8">
              <w:rPr>
                <w:rStyle w:val="Hyperlink"/>
                <w:noProof/>
              </w:rPr>
              <w:t>Table of Contents</w:t>
            </w:r>
            <w:r w:rsidR="00923A61">
              <w:rPr>
                <w:noProof/>
                <w:webHidden/>
              </w:rPr>
              <w:tab/>
            </w:r>
            <w:r w:rsidR="00923A61">
              <w:rPr>
                <w:noProof/>
                <w:webHidden/>
              </w:rPr>
              <w:fldChar w:fldCharType="begin"/>
            </w:r>
            <w:r w:rsidR="00923A61">
              <w:rPr>
                <w:noProof/>
                <w:webHidden/>
              </w:rPr>
              <w:instrText xml:space="preserve"> PAGEREF _Toc234746409 \h </w:instrText>
            </w:r>
            <w:r w:rsidR="00923A61">
              <w:rPr>
                <w:noProof/>
                <w:webHidden/>
              </w:rPr>
            </w:r>
            <w:r w:rsidR="00923A61">
              <w:rPr>
                <w:noProof/>
                <w:webHidden/>
              </w:rPr>
              <w:fldChar w:fldCharType="separate"/>
            </w:r>
            <w:r w:rsidR="00923A61">
              <w:rPr>
                <w:noProof/>
                <w:webHidden/>
              </w:rPr>
              <w:t>2</w:t>
            </w:r>
            <w:r w:rsidR="00923A61">
              <w:rPr>
                <w:noProof/>
                <w:webHidden/>
              </w:rPr>
              <w:fldChar w:fldCharType="end"/>
            </w:r>
          </w:hyperlink>
        </w:p>
        <w:p w14:paraId="57ECFEEF" w14:textId="3F125BE2" w:rsidR="003146B8" w:rsidRPr="00183359" w:rsidRDefault="00196DFA" w:rsidP="003146B8">
          <w:r>
            <w:t>1.</w:t>
          </w:r>
          <w:r w:rsidR="006727A5">
            <w:t xml:space="preserve"> </w:t>
          </w:r>
          <w:r>
            <w:t>Introduction</w:t>
          </w:r>
          <w:r w:rsidR="006727A5">
            <w:t>…………………………………………………………………………………………………………</w:t>
          </w:r>
          <w:proofErr w:type="gramStart"/>
          <w:r w:rsidR="006727A5">
            <w:t>…..</w:t>
          </w:r>
          <w:proofErr w:type="gramEnd"/>
          <w:r w:rsidR="006727A5">
            <w:t>3</w:t>
          </w:r>
        </w:p>
        <w:p w14:paraId="380B3709" w14:textId="6C56B429" w:rsidR="003146B8" w:rsidRPr="00183359" w:rsidRDefault="00923A61" w:rsidP="00C8592D">
          <w:pPr>
            <w:pStyle w:val="TOC1"/>
            <w:rPr>
              <w:b w:val="0"/>
              <w:bCs w:val="0"/>
              <w:color w:val="467886" w:themeColor="hyperlink"/>
              <w:u w:val="single"/>
            </w:rPr>
          </w:pPr>
          <w:hyperlink w:anchor="_Toc234746410" w:history="1">
            <w:r w:rsidRPr="00183359">
              <w:rPr>
                <w:rStyle w:val="Hyperlink"/>
                <w:b w:val="0"/>
                <w:bCs w:val="0"/>
              </w:rPr>
              <w:t>2. Cost Analysis and Business Model</w:t>
            </w:r>
            <w:r w:rsidRPr="00183359">
              <w:rPr>
                <w:b w:val="0"/>
                <w:bCs w:val="0"/>
                <w:webHidden/>
              </w:rPr>
              <w:tab/>
            </w:r>
            <w:r w:rsidRPr="00183359">
              <w:rPr>
                <w:b w:val="0"/>
                <w:bCs w:val="0"/>
                <w:webHidden/>
              </w:rPr>
              <w:fldChar w:fldCharType="begin"/>
            </w:r>
            <w:r w:rsidRPr="00183359">
              <w:rPr>
                <w:b w:val="0"/>
                <w:bCs w:val="0"/>
                <w:webHidden/>
              </w:rPr>
              <w:instrText xml:space="preserve"> PAGEREF _Toc234746410 \h </w:instrText>
            </w:r>
            <w:r w:rsidRPr="00183359">
              <w:rPr>
                <w:b w:val="0"/>
                <w:bCs w:val="0"/>
                <w:webHidden/>
              </w:rPr>
            </w:r>
            <w:r w:rsidRPr="00183359">
              <w:rPr>
                <w:b w:val="0"/>
                <w:bCs w:val="0"/>
                <w:webHidden/>
              </w:rPr>
              <w:fldChar w:fldCharType="separate"/>
            </w:r>
            <w:r w:rsidRPr="00183359">
              <w:rPr>
                <w:b w:val="0"/>
                <w:bCs w:val="0"/>
                <w:webHidden/>
              </w:rPr>
              <w:t>4</w:t>
            </w:r>
            <w:r w:rsidRPr="00183359">
              <w:rPr>
                <w:b w:val="0"/>
                <w:bCs w:val="0"/>
                <w:webHidden/>
              </w:rPr>
              <w:fldChar w:fldCharType="end"/>
            </w:r>
          </w:hyperlink>
        </w:p>
        <w:p w14:paraId="62E983D8" w14:textId="2B7CA426" w:rsidR="006727A5" w:rsidRPr="00183359" w:rsidRDefault="00923A61" w:rsidP="00183359">
          <w:pPr>
            <w:pStyle w:val="TOC2"/>
            <w:rPr>
              <w:color w:val="467886" w:themeColor="hyperlink"/>
              <w:u w:val="single"/>
            </w:rPr>
          </w:pPr>
          <w:hyperlink w:anchor="_Toc234746411" w:history="1">
            <w:r w:rsidRPr="00183359">
              <w:rPr>
                <w:rStyle w:val="Hyperlink"/>
                <w:i/>
                <w:iCs/>
              </w:rPr>
              <w:t>2.1 Revenue Model</w:t>
            </w:r>
            <w:r w:rsidRPr="00183359">
              <w:rPr>
                <w:webHidden/>
              </w:rPr>
              <w:tab/>
            </w:r>
            <w:r w:rsidRPr="00183359">
              <w:rPr>
                <w:webHidden/>
              </w:rPr>
              <w:fldChar w:fldCharType="begin"/>
            </w:r>
            <w:r w:rsidRPr="00183359">
              <w:rPr>
                <w:webHidden/>
              </w:rPr>
              <w:instrText xml:space="preserve"> PAGEREF _Toc234746411 \h </w:instrText>
            </w:r>
            <w:r w:rsidRPr="00183359">
              <w:rPr>
                <w:webHidden/>
              </w:rPr>
            </w:r>
            <w:r w:rsidRPr="00183359">
              <w:rPr>
                <w:webHidden/>
              </w:rPr>
              <w:fldChar w:fldCharType="separate"/>
            </w:r>
            <w:r w:rsidRPr="00183359">
              <w:rPr>
                <w:webHidden/>
              </w:rPr>
              <w:t>4</w:t>
            </w:r>
            <w:r w:rsidRPr="00183359">
              <w:rPr>
                <w:webHidden/>
              </w:rPr>
              <w:fldChar w:fldCharType="end"/>
            </w:r>
          </w:hyperlink>
        </w:p>
        <w:p w14:paraId="1992C7B7" w14:textId="682314A7" w:rsidR="00A22CF0" w:rsidRPr="00183359" w:rsidRDefault="006727A5" w:rsidP="006727A5">
          <w:r w:rsidRPr="00183359">
            <w:t xml:space="preserve">     </w:t>
          </w:r>
          <w:r w:rsidRPr="00183359">
            <w:t>2.2 Cost Structure: Fixed and Variable Costs</w:t>
          </w:r>
          <w:r w:rsidRPr="00183359">
            <w:t>……………………………………………………………</w:t>
          </w:r>
          <w:proofErr w:type="gramStart"/>
          <w:r w:rsidRPr="00183359">
            <w:t>…..</w:t>
          </w:r>
          <w:proofErr w:type="gramEnd"/>
          <w:r w:rsidR="00456047" w:rsidRPr="00183359">
            <w:t>4</w:t>
          </w:r>
        </w:p>
        <w:p w14:paraId="58F7FA1F" w14:textId="3D417083" w:rsidR="00A22CF0" w:rsidRPr="00183359" w:rsidRDefault="00A22CF0" w:rsidP="006727A5">
          <w:r w:rsidRPr="00183359">
            <w:t>3. Budgeting and Financial Planning</w:t>
          </w:r>
          <w:r w:rsidRPr="00183359">
            <w:t>……………………………………………………………………………</w:t>
          </w:r>
          <w:proofErr w:type="gramStart"/>
          <w:r w:rsidRPr="00183359">
            <w:t>…..</w:t>
          </w:r>
          <w:proofErr w:type="gramEnd"/>
          <w:r w:rsidRPr="00183359">
            <w:t>5</w:t>
          </w:r>
        </w:p>
        <w:p w14:paraId="087C40AA" w14:textId="45DDC0F1" w:rsidR="00A22CF0" w:rsidRPr="00183359" w:rsidRDefault="00A22CF0" w:rsidP="006727A5">
          <w:r w:rsidRPr="00183359">
            <w:t xml:space="preserve">     </w:t>
          </w:r>
          <w:r w:rsidRPr="00183359">
            <w:t>3.1 The Role of Budgeting at British Airways</w:t>
          </w:r>
          <w:r w:rsidRPr="00183359">
            <w:t>………………………………………………………………</w:t>
          </w:r>
          <w:proofErr w:type="gramStart"/>
          <w:r w:rsidRPr="00183359">
            <w:t>…..</w:t>
          </w:r>
          <w:proofErr w:type="gramEnd"/>
          <w:r w:rsidRPr="00183359">
            <w:t>5</w:t>
          </w:r>
        </w:p>
        <w:p w14:paraId="28647D35" w14:textId="189FE6AE" w:rsidR="003146B8" w:rsidRPr="00006ECC" w:rsidRDefault="00A22CF0" w:rsidP="00006ECC">
          <w:pPr>
            <w:pStyle w:val="TOC2"/>
            <w:rPr>
              <w:color w:val="467886" w:themeColor="hyperlink"/>
              <w:u w:val="single"/>
            </w:rPr>
          </w:pPr>
          <w:r w:rsidRPr="00183359">
            <w:rPr>
              <w:rStyle w:val="Hyperlink"/>
            </w:rPr>
            <w:t xml:space="preserve">     </w:t>
          </w:r>
          <w:hyperlink w:anchor="_Toc234746412" w:history="1">
            <w:r w:rsidR="00923A61" w:rsidRPr="00183359">
              <w:rPr>
                <w:rStyle w:val="Hyperlink"/>
              </w:rPr>
              <w:t>3.2 Year-on-Year Change in Operating Expenses</w:t>
            </w:r>
            <w:r w:rsidR="00923A61" w:rsidRPr="00183359">
              <w:rPr>
                <w:webHidden/>
              </w:rPr>
              <w:tab/>
            </w:r>
            <w:r w:rsidR="00923A61" w:rsidRPr="00183359">
              <w:rPr>
                <w:webHidden/>
              </w:rPr>
              <w:fldChar w:fldCharType="begin"/>
            </w:r>
            <w:r w:rsidR="00923A61" w:rsidRPr="00183359">
              <w:rPr>
                <w:webHidden/>
              </w:rPr>
              <w:instrText xml:space="preserve"> PAGEREF _Toc234746412 \h </w:instrText>
            </w:r>
            <w:r w:rsidR="00923A61" w:rsidRPr="00183359">
              <w:rPr>
                <w:webHidden/>
              </w:rPr>
            </w:r>
            <w:r w:rsidR="00923A61" w:rsidRPr="00183359">
              <w:rPr>
                <w:webHidden/>
              </w:rPr>
              <w:fldChar w:fldCharType="separate"/>
            </w:r>
            <w:r w:rsidR="00923A61" w:rsidRPr="00183359">
              <w:rPr>
                <w:webHidden/>
              </w:rPr>
              <w:t>6</w:t>
            </w:r>
            <w:r w:rsidR="00923A61" w:rsidRPr="00183359">
              <w:rPr>
                <w:webHidden/>
              </w:rPr>
              <w:fldChar w:fldCharType="end"/>
            </w:r>
          </w:hyperlink>
        </w:p>
        <w:p w14:paraId="310958BD" w14:textId="4DC4E3DE" w:rsidR="003146B8" w:rsidRPr="00183359" w:rsidRDefault="00923A61" w:rsidP="00C8592D">
          <w:pPr>
            <w:pStyle w:val="TOC1"/>
            <w:rPr>
              <w:b w:val="0"/>
              <w:bCs w:val="0"/>
              <w:color w:val="467886" w:themeColor="hyperlink"/>
              <w:u w:val="single"/>
            </w:rPr>
          </w:pPr>
          <w:hyperlink w:anchor="_Toc234746413" w:history="1">
            <w:r w:rsidRPr="00183359">
              <w:rPr>
                <w:rStyle w:val="Hyperlink"/>
                <w:b w:val="0"/>
                <w:bCs w:val="0"/>
              </w:rPr>
              <w:t>4. Performance Measurement and Decision-Making</w:t>
            </w:r>
            <w:r w:rsidRPr="00183359">
              <w:rPr>
                <w:b w:val="0"/>
                <w:bCs w:val="0"/>
                <w:webHidden/>
              </w:rPr>
              <w:tab/>
            </w:r>
            <w:r w:rsidRPr="00183359">
              <w:rPr>
                <w:b w:val="0"/>
                <w:bCs w:val="0"/>
                <w:webHidden/>
              </w:rPr>
              <w:fldChar w:fldCharType="begin"/>
            </w:r>
            <w:r w:rsidRPr="00183359">
              <w:rPr>
                <w:b w:val="0"/>
                <w:bCs w:val="0"/>
                <w:webHidden/>
              </w:rPr>
              <w:instrText xml:space="preserve"> PAGEREF _Toc234746413 \h </w:instrText>
            </w:r>
            <w:r w:rsidRPr="00183359">
              <w:rPr>
                <w:b w:val="0"/>
                <w:bCs w:val="0"/>
                <w:webHidden/>
              </w:rPr>
            </w:r>
            <w:r w:rsidRPr="00183359">
              <w:rPr>
                <w:b w:val="0"/>
                <w:bCs w:val="0"/>
                <w:webHidden/>
              </w:rPr>
              <w:fldChar w:fldCharType="separate"/>
            </w:r>
            <w:r w:rsidRPr="00183359">
              <w:rPr>
                <w:b w:val="0"/>
                <w:bCs w:val="0"/>
                <w:webHidden/>
              </w:rPr>
              <w:t>6</w:t>
            </w:r>
            <w:r w:rsidRPr="00183359">
              <w:rPr>
                <w:b w:val="0"/>
                <w:bCs w:val="0"/>
                <w:webHidden/>
              </w:rPr>
              <w:fldChar w:fldCharType="end"/>
            </w:r>
          </w:hyperlink>
        </w:p>
        <w:p w14:paraId="2183EFDA" w14:textId="4E2F7EEE" w:rsidR="003146B8" w:rsidRPr="00183359" w:rsidRDefault="00923A61" w:rsidP="00183359">
          <w:pPr>
            <w:pStyle w:val="TOC2"/>
            <w:rPr>
              <w:color w:val="467886" w:themeColor="hyperlink"/>
              <w:u w:val="single"/>
            </w:rPr>
          </w:pPr>
          <w:hyperlink w:anchor="_Toc234746414" w:history="1">
            <w:r w:rsidRPr="00183359">
              <w:rPr>
                <w:rStyle w:val="Hyperlink"/>
              </w:rPr>
              <w:t>4.1 Key Performance Indicators</w:t>
            </w:r>
            <w:r w:rsidRPr="00183359">
              <w:rPr>
                <w:webHidden/>
              </w:rPr>
              <w:tab/>
            </w:r>
            <w:r w:rsidRPr="00183359">
              <w:rPr>
                <w:webHidden/>
              </w:rPr>
              <w:fldChar w:fldCharType="begin"/>
            </w:r>
            <w:r w:rsidRPr="00183359">
              <w:rPr>
                <w:webHidden/>
              </w:rPr>
              <w:instrText xml:space="preserve"> PAGEREF _Toc234746414 \h </w:instrText>
            </w:r>
            <w:r w:rsidRPr="00183359">
              <w:rPr>
                <w:webHidden/>
              </w:rPr>
            </w:r>
            <w:r w:rsidRPr="00183359">
              <w:rPr>
                <w:webHidden/>
              </w:rPr>
              <w:fldChar w:fldCharType="separate"/>
            </w:r>
            <w:r w:rsidRPr="00183359">
              <w:rPr>
                <w:webHidden/>
              </w:rPr>
              <w:t>6</w:t>
            </w:r>
            <w:r w:rsidRPr="00183359">
              <w:rPr>
                <w:webHidden/>
              </w:rPr>
              <w:fldChar w:fldCharType="end"/>
            </w:r>
          </w:hyperlink>
        </w:p>
        <w:p w14:paraId="3F7CE6B5" w14:textId="0CE146AB" w:rsidR="003146B8" w:rsidRPr="00006ECC" w:rsidRDefault="00923A61" w:rsidP="00006ECC">
          <w:pPr>
            <w:pStyle w:val="TOC2"/>
            <w:rPr>
              <w:color w:val="467886" w:themeColor="hyperlink"/>
              <w:u w:val="single"/>
            </w:rPr>
          </w:pPr>
          <w:hyperlink w:anchor="_Toc234746415" w:history="1">
            <w:r w:rsidRPr="00183359">
              <w:rPr>
                <w:rStyle w:val="Hyperlink"/>
              </w:rPr>
              <w:t>4.2 Strategic Decisions Based on Financial and Non-Financial Data</w:t>
            </w:r>
            <w:r w:rsidRPr="00183359">
              <w:rPr>
                <w:webHidden/>
              </w:rPr>
              <w:tab/>
            </w:r>
            <w:r w:rsidRPr="00183359">
              <w:rPr>
                <w:webHidden/>
              </w:rPr>
              <w:fldChar w:fldCharType="begin"/>
            </w:r>
            <w:r w:rsidRPr="00183359">
              <w:rPr>
                <w:webHidden/>
              </w:rPr>
              <w:instrText xml:space="preserve"> PAGEREF _Toc234746415 \h </w:instrText>
            </w:r>
            <w:r w:rsidRPr="00183359">
              <w:rPr>
                <w:webHidden/>
              </w:rPr>
            </w:r>
            <w:r w:rsidRPr="00183359">
              <w:rPr>
                <w:webHidden/>
              </w:rPr>
              <w:fldChar w:fldCharType="separate"/>
            </w:r>
            <w:r w:rsidRPr="00183359">
              <w:rPr>
                <w:webHidden/>
              </w:rPr>
              <w:t>7</w:t>
            </w:r>
            <w:r w:rsidRPr="00183359">
              <w:rPr>
                <w:webHidden/>
              </w:rPr>
              <w:fldChar w:fldCharType="end"/>
            </w:r>
          </w:hyperlink>
        </w:p>
        <w:p w14:paraId="4E512768" w14:textId="02C1AE28" w:rsidR="00923A61" w:rsidRPr="00183359" w:rsidRDefault="00923A61" w:rsidP="00C8592D">
          <w:pPr>
            <w:pStyle w:val="TOC1"/>
            <w:rPr>
              <w:rStyle w:val="Hyperlink"/>
              <w:b w:val="0"/>
              <w:bCs w:val="0"/>
            </w:rPr>
          </w:pPr>
          <w:hyperlink w:anchor="_Toc234746416" w:history="1">
            <w:r w:rsidRPr="00183359">
              <w:rPr>
                <w:rStyle w:val="Hyperlink"/>
                <w:b w:val="0"/>
                <w:bCs w:val="0"/>
              </w:rPr>
              <w:t>5. Sustainability and Ethical Considerations</w:t>
            </w:r>
            <w:r w:rsidRPr="00183359">
              <w:rPr>
                <w:b w:val="0"/>
                <w:bCs w:val="0"/>
                <w:webHidden/>
              </w:rPr>
              <w:tab/>
            </w:r>
            <w:r w:rsidRPr="00183359">
              <w:rPr>
                <w:b w:val="0"/>
                <w:bCs w:val="0"/>
                <w:webHidden/>
              </w:rPr>
              <w:fldChar w:fldCharType="begin"/>
            </w:r>
            <w:r w:rsidRPr="00183359">
              <w:rPr>
                <w:b w:val="0"/>
                <w:bCs w:val="0"/>
                <w:webHidden/>
              </w:rPr>
              <w:instrText xml:space="preserve"> PAGEREF _Toc234746416 \h </w:instrText>
            </w:r>
            <w:r w:rsidRPr="00183359">
              <w:rPr>
                <w:b w:val="0"/>
                <w:bCs w:val="0"/>
                <w:webHidden/>
              </w:rPr>
            </w:r>
            <w:r w:rsidRPr="00183359">
              <w:rPr>
                <w:b w:val="0"/>
                <w:bCs w:val="0"/>
                <w:webHidden/>
              </w:rPr>
              <w:fldChar w:fldCharType="separate"/>
            </w:r>
            <w:r w:rsidRPr="00183359">
              <w:rPr>
                <w:b w:val="0"/>
                <w:bCs w:val="0"/>
                <w:webHidden/>
              </w:rPr>
              <w:t>8</w:t>
            </w:r>
            <w:r w:rsidRPr="00183359">
              <w:rPr>
                <w:b w:val="0"/>
                <w:bCs w:val="0"/>
                <w:webHidden/>
              </w:rPr>
              <w:fldChar w:fldCharType="end"/>
            </w:r>
          </w:hyperlink>
        </w:p>
        <w:p w14:paraId="1215D188" w14:textId="4D973577" w:rsidR="003146B8" w:rsidRPr="00183359" w:rsidRDefault="001A21D8" w:rsidP="003146B8">
          <w:pPr>
            <w:rPr>
              <w:lang w:eastAsia="en-GB"/>
            </w:rPr>
          </w:pPr>
          <w:r w:rsidRPr="00183359">
            <w:rPr>
              <w:lang w:eastAsia="en-GB"/>
            </w:rPr>
            <w:t xml:space="preserve">     </w:t>
          </w:r>
          <w:r w:rsidRPr="00183359">
            <w:rPr>
              <w:lang w:eastAsia="en-GB"/>
            </w:rPr>
            <w:t>5.1 Integrating Sustainability into Financial Decision-Making</w:t>
          </w:r>
          <w:r w:rsidR="000A7BAA" w:rsidRPr="00183359">
            <w:rPr>
              <w:lang w:eastAsia="en-GB"/>
            </w:rPr>
            <w:t>………………………………………</w:t>
          </w:r>
          <w:proofErr w:type="gramStart"/>
          <w:r w:rsidR="000A7BAA" w:rsidRPr="00183359">
            <w:rPr>
              <w:lang w:eastAsia="en-GB"/>
            </w:rPr>
            <w:t>…..</w:t>
          </w:r>
          <w:proofErr w:type="gramEnd"/>
          <w:r w:rsidR="000A7BAA" w:rsidRPr="00183359">
            <w:rPr>
              <w:lang w:eastAsia="en-GB"/>
            </w:rPr>
            <w:t>8</w:t>
          </w:r>
        </w:p>
        <w:p w14:paraId="1B121E5D" w14:textId="3BF49DC5" w:rsidR="003146B8" w:rsidRPr="00006ECC" w:rsidRDefault="00923A61" w:rsidP="00006ECC">
          <w:pPr>
            <w:pStyle w:val="TOC2"/>
            <w:rPr>
              <w:i/>
              <w:iCs/>
              <w:color w:val="467886" w:themeColor="hyperlink"/>
              <w:u w:val="single"/>
            </w:rPr>
          </w:pPr>
          <w:hyperlink w:anchor="_Toc234746417" w:history="1">
            <w:r w:rsidRPr="00183359">
              <w:rPr>
                <w:rStyle w:val="Hyperlink"/>
                <w:i/>
                <w:iCs/>
              </w:rPr>
              <w:t>5.2 Ethical Considerations in Cost Management and Pricing</w:t>
            </w:r>
            <w:r w:rsidRPr="00183359">
              <w:rPr>
                <w:webHidden/>
              </w:rPr>
              <w:tab/>
            </w:r>
            <w:r w:rsidRPr="00183359">
              <w:rPr>
                <w:webHidden/>
              </w:rPr>
              <w:fldChar w:fldCharType="begin"/>
            </w:r>
            <w:r w:rsidRPr="00183359">
              <w:rPr>
                <w:webHidden/>
              </w:rPr>
              <w:instrText xml:space="preserve"> PAGEREF _Toc234746417 \h </w:instrText>
            </w:r>
            <w:r w:rsidRPr="00183359">
              <w:rPr>
                <w:webHidden/>
              </w:rPr>
            </w:r>
            <w:r w:rsidRPr="00183359">
              <w:rPr>
                <w:webHidden/>
              </w:rPr>
              <w:fldChar w:fldCharType="separate"/>
            </w:r>
            <w:r w:rsidRPr="00183359">
              <w:rPr>
                <w:webHidden/>
              </w:rPr>
              <w:t>9</w:t>
            </w:r>
            <w:r w:rsidRPr="00183359">
              <w:rPr>
                <w:webHidden/>
              </w:rPr>
              <w:fldChar w:fldCharType="end"/>
            </w:r>
          </w:hyperlink>
        </w:p>
        <w:p w14:paraId="6EC5396F" w14:textId="7E4DB74D" w:rsidR="003146B8" w:rsidRPr="00006ECC" w:rsidRDefault="00923A61" w:rsidP="00006ECC">
          <w:pPr>
            <w:pStyle w:val="TOC1"/>
            <w:rPr>
              <w:b w:val="0"/>
              <w:bCs w:val="0"/>
              <w:color w:val="467886" w:themeColor="hyperlink"/>
              <w:u w:val="single"/>
            </w:rPr>
          </w:pPr>
          <w:hyperlink w:anchor="_Toc234746418" w:history="1">
            <w:r w:rsidRPr="00C8592D">
              <w:rPr>
                <w:rStyle w:val="Hyperlink"/>
                <w:b w:val="0"/>
                <w:bCs w:val="0"/>
              </w:rPr>
              <w:t>6. Conclusion and Recommendations</w:t>
            </w:r>
            <w:r w:rsidRPr="00C8592D">
              <w:rPr>
                <w:webHidden/>
              </w:rPr>
              <w:tab/>
            </w:r>
            <w:r w:rsidRPr="00C8592D">
              <w:rPr>
                <w:webHidden/>
              </w:rPr>
              <w:fldChar w:fldCharType="begin"/>
            </w:r>
            <w:r w:rsidRPr="00C8592D">
              <w:rPr>
                <w:webHidden/>
              </w:rPr>
              <w:instrText xml:space="preserve"> PAGEREF _Toc234746418 \h </w:instrText>
            </w:r>
            <w:r w:rsidRPr="00C8592D">
              <w:rPr>
                <w:webHidden/>
              </w:rPr>
            </w:r>
            <w:r w:rsidRPr="00C8592D">
              <w:rPr>
                <w:webHidden/>
              </w:rPr>
              <w:fldChar w:fldCharType="separate"/>
            </w:r>
            <w:r w:rsidRPr="00C8592D">
              <w:rPr>
                <w:webHidden/>
              </w:rPr>
              <w:t>9</w:t>
            </w:r>
            <w:r w:rsidRPr="00C8592D">
              <w:rPr>
                <w:webHidden/>
              </w:rPr>
              <w:fldChar w:fldCharType="end"/>
            </w:r>
          </w:hyperlink>
        </w:p>
        <w:p w14:paraId="768C2007" w14:textId="7F473E5B" w:rsidR="003146B8" w:rsidRPr="003146B8" w:rsidRDefault="003146B8" w:rsidP="003146B8">
          <w:pPr>
            <w:rPr>
              <w:lang w:eastAsia="en-GB"/>
            </w:rPr>
          </w:pPr>
          <w:r>
            <w:rPr>
              <w:lang w:eastAsia="en-GB"/>
            </w:rPr>
            <w:t>References……………………………………………………………………………………………………………</w:t>
          </w:r>
          <w:r w:rsidR="00196DFA">
            <w:rPr>
              <w:lang w:eastAsia="en-GB"/>
            </w:rPr>
            <w:t>.</w:t>
          </w:r>
          <w:r>
            <w:rPr>
              <w:lang w:eastAsia="en-GB"/>
            </w:rPr>
            <w:t>…</w:t>
          </w:r>
          <w:r w:rsidR="00196DFA">
            <w:rPr>
              <w:lang w:eastAsia="en-GB"/>
            </w:rPr>
            <w:t>10</w:t>
          </w:r>
        </w:p>
        <w:p w14:paraId="2070FC92" w14:textId="3CE3A38D" w:rsidR="00ED08E5" w:rsidRDefault="00ED08E5" w:rsidP="00B472E6">
          <w:pPr>
            <w:outlineLvl w:val="2"/>
          </w:pPr>
          <w:r>
            <w:rPr>
              <w:b/>
              <w:bCs/>
            </w:rPr>
            <w:fldChar w:fldCharType="end"/>
          </w:r>
        </w:p>
      </w:sdtContent>
    </w:sdt>
    <w:p w14:paraId="37A70760" w14:textId="58936632" w:rsidR="00B2679D" w:rsidRDefault="00B2679D" w:rsidP="00EA768D">
      <w:pPr>
        <w:jc w:val="center"/>
        <w:rPr>
          <w:b/>
          <w:bCs/>
          <w:sz w:val="36"/>
          <w:szCs w:val="36"/>
        </w:rPr>
      </w:pPr>
    </w:p>
    <w:p w14:paraId="3952B764" w14:textId="77777777" w:rsidR="00A22CF0" w:rsidRDefault="00A22CF0" w:rsidP="00EA768D">
      <w:pPr>
        <w:rPr>
          <w:b/>
          <w:bCs/>
          <w:sz w:val="36"/>
          <w:szCs w:val="36"/>
        </w:rPr>
      </w:pPr>
    </w:p>
    <w:p w14:paraId="3223830C" w14:textId="77777777" w:rsidR="00D33AC8" w:rsidRDefault="00D33AC8" w:rsidP="00EA768D">
      <w:pPr>
        <w:rPr>
          <w:b/>
          <w:bCs/>
          <w:sz w:val="36"/>
          <w:szCs w:val="36"/>
        </w:rPr>
      </w:pPr>
    </w:p>
    <w:p w14:paraId="2F409D67" w14:textId="77777777" w:rsidR="00C8592D" w:rsidRDefault="00C8592D" w:rsidP="00EA768D">
      <w:pPr>
        <w:rPr>
          <w:b/>
          <w:bCs/>
          <w:sz w:val="36"/>
          <w:szCs w:val="36"/>
        </w:rPr>
      </w:pPr>
    </w:p>
    <w:p w14:paraId="2AB08BA5" w14:textId="77777777" w:rsidR="00006ECC" w:rsidRDefault="00006ECC" w:rsidP="00EA768D">
      <w:pPr>
        <w:rPr>
          <w:b/>
          <w:bCs/>
          <w:sz w:val="36"/>
          <w:szCs w:val="36"/>
        </w:rPr>
      </w:pPr>
    </w:p>
    <w:p w14:paraId="1C2CF0D7" w14:textId="77777777" w:rsidR="00006ECC" w:rsidRDefault="00006ECC" w:rsidP="00EA768D">
      <w:pPr>
        <w:rPr>
          <w:b/>
          <w:bCs/>
          <w:sz w:val="36"/>
          <w:szCs w:val="36"/>
        </w:rPr>
      </w:pPr>
    </w:p>
    <w:p w14:paraId="02504EFC" w14:textId="77777777" w:rsidR="00006ECC" w:rsidRDefault="00006ECC" w:rsidP="00EA768D">
      <w:pPr>
        <w:rPr>
          <w:b/>
          <w:bCs/>
          <w:sz w:val="36"/>
          <w:szCs w:val="36"/>
        </w:rPr>
      </w:pPr>
    </w:p>
    <w:p w14:paraId="47935DA2" w14:textId="77777777" w:rsidR="00006ECC" w:rsidRDefault="00006ECC" w:rsidP="00EA768D">
      <w:pPr>
        <w:rPr>
          <w:b/>
          <w:bCs/>
          <w:sz w:val="36"/>
          <w:szCs w:val="36"/>
        </w:rPr>
      </w:pPr>
    </w:p>
    <w:p w14:paraId="00687D39" w14:textId="4C7B82B8" w:rsidR="00EA768D" w:rsidRPr="00DE5E1E" w:rsidRDefault="00EA768D" w:rsidP="00EA768D">
      <w:pPr>
        <w:rPr>
          <w:rFonts w:ascii="Times New Roman" w:hAnsi="Times New Roman" w:cs="Times New Roman"/>
          <w:b/>
          <w:bCs/>
          <w:color w:val="215E99" w:themeColor="text2" w:themeTint="BF"/>
          <w:sz w:val="28"/>
          <w:szCs w:val="28"/>
        </w:rPr>
      </w:pPr>
      <w:r w:rsidRPr="00DE5E1E">
        <w:rPr>
          <w:rFonts w:ascii="Times New Roman" w:hAnsi="Times New Roman" w:cs="Times New Roman"/>
          <w:b/>
          <w:bCs/>
          <w:color w:val="215E99" w:themeColor="text2" w:themeTint="BF"/>
          <w:sz w:val="28"/>
          <w:szCs w:val="28"/>
        </w:rPr>
        <w:lastRenderedPageBreak/>
        <w:t>1. Introduction</w:t>
      </w:r>
    </w:p>
    <w:p w14:paraId="61CED08E" w14:textId="74B4FD8D" w:rsidR="00EA768D" w:rsidRPr="004426D8" w:rsidRDefault="00EA768D" w:rsidP="004426D8">
      <w:pPr>
        <w:spacing w:line="360" w:lineRule="auto"/>
        <w:rPr>
          <w:rFonts w:ascii="Times New Roman" w:hAnsi="Times New Roman" w:cs="Times New Roman"/>
          <w:sz w:val="24"/>
          <w:szCs w:val="24"/>
        </w:rPr>
      </w:pPr>
      <w:r w:rsidRPr="004426D8">
        <w:rPr>
          <w:rFonts w:ascii="Times New Roman" w:hAnsi="Times New Roman" w:cs="Times New Roman"/>
          <w:sz w:val="24"/>
          <w:szCs w:val="24"/>
        </w:rPr>
        <w:t>British Airways (BA) is one of the world's leading international airlines, having been formed in 1974 from the merger of British Overseas Airways Corporation (BOAC) and British European Airways (BEA). BA, based in London Heathrow, serves more than 183 destinations on six continents and carried around 46.7 million passengers in 2025 (Travel and Tourism World, 2025). Since 2011, British Airways has been operated as a full subsidiary of the International Airlines Group (IAG), a publicly listed holding company that also owns Iberia, Vueling, and Aer Lingus. In the financial year 2024, IAG generated record revenues of EUR 32.1 billion, British Airways contributing around GBP 14.4 billion (IAG, 2025).</w:t>
      </w:r>
    </w:p>
    <w:p w14:paraId="39951F6A" w14:textId="77777777" w:rsidR="004426D8" w:rsidRPr="004426D8" w:rsidRDefault="00EA768D" w:rsidP="004426D8">
      <w:pPr>
        <w:spacing w:line="360" w:lineRule="auto"/>
        <w:rPr>
          <w:rFonts w:ascii="Times New Roman" w:hAnsi="Times New Roman" w:cs="Times New Roman"/>
          <w:sz w:val="24"/>
          <w:szCs w:val="24"/>
        </w:rPr>
      </w:pPr>
      <w:r w:rsidRPr="004426D8">
        <w:rPr>
          <w:rFonts w:ascii="Times New Roman" w:hAnsi="Times New Roman" w:cs="Times New Roman"/>
          <w:sz w:val="24"/>
          <w:szCs w:val="24"/>
        </w:rPr>
        <w:t xml:space="preserve">In a sector characterised by high operational complexity, narrow margins and high macroeconomic sensitivity, management accounting plays an essential role in underpinning British Airways' financial decisions. Unlike financial accounting, which is mainly concerned with reporting on past performance to external parties, management accounting provides forward-looking, internally focused information that supports planning, control and decision-making (Seeman, 2013). </w:t>
      </w:r>
    </w:p>
    <w:p w14:paraId="0C387EBE" w14:textId="1A6BDA38" w:rsidR="00EA768D" w:rsidRPr="004426D8" w:rsidRDefault="00EA768D" w:rsidP="004426D8">
      <w:pPr>
        <w:spacing w:line="360" w:lineRule="auto"/>
        <w:rPr>
          <w:rFonts w:ascii="Times New Roman" w:hAnsi="Times New Roman" w:cs="Times New Roman"/>
          <w:sz w:val="24"/>
          <w:szCs w:val="24"/>
        </w:rPr>
      </w:pPr>
      <w:r w:rsidRPr="004426D8">
        <w:rPr>
          <w:rFonts w:ascii="Times New Roman" w:hAnsi="Times New Roman" w:cs="Times New Roman"/>
          <w:sz w:val="24"/>
          <w:szCs w:val="24"/>
        </w:rPr>
        <w:t>Athrill and McLaney (2021, p. 3) define management accounting for decision-makers as the discipline of identifying, measuring</w:t>
      </w:r>
      <w:r w:rsidR="004426D8" w:rsidRPr="004426D8">
        <w:rPr>
          <w:rFonts w:ascii="Times New Roman" w:hAnsi="Times New Roman" w:cs="Times New Roman"/>
          <w:sz w:val="24"/>
          <w:szCs w:val="24"/>
        </w:rPr>
        <w:t xml:space="preserve">, and communicating financial and non-financial information to enable managers to meet their business goals and </w:t>
      </w:r>
      <w:r w:rsidRPr="004426D8">
        <w:rPr>
          <w:rFonts w:ascii="Times New Roman" w:hAnsi="Times New Roman" w:cs="Times New Roman"/>
          <w:sz w:val="24"/>
          <w:szCs w:val="24"/>
        </w:rPr>
        <w:t xml:space="preserve">make informed decisions. Drury (2021, p. 4) also </w:t>
      </w:r>
      <w:r w:rsidR="004426D8" w:rsidRPr="004426D8">
        <w:rPr>
          <w:rFonts w:ascii="Times New Roman" w:hAnsi="Times New Roman" w:cs="Times New Roman"/>
          <w:sz w:val="24"/>
          <w:szCs w:val="24"/>
        </w:rPr>
        <w:t>emphasises the role of providing information to people in the organisation to help them make better choices</w:t>
      </w:r>
      <w:r w:rsidR="001E0AC6">
        <w:rPr>
          <w:rFonts w:ascii="Times New Roman" w:hAnsi="Times New Roman" w:cs="Times New Roman"/>
          <w:sz w:val="24"/>
          <w:szCs w:val="24"/>
        </w:rPr>
        <w:t>.</w:t>
      </w:r>
      <w:r w:rsidRPr="004426D8">
        <w:rPr>
          <w:rFonts w:ascii="Times New Roman" w:hAnsi="Times New Roman" w:cs="Times New Roman"/>
          <w:sz w:val="24"/>
          <w:szCs w:val="24"/>
        </w:rPr>
        <w:t xml:space="preserve"> This report assesses </w:t>
      </w:r>
      <w:r w:rsidR="004426D8" w:rsidRPr="004426D8">
        <w:rPr>
          <w:rFonts w:ascii="Times New Roman" w:hAnsi="Times New Roman" w:cs="Times New Roman"/>
          <w:sz w:val="24"/>
          <w:szCs w:val="24"/>
        </w:rPr>
        <w:t>how BAE Systems uses these tools in cost analysis, budgeting, performance measurement,</w:t>
      </w:r>
      <w:r w:rsidRPr="004426D8">
        <w:rPr>
          <w:rFonts w:ascii="Times New Roman" w:hAnsi="Times New Roman" w:cs="Times New Roman"/>
          <w:sz w:val="24"/>
          <w:szCs w:val="24"/>
        </w:rPr>
        <w:t xml:space="preserve"> and sustainability.</w:t>
      </w:r>
    </w:p>
    <w:p w14:paraId="4D3C29F4" w14:textId="77777777" w:rsidR="004426D8" w:rsidRPr="00DE5E1E" w:rsidRDefault="004426D8" w:rsidP="004426D8">
      <w:pPr>
        <w:pStyle w:val="Heading1"/>
        <w:spacing w:before="400" w:after="200"/>
        <w:rPr>
          <w:rFonts w:ascii="Times New Roman" w:hAnsi="Times New Roman" w:cs="Times New Roman"/>
          <w:color w:val="215E99" w:themeColor="text2" w:themeTint="BF"/>
        </w:rPr>
      </w:pPr>
      <w:bookmarkStart w:id="1" w:name="_Toc234746410"/>
      <w:r w:rsidRPr="00DE5E1E">
        <w:rPr>
          <w:rFonts w:ascii="Times New Roman" w:eastAsia="Times New Roman" w:hAnsi="Times New Roman" w:cs="Times New Roman"/>
          <w:b/>
          <w:bCs/>
          <w:color w:val="215E99" w:themeColor="text2" w:themeTint="BF"/>
          <w:sz w:val="28"/>
          <w:szCs w:val="28"/>
        </w:rPr>
        <w:t>2. Cost Analysis and Business Model</w:t>
      </w:r>
      <w:bookmarkEnd w:id="1"/>
    </w:p>
    <w:p w14:paraId="18226211" w14:textId="77777777" w:rsidR="004426D8" w:rsidRPr="00DE5E1E" w:rsidRDefault="004426D8" w:rsidP="004426D8">
      <w:pPr>
        <w:pStyle w:val="Heading2"/>
        <w:spacing w:before="300" w:after="160"/>
        <w:rPr>
          <w:rFonts w:ascii="Times New Roman" w:hAnsi="Times New Roman" w:cs="Times New Roman"/>
          <w:color w:val="215E99" w:themeColor="text2" w:themeTint="BF"/>
        </w:rPr>
      </w:pPr>
      <w:bookmarkStart w:id="2" w:name="_Toc234746411"/>
      <w:r w:rsidRPr="00DE5E1E">
        <w:rPr>
          <w:rFonts w:ascii="Times New Roman" w:eastAsia="Times New Roman" w:hAnsi="Times New Roman" w:cs="Times New Roman"/>
          <w:b/>
          <w:bCs/>
          <w:i/>
          <w:iCs/>
          <w:color w:val="215E99" w:themeColor="text2" w:themeTint="BF"/>
          <w:sz w:val="26"/>
          <w:szCs w:val="26"/>
        </w:rPr>
        <w:t>2.1 Revenue Model</w:t>
      </w:r>
      <w:bookmarkEnd w:id="2"/>
    </w:p>
    <w:p w14:paraId="570A1476" w14:textId="5B79D650" w:rsidR="00EA768D" w:rsidRPr="004426D8" w:rsidRDefault="004426D8" w:rsidP="004426D8">
      <w:pPr>
        <w:spacing w:line="360" w:lineRule="auto"/>
        <w:rPr>
          <w:rFonts w:ascii="Times New Roman" w:hAnsi="Times New Roman" w:cs="Times New Roman"/>
          <w:sz w:val="24"/>
          <w:szCs w:val="24"/>
        </w:rPr>
      </w:pPr>
      <w:r w:rsidRPr="004426D8">
        <w:rPr>
          <w:rFonts w:ascii="Times New Roman" w:hAnsi="Times New Roman" w:cs="Times New Roman"/>
          <w:sz w:val="24"/>
          <w:szCs w:val="24"/>
        </w:rPr>
        <w:t>The revenue model of British Airways is primarily driven by ticket sales the largest share of revenue. Revenue is divided into three categories: passenger revenues, cargo revenues, and other revenues, which include services such as monetisation of the Executive Club loyalty programme, maintenance services sold to third parties, and retail partnerships. The airline operates a hub-and-spoke model based at Heathrow, supplemented by a point-to-point service from Gatwick and London City. This model allows BA to maximise returns on high-frequency, high-demand transatlantic and European routes while leveraging the interconnectedness of Heathrow connections (Doyle, 2025).</w:t>
      </w:r>
    </w:p>
    <w:p w14:paraId="33A0F075" w14:textId="3537B831" w:rsidR="00EA768D" w:rsidRPr="00DE5E1E" w:rsidRDefault="004426D8" w:rsidP="00EA768D">
      <w:pPr>
        <w:rPr>
          <w:rFonts w:ascii="Times New Roman" w:hAnsi="Times New Roman" w:cs="Times New Roman"/>
          <w:b/>
          <w:bCs/>
          <w:i/>
          <w:iCs/>
          <w:color w:val="215E99" w:themeColor="text2" w:themeTint="BF"/>
          <w:sz w:val="24"/>
          <w:szCs w:val="24"/>
        </w:rPr>
      </w:pPr>
      <w:r w:rsidRPr="00DE5E1E">
        <w:rPr>
          <w:rFonts w:ascii="Times New Roman" w:hAnsi="Times New Roman" w:cs="Times New Roman"/>
          <w:b/>
          <w:bCs/>
          <w:i/>
          <w:iCs/>
          <w:color w:val="215E99" w:themeColor="text2" w:themeTint="BF"/>
          <w:sz w:val="24"/>
          <w:szCs w:val="24"/>
        </w:rPr>
        <w:lastRenderedPageBreak/>
        <w:t>2.2 Cost Structure: Fixed and Variable Costs</w:t>
      </w:r>
    </w:p>
    <w:p w14:paraId="25B19ABC" w14:textId="597715A2" w:rsidR="004426D8" w:rsidRDefault="004426D8" w:rsidP="004426D8">
      <w:pPr>
        <w:spacing w:line="360" w:lineRule="auto"/>
        <w:rPr>
          <w:rFonts w:ascii="Times New Roman" w:hAnsi="Times New Roman" w:cs="Times New Roman"/>
          <w:sz w:val="24"/>
          <w:szCs w:val="24"/>
        </w:rPr>
      </w:pPr>
      <w:r w:rsidRPr="004426D8">
        <w:rPr>
          <w:rFonts w:ascii="Times New Roman" w:hAnsi="Times New Roman" w:cs="Times New Roman"/>
          <w:sz w:val="24"/>
          <w:szCs w:val="24"/>
        </w:rPr>
        <w:t xml:space="preserve">Understanding the behaviour of costs is essential for management accounting. Drury (2021) distinguishes between fixed costs, which remain constant </w:t>
      </w:r>
      <w:r>
        <w:rPr>
          <w:rFonts w:ascii="Times New Roman" w:hAnsi="Times New Roman" w:cs="Times New Roman"/>
          <w:sz w:val="24"/>
          <w:szCs w:val="24"/>
        </w:rPr>
        <w:t xml:space="preserve">regardless of activity level, and variable costs, which vary </w:t>
      </w:r>
      <w:r w:rsidRPr="004426D8">
        <w:rPr>
          <w:rFonts w:ascii="Times New Roman" w:hAnsi="Times New Roman" w:cs="Times New Roman"/>
          <w:sz w:val="24"/>
          <w:szCs w:val="24"/>
        </w:rPr>
        <w:t>with production. Attrill and McLaney (2022) also point out that variable costs</w:t>
      </w:r>
      <w:r>
        <w:rPr>
          <w:rFonts w:ascii="Times New Roman" w:hAnsi="Times New Roman" w:cs="Times New Roman"/>
          <w:sz w:val="24"/>
          <w:szCs w:val="24"/>
        </w:rPr>
        <w:t xml:space="preserve"> </w:t>
      </w:r>
      <w:r w:rsidRPr="004426D8">
        <w:rPr>
          <w:rFonts w:ascii="Times New Roman" w:hAnsi="Times New Roman" w:cs="Times New Roman"/>
          <w:sz w:val="24"/>
          <w:szCs w:val="24"/>
        </w:rPr>
        <w:t xml:space="preserve">are particularly common in the service sector, which makes accurate </w:t>
      </w:r>
      <w:r>
        <w:rPr>
          <w:rFonts w:ascii="Times New Roman" w:hAnsi="Times New Roman" w:cs="Times New Roman"/>
          <w:sz w:val="24"/>
          <w:szCs w:val="24"/>
        </w:rPr>
        <w:t>cost classification</w:t>
      </w:r>
      <w:r w:rsidRPr="004426D8">
        <w:rPr>
          <w:rFonts w:ascii="Times New Roman" w:hAnsi="Times New Roman" w:cs="Times New Roman"/>
          <w:sz w:val="24"/>
          <w:szCs w:val="24"/>
        </w:rPr>
        <w:t xml:space="preserve"> a matter of considerable managerial judgement and technical analysis. British Airways exhibits a similar hybrid cost structure, </w:t>
      </w:r>
      <w:r w:rsidR="00DE5E1E">
        <w:rPr>
          <w:rFonts w:ascii="Times New Roman" w:hAnsi="Times New Roman" w:cs="Times New Roman"/>
          <w:sz w:val="24"/>
          <w:szCs w:val="24"/>
        </w:rPr>
        <w:t>typical of capital-intensive service sectors (Horngren, Datar,</w:t>
      </w:r>
      <w:r w:rsidRPr="004426D8">
        <w:rPr>
          <w:rFonts w:ascii="Times New Roman" w:hAnsi="Times New Roman" w:cs="Times New Roman"/>
          <w:sz w:val="24"/>
          <w:szCs w:val="24"/>
        </w:rPr>
        <w:t xml:space="preserve"> and Rajan, 2015).</w:t>
      </w:r>
    </w:p>
    <w:p w14:paraId="32D8EEB8" w14:textId="20B3CCAE" w:rsidR="00E37B76" w:rsidRDefault="00E37B76" w:rsidP="004426D8">
      <w:pPr>
        <w:spacing w:line="360" w:lineRule="auto"/>
        <w:rPr>
          <w:rFonts w:ascii="Times New Roman" w:hAnsi="Times New Roman" w:cs="Times New Roman"/>
          <w:sz w:val="24"/>
          <w:szCs w:val="24"/>
        </w:rPr>
      </w:pPr>
      <w:r w:rsidRPr="00E37B76">
        <w:rPr>
          <w:rFonts w:ascii="Times New Roman" w:hAnsi="Times New Roman" w:cs="Times New Roman"/>
          <w:sz w:val="24"/>
          <w:szCs w:val="24"/>
        </w:rPr>
        <w:t xml:space="preserve">Fixed costs at BA include aircraft lease payments, </w:t>
      </w:r>
      <w:r w:rsidR="00DE5E1E">
        <w:rPr>
          <w:rFonts w:ascii="Times New Roman" w:hAnsi="Times New Roman" w:cs="Times New Roman"/>
          <w:sz w:val="24"/>
          <w:szCs w:val="24"/>
        </w:rPr>
        <w:t>fleet depreciation</w:t>
      </w:r>
      <w:r>
        <w:rPr>
          <w:rFonts w:ascii="Times New Roman" w:hAnsi="Times New Roman" w:cs="Times New Roman"/>
          <w:sz w:val="24"/>
          <w:szCs w:val="24"/>
        </w:rPr>
        <w:t>, Heathrow slot fees,</w:t>
      </w:r>
      <w:r w:rsidRPr="00E37B76">
        <w:rPr>
          <w:rFonts w:ascii="Times New Roman" w:hAnsi="Times New Roman" w:cs="Times New Roman"/>
          <w:sz w:val="24"/>
          <w:szCs w:val="24"/>
        </w:rPr>
        <w:t xml:space="preserve"> and terminal depreciation. In 2024, </w:t>
      </w:r>
      <w:r>
        <w:rPr>
          <w:rFonts w:ascii="Times New Roman" w:hAnsi="Times New Roman" w:cs="Times New Roman"/>
          <w:sz w:val="24"/>
          <w:szCs w:val="24"/>
        </w:rPr>
        <w:t xml:space="preserve">IAG's depreciation and amortisation costs </w:t>
      </w:r>
      <w:r w:rsidRPr="00E37B76">
        <w:rPr>
          <w:rFonts w:ascii="Times New Roman" w:hAnsi="Times New Roman" w:cs="Times New Roman"/>
          <w:sz w:val="24"/>
          <w:szCs w:val="24"/>
        </w:rPr>
        <w:t xml:space="preserve">were around EUR 2.36 billion, reflecting the Group's substantial capital base (IAG, 2025). These costs are incurred independently of </w:t>
      </w:r>
      <w:r>
        <w:rPr>
          <w:rFonts w:ascii="Times New Roman" w:hAnsi="Times New Roman" w:cs="Times New Roman"/>
          <w:sz w:val="24"/>
          <w:szCs w:val="24"/>
        </w:rPr>
        <w:t>seat capacity or flight frequency, creating</w:t>
      </w:r>
      <w:r w:rsidRPr="00E37B76">
        <w:rPr>
          <w:rFonts w:ascii="Times New Roman" w:hAnsi="Times New Roman" w:cs="Times New Roman"/>
          <w:sz w:val="24"/>
          <w:szCs w:val="24"/>
        </w:rPr>
        <w:t xml:space="preserve"> significant operating leverage. </w:t>
      </w:r>
    </w:p>
    <w:p w14:paraId="2224D122" w14:textId="5034139F" w:rsidR="00E37B76" w:rsidRDefault="00E37B76" w:rsidP="004426D8">
      <w:pPr>
        <w:spacing w:line="360" w:lineRule="auto"/>
        <w:rPr>
          <w:rFonts w:ascii="Times New Roman" w:hAnsi="Times New Roman" w:cs="Times New Roman"/>
          <w:sz w:val="24"/>
          <w:szCs w:val="24"/>
        </w:rPr>
      </w:pPr>
      <w:r w:rsidRPr="00E37B76">
        <w:rPr>
          <w:rFonts w:ascii="Times New Roman" w:hAnsi="Times New Roman" w:cs="Times New Roman"/>
          <w:sz w:val="24"/>
          <w:szCs w:val="24"/>
        </w:rPr>
        <w:t xml:space="preserve">Variable costs, on the other hand, include jet fuel, catering, </w:t>
      </w:r>
      <w:r>
        <w:rPr>
          <w:rFonts w:ascii="Times New Roman" w:hAnsi="Times New Roman" w:cs="Times New Roman"/>
          <w:sz w:val="24"/>
          <w:szCs w:val="24"/>
        </w:rPr>
        <w:t>passenger handling charges,</w:t>
      </w:r>
      <w:r w:rsidRPr="00E37B76">
        <w:rPr>
          <w:rFonts w:ascii="Times New Roman" w:hAnsi="Times New Roman" w:cs="Times New Roman"/>
          <w:sz w:val="24"/>
          <w:szCs w:val="24"/>
        </w:rPr>
        <w:t xml:space="preserve"> and crew overtime. Fuel is the single largest variable cost, amounting to around GBP 2.95 billion in FY2024 for BA, down from GBP 3.10 billion in FY2023, driven by lower </w:t>
      </w:r>
      <w:r>
        <w:rPr>
          <w:rFonts w:ascii="Times New Roman" w:hAnsi="Times New Roman" w:cs="Times New Roman"/>
          <w:sz w:val="24"/>
          <w:szCs w:val="24"/>
        </w:rPr>
        <w:t xml:space="preserve">global oil prices and the airline's fuel strategy </w:t>
      </w:r>
      <w:r w:rsidRPr="00E37B76">
        <w:rPr>
          <w:rFonts w:ascii="Times New Roman" w:hAnsi="Times New Roman" w:cs="Times New Roman"/>
          <w:sz w:val="24"/>
          <w:szCs w:val="24"/>
        </w:rPr>
        <w:t>(MEYK, 2025).</w:t>
      </w:r>
    </w:p>
    <w:p w14:paraId="41A10BFB" w14:textId="6A4999D4" w:rsidR="00E37B76" w:rsidRDefault="00E37B76" w:rsidP="004426D8">
      <w:pPr>
        <w:spacing w:line="360" w:lineRule="auto"/>
        <w:rPr>
          <w:rFonts w:ascii="Times New Roman" w:hAnsi="Times New Roman" w:cs="Times New Roman"/>
          <w:sz w:val="24"/>
          <w:szCs w:val="24"/>
        </w:rPr>
      </w:pPr>
      <w:r w:rsidRPr="00E37B76">
        <w:rPr>
          <w:rFonts w:ascii="Times New Roman" w:hAnsi="Times New Roman" w:cs="Times New Roman"/>
          <w:sz w:val="24"/>
          <w:szCs w:val="24"/>
        </w:rPr>
        <w:t xml:space="preserve"> Labour costs, </w:t>
      </w:r>
      <w:r>
        <w:rPr>
          <w:rFonts w:ascii="Times New Roman" w:hAnsi="Times New Roman" w:cs="Times New Roman"/>
          <w:sz w:val="24"/>
          <w:szCs w:val="24"/>
        </w:rPr>
        <w:t xml:space="preserve">which </w:t>
      </w:r>
      <w:r w:rsidRPr="00E37B76">
        <w:rPr>
          <w:rFonts w:ascii="Times New Roman" w:hAnsi="Times New Roman" w:cs="Times New Roman"/>
          <w:sz w:val="24"/>
          <w:szCs w:val="24"/>
        </w:rPr>
        <w:t xml:space="preserve">include </w:t>
      </w:r>
      <w:r>
        <w:rPr>
          <w:rFonts w:ascii="Times New Roman" w:hAnsi="Times New Roman" w:cs="Times New Roman"/>
          <w:sz w:val="24"/>
          <w:szCs w:val="24"/>
        </w:rPr>
        <w:t xml:space="preserve">both fixed and variable elements, represent about 22 per cent of </w:t>
      </w:r>
      <w:r w:rsidRPr="00E37B76">
        <w:rPr>
          <w:rFonts w:ascii="Times New Roman" w:hAnsi="Times New Roman" w:cs="Times New Roman"/>
          <w:sz w:val="24"/>
          <w:szCs w:val="24"/>
        </w:rPr>
        <w:t>total operating costs (Atkinson et al., 2012; IAG, 2025). The mixed nature of labour costs requires careful analysis using techniques such as the low-cost method or regression analysis to separate the fixed and the variable components (Garrison, Noreen and Brewer, 2021).</w:t>
      </w:r>
    </w:p>
    <w:p w14:paraId="77A8BA39" w14:textId="77777777" w:rsidR="00456047" w:rsidRDefault="00E37B76" w:rsidP="00E37B76">
      <w:pPr>
        <w:spacing w:line="360" w:lineRule="auto"/>
        <w:rPr>
          <w:rFonts w:ascii="Times New Roman" w:hAnsi="Times New Roman" w:cs="Times New Roman"/>
          <w:sz w:val="24"/>
          <w:szCs w:val="24"/>
        </w:rPr>
      </w:pPr>
      <w:r>
        <w:rPr>
          <w:rFonts w:ascii="Times New Roman" w:hAnsi="Times New Roman" w:cs="Times New Roman"/>
          <w:sz w:val="24"/>
          <w:szCs w:val="24"/>
        </w:rPr>
        <w:t>Activity-Based</w:t>
      </w:r>
      <w:r w:rsidRPr="00E37B76">
        <w:rPr>
          <w:rFonts w:ascii="Times New Roman" w:hAnsi="Times New Roman" w:cs="Times New Roman"/>
          <w:sz w:val="24"/>
          <w:szCs w:val="24"/>
        </w:rPr>
        <w:t xml:space="preserve"> </w:t>
      </w:r>
      <w:r>
        <w:rPr>
          <w:rFonts w:ascii="Times New Roman" w:hAnsi="Times New Roman" w:cs="Times New Roman"/>
          <w:sz w:val="24"/>
          <w:szCs w:val="24"/>
        </w:rPr>
        <w:t>Costing (ABC) is relevant to BA</w:t>
      </w:r>
      <w:r w:rsidRPr="00E37B76">
        <w:rPr>
          <w:rFonts w:ascii="Times New Roman" w:hAnsi="Times New Roman" w:cs="Times New Roman"/>
          <w:sz w:val="24"/>
          <w:szCs w:val="24"/>
        </w:rPr>
        <w:t xml:space="preserve"> given the variety of its products and services. Kaplan and Anderson (2007) argue that time-based ABC allows organisations to allocate costs more precisely to activities than traditional volume-based methods, revealing the true costs of serving different customer segments. By applying ABC, BA can determine that long-haul premium passengers generate significantly higher contribution margins than short-haul economy passengers and inform pricing and network decisions accordingly</w:t>
      </w:r>
      <w:r w:rsidR="00456047">
        <w:rPr>
          <w:rFonts w:ascii="Times New Roman" w:hAnsi="Times New Roman" w:cs="Times New Roman"/>
          <w:sz w:val="24"/>
          <w:szCs w:val="24"/>
        </w:rPr>
        <w:t>.</w:t>
      </w:r>
    </w:p>
    <w:p w14:paraId="33AFDCE5" w14:textId="77777777" w:rsidR="00A22CF0" w:rsidRDefault="00A22CF0" w:rsidP="00E37B76">
      <w:pPr>
        <w:spacing w:line="360" w:lineRule="auto"/>
        <w:rPr>
          <w:rFonts w:ascii="Times New Roman" w:hAnsi="Times New Roman" w:cs="Times New Roman"/>
          <w:sz w:val="24"/>
          <w:szCs w:val="24"/>
        </w:rPr>
      </w:pPr>
    </w:p>
    <w:p w14:paraId="3057A186" w14:textId="77777777" w:rsidR="00A22CF0" w:rsidRDefault="00A22CF0" w:rsidP="00E37B76">
      <w:pPr>
        <w:spacing w:line="360" w:lineRule="auto"/>
        <w:rPr>
          <w:rFonts w:ascii="Times New Roman" w:hAnsi="Times New Roman" w:cs="Times New Roman"/>
          <w:sz w:val="24"/>
          <w:szCs w:val="24"/>
        </w:rPr>
      </w:pPr>
    </w:p>
    <w:p w14:paraId="430DEDD6" w14:textId="1F5E1718" w:rsidR="00E37B76" w:rsidRPr="00456047" w:rsidRDefault="00E37B76" w:rsidP="00E37B76">
      <w:pPr>
        <w:spacing w:line="360" w:lineRule="auto"/>
        <w:rPr>
          <w:rFonts w:ascii="Times New Roman" w:hAnsi="Times New Roman" w:cs="Times New Roman"/>
          <w:sz w:val="24"/>
          <w:szCs w:val="24"/>
        </w:rPr>
      </w:pPr>
      <w:r w:rsidRPr="00DE5E1E">
        <w:rPr>
          <w:rFonts w:ascii="Times New Roman" w:hAnsi="Times New Roman" w:cs="Times New Roman"/>
          <w:b/>
          <w:bCs/>
          <w:color w:val="215E99" w:themeColor="text2" w:themeTint="BF"/>
          <w:sz w:val="28"/>
          <w:szCs w:val="28"/>
        </w:rPr>
        <w:t>3. Budgeting and Financial Planning</w:t>
      </w:r>
    </w:p>
    <w:p w14:paraId="11EC6182" w14:textId="0869FDD7" w:rsidR="00E37B76" w:rsidRPr="00DE5E1E" w:rsidRDefault="00E37B76" w:rsidP="00E37B76">
      <w:pPr>
        <w:spacing w:line="360" w:lineRule="auto"/>
        <w:rPr>
          <w:rFonts w:ascii="Times New Roman" w:hAnsi="Times New Roman" w:cs="Times New Roman"/>
          <w:b/>
          <w:bCs/>
          <w:i/>
          <w:iCs/>
          <w:color w:val="215E99" w:themeColor="text2" w:themeTint="BF"/>
          <w:sz w:val="24"/>
          <w:szCs w:val="24"/>
        </w:rPr>
      </w:pPr>
      <w:r w:rsidRPr="00DE5E1E">
        <w:rPr>
          <w:rFonts w:ascii="Times New Roman" w:hAnsi="Times New Roman" w:cs="Times New Roman"/>
          <w:b/>
          <w:bCs/>
          <w:i/>
          <w:iCs/>
          <w:color w:val="215E99" w:themeColor="text2" w:themeTint="BF"/>
          <w:sz w:val="24"/>
          <w:szCs w:val="24"/>
        </w:rPr>
        <w:lastRenderedPageBreak/>
        <w:t>3.1 The Role of Budgeting at British Airways</w:t>
      </w:r>
    </w:p>
    <w:p w14:paraId="45DDECB4" w14:textId="598E4406" w:rsidR="00E37B76" w:rsidRDefault="00E37B76" w:rsidP="00E37B76">
      <w:pPr>
        <w:spacing w:line="360" w:lineRule="auto"/>
        <w:rPr>
          <w:rFonts w:ascii="Times New Roman" w:hAnsi="Times New Roman" w:cs="Times New Roman"/>
          <w:sz w:val="24"/>
          <w:szCs w:val="24"/>
        </w:rPr>
      </w:pPr>
      <w:r w:rsidRPr="00E37B76">
        <w:rPr>
          <w:rFonts w:ascii="Times New Roman" w:hAnsi="Times New Roman" w:cs="Times New Roman"/>
          <w:sz w:val="24"/>
          <w:szCs w:val="24"/>
        </w:rPr>
        <w:t xml:space="preserve">Budgeting is at the heart of British Airways' financial planning. Like Bhimani and others. (2019, p. 387) notes that budgets serve several functions: they inform management plans, coordinate activities between departments, motivate staff and provide a basis for evaluating performance. In BA, the annual budget procedure aligns </w:t>
      </w:r>
      <w:r>
        <w:rPr>
          <w:rFonts w:ascii="Times New Roman" w:hAnsi="Times New Roman" w:cs="Times New Roman"/>
          <w:sz w:val="24"/>
          <w:szCs w:val="24"/>
        </w:rPr>
        <w:t>operational plans with the financial objectives set at the IAG group level</w:t>
      </w:r>
      <w:r w:rsidRPr="00E37B76">
        <w:rPr>
          <w:rFonts w:ascii="Times New Roman" w:hAnsi="Times New Roman" w:cs="Times New Roman"/>
          <w:sz w:val="24"/>
          <w:szCs w:val="24"/>
        </w:rPr>
        <w:t>. The budget cycle typically involves bottom-up inputs from business, operations and finance teams, which are then consolidated and aligned with top-down objectives, which are then aligned with bottom-up inputs</w:t>
      </w:r>
      <w:r>
        <w:rPr>
          <w:rFonts w:ascii="Times New Roman" w:hAnsi="Times New Roman" w:cs="Times New Roman"/>
          <w:sz w:val="24"/>
          <w:szCs w:val="24"/>
        </w:rPr>
        <w:t>.</w:t>
      </w:r>
    </w:p>
    <w:p w14:paraId="0DEC9B92" w14:textId="5ED7DA4D" w:rsidR="00E37B76" w:rsidRDefault="00E37B76" w:rsidP="00E37B76">
      <w:pPr>
        <w:spacing w:line="360" w:lineRule="auto"/>
        <w:rPr>
          <w:rFonts w:ascii="Times New Roman" w:hAnsi="Times New Roman" w:cs="Times New Roman"/>
          <w:sz w:val="24"/>
          <w:szCs w:val="24"/>
        </w:rPr>
      </w:pPr>
      <w:r w:rsidRPr="00E37B76">
        <w:rPr>
          <w:rFonts w:ascii="Times New Roman" w:hAnsi="Times New Roman" w:cs="Times New Roman"/>
          <w:sz w:val="24"/>
          <w:szCs w:val="24"/>
        </w:rPr>
        <w:t>In addition to traditional incremental budgeting, BA uses rolling forecasts</w:t>
      </w:r>
      <w:r>
        <w:rPr>
          <w:rFonts w:ascii="Times New Roman" w:hAnsi="Times New Roman" w:cs="Times New Roman"/>
          <w:sz w:val="24"/>
          <w:szCs w:val="24"/>
        </w:rPr>
        <w:t xml:space="preserve"> updated quarterly, which allow </w:t>
      </w:r>
      <w:r w:rsidRPr="00E37B76">
        <w:rPr>
          <w:rFonts w:ascii="Times New Roman" w:hAnsi="Times New Roman" w:cs="Times New Roman"/>
          <w:sz w:val="24"/>
          <w:szCs w:val="24"/>
        </w:rPr>
        <w:t xml:space="preserve">management to react dynamically to changing market circumstances. This approach is </w:t>
      </w:r>
      <w:r>
        <w:rPr>
          <w:rFonts w:ascii="Times New Roman" w:hAnsi="Times New Roman" w:cs="Times New Roman"/>
          <w:sz w:val="24"/>
          <w:szCs w:val="24"/>
        </w:rPr>
        <w:t>a</w:t>
      </w:r>
      <w:r w:rsidRPr="00E37B76">
        <w:rPr>
          <w:rFonts w:ascii="Times New Roman" w:hAnsi="Times New Roman" w:cs="Times New Roman"/>
          <w:sz w:val="24"/>
          <w:szCs w:val="24"/>
        </w:rPr>
        <w:t xml:space="preserve"> </w:t>
      </w:r>
      <w:r w:rsidR="00D412BE" w:rsidRPr="00E37B76">
        <w:rPr>
          <w:rFonts w:ascii="Times New Roman" w:hAnsi="Times New Roman" w:cs="Times New Roman"/>
          <w:sz w:val="24"/>
          <w:szCs w:val="24"/>
        </w:rPr>
        <w:t>non-budgetary approach</w:t>
      </w:r>
      <w:r w:rsidRPr="00E37B76">
        <w:rPr>
          <w:rFonts w:ascii="Times New Roman" w:hAnsi="Times New Roman" w:cs="Times New Roman"/>
          <w:sz w:val="24"/>
          <w:szCs w:val="24"/>
        </w:rPr>
        <w:t xml:space="preserve"> advocated by Hope and Fraser (2003, cited in Seal, Rohde and Garrison, 2019), which </w:t>
      </w:r>
      <w:r w:rsidR="00D412BE">
        <w:rPr>
          <w:rFonts w:ascii="Times New Roman" w:hAnsi="Times New Roman" w:cs="Times New Roman"/>
          <w:sz w:val="24"/>
          <w:szCs w:val="24"/>
        </w:rPr>
        <w:t>emphasises</w:t>
      </w:r>
      <w:r w:rsidRPr="00E37B76">
        <w:rPr>
          <w:rFonts w:ascii="Times New Roman" w:hAnsi="Times New Roman" w:cs="Times New Roman"/>
          <w:sz w:val="24"/>
          <w:szCs w:val="24"/>
        </w:rPr>
        <w:t xml:space="preserve"> flexibility and adaptive planning in place of fixed annual targets. The capital budgeting decisions, including the assessment of </w:t>
      </w:r>
      <w:r w:rsidR="00D412BE">
        <w:rPr>
          <w:rFonts w:ascii="Times New Roman" w:hAnsi="Times New Roman" w:cs="Times New Roman"/>
          <w:sz w:val="24"/>
          <w:szCs w:val="24"/>
        </w:rPr>
        <w:t xml:space="preserve">fleet investments for the new Airbus A350-1000 and A320neo aircraft, shall be evaluated using the net present value (NPV) and internal rate of return (IRR) techniques, in accordance with </w:t>
      </w:r>
      <w:r w:rsidRPr="00E37B76">
        <w:rPr>
          <w:rFonts w:ascii="Times New Roman" w:hAnsi="Times New Roman" w:cs="Times New Roman"/>
          <w:sz w:val="24"/>
          <w:szCs w:val="24"/>
        </w:rPr>
        <w:t xml:space="preserve">best practices </w:t>
      </w:r>
      <w:r w:rsidR="00D412BE">
        <w:rPr>
          <w:rFonts w:ascii="Times New Roman" w:hAnsi="Times New Roman" w:cs="Times New Roman"/>
          <w:sz w:val="24"/>
          <w:szCs w:val="24"/>
        </w:rPr>
        <w:t>(</w:t>
      </w:r>
      <w:r w:rsidRPr="00E37B76">
        <w:rPr>
          <w:rFonts w:ascii="Times New Roman" w:hAnsi="Times New Roman" w:cs="Times New Roman"/>
          <w:sz w:val="24"/>
          <w:szCs w:val="24"/>
        </w:rPr>
        <w:t xml:space="preserve">Drury, 2021). Atrillo and McLaney (2021) stress that NPV is a theoretically </w:t>
      </w:r>
      <w:r w:rsidR="00D412BE">
        <w:rPr>
          <w:rFonts w:ascii="Times New Roman" w:hAnsi="Times New Roman" w:cs="Times New Roman"/>
          <w:sz w:val="24"/>
          <w:szCs w:val="24"/>
        </w:rPr>
        <w:t>superior approach to long-term capital investment decisions, as</w:t>
      </w:r>
      <w:r w:rsidRPr="00E37B76">
        <w:rPr>
          <w:rFonts w:ascii="Times New Roman" w:hAnsi="Times New Roman" w:cs="Times New Roman"/>
          <w:sz w:val="24"/>
          <w:szCs w:val="24"/>
        </w:rPr>
        <w:t xml:space="preserve"> it captures the time value of money and aligns investment decisions to maximise shareholder wealth, which is especially important for BA in the context of its multi-</w:t>
      </w:r>
      <w:r w:rsidR="00D412BE" w:rsidRPr="00E37B76">
        <w:rPr>
          <w:rFonts w:ascii="Times New Roman" w:hAnsi="Times New Roman" w:cs="Times New Roman"/>
          <w:sz w:val="24"/>
          <w:szCs w:val="24"/>
        </w:rPr>
        <w:t>billion-pound</w:t>
      </w:r>
      <w:r w:rsidRPr="00E37B76">
        <w:rPr>
          <w:rFonts w:ascii="Times New Roman" w:hAnsi="Times New Roman" w:cs="Times New Roman"/>
          <w:sz w:val="24"/>
          <w:szCs w:val="24"/>
        </w:rPr>
        <w:t xml:space="preserve"> fleet renewal programme.</w:t>
      </w:r>
    </w:p>
    <w:p w14:paraId="38F615D4" w14:textId="77777777" w:rsidR="00D412BE" w:rsidRPr="00DE5E1E" w:rsidRDefault="00D412BE" w:rsidP="00D412BE">
      <w:pPr>
        <w:pStyle w:val="Heading2"/>
        <w:spacing w:before="300" w:after="160"/>
        <w:rPr>
          <w:color w:val="215E99" w:themeColor="text2" w:themeTint="BF"/>
          <w:sz w:val="28"/>
          <w:szCs w:val="28"/>
        </w:rPr>
      </w:pPr>
      <w:bookmarkStart w:id="3" w:name="_Toc234746412"/>
      <w:r w:rsidRPr="00DE5E1E">
        <w:rPr>
          <w:rFonts w:ascii="Times New Roman" w:eastAsia="Times New Roman" w:hAnsi="Times New Roman" w:cs="Times New Roman"/>
          <w:b/>
          <w:bCs/>
          <w:i/>
          <w:iCs/>
          <w:color w:val="215E99" w:themeColor="text2" w:themeTint="BF"/>
          <w:sz w:val="24"/>
          <w:szCs w:val="24"/>
        </w:rPr>
        <w:t>3.2 Year-on-Year Change in Operating Expenses</w:t>
      </w:r>
      <w:bookmarkEnd w:id="3"/>
    </w:p>
    <w:p w14:paraId="0B6348D1" w14:textId="1AB29F09" w:rsidR="00D412BE" w:rsidRDefault="00D412BE" w:rsidP="00E37B76">
      <w:pPr>
        <w:spacing w:line="360" w:lineRule="auto"/>
        <w:rPr>
          <w:rFonts w:ascii="Times New Roman" w:hAnsi="Times New Roman" w:cs="Times New Roman"/>
          <w:sz w:val="24"/>
          <w:szCs w:val="24"/>
        </w:rPr>
      </w:pPr>
      <w:r w:rsidRPr="00D412BE">
        <w:rPr>
          <w:rFonts w:ascii="Times New Roman" w:hAnsi="Times New Roman" w:cs="Times New Roman"/>
          <w:sz w:val="24"/>
          <w:szCs w:val="24"/>
        </w:rPr>
        <w:t>Table 1 below presents an analysis of British Airways' key operating expense categories for FY2023 and FY2024, drawing on IAG interim and full-year reports (IAG, 2024; IAG, 2025).</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47"/>
        <w:gridCol w:w="1477"/>
        <w:gridCol w:w="1477"/>
        <w:gridCol w:w="1061"/>
        <w:gridCol w:w="3273"/>
      </w:tblGrid>
      <w:tr w:rsidR="00D412BE" w:rsidRPr="00D412BE" w14:paraId="596BE14B" w14:textId="77777777" w:rsidTr="00D412BE">
        <w:trPr>
          <w:trHeight w:val="400"/>
          <w:tblHeader/>
        </w:trPr>
        <w:tc>
          <w:tcPr>
            <w:tcW w:w="0" w:type="auto"/>
            <w:shd w:val="clear" w:color="auto" w:fill="003580"/>
          </w:tcPr>
          <w:p w14:paraId="63075E3D" w14:textId="77777777" w:rsidR="00D412BE" w:rsidRPr="00D412BE" w:rsidRDefault="00D412BE" w:rsidP="00D412BE">
            <w:pPr>
              <w:spacing w:after="0" w:line="240" w:lineRule="auto"/>
              <w:jc w:val="center"/>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b/>
                <w:bCs/>
                <w:kern w:val="0"/>
                <w:sz w:val="18"/>
                <w:szCs w:val="18"/>
                <w:lang w:eastAsia="en-GB"/>
                <w14:ligatures w14:val="none"/>
              </w:rPr>
              <w:t>Expense Category</w:t>
            </w:r>
          </w:p>
        </w:tc>
        <w:tc>
          <w:tcPr>
            <w:tcW w:w="0" w:type="auto"/>
            <w:shd w:val="clear" w:color="auto" w:fill="003580"/>
          </w:tcPr>
          <w:p w14:paraId="2CB74844" w14:textId="77777777" w:rsidR="00D412BE" w:rsidRPr="00D412BE" w:rsidRDefault="00D412BE" w:rsidP="00D412BE">
            <w:pPr>
              <w:spacing w:after="0" w:line="240" w:lineRule="auto"/>
              <w:jc w:val="center"/>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b/>
                <w:bCs/>
                <w:kern w:val="0"/>
                <w:sz w:val="18"/>
                <w:szCs w:val="18"/>
                <w:lang w:eastAsia="en-GB"/>
                <w14:ligatures w14:val="none"/>
              </w:rPr>
              <w:t>FY2023 (GBP bn)</w:t>
            </w:r>
          </w:p>
        </w:tc>
        <w:tc>
          <w:tcPr>
            <w:tcW w:w="0" w:type="auto"/>
            <w:shd w:val="clear" w:color="auto" w:fill="003580"/>
          </w:tcPr>
          <w:p w14:paraId="0E5C2715" w14:textId="77777777" w:rsidR="00D412BE" w:rsidRPr="00D412BE" w:rsidRDefault="00D412BE" w:rsidP="00D412BE">
            <w:pPr>
              <w:spacing w:after="0" w:line="240" w:lineRule="auto"/>
              <w:jc w:val="center"/>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b/>
                <w:bCs/>
                <w:kern w:val="0"/>
                <w:sz w:val="18"/>
                <w:szCs w:val="18"/>
                <w:lang w:eastAsia="en-GB"/>
                <w14:ligatures w14:val="none"/>
              </w:rPr>
              <w:t>FY2024 (GBP bn)</w:t>
            </w:r>
          </w:p>
        </w:tc>
        <w:tc>
          <w:tcPr>
            <w:tcW w:w="0" w:type="auto"/>
            <w:shd w:val="clear" w:color="auto" w:fill="003580"/>
          </w:tcPr>
          <w:p w14:paraId="005403F6" w14:textId="77777777" w:rsidR="00D412BE" w:rsidRPr="00D412BE" w:rsidRDefault="00D412BE" w:rsidP="00D412BE">
            <w:pPr>
              <w:spacing w:after="0" w:line="240" w:lineRule="auto"/>
              <w:jc w:val="center"/>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b/>
                <w:bCs/>
                <w:kern w:val="0"/>
                <w:sz w:val="18"/>
                <w:szCs w:val="18"/>
                <w:lang w:eastAsia="en-GB"/>
                <w14:ligatures w14:val="none"/>
              </w:rPr>
              <w:t>YoY Change</w:t>
            </w:r>
          </w:p>
        </w:tc>
        <w:tc>
          <w:tcPr>
            <w:tcW w:w="0" w:type="auto"/>
            <w:shd w:val="clear" w:color="auto" w:fill="003580"/>
          </w:tcPr>
          <w:p w14:paraId="322891BE" w14:textId="77777777" w:rsidR="00D412BE" w:rsidRPr="00D412BE" w:rsidRDefault="00D412BE" w:rsidP="00D412BE">
            <w:pPr>
              <w:spacing w:after="0" w:line="240" w:lineRule="auto"/>
              <w:jc w:val="center"/>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b/>
                <w:bCs/>
                <w:kern w:val="0"/>
                <w:sz w:val="18"/>
                <w:szCs w:val="18"/>
                <w:lang w:eastAsia="en-GB"/>
                <w14:ligatures w14:val="none"/>
              </w:rPr>
              <w:t>Driver</w:t>
            </w:r>
          </w:p>
        </w:tc>
      </w:tr>
      <w:tr w:rsidR="00D412BE" w:rsidRPr="00D412BE" w14:paraId="54B383D8" w14:textId="77777777" w:rsidTr="00D412BE">
        <w:trPr>
          <w:trHeight w:val="382"/>
        </w:trPr>
        <w:tc>
          <w:tcPr>
            <w:tcW w:w="0" w:type="auto"/>
            <w:shd w:val="clear" w:color="auto" w:fill="EBF0F8"/>
          </w:tcPr>
          <w:p w14:paraId="1AAED61C"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Fuel &amp; Oil Costs</w:t>
            </w:r>
          </w:p>
        </w:tc>
        <w:tc>
          <w:tcPr>
            <w:tcW w:w="0" w:type="auto"/>
            <w:shd w:val="clear" w:color="auto" w:fill="EBF0F8"/>
          </w:tcPr>
          <w:p w14:paraId="4058BE2C"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3.10</w:t>
            </w:r>
          </w:p>
        </w:tc>
        <w:tc>
          <w:tcPr>
            <w:tcW w:w="0" w:type="auto"/>
            <w:shd w:val="clear" w:color="auto" w:fill="EBF0F8"/>
          </w:tcPr>
          <w:p w14:paraId="27847B32"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2.95</w:t>
            </w:r>
          </w:p>
        </w:tc>
        <w:tc>
          <w:tcPr>
            <w:tcW w:w="0" w:type="auto"/>
            <w:shd w:val="clear" w:color="auto" w:fill="EBF0F8"/>
          </w:tcPr>
          <w:p w14:paraId="20770582"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-4.8%</w:t>
            </w:r>
          </w:p>
        </w:tc>
        <w:tc>
          <w:tcPr>
            <w:tcW w:w="0" w:type="auto"/>
            <w:shd w:val="clear" w:color="auto" w:fill="EBF0F8"/>
          </w:tcPr>
          <w:p w14:paraId="111B05A0"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Lower jet fuel prices; 70% hedging policy</w:t>
            </w:r>
          </w:p>
        </w:tc>
      </w:tr>
      <w:tr w:rsidR="00D412BE" w:rsidRPr="00D412BE" w14:paraId="4A72E3E1" w14:textId="77777777" w:rsidTr="00D412BE">
        <w:trPr>
          <w:trHeight w:val="400"/>
        </w:trPr>
        <w:tc>
          <w:tcPr>
            <w:tcW w:w="0" w:type="auto"/>
            <w:shd w:val="clear" w:color="auto" w:fill="FFFFFF"/>
          </w:tcPr>
          <w:p w14:paraId="05D5E291"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Labour / Employee Costs</w:t>
            </w:r>
          </w:p>
        </w:tc>
        <w:tc>
          <w:tcPr>
            <w:tcW w:w="0" w:type="auto"/>
            <w:shd w:val="clear" w:color="auto" w:fill="FFFFFF"/>
          </w:tcPr>
          <w:p w14:paraId="79619A22"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2.70</w:t>
            </w:r>
          </w:p>
        </w:tc>
        <w:tc>
          <w:tcPr>
            <w:tcW w:w="0" w:type="auto"/>
            <w:shd w:val="clear" w:color="auto" w:fill="FFFFFF"/>
          </w:tcPr>
          <w:p w14:paraId="3062F2CE"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2.90</w:t>
            </w:r>
          </w:p>
        </w:tc>
        <w:tc>
          <w:tcPr>
            <w:tcW w:w="0" w:type="auto"/>
            <w:shd w:val="clear" w:color="auto" w:fill="FFFFFF"/>
          </w:tcPr>
          <w:p w14:paraId="5F098467"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+7.4%</w:t>
            </w:r>
          </w:p>
        </w:tc>
        <w:tc>
          <w:tcPr>
            <w:tcW w:w="0" w:type="auto"/>
            <w:shd w:val="clear" w:color="auto" w:fill="FFFFFF"/>
          </w:tcPr>
          <w:p w14:paraId="0B294CC5"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Pay settlements, headcount growth</w:t>
            </w:r>
          </w:p>
        </w:tc>
      </w:tr>
      <w:tr w:rsidR="00D412BE" w:rsidRPr="00D412BE" w14:paraId="62E664E7" w14:textId="77777777" w:rsidTr="00D412BE">
        <w:trPr>
          <w:trHeight w:val="400"/>
        </w:trPr>
        <w:tc>
          <w:tcPr>
            <w:tcW w:w="0" w:type="auto"/>
            <w:shd w:val="clear" w:color="auto" w:fill="EBF0F8"/>
          </w:tcPr>
          <w:p w14:paraId="349CFF10"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Depreciation &amp; Amortisation</w:t>
            </w:r>
          </w:p>
        </w:tc>
        <w:tc>
          <w:tcPr>
            <w:tcW w:w="0" w:type="auto"/>
            <w:shd w:val="clear" w:color="auto" w:fill="EBF0F8"/>
          </w:tcPr>
          <w:p w14:paraId="05F1D7DE"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1.10</w:t>
            </w:r>
          </w:p>
        </w:tc>
        <w:tc>
          <w:tcPr>
            <w:tcW w:w="0" w:type="auto"/>
            <w:shd w:val="clear" w:color="auto" w:fill="EBF0F8"/>
          </w:tcPr>
          <w:p w14:paraId="29F304F7"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1.20</w:t>
            </w:r>
          </w:p>
        </w:tc>
        <w:tc>
          <w:tcPr>
            <w:tcW w:w="0" w:type="auto"/>
            <w:shd w:val="clear" w:color="auto" w:fill="EBF0F8"/>
          </w:tcPr>
          <w:p w14:paraId="6B123CBD"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+9.1%</w:t>
            </w:r>
          </w:p>
        </w:tc>
        <w:tc>
          <w:tcPr>
            <w:tcW w:w="0" w:type="auto"/>
            <w:shd w:val="clear" w:color="auto" w:fill="EBF0F8"/>
          </w:tcPr>
          <w:p w14:paraId="35B103AA"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New fleet additions (A350, A320neo)</w:t>
            </w:r>
          </w:p>
        </w:tc>
      </w:tr>
      <w:tr w:rsidR="00D412BE" w:rsidRPr="00D412BE" w14:paraId="4E43B573" w14:textId="77777777" w:rsidTr="00D412BE">
        <w:trPr>
          <w:trHeight w:val="382"/>
        </w:trPr>
        <w:tc>
          <w:tcPr>
            <w:tcW w:w="0" w:type="auto"/>
            <w:shd w:val="clear" w:color="auto" w:fill="FFFFFF"/>
          </w:tcPr>
          <w:p w14:paraId="3BB9CB15"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Airport &amp; En Route Charges</w:t>
            </w:r>
          </w:p>
        </w:tc>
        <w:tc>
          <w:tcPr>
            <w:tcW w:w="0" w:type="auto"/>
            <w:shd w:val="clear" w:color="auto" w:fill="FFFFFF"/>
          </w:tcPr>
          <w:p w14:paraId="61B0C450"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0.95</w:t>
            </w:r>
          </w:p>
        </w:tc>
        <w:tc>
          <w:tcPr>
            <w:tcW w:w="0" w:type="auto"/>
            <w:shd w:val="clear" w:color="auto" w:fill="FFFFFF"/>
          </w:tcPr>
          <w:p w14:paraId="5568092D"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1.02</w:t>
            </w:r>
          </w:p>
        </w:tc>
        <w:tc>
          <w:tcPr>
            <w:tcW w:w="0" w:type="auto"/>
            <w:shd w:val="clear" w:color="auto" w:fill="FFFFFF"/>
          </w:tcPr>
          <w:p w14:paraId="1334F491"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+7.4%</w:t>
            </w:r>
          </w:p>
        </w:tc>
        <w:tc>
          <w:tcPr>
            <w:tcW w:w="0" w:type="auto"/>
            <w:shd w:val="clear" w:color="auto" w:fill="FFFFFF"/>
          </w:tcPr>
          <w:p w14:paraId="719723C2"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Traffic growth, Heathrow charge increases</w:t>
            </w:r>
          </w:p>
        </w:tc>
      </w:tr>
      <w:tr w:rsidR="00D412BE" w:rsidRPr="00D412BE" w14:paraId="4C38B371" w14:textId="77777777" w:rsidTr="00D412BE">
        <w:trPr>
          <w:trHeight w:val="400"/>
        </w:trPr>
        <w:tc>
          <w:tcPr>
            <w:tcW w:w="0" w:type="auto"/>
            <w:shd w:val="clear" w:color="auto" w:fill="EBF0F8"/>
          </w:tcPr>
          <w:p w14:paraId="1694CCE1"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Selling, Marketing &amp; Other</w:t>
            </w:r>
          </w:p>
        </w:tc>
        <w:tc>
          <w:tcPr>
            <w:tcW w:w="0" w:type="auto"/>
            <w:shd w:val="clear" w:color="auto" w:fill="EBF0F8"/>
          </w:tcPr>
          <w:p w14:paraId="65848DE1"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1.45</w:t>
            </w:r>
          </w:p>
        </w:tc>
        <w:tc>
          <w:tcPr>
            <w:tcW w:w="0" w:type="auto"/>
            <w:shd w:val="clear" w:color="auto" w:fill="EBF0F8"/>
          </w:tcPr>
          <w:p w14:paraId="2943EF25"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1.51</w:t>
            </w:r>
          </w:p>
        </w:tc>
        <w:tc>
          <w:tcPr>
            <w:tcW w:w="0" w:type="auto"/>
            <w:shd w:val="clear" w:color="auto" w:fill="EBF0F8"/>
          </w:tcPr>
          <w:p w14:paraId="2E3A2254"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+4.1%</w:t>
            </w:r>
          </w:p>
        </w:tc>
        <w:tc>
          <w:tcPr>
            <w:tcW w:w="0" w:type="auto"/>
            <w:shd w:val="clear" w:color="auto" w:fill="EBF0F8"/>
          </w:tcPr>
          <w:p w14:paraId="0743B9B9"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Increased distribution costs</w:t>
            </w:r>
          </w:p>
        </w:tc>
      </w:tr>
      <w:tr w:rsidR="00D412BE" w:rsidRPr="00D412BE" w14:paraId="06D9E6F2" w14:textId="77777777" w:rsidTr="00D412BE">
        <w:trPr>
          <w:trHeight w:val="400"/>
        </w:trPr>
        <w:tc>
          <w:tcPr>
            <w:tcW w:w="0" w:type="auto"/>
            <w:shd w:val="clear" w:color="auto" w:fill="FFFFFF"/>
          </w:tcPr>
          <w:p w14:paraId="3648C999"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Total Operating Costs</w:t>
            </w:r>
          </w:p>
        </w:tc>
        <w:tc>
          <w:tcPr>
            <w:tcW w:w="0" w:type="auto"/>
            <w:shd w:val="clear" w:color="auto" w:fill="FFFFFF"/>
          </w:tcPr>
          <w:p w14:paraId="216ABA5E"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9.30</w:t>
            </w:r>
          </w:p>
        </w:tc>
        <w:tc>
          <w:tcPr>
            <w:tcW w:w="0" w:type="auto"/>
            <w:shd w:val="clear" w:color="auto" w:fill="FFFFFF"/>
          </w:tcPr>
          <w:p w14:paraId="167C5C14"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9.58</w:t>
            </w:r>
          </w:p>
        </w:tc>
        <w:tc>
          <w:tcPr>
            <w:tcW w:w="0" w:type="auto"/>
            <w:shd w:val="clear" w:color="auto" w:fill="FFFFFF"/>
          </w:tcPr>
          <w:p w14:paraId="3BE51A05"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+3.0%</w:t>
            </w:r>
          </w:p>
        </w:tc>
        <w:tc>
          <w:tcPr>
            <w:tcW w:w="0" w:type="auto"/>
            <w:shd w:val="clear" w:color="auto" w:fill="FFFFFF"/>
          </w:tcPr>
          <w:p w14:paraId="5F2418D7" w14:textId="77777777" w:rsidR="00D412BE" w:rsidRPr="00D412BE" w:rsidRDefault="00D412BE" w:rsidP="00D412BE">
            <w:pPr>
              <w:spacing w:after="0" w:line="240" w:lineRule="auto"/>
              <w:rPr>
                <w:rFonts w:ascii="Times New Roman" w:eastAsia="Times New Roman" w:hAnsi="Times New Roman" w:cs="Times New Roman"/>
                <w:kern w:val="0"/>
                <w:sz w:val="24"/>
                <w:szCs w:val="24"/>
                <w:lang w:eastAsia="en-GB"/>
                <w14:ligatures w14:val="none"/>
              </w:rPr>
            </w:pPr>
            <w:r w:rsidRPr="00D412BE">
              <w:rPr>
                <w:rFonts w:ascii="Times New Roman" w:eastAsia="Times New Roman" w:hAnsi="Times New Roman" w:cs="Times New Roman"/>
                <w:kern w:val="0"/>
                <w:sz w:val="18"/>
                <w:szCs w:val="18"/>
                <w:lang w:eastAsia="en-GB"/>
                <w14:ligatures w14:val="none"/>
              </w:rPr>
              <w:t>Inflation offset by fuel savings</w:t>
            </w:r>
          </w:p>
        </w:tc>
      </w:tr>
    </w:tbl>
    <w:p w14:paraId="0EA062D8" w14:textId="6DD1AA31" w:rsidR="00D412BE" w:rsidRPr="00D412BE" w:rsidRDefault="00D412BE" w:rsidP="00E37B76">
      <w:pPr>
        <w:spacing w:line="360" w:lineRule="auto"/>
        <w:rPr>
          <w:rFonts w:ascii="Times New Roman" w:hAnsi="Times New Roman" w:cs="Times New Roman"/>
          <w:i/>
          <w:iCs/>
          <w:sz w:val="20"/>
          <w:szCs w:val="20"/>
        </w:rPr>
      </w:pPr>
      <w:r>
        <w:rPr>
          <w:rFonts w:ascii="Times New Roman" w:hAnsi="Times New Roman" w:cs="Times New Roman"/>
          <w:i/>
          <w:iCs/>
          <w:sz w:val="20"/>
          <w:szCs w:val="20"/>
        </w:rPr>
        <w:t xml:space="preserve">                                </w:t>
      </w:r>
      <w:r w:rsidRPr="00D412BE">
        <w:rPr>
          <w:rFonts w:ascii="Times New Roman" w:hAnsi="Times New Roman" w:cs="Times New Roman"/>
          <w:i/>
          <w:iCs/>
          <w:sz w:val="20"/>
          <w:szCs w:val="20"/>
        </w:rPr>
        <w:t xml:space="preserve">    Source: Adapted from IAG (2024, 2025); Google Finance (2025)</w:t>
      </w:r>
    </w:p>
    <w:p w14:paraId="52D1D57F" w14:textId="3EECC799" w:rsidR="00D412BE" w:rsidRDefault="00D412BE" w:rsidP="00E37B76">
      <w:pPr>
        <w:spacing w:line="360" w:lineRule="auto"/>
        <w:rPr>
          <w:rFonts w:ascii="Times New Roman" w:hAnsi="Times New Roman" w:cs="Times New Roman"/>
          <w:sz w:val="24"/>
          <w:szCs w:val="24"/>
        </w:rPr>
      </w:pPr>
      <w:r w:rsidRPr="00D412BE">
        <w:rPr>
          <w:rFonts w:ascii="Times New Roman" w:hAnsi="Times New Roman" w:cs="Times New Roman"/>
          <w:sz w:val="24"/>
          <w:szCs w:val="24"/>
        </w:rPr>
        <w:lastRenderedPageBreak/>
        <w:t xml:space="preserve">The figures show that total operating costs increased by around 3.0 percentage points in the financial year 2024, from GBP 9.30 billion to GBP 9.58 billion. The most important internal management decision affecting this model was the fuel hedging strategy of BA, which hedged around 70 </w:t>
      </w:r>
      <w:r>
        <w:rPr>
          <w:rFonts w:ascii="Times New Roman" w:hAnsi="Times New Roman" w:cs="Times New Roman"/>
          <w:sz w:val="24"/>
          <w:szCs w:val="24"/>
        </w:rPr>
        <w:t>per cent</w:t>
      </w:r>
      <w:r w:rsidRPr="00D412BE">
        <w:rPr>
          <w:rFonts w:ascii="Times New Roman" w:hAnsi="Times New Roman" w:cs="Times New Roman"/>
          <w:sz w:val="24"/>
          <w:szCs w:val="24"/>
        </w:rPr>
        <w:t xml:space="preserve"> of its fuel needs in advance, which has partially insulated BA from the volatility of oil prices, resulting in a 4.8 </w:t>
      </w:r>
      <w:r>
        <w:rPr>
          <w:rFonts w:ascii="Times New Roman" w:hAnsi="Times New Roman" w:cs="Times New Roman"/>
          <w:sz w:val="24"/>
          <w:szCs w:val="24"/>
        </w:rPr>
        <w:t>per cent</w:t>
      </w:r>
      <w:r w:rsidRPr="00D412BE">
        <w:rPr>
          <w:rFonts w:ascii="Times New Roman" w:hAnsi="Times New Roman" w:cs="Times New Roman"/>
          <w:sz w:val="24"/>
          <w:szCs w:val="24"/>
        </w:rPr>
        <w:t xml:space="preserve"> reduction in fuel costs despite a 17.3 per</w:t>
      </w:r>
      <w:r>
        <w:rPr>
          <w:rFonts w:ascii="Times New Roman" w:hAnsi="Times New Roman" w:cs="Times New Roman"/>
          <w:sz w:val="24"/>
          <w:szCs w:val="24"/>
        </w:rPr>
        <w:t xml:space="preserve"> </w:t>
      </w:r>
      <w:r w:rsidRPr="00D412BE">
        <w:rPr>
          <w:rFonts w:ascii="Times New Roman" w:hAnsi="Times New Roman" w:cs="Times New Roman"/>
          <w:sz w:val="24"/>
          <w:szCs w:val="24"/>
        </w:rPr>
        <w:t xml:space="preserve">cent increase in available seat kilometres (IAG, 2025). On the other hand, labour costs increased by 7.4 </w:t>
      </w:r>
      <w:r>
        <w:rPr>
          <w:rFonts w:ascii="Times New Roman" w:hAnsi="Times New Roman" w:cs="Times New Roman"/>
          <w:sz w:val="24"/>
          <w:szCs w:val="24"/>
        </w:rPr>
        <w:t>per cent, reflecting</w:t>
      </w:r>
      <w:r w:rsidRPr="00D412BE">
        <w:rPr>
          <w:rFonts w:ascii="Times New Roman" w:hAnsi="Times New Roman" w:cs="Times New Roman"/>
          <w:sz w:val="24"/>
          <w:szCs w:val="24"/>
        </w:rPr>
        <w:t xml:space="preserve"> wage agreements made following industrial actions in previous years and a competitive market for qualified aeronautical personnel. It is an external macroeconomic factor</w:t>
      </w:r>
      <w:r w:rsidR="00DE5E1E">
        <w:rPr>
          <w:rFonts w:ascii="Times New Roman" w:hAnsi="Times New Roman" w:cs="Times New Roman"/>
          <w:sz w:val="24"/>
          <w:szCs w:val="24"/>
        </w:rPr>
        <w:t>, amplified by management's internal decisions to invest in employee retention.</w:t>
      </w:r>
    </w:p>
    <w:p w14:paraId="062E72D6" w14:textId="63A21453" w:rsidR="00DE5E1E" w:rsidRDefault="00DE5E1E" w:rsidP="00E37B76">
      <w:pPr>
        <w:spacing w:line="360" w:lineRule="auto"/>
        <w:rPr>
          <w:rFonts w:ascii="Times New Roman" w:hAnsi="Times New Roman" w:cs="Times New Roman"/>
          <w:sz w:val="24"/>
          <w:szCs w:val="24"/>
        </w:rPr>
      </w:pPr>
      <w:r w:rsidRPr="00DE5E1E">
        <w:rPr>
          <w:rFonts w:ascii="Times New Roman" w:hAnsi="Times New Roman" w:cs="Times New Roman"/>
          <w:sz w:val="24"/>
          <w:szCs w:val="24"/>
        </w:rPr>
        <w:t xml:space="preserve">Depreciation costs increased by 9.1 </w:t>
      </w:r>
      <w:r>
        <w:rPr>
          <w:rFonts w:ascii="Times New Roman" w:hAnsi="Times New Roman" w:cs="Times New Roman"/>
          <w:sz w:val="24"/>
          <w:szCs w:val="24"/>
        </w:rPr>
        <w:t>per cent due to the accelerated delivery of new, more fuel-efficient</w:t>
      </w:r>
      <w:r w:rsidRPr="00DE5E1E">
        <w:rPr>
          <w:rFonts w:ascii="Times New Roman" w:hAnsi="Times New Roman" w:cs="Times New Roman"/>
          <w:sz w:val="24"/>
          <w:szCs w:val="24"/>
        </w:rPr>
        <w:t xml:space="preserve"> aircraft. Although this increases short-term fixed costs, it represents a strategic management decision informed by a long-term cost-benefit analysis: the Airbus A350-1000 is around 25 </w:t>
      </w:r>
      <w:r>
        <w:rPr>
          <w:rFonts w:ascii="Times New Roman" w:hAnsi="Times New Roman" w:cs="Times New Roman"/>
          <w:sz w:val="24"/>
          <w:szCs w:val="24"/>
        </w:rPr>
        <w:t>per cent</w:t>
      </w:r>
      <w:r w:rsidRPr="00DE5E1E">
        <w:rPr>
          <w:rFonts w:ascii="Times New Roman" w:hAnsi="Times New Roman" w:cs="Times New Roman"/>
          <w:sz w:val="24"/>
          <w:szCs w:val="24"/>
        </w:rPr>
        <w:t xml:space="preserve"> more </w:t>
      </w:r>
      <w:r>
        <w:rPr>
          <w:rFonts w:ascii="Times New Roman" w:hAnsi="Times New Roman" w:cs="Times New Roman"/>
          <w:sz w:val="24"/>
          <w:szCs w:val="24"/>
        </w:rPr>
        <w:t>fuel-efficient per seat than the Boeing 747 it will replace</w:t>
      </w:r>
      <w:r w:rsidRPr="00DE5E1E">
        <w:rPr>
          <w:rFonts w:ascii="Times New Roman" w:hAnsi="Times New Roman" w:cs="Times New Roman"/>
          <w:sz w:val="24"/>
          <w:szCs w:val="24"/>
        </w:rPr>
        <w:t xml:space="preserve"> (IAA, 2024). Airport and route charges rose by 7.4 per cent, driven by an external factor, namely that Heathrow Airport Limited increased its regulated charges - a macroeconomic and regulatory factor largely beyond the direct control of the management.</w:t>
      </w:r>
    </w:p>
    <w:p w14:paraId="72E3EAB4" w14:textId="77777777" w:rsidR="00DE5E1E" w:rsidRPr="00DE5E1E" w:rsidRDefault="00DE5E1E" w:rsidP="00DE5E1E">
      <w:pPr>
        <w:spacing w:before="400" w:after="200" w:line="240" w:lineRule="auto"/>
        <w:outlineLvl w:val="0"/>
        <w:rPr>
          <w:rFonts w:ascii="Times New Roman" w:eastAsia="Times New Roman" w:hAnsi="Times New Roman" w:cs="Times New Roman"/>
          <w:color w:val="2E74B5"/>
          <w:kern w:val="0"/>
          <w:sz w:val="32"/>
          <w:szCs w:val="32"/>
          <w:lang w:eastAsia="en-GB"/>
          <w14:ligatures w14:val="none"/>
        </w:rPr>
      </w:pPr>
      <w:bookmarkStart w:id="4" w:name="_Toc234746413"/>
      <w:r w:rsidRPr="00DE5E1E">
        <w:rPr>
          <w:rFonts w:ascii="Times New Roman" w:eastAsia="Times New Roman" w:hAnsi="Times New Roman" w:cs="Times New Roman"/>
          <w:b/>
          <w:bCs/>
          <w:color w:val="2E74B5"/>
          <w:kern w:val="0"/>
          <w:sz w:val="28"/>
          <w:szCs w:val="28"/>
          <w:lang w:eastAsia="en-GB"/>
          <w14:ligatures w14:val="none"/>
        </w:rPr>
        <w:t>4. Performance Measurement and Decision-Making</w:t>
      </w:r>
      <w:bookmarkEnd w:id="4"/>
    </w:p>
    <w:p w14:paraId="2CAFF48D" w14:textId="77777777" w:rsidR="00DE5E1E" w:rsidRPr="00DE5E1E" w:rsidRDefault="00DE5E1E" w:rsidP="00DE5E1E">
      <w:pPr>
        <w:spacing w:before="300" w:line="240" w:lineRule="auto"/>
        <w:outlineLvl w:val="1"/>
        <w:rPr>
          <w:rFonts w:ascii="Times New Roman" w:eastAsia="Times New Roman" w:hAnsi="Times New Roman" w:cs="Times New Roman"/>
          <w:color w:val="2E74B5"/>
          <w:kern w:val="0"/>
          <w:sz w:val="24"/>
          <w:szCs w:val="24"/>
          <w:lang w:eastAsia="en-GB"/>
          <w14:ligatures w14:val="none"/>
        </w:rPr>
      </w:pPr>
      <w:bookmarkStart w:id="5" w:name="_Toc234746414"/>
      <w:r w:rsidRPr="00DE5E1E">
        <w:rPr>
          <w:rFonts w:ascii="Times New Roman" w:eastAsia="Times New Roman" w:hAnsi="Times New Roman" w:cs="Times New Roman"/>
          <w:b/>
          <w:bCs/>
          <w:i/>
          <w:iCs/>
          <w:color w:val="2E74B5"/>
          <w:kern w:val="0"/>
          <w:sz w:val="24"/>
          <w:szCs w:val="24"/>
          <w:lang w:eastAsia="en-GB"/>
          <w14:ligatures w14:val="none"/>
        </w:rPr>
        <w:t>4.1 Key Performance Indicators</w:t>
      </w:r>
      <w:bookmarkEnd w:id="5"/>
    </w:p>
    <w:p w14:paraId="4B246CBB" w14:textId="58033DD2" w:rsidR="00DE5E1E" w:rsidRDefault="00DE5E1E" w:rsidP="00E37B76">
      <w:pPr>
        <w:spacing w:line="360" w:lineRule="auto"/>
        <w:rPr>
          <w:rFonts w:ascii="Times New Roman" w:hAnsi="Times New Roman" w:cs="Times New Roman"/>
          <w:sz w:val="24"/>
          <w:szCs w:val="24"/>
        </w:rPr>
      </w:pPr>
      <w:r w:rsidRPr="00DE5E1E">
        <w:rPr>
          <w:rFonts w:ascii="Times New Roman" w:hAnsi="Times New Roman" w:cs="Times New Roman"/>
          <w:sz w:val="24"/>
          <w:szCs w:val="24"/>
        </w:rPr>
        <w:t xml:space="preserve">Kaplan and Norton (1996) introduced the Balanced Scorecard as a framework for translating strategy into operational metrics across four dimensions: financial, customer, internal processes, and learning and development. British Airways follows a similar approach, with performance </w:t>
      </w:r>
      <w:r>
        <w:rPr>
          <w:rFonts w:ascii="Times New Roman" w:hAnsi="Times New Roman" w:cs="Times New Roman"/>
          <w:sz w:val="24"/>
          <w:szCs w:val="24"/>
        </w:rPr>
        <w:t xml:space="preserve">monitored across both </w:t>
      </w:r>
      <w:r w:rsidRPr="00DE5E1E">
        <w:rPr>
          <w:rFonts w:ascii="Times New Roman" w:hAnsi="Times New Roman" w:cs="Times New Roman"/>
          <w:sz w:val="24"/>
          <w:szCs w:val="24"/>
        </w:rPr>
        <w:t xml:space="preserve">financial and non-financial aspects (Otley, 1999). Table 2 presents the five key KPIs identified in </w:t>
      </w:r>
      <w:r>
        <w:rPr>
          <w:rFonts w:ascii="Times New Roman" w:hAnsi="Times New Roman" w:cs="Times New Roman"/>
          <w:sz w:val="24"/>
          <w:szCs w:val="24"/>
        </w:rPr>
        <w:t>BA's annual reports and IAG's investor communications</w:t>
      </w:r>
      <w:r w:rsidRPr="00DE5E1E">
        <w:rPr>
          <w:rFonts w:ascii="Times New Roman" w:hAnsi="Times New Roman" w:cs="Times New Roman"/>
          <w:sz w:val="24"/>
          <w:szCs w:val="24"/>
        </w:rPr>
        <w:t>.</w:t>
      </w:r>
    </w:p>
    <w:p w14:paraId="5DDA79EE" w14:textId="77777777" w:rsidR="00DE5E1E" w:rsidRDefault="00DE5E1E" w:rsidP="00E37B76">
      <w:pPr>
        <w:spacing w:line="360" w:lineRule="auto"/>
        <w:rPr>
          <w:rFonts w:ascii="Times New Roman" w:hAnsi="Times New Roman" w:cs="Times New Roman"/>
          <w:sz w:val="24"/>
          <w:szCs w:val="24"/>
        </w:rPr>
      </w:pPr>
    </w:p>
    <w:p w14:paraId="75A9688D" w14:textId="77777777" w:rsidR="00DE5E1E" w:rsidRDefault="00DE5E1E" w:rsidP="00E37B76">
      <w:pPr>
        <w:spacing w:line="360" w:lineRule="auto"/>
        <w:rPr>
          <w:rFonts w:ascii="Times New Roman" w:hAnsi="Times New Roman" w:cs="Times New Roman"/>
          <w:sz w:val="24"/>
          <w:szCs w:val="24"/>
        </w:rPr>
      </w:pPr>
    </w:p>
    <w:p w14:paraId="1167E10A" w14:textId="77777777" w:rsidR="00DE5E1E" w:rsidRDefault="00DE5E1E" w:rsidP="00E37B76">
      <w:pPr>
        <w:spacing w:line="360" w:lineRule="auto"/>
        <w:rPr>
          <w:rFonts w:ascii="Times New Roman" w:hAnsi="Times New Roman" w:cs="Times New Roman"/>
          <w:sz w:val="24"/>
          <w:szCs w:val="24"/>
        </w:rPr>
      </w:pPr>
    </w:p>
    <w:p w14:paraId="47891C0C" w14:textId="77777777" w:rsidR="00DE5E1E" w:rsidRDefault="00DE5E1E" w:rsidP="00E37B76">
      <w:pPr>
        <w:spacing w:line="360" w:lineRule="auto"/>
        <w:rPr>
          <w:rFonts w:ascii="Times New Roman" w:hAnsi="Times New Roman" w:cs="Times New Roman"/>
          <w:sz w:val="24"/>
          <w:szCs w:val="24"/>
        </w:rPr>
      </w:pPr>
    </w:p>
    <w:tbl>
      <w:tblPr>
        <w:tblW w:w="9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54"/>
        <w:gridCol w:w="973"/>
        <w:gridCol w:w="1624"/>
        <w:gridCol w:w="1097"/>
        <w:gridCol w:w="2890"/>
      </w:tblGrid>
      <w:tr w:rsidR="00DE5E1E" w:rsidRPr="00DE5E1E" w14:paraId="65EE633D" w14:textId="77777777" w:rsidTr="00DE5E1E">
        <w:trPr>
          <w:trHeight w:val="244"/>
          <w:tblHeader/>
        </w:trPr>
        <w:tc>
          <w:tcPr>
            <w:tcW w:w="0" w:type="auto"/>
            <w:shd w:val="clear" w:color="auto" w:fill="003580"/>
          </w:tcPr>
          <w:p w14:paraId="052433D3" w14:textId="77777777" w:rsidR="00DE5E1E" w:rsidRPr="00DE5E1E" w:rsidRDefault="00DE5E1E" w:rsidP="00DE5E1E">
            <w:pPr>
              <w:spacing w:after="0" w:line="240" w:lineRule="auto"/>
              <w:jc w:val="center"/>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b/>
                <w:bCs/>
                <w:kern w:val="0"/>
                <w:sz w:val="18"/>
                <w:szCs w:val="18"/>
                <w:lang w:eastAsia="en-GB"/>
                <w14:ligatures w14:val="none"/>
              </w:rPr>
              <w:lastRenderedPageBreak/>
              <w:t>KPI</w:t>
            </w:r>
          </w:p>
        </w:tc>
        <w:tc>
          <w:tcPr>
            <w:tcW w:w="0" w:type="auto"/>
            <w:shd w:val="clear" w:color="auto" w:fill="003580"/>
          </w:tcPr>
          <w:p w14:paraId="58E4CE7D" w14:textId="77777777" w:rsidR="00DE5E1E" w:rsidRPr="00DE5E1E" w:rsidRDefault="00DE5E1E" w:rsidP="00DE5E1E">
            <w:pPr>
              <w:spacing w:after="0" w:line="240" w:lineRule="auto"/>
              <w:jc w:val="center"/>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b/>
                <w:bCs/>
                <w:kern w:val="0"/>
                <w:sz w:val="18"/>
                <w:szCs w:val="18"/>
                <w:lang w:eastAsia="en-GB"/>
                <w14:ligatures w14:val="none"/>
              </w:rPr>
              <w:t>Type</w:t>
            </w:r>
          </w:p>
        </w:tc>
        <w:tc>
          <w:tcPr>
            <w:tcW w:w="0" w:type="auto"/>
            <w:shd w:val="clear" w:color="auto" w:fill="003580"/>
          </w:tcPr>
          <w:p w14:paraId="5CD26B06" w14:textId="77777777" w:rsidR="00DE5E1E" w:rsidRPr="00DE5E1E" w:rsidRDefault="00DE5E1E" w:rsidP="00DE5E1E">
            <w:pPr>
              <w:spacing w:after="0" w:line="240" w:lineRule="auto"/>
              <w:jc w:val="center"/>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b/>
                <w:bCs/>
                <w:kern w:val="0"/>
                <w:sz w:val="18"/>
                <w:szCs w:val="18"/>
                <w:lang w:eastAsia="en-GB"/>
                <w14:ligatures w14:val="none"/>
              </w:rPr>
              <w:t>2024 Value</w:t>
            </w:r>
          </w:p>
        </w:tc>
        <w:tc>
          <w:tcPr>
            <w:tcW w:w="0" w:type="auto"/>
            <w:shd w:val="clear" w:color="auto" w:fill="003580"/>
          </w:tcPr>
          <w:p w14:paraId="0F60A850" w14:textId="77777777" w:rsidR="00DE5E1E" w:rsidRPr="00DE5E1E" w:rsidRDefault="00DE5E1E" w:rsidP="00DE5E1E">
            <w:pPr>
              <w:spacing w:after="0" w:line="240" w:lineRule="auto"/>
              <w:jc w:val="center"/>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b/>
                <w:bCs/>
                <w:kern w:val="0"/>
                <w:sz w:val="18"/>
                <w:szCs w:val="18"/>
                <w:lang w:eastAsia="en-GB"/>
                <w14:ligatures w14:val="none"/>
              </w:rPr>
              <w:t>2025 Value</w:t>
            </w:r>
          </w:p>
        </w:tc>
        <w:tc>
          <w:tcPr>
            <w:tcW w:w="0" w:type="auto"/>
            <w:shd w:val="clear" w:color="auto" w:fill="003580"/>
          </w:tcPr>
          <w:p w14:paraId="0A25C475" w14:textId="77777777" w:rsidR="00DE5E1E" w:rsidRPr="00DE5E1E" w:rsidRDefault="00DE5E1E" w:rsidP="00DE5E1E">
            <w:pPr>
              <w:spacing w:after="0" w:line="240" w:lineRule="auto"/>
              <w:jc w:val="center"/>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b/>
                <w:bCs/>
                <w:kern w:val="0"/>
                <w:sz w:val="18"/>
                <w:szCs w:val="18"/>
                <w:lang w:eastAsia="en-GB"/>
                <w14:ligatures w14:val="none"/>
              </w:rPr>
              <w:t>Relevance</w:t>
            </w:r>
          </w:p>
        </w:tc>
      </w:tr>
      <w:tr w:rsidR="00DE5E1E" w:rsidRPr="00DE5E1E" w14:paraId="50BA2D5F" w14:textId="77777777" w:rsidTr="00DE5E1E">
        <w:trPr>
          <w:trHeight w:val="478"/>
        </w:trPr>
        <w:tc>
          <w:tcPr>
            <w:tcW w:w="0" w:type="auto"/>
            <w:shd w:val="clear" w:color="auto" w:fill="EBF0F8"/>
          </w:tcPr>
          <w:p w14:paraId="056217D8"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Operating Profit Margin</w:t>
            </w:r>
          </w:p>
        </w:tc>
        <w:tc>
          <w:tcPr>
            <w:tcW w:w="0" w:type="auto"/>
            <w:shd w:val="clear" w:color="auto" w:fill="EBF0F8"/>
          </w:tcPr>
          <w:p w14:paraId="1F39768A"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Financial</w:t>
            </w:r>
          </w:p>
        </w:tc>
        <w:tc>
          <w:tcPr>
            <w:tcW w:w="0" w:type="auto"/>
            <w:shd w:val="clear" w:color="auto" w:fill="EBF0F8"/>
          </w:tcPr>
          <w:p w14:paraId="7A854107"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14.2%</w:t>
            </w:r>
          </w:p>
        </w:tc>
        <w:tc>
          <w:tcPr>
            <w:tcW w:w="0" w:type="auto"/>
            <w:shd w:val="clear" w:color="auto" w:fill="EBF0F8"/>
          </w:tcPr>
          <w:p w14:paraId="651CB2E2"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15.2%</w:t>
            </w:r>
          </w:p>
        </w:tc>
        <w:tc>
          <w:tcPr>
            <w:tcW w:w="0" w:type="auto"/>
            <w:shd w:val="clear" w:color="auto" w:fill="EBF0F8"/>
          </w:tcPr>
          <w:p w14:paraId="1907865C"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Measures overall profitability efficiency</w:t>
            </w:r>
          </w:p>
        </w:tc>
      </w:tr>
      <w:tr w:rsidR="00DE5E1E" w:rsidRPr="00DE5E1E" w14:paraId="4006DDCE" w14:textId="77777777" w:rsidTr="00DE5E1E">
        <w:trPr>
          <w:trHeight w:val="478"/>
        </w:trPr>
        <w:tc>
          <w:tcPr>
            <w:tcW w:w="0" w:type="auto"/>
            <w:shd w:val="clear" w:color="auto" w:fill="FFFFFF"/>
          </w:tcPr>
          <w:p w14:paraId="116B66F6"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Revenue per Available Seat Kilometre (RASK)</w:t>
            </w:r>
          </w:p>
        </w:tc>
        <w:tc>
          <w:tcPr>
            <w:tcW w:w="0" w:type="auto"/>
            <w:shd w:val="clear" w:color="auto" w:fill="FFFFFF"/>
          </w:tcPr>
          <w:p w14:paraId="6059AFDA"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Financial</w:t>
            </w:r>
          </w:p>
        </w:tc>
        <w:tc>
          <w:tcPr>
            <w:tcW w:w="0" w:type="auto"/>
            <w:shd w:val="clear" w:color="auto" w:fill="FFFFFF"/>
          </w:tcPr>
          <w:p w14:paraId="6BBC18C8"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Reported in IAG accounts</w:t>
            </w:r>
          </w:p>
        </w:tc>
        <w:tc>
          <w:tcPr>
            <w:tcW w:w="0" w:type="auto"/>
            <w:shd w:val="clear" w:color="auto" w:fill="FFFFFF"/>
          </w:tcPr>
          <w:p w14:paraId="2A0FA1A6"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Improved YoY</w:t>
            </w:r>
          </w:p>
        </w:tc>
        <w:tc>
          <w:tcPr>
            <w:tcW w:w="0" w:type="auto"/>
            <w:shd w:val="clear" w:color="auto" w:fill="FFFFFF"/>
          </w:tcPr>
          <w:p w14:paraId="34B933D9"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Measures revenue generated per unit of capacity</w:t>
            </w:r>
          </w:p>
        </w:tc>
      </w:tr>
      <w:tr w:rsidR="00DE5E1E" w:rsidRPr="00DE5E1E" w14:paraId="6DFA2590" w14:textId="77777777" w:rsidTr="00DE5E1E">
        <w:trPr>
          <w:trHeight w:val="489"/>
        </w:trPr>
        <w:tc>
          <w:tcPr>
            <w:tcW w:w="0" w:type="auto"/>
            <w:shd w:val="clear" w:color="auto" w:fill="EBF0F8"/>
          </w:tcPr>
          <w:p w14:paraId="6277F6BC"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On-Time Performance (D15)</w:t>
            </w:r>
          </w:p>
        </w:tc>
        <w:tc>
          <w:tcPr>
            <w:tcW w:w="0" w:type="auto"/>
            <w:shd w:val="clear" w:color="auto" w:fill="EBF0F8"/>
          </w:tcPr>
          <w:p w14:paraId="2F416E67"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Non-Financial</w:t>
            </w:r>
          </w:p>
        </w:tc>
        <w:tc>
          <w:tcPr>
            <w:tcW w:w="0" w:type="auto"/>
            <w:shd w:val="clear" w:color="auto" w:fill="EBF0F8"/>
          </w:tcPr>
          <w:p w14:paraId="7C3532AA"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~78%</w:t>
            </w:r>
          </w:p>
        </w:tc>
        <w:tc>
          <w:tcPr>
            <w:tcW w:w="0" w:type="auto"/>
            <w:shd w:val="clear" w:color="auto" w:fill="EBF0F8"/>
          </w:tcPr>
          <w:p w14:paraId="1FE5AE61"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82%</w:t>
            </w:r>
          </w:p>
        </w:tc>
        <w:tc>
          <w:tcPr>
            <w:tcW w:w="0" w:type="auto"/>
            <w:shd w:val="clear" w:color="auto" w:fill="EBF0F8"/>
          </w:tcPr>
          <w:p w14:paraId="495F7436"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Measures operational reliability</w:t>
            </w:r>
          </w:p>
        </w:tc>
      </w:tr>
      <w:tr w:rsidR="00DE5E1E" w:rsidRPr="00DE5E1E" w14:paraId="6185693F" w14:textId="77777777" w:rsidTr="00DE5E1E">
        <w:trPr>
          <w:trHeight w:val="478"/>
        </w:trPr>
        <w:tc>
          <w:tcPr>
            <w:tcW w:w="0" w:type="auto"/>
            <w:shd w:val="clear" w:color="auto" w:fill="FFFFFF"/>
          </w:tcPr>
          <w:p w14:paraId="307FFF5F"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Passengers Carried</w:t>
            </w:r>
          </w:p>
        </w:tc>
        <w:tc>
          <w:tcPr>
            <w:tcW w:w="0" w:type="auto"/>
            <w:shd w:val="clear" w:color="auto" w:fill="FFFFFF"/>
          </w:tcPr>
          <w:p w14:paraId="3974B54E"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Non-Financial</w:t>
            </w:r>
          </w:p>
        </w:tc>
        <w:tc>
          <w:tcPr>
            <w:tcW w:w="0" w:type="auto"/>
            <w:shd w:val="clear" w:color="auto" w:fill="FFFFFF"/>
          </w:tcPr>
          <w:p w14:paraId="4D5C4A5A"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39.8 million</w:t>
            </w:r>
          </w:p>
        </w:tc>
        <w:tc>
          <w:tcPr>
            <w:tcW w:w="0" w:type="auto"/>
            <w:shd w:val="clear" w:color="auto" w:fill="FFFFFF"/>
          </w:tcPr>
          <w:p w14:paraId="689D3071"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46.7 million</w:t>
            </w:r>
          </w:p>
        </w:tc>
        <w:tc>
          <w:tcPr>
            <w:tcW w:w="0" w:type="auto"/>
            <w:shd w:val="clear" w:color="auto" w:fill="FFFFFF"/>
          </w:tcPr>
          <w:p w14:paraId="71583F68"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Measures network growth and demand</w:t>
            </w:r>
          </w:p>
        </w:tc>
      </w:tr>
      <w:tr w:rsidR="00DE5E1E" w:rsidRPr="00DE5E1E" w14:paraId="20753B54" w14:textId="77777777" w:rsidTr="00DE5E1E">
        <w:trPr>
          <w:trHeight w:val="489"/>
        </w:trPr>
        <w:tc>
          <w:tcPr>
            <w:tcW w:w="0" w:type="auto"/>
            <w:shd w:val="clear" w:color="auto" w:fill="EBF0F8"/>
          </w:tcPr>
          <w:p w14:paraId="56238873"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Customer Net Promoter Score (NPS)</w:t>
            </w:r>
          </w:p>
        </w:tc>
        <w:tc>
          <w:tcPr>
            <w:tcW w:w="0" w:type="auto"/>
            <w:shd w:val="clear" w:color="auto" w:fill="EBF0F8"/>
          </w:tcPr>
          <w:p w14:paraId="2C369991"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Non-Financial</w:t>
            </w:r>
          </w:p>
        </w:tc>
        <w:tc>
          <w:tcPr>
            <w:tcW w:w="0" w:type="auto"/>
            <w:shd w:val="clear" w:color="auto" w:fill="EBF0F8"/>
          </w:tcPr>
          <w:p w14:paraId="45AE17D5"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Tracked internally</w:t>
            </w:r>
          </w:p>
        </w:tc>
        <w:tc>
          <w:tcPr>
            <w:tcW w:w="0" w:type="auto"/>
            <w:shd w:val="clear" w:color="auto" w:fill="EBF0F8"/>
          </w:tcPr>
          <w:p w14:paraId="42D51D25"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Improving trend</w:t>
            </w:r>
          </w:p>
        </w:tc>
        <w:tc>
          <w:tcPr>
            <w:tcW w:w="0" w:type="auto"/>
            <w:shd w:val="clear" w:color="auto" w:fill="EBF0F8"/>
          </w:tcPr>
          <w:p w14:paraId="04CBFB52" w14:textId="77777777" w:rsidR="00DE5E1E" w:rsidRPr="00DE5E1E" w:rsidRDefault="00DE5E1E" w:rsidP="00DE5E1E">
            <w:pPr>
              <w:spacing w:after="0" w:line="240" w:lineRule="auto"/>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kern w:val="0"/>
                <w:sz w:val="18"/>
                <w:szCs w:val="18"/>
                <w:lang w:eastAsia="en-GB"/>
                <w14:ligatures w14:val="none"/>
              </w:rPr>
              <w:t>Measures customer satisfaction and loyalty</w:t>
            </w:r>
          </w:p>
        </w:tc>
      </w:tr>
    </w:tbl>
    <w:p w14:paraId="2E6EAEAE" w14:textId="29B766EA" w:rsidR="00DE5E1E" w:rsidRPr="00B533BB" w:rsidRDefault="00DE5E1E" w:rsidP="00B533BB">
      <w:pPr>
        <w:spacing w:before="100" w:after="300" w:line="240" w:lineRule="auto"/>
        <w:jc w:val="center"/>
        <w:rPr>
          <w:rFonts w:ascii="Times New Roman" w:eastAsia="Times New Roman" w:hAnsi="Times New Roman" w:cs="Times New Roman"/>
          <w:kern w:val="0"/>
          <w:sz w:val="24"/>
          <w:szCs w:val="24"/>
          <w:lang w:eastAsia="en-GB"/>
          <w14:ligatures w14:val="none"/>
        </w:rPr>
      </w:pPr>
      <w:r w:rsidRPr="00DE5E1E">
        <w:rPr>
          <w:rFonts w:ascii="Times New Roman" w:eastAsia="Times New Roman" w:hAnsi="Times New Roman" w:cs="Times New Roman"/>
          <w:i/>
          <w:iCs/>
          <w:kern w:val="0"/>
          <w:sz w:val="20"/>
          <w:szCs w:val="20"/>
          <w:lang w:eastAsia="en-GB"/>
          <w14:ligatures w14:val="none"/>
        </w:rPr>
        <w:t>Source: Adapted from IAG (2025); Travel and Tour World (2025); Business Traveller (2025)</w:t>
      </w:r>
    </w:p>
    <w:p w14:paraId="3B0AC00C" w14:textId="761212F8" w:rsidR="00DE5E1E" w:rsidRPr="00DE5E1E" w:rsidRDefault="00DE5E1E" w:rsidP="00DE5E1E">
      <w:pPr>
        <w:spacing w:before="300" w:line="240" w:lineRule="auto"/>
        <w:outlineLvl w:val="1"/>
        <w:rPr>
          <w:rFonts w:ascii="Times New Roman" w:eastAsia="Times New Roman" w:hAnsi="Times New Roman" w:cs="Times New Roman"/>
          <w:color w:val="2E74B5"/>
          <w:kern w:val="0"/>
          <w:sz w:val="24"/>
          <w:szCs w:val="24"/>
          <w:lang w:eastAsia="en-GB"/>
          <w14:ligatures w14:val="none"/>
        </w:rPr>
      </w:pPr>
      <w:bookmarkStart w:id="6" w:name="_Toc234746415"/>
      <w:r w:rsidRPr="00DE5E1E">
        <w:rPr>
          <w:rFonts w:ascii="Times New Roman" w:eastAsia="Times New Roman" w:hAnsi="Times New Roman" w:cs="Times New Roman"/>
          <w:b/>
          <w:bCs/>
          <w:i/>
          <w:iCs/>
          <w:color w:val="2E74B5"/>
          <w:kern w:val="0"/>
          <w:sz w:val="24"/>
          <w:szCs w:val="24"/>
          <w:lang w:eastAsia="en-GB"/>
          <w14:ligatures w14:val="none"/>
        </w:rPr>
        <w:t>4.2 Strategic Decisions Based on Financial and Non-Financial Data</w:t>
      </w:r>
      <w:bookmarkEnd w:id="6"/>
    </w:p>
    <w:p w14:paraId="0EF8EFEE" w14:textId="40E60BE4" w:rsidR="00DE5E1E" w:rsidRDefault="00DE5E1E" w:rsidP="00E37B76">
      <w:pPr>
        <w:spacing w:line="360" w:lineRule="auto"/>
        <w:rPr>
          <w:rFonts w:ascii="Times New Roman" w:hAnsi="Times New Roman" w:cs="Times New Roman"/>
          <w:sz w:val="24"/>
          <w:szCs w:val="24"/>
        </w:rPr>
      </w:pPr>
      <w:r w:rsidRPr="00DE5E1E">
        <w:rPr>
          <w:rFonts w:ascii="Times New Roman" w:hAnsi="Times New Roman" w:cs="Times New Roman"/>
          <w:sz w:val="24"/>
          <w:szCs w:val="24"/>
        </w:rPr>
        <w:t xml:space="preserve">The improvement of the operating profit margin from 14.2 </w:t>
      </w:r>
      <w:r>
        <w:rPr>
          <w:rFonts w:ascii="Times New Roman" w:hAnsi="Times New Roman" w:cs="Times New Roman"/>
          <w:sz w:val="24"/>
          <w:szCs w:val="24"/>
        </w:rPr>
        <w:t>per cent in 2024 to 15.2 per cent</w:t>
      </w:r>
      <w:r w:rsidRPr="00DE5E1E">
        <w:rPr>
          <w:rFonts w:ascii="Times New Roman" w:hAnsi="Times New Roman" w:cs="Times New Roman"/>
          <w:sz w:val="24"/>
          <w:szCs w:val="24"/>
        </w:rPr>
        <w:t xml:space="preserve"> in 2025 is evidence of a prudent cost-management and revenue-control strategy (IAG, 2025). BA uses sophisticated yield management systems to dynamically price seats and optimise revenue per available seat </w:t>
      </w:r>
      <w:r w:rsidR="00FF12F9">
        <w:rPr>
          <w:rFonts w:ascii="Times New Roman" w:hAnsi="Times New Roman" w:cs="Times New Roman"/>
          <w:sz w:val="24"/>
          <w:szCs w:val="24"/>
        </w:rPr>
        <w:t xml:space="preserve">kilometre (RASK), a financial KPI that reflects </w:t>
      </w:r>
      <w:r w:rsidR="00B533BB">
        <w:rPr>
          <w:rFonts w:ascii="Times New Roman" w:hAnsi="Times New Roman" w:cs="Times New Roman"/>
          <w:sz w:val="24"/>
          <w:szCs w:val="24"/>
        </w:rPr>
        <w:t xml:space="preserve">revenue efficiency </w:t>
      </w:r>
      <w:r w:rsidRPr="00DE5E1E">
        <w:rPr>
          <w:rFonts w:ascii="Times New Roman" w:hAnsi="Times New Roman" w:cs="Times New Roman"/>
          <w:sz w:val="24"/>
          <w:szCs w:val="24"/>
        </w:rPr>
        <w:t xml:space="preserve">(Horngren, Datar and Rajan, 2015). By monitoring RASK </w:t>
      </w:r>
      <w:r>
        <w:rPr>
          <w:rFonts w:ascii="Times New Roman" w:hAnsi="Times New Roman" w:cs="Times New Roman"/>
          <w:sz w:val="24"/>
          <w:szCs w:val="24"/>
        </w:rPr>
        <w:t xml:space="preserve">alongside the cost per available seat kilometre (CASK), management can identify routes where profitability falls below the threshold and </w:t>
      </w:r>
      <w:proofErr w:type="gramStart"/>
      <w:r w:rsidR="00B533BB">
        <w:rPr>
          <w:rFonts w:ascii="Times New Roman" w:hAnsi="Times New Roman" w:cs="Times New Roman"/>
          <w:sz w:val="24"/>
          <w:szCs w:val="24"/>
        </w:rPr>
        <w:t>take</w:t>
      </w:r>
      <w:proofErr w:type="gramEnd"/>
      <w:r>
        <w:rPr>
          <w:rFonts w:ascii="Times New Roman" w:hAnsi="Times New Roman" w:cs="Times New Roman"/>
          <w:sz w:val="24"/>
          <w:szCs w:val="24"/>
        </w:rPr>
        <w:t xml:space="preserve"> measures </w:t>
      </w:r>
      <w:r w:rsidR="00FF12F9">
        <w:rPr>
          <w:rFonts w:ascii="Times New Roman" w:hAnsi="Times New Roman" w:cs="Times New Roman"/>
          <w:sz w:val="24"/>
          <w:szCs w:val="24"/>
        </w:rPr>
        <w:t>to reduce frequency</w:t>
      </w:r>
      <w:r w:rsidRPr="00DE5E1E">
        <w:rPr>
          <w:rFonts w:ascii="Times New Roman" w:hAnsi="Times New Roman" w:cs="Times New Roman"/>
          <w:sz w:val="24"/>
          <w:szCs w:val="24"/>
        </w:rPr>
        <w:t>.</w:t>
      </w:r>
    </w:p>
    <w:p w14:paraId="4BBF8B1B" w14:textId="11044302" w:rsidR="00CA3542" w:rsidRDefault="00CA3542" w:rsidP="00E37B76">
      <w:pPr>
        <w:spacing w:line="360" w:lineRule="auto"/>
        <w:rPr>
          <w:rFonts w:ascii="Times New Roman" w:hAnsi="Times New Roman" w:cs="Times New Roman"/>
          <w:sz w:val="24"/>
          <w:szCs w:val="24"/>
        </w:rPr>
      </w:pPr>
      <w:r w:rsidRPr="00CA3542">
        <w:rPr>
          <w:rFonts w:ascii="Times New Roman" w:hAnsi="Times New Roman" w:cs="Times New Roman"/>
          <w:sz w:val="24"/>
          <w:szCs w:val="24"/>
        </w:rPr>
        <w:t xml:space="preserve">The KPI on on-time performance reflects investments in operational resilience and digital infrastructure (Travel and Tourism World, 2025). Poor punctuality directly increases costs through knock-on delays, crew overtime and compensation for passengers under the EC261 regulations (Porter, 1985); on the other hand, better punctuality improves customer satisfaction ratings (NPS), which drive repeat purchases and demand for premium cabin space. This illustrates the interdependence of non-financial and financial key performance indicators, a topic at the heart of the Balanced </w:t>
      </w:r>
      <w:r>
        <w:rPr>
          <w:rFonts w:ascii="Times New Roman" w:hAnsi="Times New Roman" w:cs="Times New Roman"/>
          <w:sz w:val="24"/>
          <w:szCs w:val="24"/>
        </w:rPr>
        <w:t>Scorecard</w:t>
      </w:r>
      <w:r w:rsidRPr="00CA3542">
        <w:rPr>
          <w:rFonts w:ascii="Times New Roman" w:hAnsi="Times New Roman" w:cs="Times New Roman"/>
          <w:sz w:val="24"/>
          <w:szCs w:val="24"/>
        </w:rPr>
        <w:t xml:space="preserve"> Framework (Kaplan </w:t>
      </w:r>
      <w:r>
        <w:rPr>
          <w:rFonts w:ascii="Times New Roman" w:hAnsi="Times New Roman" w:cs="Times New Roman"/>
          <w:sz w:val="24"/>
          <w:szCs w:val="24"/>
        </w:rPr>
        <w:t>&amp;</w:t>
      </w:r>
      <w:r w:rsidRPr="00CA3542">
        <w:rPr>
          <w:rFonts w:ascii="Times New Roman" w:hAnsi="Times New Roman" w:cs="Times New Roman"/>
          <w:sz w:val="24"/>
          <w:szCs w:val="24"/>
        </w:rPr>
        <w:t xml:space="preserve"> Norton, 1996).</w:t>
      </w:r>
    </w:p>
    <w:p w14:paraId="77213F38" w14:textId="3F734ACD" w:rsidR="00CA3542" w:rsidRDefault="00CA3542" w:rsidP="00E37B76">
      <w:pPr>
        <w:spacing w:line="360" w:lineRule="auto"/>
        <w:rPr>
          <w:rFonts w:ascii="Times New Roman" w:hAnsi="Times New Roman" w:cs="Times New Roman"/>
          <w:sz w:val="24"/>
          <w:szCs w:val="24"/>
        </w:rPr>
      </w:pPr>
      <w:r w:rsidRPr="00CA3542">
        <w:rPr>
          <w:rFonts w:ascii="Times New Roman" w:hAnsi="Times New Roman" w:cs="Times New Roman"/>
          <w:sz w:val="24"/>
          <w:szCs w:val="24"/>
        </w:rPr>
        <w:t xml:space="preserve">The 17.3 </w:t>
      </w:r>
      <w:r>
        <w:rPr>
          <w:rFonts w:ascii="Times New Roman" w:hAnsi="Times New Roman" w:cs="Times New Roman"/>
          <w:sz w:val="24"/>
          <w:szCs w:val="24"/>
        </w:rPr>
        <w:t>per cent</w:t>
      </w:r>
      <w:r w:rsidRPr="00CA3542">
        <w:rPr>
          <w:rFonts w:ascii="Times New Roman" w:hAnsi="Times New Roman" w:cs="Times New Roman"/>
          <w:sz w:val="24"/>
          <w:szCs w:val="24"/>
        </w:rPr>
        <w:t xml:space="preserve"> increase in passenger numbers carried</w:t>
      </w:r>
      <w:r>
        <w:rPr>
          <w:rFonts w:ascii="Times New Roman" w:hAnsi="Times New Roman" w:cs="Times New Roman"/>
          <w:sz w:val="24"/>
          <w:szCs w:val="24"/>
        </w:rPr>
        <w:t xml:space="preserve">, </w:t>
      </w:r>
      <w:r w:rsidRPr="00CA3542">
        <w:rPr>
          <w:rFonts w:ascii="Times New Roman" w:hAnsi="Times New Roman" w:cs="Times New Roman"/>
          <w:sz w:val="24"/>
          <w:szCs w:val="24"/>
        </w:rPr>
        <w:t>from 39.8 million in 2024 to 46.7 million in 2025</w:t>
      </w:r>
      <w:r>
        <w:rPr>
          <w:rFonts w:ascii="Times New Roman" w:hAnsi="Times New Roman" w:cs="Times New Roman"/>
          <w:sz w:val="24"/>
          <w:szCs w:val="24"/>
        </w:rPr>
        <w:t>,</w:t>
      </w:r>
      <w:r w:rsidRPr="00CA3542">
        <w:rPr>
          <w:rFonts w:ascii="Times New Roman" w:hAnsi="Times New Roman" w:cs="Times New Roman"/>
          <w:sz w:val="24"/>
          <w:szCs w:val="24"/>
        </w:rPr>
        <w:t xml:space="preserve"> reflects strategic decisions to expand the network, particularly the resumption of routes </w:t>
      </w:r>
      <w:r>
        <w:rPr>
          <w:rFonts w:ascii="Times New Roman" w:hAnsi="Times New Roman" w:cs="Times New Roman"/>
          <w:sz w:val="24"/>
          <w:szCs w:val="24"/>
        </w:rPr>
        <w:t>suspended during the post-pandemic restructuring period, supported by</w:t>
      </w:r>
      <w:r w:rsidRPr="00CA3542">
        <w:rPr>
          <w:rFonts w:ascii="Times New Roman" w:hAnsi="Times New Roman" w:cs="Times New Roman"/>
          <w:sz w:val="24"/>
          <w:szCs w:val="24"/>
        </w:rPr>
        <w:t xml:space="preserve"> the delivery of new aircraft. Th</w:t>
      </w:r>
      <w:r>
        <w:rPr>
          <w:rFonts w:ascii="Times New Roman" w:hAnsi="Times New Roman" w:cs="Times New Roman"/>
          <w:sz w:val="24"/>
          <w:szCs w:val="24"/>
        </w:rPr>
        <w:t xml:space="preserve">e </w:t>
      </w:r>
      <w:r w:rsidRPr="00CA3542">
        <w:rPr>
          <w:rFonts w:ascii="Times New Roman" w:hAnsi="Times New Roman" w:cs="Times New Roman"/>
          <w:sz w:val="24"/>
          <w:szCs w:val="24"/>
        </w:rPr>
        <w:t xml:space="preserve">decision was based on an analysis of </w:t>
      </w:r>
      <w:r>
        <w:rPr>
          <w:rFonts w:ascii="Times New Roman" w:hAnsi="Times New Roman" w:cs="Times New Roman"/>
          <w:sz w:val="24"/>
          <w:szCs w:val="24"/>
        </w:rPr>
        <w:t xml:space="preserve">contribution margins by route and projected load factors provided </w:t>
      </w:r>
      <w:r w:rsidRPr="00CA3542">
        <w:rPr>
          <w:rFonts w:ascii="Times New Roman" w:hAnsi="Times New Roman" w:cs="Times New Roman"/>
          <w:sz w:val="24"/>
          <w:szCs w:val="24"/>
        </w:rPr>
        <w:t xml:space="preserve">by management (Cinquini </w:t>
      </w:r>
      <w:r>
        <w:rPr>
          <w:rFonts w:ascii="Times New Roman" w:hAnsi="Times New Roman" w:cs="Times New Roman"/>
          <w:sz w:val="24"/>
          <w:szCs w:val="24"/>
        </w:rPr>
        <w:t>&amp;</w:t>
      </w:r>
      <w:r w:rsidRPr="00CA3542">
        <w:rPr>
          <w:rFonts w:ascii="Times New Roman" w:hAnsi="Times New Roman" w:cs="Times New Roman"/>
          <w:sz w:val="24"/>
          <w:szCs w:val="24"/>
        </w:rPr>
        <w:t xml:space="preserve"> Tenucci, 2010). On the other hand, BA also reduced its total number of routes by 6 </w:t>
      </w:r>
      <w:r>
        <w:rPr>
          <w:rFonts w:ascii="Times New Roman" w:hAnsi="Times New Roman" w:cs="Times New Roman"/>
          <w:sz w:val="24"/>
          <w:szCs w:val="24"/>
        </w:rPr>
        <w:t>per cent in 2025 to 558, demonstrating disciplined portfolio management by exiting low-profit routes and shifting capacity to higher-yielding</w:t>
      </w:r>
      <w:r w:rsidRPr="00CA3542">
        <w:rPr>
          <w:rFonts w:ascii="Times New Roman" w:hAnsi="Times New Roman" w:cs="Times New Roman"/>
          <w:sz w:val="24"/>
          <w:szCs w:val="24"/>
        </w:rPr>
        <w:t xml:space="preserve"> transatlantic and long-haul markets (IAG, 2025).</w:t>
      </w:r>
    </w:p>
    <w:p w14:paraId="0CE2E057" w14:textId="77777777" w:rsidR="00CA3542" w:rsidRPr="00CA3542" w:rsidRDefault="00CA3542" w:rsidP="00CA3542">
      <w:pPr>
        <w:spacing w:before="400" w:after="200" w:line="240" w:lineRule="auto"/>
        <w:outlineLvl w:val="0"/>
        <w:rPr>
          <w:rFonts w:ascii="Times New Roman" w:eastAsia="Times New Roman" w:hAnsi="Times New Roman" w:cs="Times New Roman"/>
          <w:color w:val="2E74B5"/>
          <w:kern w:val="0"/>
          <w:sz w:val="32"/>
          <w:szCs w:val="32"/>
          <w:lang w:eastAsia="en-GB"/>
          <w14:ligatures w14:val="none"/>
        </w:rPr>
      </w:pPr>
      <w:bookmarkStart w:id="7" w:name="_Toc234746416"/>
      <w:r w:rsidRPr="00CA3542">
        <w:rPr>
          <w:rFonts w:ascii="Times New Roman" w:eastAsia="Times New Roman" w:hAnsi="Times New Roman" w:cs="Times New Roman"/>
          <w:b/>
          <w:bCs/>
          <w:color w:val="2E74B5"/>
          <w:kern w:val="0"/>
          <w:sz w:val="28"/>
          <w:szCs w:val="28"/>
          <w:lang w:eastAsia="en-GB"/>
          <w14:ligatures w14:val="none"/>
        </w:rPr>
        <w:lastRenderedPageBreak/>
        <w:t>5. Sustainability and Ethical Considerations</w:t>
      </w:r>
      <w:bookmarkEnd w:id="7"/>
    </w:p>
    <w:p w14:paraId="218E17E0" w14:textId="76C52672" w:rsidR="00CA3542" w:rsidRDefault="00CA3542" w:rsidP="00CA3542">
      <w:pPr>
        <w:spacing w:line="360" w:lineRule="auto"/>
        <w:rPr>
          <w:rFonts w:ascii="Times New Roman" w:eastAsia="Times New Roman" w:hAnsi="Times New Roman" w:cs="Times New Roman"/>
          <w:b/>
          <w:bCs/>
          <w:i/>
          <w:iCs/>
          <w:color w:val="215E99" w:themeColor="text2" w:themeTint="BF"/>
          <w:kern w:val="0"/>
          <w:sz w:val="24"/>
          <w:szCs w:val="24"/>
          <w:lang w:eastAsia="en-GB"/>
          <w14:ligatures w14:val="none"/>
        </w:rPr>
      </w:pPr>
      <w:r w:rsidRPr="00CA3542">
        <w:rPr>
          <w:rFonts w:ascii="Times New Roman" w:eastAsia="Times New Roman" w:hAnsi="Times New Roman" w:cs="Times New Roman"/>
          <w:b/>
          <w:bCs/>
          <w:i/>
          <w:iCs/>
          <w:color w:val="215E99" w:themeColor="text2" w:themeTint="BF"/>
          <w:kern w:val="0"/>
          <w:sz w:val="24"/>
          <w:szCs w:val="24"/>
          <w:lang w:eastAsia="en-GB"/>
          <w14:ligatures w14:val="none"/>
        </w:rPr>
        <w:t>5.1 Integrating Sustainability into Financial Decision-Making</w:t>
      </w:r>
    </w:p>
    <w:p w14:paraId="645F99F8" w14:textId="69951441" w:rsidR="00CA3542" w:rsidRDefault="00CA3542" w:rsidP="00CA3542">
      <w:pPr>
        <w:spacing w:line="360" w:lineRule="auto"/>
        <w:rPr>
          <w:rFonts w:ascii="Times New Roman" w:hAnsi="Times New Roman" w:cs="Times New Roman"/>
          <w:sz w:val="24"/>
          <w:szCs w:val="24"/>
        </w:rPr>
      </w:pPr>
      <w:r w:rsidRPr="00CA3542">
        <w:rPr>
          <w:rFonts w:ascii="Times New Roman" w:hAnsi="Times New Roman" w:cs="Times New Roman"/>
          <w:sz w:val="24"/>
          <w:szCs w:val="24"/>
        </w:rPr>
        <w:t xml:space="preserve">British Airways has integrated sustainability into its strategic and financial planning through the BA Better World framework, in line with IAG's Group-wide commitment to </w:t>
      </w:r>
      <w:r w:rsidR="00C8592D">
        <w:rPr>
          <w:rFonts w:ascii="Times New Roman" w:hAnsi="Times New Roman" w:cs="Times New Roman"/>
          <w:sz w:val="24"/>
          <w:szCs w:val="24"/>
        </w:rPr>
        <w:t>achieving net-zero</w:t>
      </w:r>
      <w:r w:rsidRPr="00CA3542">
        <w:rPr>
          <w:rFonts w:ascii="Times New Roman" w:hAnsi="Times New Roman" w:cs="Times New Roman"/>
          <w:sz w:val="24"/>
          <w:szCs w:val="24"/>
        </w:rPr>
        <w:t xml:space="preserve"> carbon emissions by 2050 (British Airways, 2025). From </w:t>
      </w:r>
      <w:r w:rsidR="00066C75">
        <w:rPr>
          <w:rFonts w:ascii="Times New Roman" w:hAnsi="Times New Roman" w:cs="Times New Roman"/>
          <w:sz w:val="24"/>
          <w:szCs w:val="24"/>
        </w:rPr>
        <w:t>a management accounting perspective</w:t>
      </w:r>
      <w:r>
        <w:rPr>
          <w:rFonts w:ascii="Times New Roman" w:hAnsi="Times New Roman" w:cs="Times New Roman"/>
          <w:sz w:val="24"/>
          <w:szCs w:val="24"/>
        </w:rPr>
        <w:t>, sustainable investments involve long-term capital allocation</w:t>
      </w:r>
      <w:r w:rsidRPr="00CA3542">
        <w:rPr>
          <w:rFonts w:ascii="Times New Roman" w:hAnsi="Times New Roman" w:cs="Times New Roman"/>
          <w:sz w:val="24"/>
          <w:szCs w:val="24"/>
        </w:rPr>
        <w:t>. The airline's path to net zero is based on three pillars: fuel efficiency through the renewal of its fleet, the use of sustainable aviation fuels and carbon sequestration projects (IAG, 2025).</w:t>
      </w:r>
    </w:p>
    <w:p w14:paraId="27317C28" w14:textId="741DFB13" w:rsidR="00CA3542" w:rsidRDefault="00CA3542" w:rsidP="00CA3542">
      <w:pPr>
        <w:spacing w:line="360" w:lineRule="auto"/>
        <w:rPr>
          <w:rFonts w:ascii="Times New Roman" w:hAnsi="Times New Roman" w:cs="Times New Roman"/>
          <w:sz w:val="24"/>
          <w:szCs w:val="24"/>
        </w:rPr>
      </w:pPr>
      <w:r w:rsidRPr="00CA3542">
        <w:rPr>
          <w:rFonts w:ascii="Times New Roman" w:hAnsi="Times New Roman" w:cs="Times New Roman"/>
          <w:sz w:val="24"/>
          <w:szCs w:val="24"/>
        </w:rPr>
        <w:t xml:space="preserve">The SAF investment is an example of the interface between sustainability and management accounting. BA sourced 2.7 </w:t>
      </w:r>
      <w:r>
        <w:rPr>
          <w:rFonts w:ascii="Times New Roman" w:hAnsi="Times New Roman" w:cs="Times New Roman"/>
          <w:sz w:val="24"/>
          <w:szCs w:val="24"/>
        </w:rPr>
        <w:t>per cent of its total fuel from SAF in 2024, up from 1 per cent in 2023, and aims to reach 10 per cent by 2030 (British Airways, 2025)</w:t>
      </w:r>
      <w:r w:rsidRPr="00CA3542">
        <w:rPr>
          <w:rFonts w:ascii="Times New Roman" w:hAnsi="Times New Roman" w:cs="Times New Roman"/>
          <w:sz w:val="24"/>
          <w:szCs w:val="24"/>
        </w:rPr>
        <w:t xml:space="preserve">. Although SAF currently costs between </w:t>
      </w:r>
      <w:r w:rsidR="006544EA">
        <w:rPr>
          <w:rFonts w:ascii="Times New Roman" w:hAnsi="Times New Roman" w:cs="Times New Roman"/>
          <w:sz w:val="24"/>
          <w:szCs w:val="24"/>
        </w:rPr>
        <w:t>2 and 5 times as much as conventional jet fuel, the management accounting analysis supports the business case for increasing SAF procurement</w:t>
      </w:r>
      <w:r w:rsidRPr="00CA3542">
        <w:rPr>
          <w:rFonts w:ascii="Times New Roman" w:hAnsi="Times New Roman" w:cs="Times New Roman"/>
          <w:sz w:val="24"/>
          <w:szCs w:val="24"/>
        </w:rPr>
        <w:t>. In addition, more than 90 per cent of BA's aircraft at Heathrow are now powered by electricity or biodiesel, which reduces operational CO2 by around 5 000 tonnes per year and contributes to cost savings as carbon prices rise (British Airways, 2025). In 2025, BA maintained its IATA Environmental Assessment certification, which independently verifies the robustness of its environmental management systems.</w:t>
      </w:r>
    </w:p>
    <w:p w14:paraId="4813A371" w14:textId="77777777" w:rsidR="006544EA" w:rsidRPr="006544EA" w:rsidRDefault="006544EA" w:rsidP="006544EA">
      <w:pPr>
        <w:spacing w:before="300" w:line="240" w:lineRule="auto"/>
        <w:outlineLvl w:val="1"/>
        <w:rPr>
          <w:rFonts w:ascii="Times New Roman" w:eastAsia="Times New Roman" w:hAnsi="Times New Roman" w:cs="Times New Roman"/>
          <w:color w:val="2E74B5"/>
          <w:kern w:val="0"/>
          <w:sz w:val="26"/>
          <w:szCs w:val="26"/>
          <w:lang w:eastAsia="en-GB"/>
          <w14:ligatures w14:val="none"/>
        </w:rPr>
      </w:pPr>
      <w:bookmarkStart w:id="8" w:name="_Toc234746417"/>
      <w:r w:rsidRPr="006544EA">
        <w:rPr>
          <w:rFonts w:ascii="Times New Roman" w:eastAsia="Times New Roman" w:hAnsi="Times New Roman" w:cs="Times New Roman"/>
          <w:b/>
          <w:bCs/>
          <w:i/>
          <w:iCs/>
          <w:color w:val="2E74B5"/>
          <w:kern w:val="0"/>
          <w:sz w:val="26"/>
          <w:szCs w:val="26"/>
          <w:lang w:eastAsia="en-GB"/>
          <w14:ligatures w14:val="none"/>
        </w:rPr>
        <w:t>5.2 Ethical Considerations in Cost Management and Pricing</w:t>
      </w:r>
      <w:bookmarkEnd w:id="8"/>
    </w:p>
    <w:p w14:paraId="53339C9E" w14:textId="01754EDF" w:rsidR="006544EA" w:rsidRDefault="006544EA" w:rsidP="00CA3542">
      <w:pPr>
        <w:spacing w:line="360" w:lineRule="auto"/>
        <w:rPr>
          <w:rFonts w:ascii="Times New Roman" w:hAnsi="Times New Roman" w:cs="Times New Roman"/>
          <w:sz w:val="24"/>
          <w:szCs w:val="24"/>
        </w:rPr>
      </w:pPr>
      <w:r w:rsidRPr="006544EA">
        <w:rPr>
          <w:rFonts w:ascii="Times New Roman" w:hAnsi="Times New Roman" w:cs="Times New Roman"/>
          <w:sz w:val="24"/>
          <w:szCs w:val="24"/>
        </w:rPr>
        <w:t>Ethical considerations in airline pricing are many and varied. British Airways uses dynamic pricing algorithms to maximise yields, which is economically rational but raises ethical issues of affordability and fairness</w:t>
      </w:r>
      <w:r>
        <w:rPr>
          <w:rFonts w:ascii="Times New Roman" w:hAnsi="Times New Roman" w:cs="Times New Roman"/>
          <w:sz w:val="24"/>
          <w:szCs w:val="24"/>
        </w:rPr>
        <w:t xml:space="preserve"> </w:t>
      </w:r>
      <w:r w:rsidRPr="006544EA">
        <w:rPr>
          <w:rFonts w:ascii="Times New Roman" w:hAnsi="Times New Roman" w:cs="Times New Roman"/>
          <w:sz w:val="24"/>
          <w:szCs w:val="24"/>
        </w:rPr>
        <w:t xml:space="preserve">(Bhimani et al., 2019). Moreover, the imposition of fuel surcharges as a separate charge on top of the ticket price has been the subject of regulatory scrutiny and consumer criticism because it obscures the real costs of travel. Management accountants in a BA must balance the legitimate objective of recovering costs with reputational and legal risks. Drury (2021) argues that ethical frameworks </w:t>
      </w:r>
      <w:r>
        <w:rPr>
          <w:rFonts w:ascii="Times New Roman" w:hAnsi="Times New Roman" w:cs="Times New Roman"/>
          <w:sz w:val="24"/>
          <w:szCs w:val="24"/>
        </w:rPr>
        <w:t>should serve as a basis for management accounting practices to maintain stakeholders' confidence, especially as airlines face increased public scrutiny of</w:t>
      </w:r>
      <w:r w:rsidRPr="006544EA">
        <w:rPr>
          <w:rFonts w:ascii="Times New Roman" w:hAnsi="Times New Roman" w:cs="Times New Roman"/>
          <w:sz w:val="24"/>
          <w:szCs w:val="24"/>
        </w:rPr>
        <w:t xml:space="preserve"> environmental and social governance. Weetman (2013) also </w:t>
      </w:r>
      <w:r>
        <w:rPr>
          <w:rFonts w:ascii="Times New Roman" w:hAnsi="Times New Roman" w:cs="Times New Roman"/>
          <w:sz w:val="24"/>
          <w:szCs w:val="24"/>
        </w:rPr>
        <w:t xml:space="preserve">dispute </w:t>
      </w:r>
      <w:r w:rsidRPr="006544EA">
        <w:rPr>
          <w:rFonts w:ascii="Times New Roman" w:hAnsi="Times New Roman" w:cs="Times New Roman"/>
          <w:sz w:val="24"/>
          <w:szCs w:val="24"/>
        </w:rPr>
        <w:t xml:space="preserve">that transparent financial </w:t>
      </w:r>
      <w:proofErr w:type="gramStart"/>
      <w:r w:rsidR="00B533BB" w:rsidRPr="006544EA">
        <w:rPr>
          <w:rFonts w:ascii="Times New Roman" w:hAnsi="Times New Roman" w:cs="Times New Roman"/>
          <w:sz w:val="24"/>
          <w:szCs w:val="24"/>
        </w:rPr>
        <w:t>reporting</w:t>
      </w:r>
      <w:proofErr w:type="gramEnd"/>
      <w:r w:rsidRPr="006544EA">
        <w:rPr>
          <w:rFonts w:ascii="Times New Roman" w:hAnsi="Times New Roman" w:cs="Times New Roman"/>
          <w:sz w:val="24"/>
          <w:szCs w:val="24"/>
        </w:rPr>
        <w:t xml:space="preserve"> and valuation must be based on ethical responsibility, not just on legal compliance.</w:t>
      </w:r>
    </w:p>
    <w:p w14:paraId="4534462F" w14:textId="77777777" w:rsidR="00B533BB" w:rsidRDefault="00B533BB" w:rsidP="00CA3542">
      <w:pPr>
        <w:spacing w:line="360" w:lineRule="auto"/>
        <w:rPr>
          <w:rFonts w:ascii="Times New Roman" w:hAnsi="Times New Roman" w:cs="Times New Roman"/>
          <w:sz w:val="24"/>
          <w:szCs w:val="24"/>
        </w:rPr>
      </w:pPr>
    </w:p>
    <w:p w14:paraId="0B1498E1" w14:textId="77777777" w:rsidR="006544EA" w:rsidRPr="006544EA" w:rsidRDefault="006544EA" w:rsidP="006544EA">
      <w:pPr>
        <w:spacing w:before="400" w:after="200" w:line="240" w:lineRule="auto"/>
        <w:outlineLvl w:val="0"/>
        <w:rPr>
          <w:rFonts w:ascii="Times New Roman" w:eastAsia="Times New Roman" w:hAnsi="Times New Roman" w:cs="Times New Roman"/>
          <w:color w:val="2E74B5"/>
          <w:kern w:val="0"/>
          <w:sz w:val="32"/>
          <w:szCs w:val="32"/>
          <w:lang w:eastAsia="en-GB"/>
          <w14:ligatures w14:val="none"/>
        </w:rPr>
      </w:pPr>
      <w:bookmarkStart w:id="9" w:name="_Toc234746418"/>
      <w:r w:rsidRPr="006544EA">
        <w:rPr>
          <w:rFonts w:ascii="Times New Roman" w:eastAsia="Times New Roman" w:hAnsi="Times New Roman" w:cs="Times New Roman"/>
          <w:b/>
          <w:bCs/>
          <w:color w:val="2E74B5"/>
          <w:kern w:val="0"/>
          <w:sz w:val="28"/>
          <w:szCs w:val="28"/>
          <w:lang w:eastAsia="en-GB"/>
          <w14:ligatures w14:val="none"/>
        </w:rPr>
        <w:lastRenderedPageBreak/>
        <w:t>6. Conclusion and Recommendations</w:t>
      </w:r>
      <w:bookmarkEnd w:id="9"/>
    </w:p>
    <w:p w14:paraId="52CC01FF" w14:textId="720EBDC5" w:rsidR="00C36793" w:rsidRDefault="00C36793" w:rsidP="00C36793">
      <w:pPr>
        <w:spacing w:after="200" w:line="360" w:lineRule="auto"/>
        <w:jc w:val="both"/>
        <w:rPr>
          <w:rFonts w:ascii="Times New Roman" w:eastAsia="Times New Roman" w:hAnsi="Times New Roman" w:cs="Times New Roman"/>
          <w:kern w:val="0"/>
          <w:sz w:val="24"/>
          <w:szCs w:val="24"/>
          <w:lang w:eastAsia="en-GB"/>
          <w14:ligatures w14:val="none"/>
        </w:rPr>
      </w:pPr>
      <w:r w:rsidRPr="00C36793">
        <w:rPr>
          <w:rFonts w:ascii="Times New Roman" w:eastAsia="Times New Roman" w:hAnsi="Times New Roman" w:cs="Times New Roman"/>
          <w:kern w:val="0"/>
          <w:sz w:val="24"/>
          <w:szCs w:val="24"/>
          <w:lang w:eastAsia="en-GB"/>
          <w14:ligatures w14:val="none"/>
        </w:rPr>
        <w:t xml:space="preserve">This report examined how British Airways applied management accounting tools and techniques in its operations. Analysis of the cost structure reveals a hybrid fixed-variable cost model, with fuel hedging and fleet modernisation as key levers. Budgetary analysis shows that, while total operating costs increased slightly by 3.0 percentage points in </w:t>
      </w:r>
      <w:r>
        <w:rPr>
          <w:rFonts w:ascii="Times New Roman" w:eastAsia="Times New Roman" w:hAnsi="Times New Roman" w:cs="Times New Roman"/>
          <w:kern w:val="0"/>
          <w:sz w:val="24"/>
          <w:szCs w:val="24"/>
          <w:lang w:eastAsia="en-GB"/>
          <w14:ligatures w14:val="none"/>
        </w:rPr>
        <w:t xml:space="preserve">2024, strategic decisions partly offset </w:t>
      </w:r>
      <w:r w:rsidRPr="00C36793">
        <w:rPr>
          <w:rFonts w:ascii="Times New Roman" w:eastAsia="Times New Roman" w:hAnsi="Times New Roman" w:cs="Times New Roman"/>
          <w:kern w:val="0"/>
          <w:sz w:val="24"/>
          <w:szCs w:val="24"/>
          <w:lang w:eastAsia="en-GB"/>
          <w14:ligatures w14:val="none"/>
        </w:rPr>
        <w:t xml:space="preserve">inflationary pressures. Performance measurement of the five key performance indicators shows </w:t>
      </w:r>
      <w:r>
        <w:rPr>
          <w:rFonts w:ascii="Times New Roman" w:eastAsia="Times New Roman" w:hAnsi="Times New Roman" w:cs="Times New Roman"/>
          <w:kern w:val="0"/>
          <w:sz w:val="24"/>
          <w:szCs w:val="24"/>
          <w:lang w:eastAsia="en-GB"/>
          <w14:ligatures w14:val="none"/>
        </w:rPr>
        <w:t>steady improvement across both financial and non-financial aspects, with an operating margin of 15.2 per cent in 2025 and a 14-year high in on-time</w:t>
      </w:r>
      <w:r w:rsidRPr="00C36793">
        <w:rPr>
          <w:rFonts w:ascii="Times New Roman" w:eastAsia="Times New Roman" w:hAnsi="Times New Roman" w:cs="Times New Roman"/>
          <w:kern w:val="0"/>
          <w:sz w:val="24"/>
          <w:szCs w:val="24"/>
          <w:lang w:eastAsia="en-GB"/>
          <w14:ligatures w14:val="none"/>
        </w:rPr>
        <w:t xml:space="preserve"> performance. Sustainability is increasingly integrated into financial decisions</w:t>
      </w:r>
      <w:r>
        <w:rPr>
          <w:rFonts w:ascii="Times New Roman" w:eastAsia="Times New Roman" w:hAnsi="Times New Roman" w:cs="Times New Roman"/>
          <w:kern w:val="0"/>
          <w:sz w:val="24"/>
          <w:szCs w:val="24"/>
          <w:lang w:eastAsia="en-GB"/>
          <w14:ligatures w14:val="none"/>
        </w:rPr>
        <w:t>,</w:t>
      </w:r>
      <w:r w:rsidRPr="00C36793">
        <w:rPr>
          <w:rFonts w:ascii="Times New Roman" w:eastAsia="Times New Roman" w:hAnsi="Times New Roman" w:cs="Times New Roman"/>
          <w:kern w:val="0"/>
          <w:sz w:val="24"/>
          <w:szCs w:val="24"/>
          <w:lang w:eastAsia="en-GB"/>
          <w14:ligatures w14:val="none"/>
        </w:rPr>
        <w:t xml:space="preserve"> and investments in SAF and carbon management are part of long-term capital planning.</w:t>
      </w:r>
    </w:p>
    <w:p w14:paraId="31E71ED2" w14:textId="53DF4EBF" w:rsidR="006544EA" w:rsidRDefault="00C36793" w:rsidP="00CA3542">
      <w:pPr>
        <w:spacing w:line="360" w:lineRule="auto"/>
        <w:rPr>
          <w:rFonts w:ascii="Times New Roman" w:hAnsi="Times New Roman" w:cs="Times New Roman"/>
          <w:sz w:val="24"/>
          <w:szCs w:val="24"/>
        </w:rPr>
      </w:pPr>
      <w:r>
        <w:rPr>
          <w:rFonts w:ascii="Times New Roman" w:hAnsi="Times New Roman" w:cs="Times New Roman"/>
          <w:sz w:val="24"/>
          <w:szCs w:val="24"/>
        </w:rPr>
        <w:t>Based on</w:t>
      </w:r>
      <w:r w:rsidRPr="00C36793">
        <w:rPr>
          <w:rFonts w:ascii="Times New Roman" w:hAnsi="Times New Roman" w:cs="Times New Roman"/>
          <w:sz w:val="24"/>
          <w:szCs w:val="24"/>
        </w:rPr>
        <w:t xml:space="preserve"> this analysis, three recommendations are made. First, BA should accelerate the adoption of time-based activity </w:t>
      </w:r>
      <w:r>
        <w:rPr>
          <w:rFonts w:ascii="Times New Roman" w:hAnsi="Times New Roman" w:cs="Times New Roman"/>
          <w:sz w:val="24"/>
          <w:szCs w:val="24"/>
        </w:rPr>
        <w:t xml:space="preserve">costing (TDABC) across its network, which would provide granular </w:t>
      </w:r>
      <w:r w:rsidR="006D5B47">
        <w:rPr>
          <w:rFonts w:ascii="Times New Roman" w:hAnsi="Times New Roman" w:cs="Times New Roman"/>
          <w:sz w:val="24"/>
          <w:szCs w:val="24"/>
        </w:rPr>
        <w:t>cost visibility</w:t>
      </w:r>
      <w:r>
        <w:rPr>
          <w:rFonts w:ascii="Times New Roman" w:hAnsi="Times New Roman" w:cs="Times New Roman"/>
          <w:sz w:val="24"/>
          <w:szCs w:val="24"/>
        </w:rPr>
        <w:t xml:space="preserve"> by route and passenger segment and enable</w:t>
      </w:r>
      <w:r w:rsidRPr="00C36793">
        <w:rPr>
          <w:rFonts w:ascii="Times New Roman" w:hAnsi="Times New Roman" w:cs="Times New Roman"/>
          <w:sz w:val="24"/>
          <w:szCs w:val="24"/>
        </w:rPr>
        <w:t xml:space="preserve"> more accurate pricing and capacity decisions (Kaplan &amp; Anderson, 2007). Second, the airline should complement traditional incremental budgeting with zero-based budgeting (ZBB) for discretionary cost categories such as marketing and administration, which </w:t>
      </w:r>
      <w:r>
        <w:rPr>
          <w:rFonts w:ascii="Times New Roman" w:hAnsi="Times New Roman" w:cs="Times New Roman"/>
          <w:sz w:val="24"/>
          <w:szCs w:val="24"/>
        </w:rPr>
        <w:t>require annual cost forecasts rather than perpetuating past cost patterns (Seal, Rohde,</w:t>
      </w:r>
      <w:r w:rsidRPr="00C36793">
        <w:rPr>
          <w:rFonts w:ascii="Times New Roman" w:hAnsi="Times New Roman" w:cs="Times New Roman"/>
          <w:sz w:val="24"/>
          <w:szCs w:val="24"/>
        </w:rPr>
        <w:t xml:space="preserve"> and Garrison, 2019). Third, BA should formally embed a fourth balanced scorecard perspective</w:t>
      </w:r>
      <w:r>
        <w:rPr>
          <w:rFonts w:ascii="Times New Roman" w:hAnsi="Times New Roman" w:cs="Times New Roman"/>
          <w:sz w:val="24"/>
          <w:szCs w:val="24"/>
        </w:rPr>
        <w:t>, with quantified sustainability key performance indicators linked to management remuneration, and strengthen accountable,</w:t>
      </w:r>
      <w:r w:rsidRPr="00C36793">
        <w:rPr>
          <w:rFonts w:ascii="Times New Roman" w:hAnsi="Times New Roman" w:cs="Times New Roman"/>
          <w:sz w:val="24"/>
          <w:szCs w:val="24"/>
        </w:rPr>
        <w:t xml:space="preserve"> transparent management (Kaplan &amp; Norton, 1996).</w:t>
      </w:r>
    </w:p>
    <w:p w14:paraId="3B6F58BB" w14:textId="77777777" w:rsidR="00C36793" w:rsidRDefault="00C36793" w:rsidP="00CA3542">
      <w:pPr>
        <w:spacing w:line="360" w:lineRule="auto"/>
        <w:rPr>
          <w:rFonts w:ascii="Times New Roman" w:hAnsi="Times New Roman" w:cs="Times New Roman"/>
          <w:sz w:val="24"/>
          <w:szCs w:val="24"/>
        </w:rPr>
      </w:pPr>
    </w:p>
    <w:p w14:paraId="0F98C315" w14:textId="77777777" w:rsidR="00C36793" w:rsidRDefault="00C36793" w:rsidP="00CA3542">
      <w:pPr>
        <w:spacing w:line="360" w:lineRule="auto"/>
        <w:rPr>
          <w:rFonts w:ascii="Times New Roman" w:hAnsi="Times New Roman" w:cs="Times New Roman"/>
          <w:sz w:val="24"/>
          <w:szCs w:val="24"/>
        </w:rPr>
      </w:pPr>
    </w:p>
    <w:p w14:paraId="4C27C20B" w14:textId="77777777" w:rsidR="00C36793" w:rsidRDefault="00C36793" w:rsidP="00CA3542">
      <w:pPr>
        <w:spacing w:line="360" w:lineRule="auto"/>
        <w:rPr>
          <w:rFonts w:ascii="Times New Roman" w:hAnsi="Times New Roman" w:cs="Times New Roman"/>
          <w:sz w:val="24"/>
          <w:szCs w:val="24"/>
        </w:rPr>
      </w:pPr>
    </w:p>
    <w:p w14:paraId="7A23D3C1" w14:textId="77777777" w:rsidR="00C36793" w:rsidRDefault="00C36793" w:rsidP="00CA3542">
      <w:pPr>
        <w:spacing w:line="360" w:lineRule="auto"/>
        <w:rPr>
          <w:rFonts w:ascii="Times New Roman" w:hAnsi="Times New Roman" w:cs="Times New Roman"/>
          <w:sz w:val="24"/>
          <w:szCs w:val="24"/>
        </w:rPr>
      </w:pPr>
    </w:p>
    <w:p w14:paraId="78F59427" w14:textId="77777777" w:rsidR="00C36793" w:rsidRDefault="00C36793" w:rsidP="00CA3542">
      <w:pPr>
        <w:spacing w:line="360" w:lineRule="auto"/>
        <w:rPr>
          <w:rFonts w:ascii="Times New Roman" w:hAnsi="Times New Roman" w:cs="Times New Roman"/>
          <w:sz w:val="24"/>
          <w:szCs w:val="24"/>
        </w:rPr>
      </w:pPr>
    </w:p>
    <w:p w14:paraId="6D473AA4" w14:textId="77777777" w:rsidR="00C36793" w:rsidRDefault="00C36793" w:rsidP="00CA3542">
      <w:pPr>
        <w:spacing w:line="360" w:lineRule="auto"/>
        <w:rPr>
          <w:rFonts w:ascii="Times New Roman" w:hAnsi="Times New Roman" w:cs="Times New Roman"/>
          <w:sz w:val="24"/>
          <w:szCs w:val="24"/>
        </w:rPr>
      </w:pPr>
    </w:p>
    <w:p w14:paraId="44E51281" w14:textId="77777777" w:rsidR="00B533BB" w:rsidRDefault="00B533BB" w:rsidP="00CA3542">
      <w:pPr>
        <w:spacing w:line="360" w:lineRule="auto"/>
        <w:rPr>
          <w:rFonts w:ascii="Times New Roman" w:hAnsi="Times New Roman" w:cs="Times New Roman"/>
          <w:sz w:val="24"/>
          <w:szCs w:val="24"/>
        </w:rPr>
      </w:pPr>
    </w:p>
    <w:p w14:paraId="6384F3EC" w14:textId="77777777" w:rsidR="00B533BB" w:rsidRDefault="00B533BB" w:rsidP="00CA3542">
      <w:pPr>
        <w:spacing w:line="360" w:lineRule="auto"/>
        <w:rPr>
          <w:rFonts w:ascii="Times New Roman" w:hAnsi="Times New Roman" w:cs="Times New Roman"/>
          <w:sz w:val="24"/>
          <w:szCs w:val="24"/>
        </w:rPr>
      </w:pPr>
    </w:p>
    <w:p w14:paraId="3419ECF3" w14:textId="77777777" w:rsidR="00C36793" w:rsidRDefault="00C36793" w:rsidP="00CA3542">
      <w:pPr>
        <w:spacing w:line="360" w:lineRule="auto"/>
        <w:rPr>
          <w:rFonts w:ascii="Times New Roman" w:hAnsi="Times New Roman" w:cs="Times New Roman"/>
          <w:sz w:val="24"/>
          <w:szCs w:val="24"/>
        </w:rPr>
      </w:pPr>
    </w:p>
    <w:p w14:paraId="0CDCAD76" w14:textId="77777777" w:rsidR="00C36793" w:rsidRPr="00C36793" w:rsidRDefault="00C36793" w:rsidP="00C36793">
      <w:pPr>
        <w:spacing w:line="360" w:lineRule="auto"/>
        <w:rPr>
          <w:rFonts w:ascii="Times New Roman" w:hAnsi="Times New Roman" w:cs="Times New Roman"/>
          <w:color w:val="215E99" w:themeColor="text2" w:themeTint="BF"/>
          <w:sz w:val="28"/>
          <w:szCs w:val="28"/>
        </w:rPr>
      </w:pPr>
      <w:r w:rsidRPr="00C36793">
        <w:rPr>
          <w:rFonts w:ascii="Times New Roman" w:hAnsi="Times New Roman" w:cs="Times New Roman"/>
          <w:b/>
          <w:bCs/>
          <w:color w:val="215E99" w:themeColor="text2" w:themeTint="BF"/>
          <w:sz w:val="28"/>
          <w:szCs w:val="28"/>
        </w:rPr>
        <w:lastRenderedPageBreak/>
        <w:t>References</w:t>
      </w:r>
    </w:p>
    <w:p w14:paraId="08F73E45" w14:textId="5CCC077F" w:rsidR="00C36793" w:rsidRPr="00C36793" w:rsidRDefault="00C36793" w:rsidP="00C36793">
      <w:pPr>
        <w:spacing w:line="360" w:lineRule="auto"/>
        <w:rPr>
          <w:rFonts w:ascii="Times New Roman" w:hAnsi="Times New Roman" w:cs="Times New Roman"/>
          <w:sz w:val="24"/>
          <w:szCs w:val="24"/>
        </w:rPr>
      </w:pPr>
      <w:r w:rsidRPr="00C36793">
        <w:rPr>
          <w:rFonts w:ascii="Times New Roman" w:hAnsi="Times New Roman" w:cs="Times New Roman"/>
          <w:sz w:val="24"/>
          <w:szCs w:val="24"/>
        </w:rPr>
        <w:t xml:space="preserve">Atkinson, A.A., Kaplan, R.S., Matsumura, E.M. </w:t>
      </w:r>
      <w:r>
        <w:rPr>
          <w:rFonts w:ascii="Times New Roman" w:hAnsi="Times New Roman" w:cs="Times New Roman"/>
          <w:sz w:val="24"/>
          <w:szCs w:val="24"/>
        </w:rPr>
        <w:t>&amp;</w:t>
      </w:r>
      <w:r w:rsidRPr="00C36793">
        <w:rPr>
          <w:rFonts w:ascii="Times New Roman" w:hAnsi="Times New Roman" w:cs="Times New Roman"/>
          <w:sz w:val="24"/>
          <w:szCs w:val="24"/>
        </w:rPr>
        <w:t xml:space="preserve"> Young, S.M. (2012</w:t>
      </w:r>
      <w:r w:rsidRPr="00C36793">
        <w:rPr>
          <w:rFonts w:ascii="Times New Roman" w:hAnsi="Times New Roman" w:cs="Times New Roman"/>
          <w:i/>
          <w:iCs/>
          <w:sz w:val="24"/>
          <w:szCs w:val="24"/>
        </w:rPr>
        <w:t>). Management Accounting: Information for Decision-Making and Strategy Execution.</w:t>
      </w:r>
      <w:r w:rsidRPr="00C36793">
        <w:rPr>
          <w:rFonts w:ascii="Times New Roman" w:hAnsi="Times New Roman" w:cs="Times New Roman"/>
          <w:sz w:val="24"/>
          <w:szCs w:val="24"/>
        </w:rPr>
        <w:t xml:space="preserve"> 6th ed</w:t>
      </w:r>
      <w:r>
        <w:rPr>
          <w:rFonts w:ascii="Times New Roman" w:hAnsi="Times New Roman" w:cs="Times New Roman"/>
          <w:sz w:val="24"/>
          <w:szCs w:val="24"/>
        </w:rPr>
        <w:t>itio</w:t>
      </w:r>
      <w:r w:rsidRPr="00C36793">
        <w:rPr>
          <w:rFonts w:ascii="Times New Roman" w:hAnsi="Times New Roman" w:cs="Times New Roman"/>
          <w:sz w:val="24"/>
          <w:szCs w:val="24"/>
        </w:rPr>
        <w:t>n. Harlow: Pearson.</w:t>
      </w:r>
    </w:p>
    <w:p w14:paraId="101C8B9A" w14:textId="35682D61" w:rsidR="00C36793" w:rsidRPr="00C36793" w:rsidRDefault="00C36793" w:rsidP="00C36793">
      <w:pPr>
        <w:spacing w:line="360" w:lineRule="auto"/>
        <w:rPr>
          <w:rFonts w:ascii="Times New Roman" w:hAnsi="Times New Roman" w:cs="Times New Roman"/>
          <w:sz w:val="24"/>
          <w:szCs w:val="24"/>
        </w:rPr>
      </w:pPr>
      <w:proofErr w:type="spellStart"/>
      <w:r w:rsidRPr="00C36793">
        <w:rPr>
          <w:rFonts w:ascii="Times New Roman" w:hAnsi="Times New Roman" w:cs="Times New Roman"/>
          <w:sz w:val="24"/>
          <w:szCs w:val="24"/>
        </w:rPr>
        <w:t>Atrill</w:t>
      </w:r>
      <w:proofErr w:type="spellEnd"/>
      <w:r w:rsidRPr="00C36793">
        <w:rPr>
          <w:rFonts w:ascii="Times New Roman" w:hAnsi="Times New Roman" w:cs="Times New Roman"/>
          <w:sz w:val="24"/>
          <w:szCs w:val="24"/>
        </w:rPr>
        <w:t xml:space="preserve">, P. </w:t>
      </w:r>
      <w:r>
        <w:rPr>
          <w:rFonts w:ascii="Times New Roman" w:hAnsi="Times New Roman" w:cs="Times New Roman"/>
          <w:sz w:val="24"/>
          <w:szCs w:val="24"/>
        </w:rPr>
        <w:t>&amp;</w:t>
      </w:r>
      <w:r w:rsidRPr="00C36793">
        <w:rPr>
          <w:rFonts w:ascii="Times New Roman" w:hAnsi="Times New Roman" w:cs="Times New Roman"/>
          <w:sz w:val="24"/>
          <w:szCs w:val="24"/>
        </w:rPr>
        <w:t xml:space="preserve"> McLaney, E. (2021)</w:t>
      </w:r>
      <w:r>
        <w:rPr>
          <w:rFonts w:ascii="Times New Roman" w:hAnsi="Times New Roman" w:cs="Times New Roman"/>
          <w:sz w:val="24"/>
          <w:szCs w:val="24"/>
        </w:rPr>
        <w:t>.</w:t>
      </w:r>
      <w:r w:rsidRPr="00C36793">
        <w:rPr>
          <w:rFonts w:ascii="Times New Roman" w:hAnsi="Times New Roman" w:cs="Times New Roman"/>
          <w:sz w:val="24"/>
          <w:szCs w:val="24"/>
        </w:rPr>
        <w:t xml:space="preserve"> </w:t>
      </w:r>
      <w:r w:rsidRPr="00C36793">
        <w:rPr>
          <w:rFonts w:ascii="Times New Roman" w:hAnsi="Times New Roman" w:cs="Times New Roman"/>
          <w:i/>
          <w:iCs/>
          <w:sz w:val="24"/>
          <w:szCs w:val="24"/>
        </w:rPr>
        <w:t>Management Accounting for Decision Makers</w:t>
      </w:r>
      <w:r w:rsidRPr="00C36793">
        <w:rPr>
          <w:rFonts w:ascii="Times New Roman" w:hAnsi="Times New Roman" w:cs="Times New Roman"/>
          <w:sz w:val="24"/>
          <w:szCs w:val="24"/>
        </w:rPr>
        <w:t>. 10th ed</w:t>
      </w:r>
      <w:r>
        <w:rPr>
          <w:rFonts w:ascii="Times New Roman" w:hAnsi="Times New Roman" w:cs="Times New Roman"/>
          <w:sz w:val="24"/>
          <w:szCs w:val="24"/>
        </w:rPr>
        <w:t>itio</w:t>
      </w:r>
      <w:r w:rsidRPr="00C36793">
        <w:rPr>
          <w:rFonts w:ascii="Times New Roman" w:hAnsi="Times New Roman" w:cs="Times New Roman"/>
          <w:sz w:val="24"/>
          <w:szCs w:val="24"/>
        </w:rPr>
        <w:t>n. Harlow: Pearson.</w:t>
      </w:r>
    </w:p>
    <w:p w14:paraId="32243EB4" w14:textId="6A7CBBFA" w:rsidR="00C36793" w:rsidRPr="00C36793" w:rsidRDefault="00C36793" w:rsidP="00C36793">
      <w:pPr>
        <w:spacing w:line="360" w:lineRule="auto"/>
        <w:rPr>
          <w:rFonts w:ascii="Times New Roman" w:hAnsi="Times New Roman" w:cs="Times New Roman"/>
          <w:sz w:val="24"/>
          <w:szCs w:val="24"/>
        </w:rPr>
      </w:pPr>
      <w:proofErr w:type="spellStart"/>
      <w:r w:rsidRPr="00C36793">
        <w:rPr>
          <w:rFonts w:ascii="Times New Roman" w:hAnsi="Times New Roman" w:cs="Times New Roman"/>
          <w:sz w:val="24"/>
          <w:szCs w:val="24"/>
        </w:rPr>
        <w:t>Atrill</w:t>
      </w:r>
      <w:proofErr w:type="spellEnd"/>
      <w:r w:rsidRPr="00C36793">
        <w:rPr>
          <w:rFonts w:ascii="Times New Roman" w:hAnsi="Times New Roman" w:cs="Times New Roman"/>
          <w:sz w:val="24"/>
          <w:szCs w:val="24"/>
        </w:rPr>
        <w:t xml:space="preserve">, P. </w:t>
      </w:r>
      <w:r>
        <w:rPr>
          <w:rFonts w:ascii="Times New Roman" w:hAnsi="Times New Roman" w:cs="Times New Roman"/>
          <w:sz w:val="24"/>
          <w:szCs w:val="24"/>
        </w:rPr>
        <w:t>&amp;</w:t>
      </w:r>
      <w:r w:rsidRPr="00C36793">
        <w:rPr>
          <w:rFonts w:ascii="Times New Roman" w:hAnsi="Times New Roman" w:cs="Times New Roman"/>
          <w:sz w:val="24"/>
          <w:szCs w:val="24"/>
        </w:rPr>
        <w:t xml:space="preserve"> McLaney, E. (2022)</w:t>
      </w:r>
      <w:r>
        <w:rPr>
          <w:rFonts w:ascii="Times New Roman" w:hAnsi="Times New Roman" w:cs="Times New Roman"/>
          <w:sz w:val="24"/>
          <w:szCs w:val="24"/>
        </w:rPr>
        <w:t>.</w:t>
      </w:r>
      <w:r w:rsidRPr="00C36793">
        <w:rPr>
          <w:rFonts w:ascii="Times New Roman" w:hAnsi="Times New Roman" w:cs="Times New Roman"/>
          <w:sz w:val="24"/>
          <w:szCs w:val="24"/>
        </w:rPr>
        <w:t xml:space="preserve"> </w:t>
      </w:r>
      <w:r w:rsidRPr="00C36793">
        <w:rPr>
          <w:rFonts w:ascii="Times New Roman" w:hAnsi="Times New Roman" w:cs="Times New Roman"/>
          <w:i/>
          <w:iCs/>
          <w:sz w:val="24"/>
          <w:szCs w:val="24"/>
        </w:rPr>
        <w:t>Accounting and Finance for Non-Specialists.</w:t>
      </w:r>
      <w:r w:rsidRPr="00C36793">
        <w:rPr>
          <w:rFonts w:ascii="Times New Roman" w:hAnsi="Times New Roman" w:cs="Times New Roman"/>
          <w:sz w:val="24"/>
          <w:szCs w:val="24"/>
        </w:rPr>
        <w:t xml:space="preserve"> 12th ed</w:t>
      </w:r>
      <w:r>
        <w:rPr>
          <w:rFonts w:ascii="Times New Roman" w:hAnsi="Times New Roman" w:cs="Times New Roman"/>
          <w:sz w:val="24"/>
          <w:szCs w:val="24"/>
        </w:rPr>
        <w:t>itio</w:t>
      </w:r>
      <w:r w:rsidRPr="00C36793">
        <w:rPr>
          <w:rFonts w:ascii="Times New Roman" w:hAnsi="Times New Roman" w:cs="Times New Roman"/>
          <w:sz w:val="24"/>
          <w:szCs w:val="24"/>
        </w:rPr>
        <w:t>n. Hoboken, NJ: Pearson.</w:t>
      </w:r>
    </w:p>
    <w:p w14:paraId="33865C3A" w14:textId="5301BD78" w:rsidR="00C36793" w:rsidRPr="00C36793" w:rsidRDefault="00C36793" w:rsidP="00C36793">
      <w:pPr>
        <w:spacing w:line="360" w:lineRule="auto"/>
        <w:rPr>
          <w:rFonts w:ascii="Times New Roman" w:hAnsi="Times New Roman" w:cs="Times New Roman"/>
          <w:sz w:val="24"/>
          <w:szCs w:val="24"/>
        </w:rPr>
      </w:pPr>
      <w:r w:rsidRPr="00C36793">
        <w:rPr>
          <w:rFonts w:ascii="Times New Roman" w:hAnsi="Times New Roman" w:cs="Times New Roman"/>
          <w:sz w:val="24"/>
          <w:szCs w:val="24"/>
        </w:rPr>
        <w:t xml:space="preserve">Bhimani, A., Horngren, C.T., Datar, S.M. </w:t>
      </w:r>
      <w:r>
        <w:rPr>
          <w:rFonts w:ascii="Times New Roman" w:hAnsi="Times New Roman" w:cs="Times New Roman"/>
          <w:sz w:val="24"/>
          <w:szCs w:val="24"/>
        </w:rPr>
        <w:t>&amp;</w:t>
      </w:r>
      <w:r w:rsidRPr="00C36793">
        <w:rPr>
          <w:rFonts w:ascii="Times New Roman" w:hAnsi="Times New Roman" w:cs="Times New Roman"/>
          <w:sz w:val="24"/>
          <w:szCs w:val="24"/>
        </w:rPr>
        <w:t xml:space="preserve"> Rajan, M.V. (2019)</w:t>
      </w:r>
      <w:r>
        <w:rPr>
          <w:rFonts w:ascii="Times New Roman" w:hAnsi="Times New Roman" w:cs="Times New Roman"/>
          <w:sz w:val="24"/>
          <w:szCs w:val="24"/>
        </w:rPr>
        <w:t>.</w:t>
      </w:r>
      <w:r w:rsidRPr="00C36793">
        <w:rPr>
          <w:rFonts w:ascii="Times New Roman" w:hAnsi="Times New Roman" w:cs="Times New Roman"/>
          <w:i/>
          <w:iCs/>
          <w:sz w:val="24"/>
          <w:szCs w:val="24"/>
        </w:rPr>
        <w:t xml:space="preserve"> Management and Cost Accounting. </w:t>
      </w:r>
      <w:r w:rsidRPr="00C36793">
        <w:rPr>
          <w:rFonts w:ascii="Times New Roman" w:hAnsi="Times New Roman" w:cs="Times New Roman"/>
          <w:sz w:val="24"/>
          <w:szCs w:val="24"/>
        </w:rPr>
        <w:t>7th ed</w:t>
      </w:r>
      <w:r>
        <w:rPr>
          <w:rFonts w:ascii="Times New Roman" w:hAnsi="Times New Roman" w:cs="Times New Roman"/>
          <w:sz w:val="24"/>
          <w:szCs w:val="24"/>
        </w:rPr>
        <w:t>itio</w:t>
      </w:r>
      <w:r w:rsidRPr="00C36793">
        <w:rPr>
          <w:rFonts w:ascii="Times New Roman" w:hAnsi="Times New Roman" w:cs="Times New Roman"/>
          <w:sz w:val="24"/>
          <w:szCs w:val="24"/>
        </w:rPr>
        <w:t>n. Harlow: Pearson.</w:t>
      </w:r>
    </w:p>
    <w:p w14:paraId="448CF8EF" w14:textId="6F04344F" w:rsidR="00C36793" w:rsidRPr="00C36793" w:rsidRDefault="00C36793" w:rsidP="00C36793">
      <w:pPr>
        <w:spacing w:line="360" w:lineRule="auto"/>
        <w:rPr>
          <w:rFonts w:ascii="Times New Roman" w:hAnsi="Times New Roman" w:cs="Times New Roman"/>
          <w:sz w:val="24"/>
          <w:szCs w:val="24"/>
        </w:rPr>
      </w:pPr>
      <w:r w:rsidRPr="00C36793">
        <w:rPr>
          <w:rFonts w:ascii="Times New Roman" w:hAnsi="Times New Roman" w:cs="Times New Roman"/>
          <w:sz w:val="24"/>
          <w:szCs w:val="24"/>
        </w:rPr>
        <w:t>British Airways (2025</w:t>
      </w:r>
      <w:r w:rsidRPr="00C36793">
        <w:rPr>
          <w:rFonts w:ascii="Times New Roman" w:hAnsi="Times New Roman" w:cs="Times New Roman"/>
          <w:i/>
          <w:iCs/>
          <w:sz w:val="24"/>
          <w:szCs w:val="24"/>
        </w:rPr>
        <w:t xml:space="preserve">). BA Better World: Sustainability Report 2024. Waterside: British Airways. </w:t>
      </w:r>
      <w:r w:rsidRPr="00C36793">
        <w:rPr>
          <w:rFonts w:ascii="Times New Roman" w:hAnsi="Times New Roman" w:cs="Times New Roman"/>
          <w:sz w:val="24"/>
          <w:szCs w:val="24"/>
        </w:rPr>
        <w:t xml:space="preserve">Available at: </w:t>
      </w:r>
      <w:hyperlink r:id="rId6" w:history="1">
        <w:r w:rsidRPr="000E333E">
          <w:rPr>
            <w:rStyle w:val="Hyperlink"/>
            <w:rFonts w:ascii="Times New Roman" w:hAnsi="Times New Roman" w:cs="Times New Roman"/>
            <w:sz w:val="24"/>
            <w:szCs w:val="24"/>
          </w:rPr>
          <w:t>https://www.britishairways.com/content/information/about-ba/ba-better-world</w:t>
        </w:r>
      </w:hyperlink>
      <w:r>
        <w:rPr>
          <w:rFonts w:ascii="Times New Roman" w:hAnsi="Times New Roman" w:cs="Times New Roman"/>
          <w:sz w:val="24"/>
          <w:szCs w:val="24"/>
        </w:rPr>
        <w:t xml:space="preserve"> </w:t>
      </w:r>
      <w:r w:rsidRPr="00C36793">
        <w:rPr>
          <w:rFonts w:ascii="Times New Roman" w:hAnsi="Times New Roman" w:cs="Times New Roman"/>
          <w:sz w:val="24"/>
          <w:szCs w:val="24"/>
        </w:rPr>
        <w:t xml:space="preserve"> (Accessed: 10 July 2026).</w:t>
      </w:r>
    </w:p>
    <w:p w14:paraId="6F36B6D2" w14:textId="6E995CBE" w:rsidR="00C36793" w:rsidRPr="00C36793" w:rsidRDefault="00C36793" w:rsidP="00C36793">
      <w:pPr>
        <w:spacing w:line="360" w:lineRule="auto"/>
        <w:rPr>
          <w:rFonts w:ascii="Times New Roman" w:hAnsi="Times New Roman" w:cs="Times New Roman"/>
          <w:sz w:val="24"/>
          <w:szCs w:val="24"/>
        </w:rPr>
      </w:pPr>
      <w:r w:rsidRPr="00C36793">
        <w:rPr>
          <w:rFonts w:ascii="Times New Roman" w:hAnsi="Times New Roman" w:cs="Times New Roman"/>
          <w:sz w:val="24"/>
          <w:szCs w:val="24"/>
        </w:rPr>
        <w:t>Business Traveller (2025)</w:t>
      </w:r>
      <w:r>
        <w:rPr>
          <w:rFonts w:ascii="Times New Roman" w:hAnsi="Times New Roman" w:cs="Times New Roman"/>
          <w:sz w:val="24"/>
          <w:szCs w:val="24"/>
        </w:rPr>
        <w:t>.</w:t>
      </w:r>
      <w:r w:rsidRPr="00C36793">
        <w:rPr>
          <w:rFonts w:ascii="Times New Roman" w:hAnsi="Times New Roman" w:cs="Times New Roman"/>
          <w:sz w:val="24"/>
          <w:szCs w:val="24"/>
        </w:rPr>
        <w:t xml:space="preserve"> </w:t>
      </w:r>
      <w:r w:rsidRPr="00C36793">
        <w:rPr>
          <w:rFonts w:ascii="Times New Roman" w:hAnsi="Times New Roman" w:cs="Times New Roman"/>
          <w:i/>
          <w:iCs/>
          <w:sz w:val="24"/>
          <w:szCs w:val="24"/>
        </w:rPr>
        <w:t>IAG reports record annual profits of EUR 4.4 billion,</w:t>
      </w:r>
      <w:r w:rsidRPr="00C36793">
        <w:rPr>
          <w:rFonts w:ascii="Times New Roman" w:hAnsi="Times New Roman" w:cs="Times New Roman"/>
          <w:sz w:val="24"/>
          <w:szCs w:val="24"/>
        </w:rPr>
        <w:t xml:space="preserve"> Business Traveller, Available at: </w:t>
      </w:r>
      <w:hyperlink r:id="rId7" w:history="1">
        <w:r w:rsidRPr="000E333E">
          <w:rPr>
            <w:rStyle w:val="Hyperlink"/>
            <w:rFonts w:ascii="Times New Roman" w:hAnsi="Times New Roman" w:cs="Times New Roman"/>
            <w:sz w:val="24"/>
            <w:szCs w:val="24"/>
          </w:rPr>
          <w:t>https://www.businesstraveller.com/business-travel/2025/02/28/iag-reports-record-annual-profits-of-e4-4-billion/</w:t>
        </w:r>
      </w:hyperlink>
      <w:r>
        <w:rPr>
          <w:rFonts w:ascii="Times New Roman" w:hAnsi="Times New Roman" w:cs="Times New Roman"/>
          <w:sz w:val="24"/>
          <w:szCs w:val="24"/>
        </w:rPr>
        <w:t xml:space="preserve"> </w:t>
      </w:r>
      <w:r w:rsidRPr="00C36793">
        <w:rPr>
          <w:rFonts w:ascii="Times New Roman" w:hAnsi="Times New Roman" w:cs="Times New Roman"/>
          <w:sz w:val="24"/>
          <w:szCs w:val="24"/>
        </w:rPr>
        <w:t xml:space="preserve"> (Accessed: 10 July 2026).</w:t>
      </w:r>
    </w:p>
    <w:p w14:paraId="58303316" w14:textId="117F0CCE" w:rsidR="00722115" w:rsidRPr="00C36793" w:rsidRDefault="00722115" w:rsidP="00C36793">
      <w:pPr>
        <w:spacing w:line="360" w:lineRule="auto"/>
        <w:rPr>
          <w:rFonts w:ascii="Times New Roman" w:hAnsi="Times New Roman" w:cs="Times New Roman"/>
          <w:sz w:val="24"/>
          <w:szCs w:val="24"/>
        </w:rPr>
      </w:pPr>
      <w:r w:rsidRPr="00722115">
        <w:rPr>
          <w:rFonts w:ascii="Times New Roman" w:hAnsi="Times New Roman" w:cs="Times New Roman"/>
          <w:sz w:val="24"/>
          <w:szCs w:val="24"/>
        </w:rPr>
        <w:t xml:space="preserve">Cinquini, </w:t>
      </w:r>
      <w:r>
        <w:rPr>
          <w:rFonts w:ascii="Times New Roman" w:hAnsi="Times New Roman" w:cs="Times New Roman"/>
          <w:sz w:val="24"/>
          <w:szCs w:val="24"/>
        </w:rPr>
        <w:t>L.</w:t>
      </w:r>
      <w:r w:rsidRPr="00722115">
        <w:rPr>
          <w:rFonts w:ascii="Times New Roman" w:hAnsi="Times New Roman" w:cs="Times New Roman"/>
          <w:sz w:val="24"/>
          <w:szCs w:val="24"/>
        </w:rPr>
        <w:t xml:space="preserve"> </w:t>
      </w:r>
      <w:r>
        <w:rPr>
          <w:rFonts w:ascii="Times New Roman" w:hAnsi="Times New Roman" w:cs="Times New Roman"/>
          <w:sz w:val="24"/>
          <w:szCs w:val="24"/>
        </w:rPr>
        <w:t>&amp;</w:t>
      </w:r>
      <w:r w:rsidRPr="00722115">
        <w:rPr>
          <w:rFonts w:ascii="Times New Roman" w:hAnsi="Times New Roman" w:cs="Times New Roman"/>
          <w:sz w:val="24"/>
          <w:szCs w:val="24"/>
        </w:rPr>
        <w:t xml:space="preserve"> Tenucci</w:t>
      </w:r>
      <w:r>
        <w:rPr>
          <w:rFonts w:ascii="Times New Roman" w:hAnsi="Times New Roman" w:cs="Times New Roman"/>
          <w:sz w:val="24"/>
          <w:szCs w:val="24"/>
        </w:rPr>
        <w:t>, A. (2010).</w:t>
      </w:r>
      <w:r w:rsidRPr="00722115">
        <w:rPr>
          <w:rFonts w:ascii="Times New Roman" w:hAnsi="Times New Roman" w:cs="Times New Roman"/>
          <w:sz w:val="24"/>
          <w:szCs w:val="24"/>
        </w:rPr>
        <w:t xml:space="preserve"> Strategic Management Accounting and Business Strategy: A Loose Coupling? </w:t>
      </w:r>
      <w:r w:rsidRPr="00722115">
        <w:rPr>
          <w:rFonts w:ascii="Times New Roman" w:hAnsi="Times New Roman" w:cs="Times New Roman"/>
          <w:i/>
          <w:iCs/>
          <w:sz w:val="24"/>
          <w:szCs w:val="24"/>
        </w:rPr>
        <w:t>Journal of Accounting &amp; Organisational Change</w:t>
      </w:r>
      <w:r w:rsidRPr="00722115">
        <w:rPr>
          <w:rFonts w:ascii="Times New Roman" w:hAnsi="Times New Roman" w:cs="Times New Roman"/>
          <w:sz w:val="24"/>
          <w:szCs w:val="24"/>
        </w:rPr>
        <w:t xml:space="preserve">, Vol. 6, No. 2; </w:t>
      </w:r>
      <w:hyperlink r:id="rId8" w:history="1">
        <w:r w:rsidRPr="000E333E">
          <w:rPr>
            <w:rStyle w:val="Hyperlink"/>
            <w:rFonts w:ascii="Times New Roman" w:hAnsi="Times New Roman" w:cs="Times New Roman"/>
            <w:sz w:val="24"/>
            <w:szCs w:val="24"/>
          </w:rPr>
          <w:t>https://www.emerald.com/insight/content/doi/10.1108/18325911011048772/full/html</w:t>
        </w:r>
      </w:hyperlink>
      <w:r>
        <w:rPr>
          <w:rFonts w:ascii="Times New Roman" w:hAnsi="Times New Roman" w:cs="Times New Roman"/>
          <w:sz w:val="24"/>
          <w:szCs w:val="24"/>
        </w:rPr>
        <w:t xml:space="preserve"> </w:t>
      </w:r>
      <w:r w:rsidRPr="00722115">
        <w:rPr>
          <w:rFonts w:ascii="Times New Roman" w:hAnsi="Times New Roman" w:cs="Times New Roman"/>
          <w:sz w:val="24"/>
          <w:szCs w:val="24"/>
        </w:rPr>
        <w:t xml:space="preserve"> </w:t>
      </w:r>
      <w:r>
        <w:rPr>
          <w:rFonts w:ascii="Times New Roman" w:hAnsi="Times New Roman" w:cs="Times New Roman"/>
          <w:sz w:val="24"/>
          <w:szCs w:val="24"/>
        </w:rPr>
        <w:t>(Accessed on 11/07/2026).</w:t>
      </w:r>
    </w:p>
    <w:p w14:paraId="14EB8BA1" w14:textId="18F7C307" w:rsidR="00C36793" w:rsidRPr="00C36793" w:rsidRDefault="00C36793" w:rsidP="00C36793">
      <w:pPr>
        <w:spacing w:line="360" w:lineRule="auto"/>
        <w:rPr>
          <w:rFonts w:ascii="Times New Roman" w:hAnsi="Times New Roman" w:cs="Times New Roman"/>
          <w:sz w:val="24"/>
          <w:szCs w:val="24"/>
        </w:rPr>
      </w:pPr>
      <w:r w:rsidRPr="00C36793">
        <w:rPr>
          <w:rFonts w:ascii="Times New Roman" w:hAnsi="Times New Roman" w:cs="Times New Roman"/>
          <w:sz w:val="24"/>
          <w:szCs w:val="24"/>
        </w:rPr>
        <w:t>Doyle, S. (2025)</w:t>
      </w:r>
      <w:r w:rsidR="00722115">
        <w:rPr>
          <w:rFonts w:ascii="Times New Roman" w:hAnsi="Times New Roman" w:cs="Times New Roman"/>
          <w:sz w:val="24"/>
          <w:szCs w:val="24"/>
        </w:rPr>
        <w:t>.</w:t>
      </w:r>
      <w:r w:rsidRPr="00722115">
        <w:rPr>
          <w:rFonts w:ascii="Times New Roman" w:hAnsi="Times New Roman" w:cs="Times New Roman"/>
          <w:i/>
          <w:iCs/>
          <w:sz w:val="24"/>
          <w:szCs w:val="24"/>
        </w:rPr>
        <w:t xml:space="preserve"> A Message from CEO Sean Doyle Following </w:t>
      </w:r>
      <w:r w:rsidR="00722115" w:rsidRPr="00722115">
        <w:rPr>
          <w:rFonts w:ascii="Times New Roman" w:hAnsi="Times New Roman" w:cs="Times New Roman"/>
          <w:i/>
          <w:iCs/>
          <w:sz w:val="24"/>
          <w:szCs w:val="24"/>
        </w:rPr>
        <w:t xml:space="preserve">the </w:t>
      </w:r>
      <w:r w:rsidRPr="00722115">
        <w:rPr>
          <w:rFonts w:ascii="Times New Roman" w:hAnsi="Times New Roman" w:cs="Times New Roman"/>
          <w:i/>
          <w:iCs/>
          <w:sz w:val="24"/>
          <w:szCs w:val="24"/>
        </w:rPr>
        <w:t xml:space="preserve">Release of IAG Annual Results. </w:t>
      </w:r>
      <w:r w:rsidRPr="00C36793">
        <w:rPr>
          <w:rFonts w:ascii="Times New Roman" w:hAnsi="Times New Roman" w:cs="Times New Roman"/>
          <w:sz w:val="24"/>
          <w:szCs w:val="24"/>
        </w:rPr>
        <w:t xml:space="preserve">British Airways Media Centre. Available at: </w:t>
      </w:r>
      <w:hyperlink r:id="rId9" w:history="1">
        <w:r w:rsidR="00722115" w:rsidRPr="000E333E">
          <w:rPr>
            <w:rStyle w:val="Hyperlink"/>
            <w:rFonts w:ascii="Times New Roman" w:hAnsi="Times New Roman" w:cs="Times New Roman"/>
            <w:sz w:val="24"/>
            <w:szCs w:val="24"/>
          </w:rPr>
          <w:t>https://mediacentre.britishairways.com/pressrelease/details/24855</w:t>
        </w:r>
      </w:hyperlink>
      <w:r w:rsidR="00722115">
        <w:rPr>
          <w:rFonts w:ascii="Times New Roman" w:hAnsi="Times New Roman" w:cs="Times New Roman"/>
          <w:sz w:val="24"/>
          <w:szCs w:val="24"/>
        </w:rPr>
        <w:t xml:space="preserve"> </w:t>
      </w:r>
      <w:r w:rsidRPr="00C36793">
        <w:rPr>
          <w:rFonts w:ascii="Times New Roman" w:hAnsi="Times New Roman" w:cs="Times New Roman"/>
          <w:sz w:val="24"/>
          <w:szCs w:val="24"/>
        </w:rPr>
        <w:t xml:space="preserve"> (Accessed: 10 July 2026).</w:t>
      </w:r>
    </w:p>
    <w:p w14:paraId="2B5858E3" w14:textId="7DCFC315" w:rsidR="00C36793" w:rsidRPr="00C36793" w:rsidRDefault="00C36793" w:rsidP="00C36793">
      <w:pPr>
        <w:spacing w:line="360" w:lineRule="auto"/>
        <w:rPr>
          <w:rFonts w:ascii="Times New Roman" w:hAnsi="Times New Roman" w:cs="Times New Roman"/>
          <w:sz w:val="24"/>
          <w:szCs w:val="24"/>
        </w:rPr>
      </w:pPr>
      <w:r w:rsidRPr="00C36793">
        <w:rPr>
          <w:rFonts w:ascii="Times New Roman" w:hAnsi="Times New Roman" w:cs="Times New Roman"/>
          <w:sz w:val="24"/>
          <w:szCs w:val="24"/>
        </w:rPr>
        <w:t>Drury, C. (2021)</w:t>
      </w:r>
      <w:r w:rsidR="00722115">
        <w:rPr>
          <w:rFonts w:ascii="Times New Roman" w:hAnsi="Times New Roman" w:cs="Times New Roman"/>
          <w:sz w:val="24"/>
          <w:szCs w:val="24"/>
        </w:rPr>
        <w:t>.</w:t>
      </w:r>
      <w:r w:rsidRPr="00C36793">
        <w:rPr>
          <w:rFonts w:ascii="Times New Roman" w:hAnsi="Times New Roman" w:cs="Times New Roman"/>
          <w:sz w:val="24"/>
          <w:szCs w:val="24"/>
        </w:rPr>
        <w:t xml:space="preserve"> </w:t>
      </w:r>
      <w:r w:rsidRPr="00722115">
        <w:rPr>
          <w:rFonts w:ascii="Times New Roman" w:hAnsi="Times New Roman" w:cs="Times New Roman"/>
          <w:i/>
          <w:iCs/>
          <w:sz w:val="24"/>
          <w:szCs w:val="24"/>
        </w:rPr>
        <w:t>Management and Cost Accounting</w:t>
      </w:r>
      <w:r w:rsidRPr="00C36793">
        <w:rPr>
          <w:rFonts w:ascii="Times New Roman" w:hAnsi="Times New Roman" w:cs="Times New Roman"/>
          <w:sz w:val="24"/>
          <w:szCs w:val="24"/>
        </w:rPr>
        <w:t>. 10th ed</w:t>
      </w:r>
      <w:r w:rsidR="00722115">
        <w:rPr>
          <w:rFonts w:ascii="Times New Roman" w:hAnsi="Times New Roman" w:cs="Times New Roman"/>
          <w:sz w:val="24"/>
          <w:szCs w:val="24"/>
        </w:rPr>
        <w:t>itio</w:t>
      </w:r>
      <w:r w:rsidRPr="00C36793">
        <w:rPr>
          <w:rFonts w:ascii="Times New Roman" w:hAnsi="Times New Roman" w:cs="Times New Roman"/>
          <w:sz w:val="24"/>
          <w:szCs w:val="24"/>
        </w:rPr>
        <w:t>n. London: Cengage Learning.</w:t>
      </w:r>
    </w:p>
    <w:p w14:paraId="7756B52F" w14:textId="1941000D" w:rsidR="00C36793" w:rsidRPr="00C36793" w:rsidRDefault="00C36793" w:rsidP="00C36793">
      <w:pPr>
        <w:spacing w:line="360" w:lineRule="auto"/>
        <w:rPr>
          <w:rFonts w:ascii="Times New Roman" w:hAnsi="Times New Roman" w:cs="Times New Roman"/>
          <w:sz w:val="24"/>
          <w:szCs w:val="24"/>
        </w:rPr>
      </w:pPr>
      <w:r w:rsidRPr="00C36793">
        <w:rPr>
          <w:rFonts w:ascii="Times New Roman" w:hAnsi="Times New Roman" w:cs="Times New Roman"/>
          <w:sz w:val="24"/>
          <w:szCs w:val="24"/>
        </w:rPr>
        <w:t>Garrison, R.H., Noreen, E.W.</w:t>
      </w:r>
      <w:r w:rsidR="00722115">
        <w:rPr>
          <w:rFonts w:ascii="Times New Roman" w:hAnsi="Times New Roman" w:cs="Times New Roman"/>
          <w:sz w:val="24"/>
          <w:szCs w:val="24"/>
        </w:rPr>
        <w:t>,</w:t>
      </w:r>
      <w:r w:rsidRPr="00C36793">
        <w:rPr>
          <w:rFonts w:ascii="Times New Roman" w:hAnsi="Times New Roman" w:cs="Times New Roman"/>
          <w:sz w:val="24"/>
          <w:szCs w:val="24"/>
        </w:rPr>
        <w:t xml:space="preserve"> </w:t>
      </w:r>
      <w:r w:rsidR="00722115">
        <w:rPr>
          <w:rFonts w:ascii="Times New Roman" w:hAnsi="Times New Roman" w:cs="Times New Roman"/>
          <w:sz w:val="24"/>
          <w:szCs w:val="24"/>
        </w:rPr>
        <w:t>&amp;</w:t>
      </w:r>
      <w:r w:rsidRPr="00C36793">
        <w:rPr>
          <w:rFonts w:ascii="Times New Roman" w:hAnsi="Times New Roman" w:cs="Times New Roman"/>
          <w:sz w:val="24"/>
          <w:szCs w:val="24"/>
        </w:rPr>
        <w:t xml:space="preserve"> Brewer, P.C. (2021)</w:t>
      </w:r>
      <w:r w:rsidR="00722115">
        <w:rPr>
          <w:rFonts w:ascii="Times New Roman" w:hAnsi="Times New Roman" w:cs="Times New Roman"/>
          <w:sz w:val="24"/>
          <w:szCs w:val="24"/>
        </w:rPr>
        <w:t>.</w:t>
      </w:r>
      <w:r w:rsidRPr="00C36793">
        <w:rPr>
          <w:rFonts w:ascii="Times New Roman" w:hAnsi="Times New Roman" w:cs="Times New Roman"/>
          <w:sz w:val="24"/>
          <w:szCs w:val="24"/>
        </w:rPr>
        <w:t xml:space="preserve"> </w:t>
      </w:r>
      <w:r w:rsidRPr="00722115">
        <w:rPr>
          <w:rFonts w:ascii="Times New Roman" w:hAnsi="Times New Roman" w:cs="Times New Roman"/>
          <w:i/>
          <w:iCs/>
          <w:sz w:val="24"/>
          <w:szCs w:val="24"/>
        </w:rPr>
        <w:t>Managerial Accounting</w:t>
      </w:r>
      <w:r w:rsidRPr="00C36793">
        <w:rPr>
          <w:rFonts w:ascii="Times New Roman" w:hAnsi="Times New Roman" w:cs="Times New Roman"/>
          <w:sz w:val="24"/>
          <w:szCs w:val="24"/>
        </w:rPr>
        <w:t>. 17th ed</w:t>
      </w:r>
      <w:r w:rsidR="00722115">
        <w:rPr>
          <w:rFonts w:ascii="Times New Roman" w:hAnsi="Times New Roman" w:cs="Times New Roman"/>
          <w:sz w:val="24"/>
          <w:szCs w:val="24"/>
        </w:rPr>
        <w:t>itio</w:t>
      </w:r>
      <w:r w:rsidRPr="00C36793">
        <w:rPr>
          <w:rFonts w:ascii="Times New Roman" w:hAnsi="Times New Roman" w:cs="Times New Roman"/>
          <w:sz w:val="24"/>
          <w:szCs w:val="24"/>
        </w:rPr>
        <w:t>n. New York: McGraw-Hill.</w:t>
      </w:r>
    </w:p>
    <w:p w14:paraId="5471B92B" w14:textId="64A1474C" w:rsidR="00C36793" w:rsidRPr="00C36793" w:rsidRDefault="00C36793" w:rsidP="00C36793">
      <w:pPr>
        <w:spacing w:line="360" w:lineRule="auto"/>
        <w:rPr>
          <w:rFonts w:ascii="Times New Roman" w:hAnsi="Times New Roman" w:cs="Times New Roman"/>
          <w:sz w:val="24"/>
          <w:szCs w:val="24"/>
        </w:rPr>
      </w:pPr>
      <w:r w:rsidRPr="00C36793">
        <w:rPr>
          <w:rFonts w:ascii="Times New Roman" w:hAnsi="Times New Roman" w:cs="Times New Roman"/>
          <w:sz w:val="24"/>
          <w:szCs w:val="24"/>
        </w:rPr>
        <w:t>Horngren, C.T., Datar, S.M.</w:t>
      </w:r>
      <w:r w:rsidR="00722115">
        <w:rPr>
          <w:rFonts w:ascii="Times New Roman" w:hAnsi="Times New Roman" w:cs="Times New Roman"/>
          <w:sz w:val="24"/>
          <w:szCs w:val="24"/>
        </w:rPr>
        <w:t>,</w:t>
      </w:r>
      <w:r w:rsidRPr="00C36793">
        <w:rPr>
          <w:rFonts w:ascii="Times New Roman" w:hAnsi="Times New Roman" w:cs="Times New Roman"/>
          <w:sz w:val="24"/>
          <w:szCs w:val="24"/>
        </w:rPr>
        <w:t xml:space="preserve"> </w:t>
      </w:r>
      <w:r w:rsidR="00722115">
        <w:rPr>
          <w:rFonts w:ascii="Times New Roman" w:hAnsi="Times New Roman" w:cs="Times New Roman"/>
          <w:sz w:val="24"/>
          <w:szCs w:val="24"/>
        </w:rPr>
        <w:t>&amp;</w:t>
      </w:r>
      <w:r w:rsidRPr="00C36793">
        <w:rPr>
          <w:rFonts w:ascii="Times New Roman" w:hAnsi="Times New Roman" w:cs="Times New Roman"/>
          <w:sz w:val="24"/>
          <w:szCs w:val="24"/>
        </w:rPr>
        <w:t xml:space="preserve"> Rajan, M.V. (2015)</w:t>
      </w:r>
      <w:r w:rsidR="00722115">
        <w:rPr>
          <w:rFonts w:ascii="Times New Roman" w:hAnsi="Times New Roman" w:cs="Times New Roman"/>
          <w:sz w:val="24"/>
          <w:szCs w:val="24"/>
        </w:rPr>
        <w:t>.</w:t>
      </w:r>
      <w:r w:rsidRPr="00C36793">
        <w:rPr>
          <w:rFonts w:ascii="Times New Roman" w:hAnsi="Times New Roman" w:cs="Times New Roman"/>
          <w:sz w:val="24"/>
          <w:szCs w:val="24"/>
        </w:rPr>
        <w:t xml:space="preserve"> </w:t>
      </w:r>
      <w:r w:rsidRPr="00722115">
        <w:rPr>
          <w:rFonts w:ascii="Times New Roman" w:hAnsi="Times New Roman" w:cs="Times New Roman"/>
          <w:i/>
          <w:iCs/>
          <w:sz w:val="24"/>
          <w:szCs w:val="24"/>
        </w:rPr>
        <w:t xml:space="preserve">Cost Accounting: A Managerial Emphasis. </w:t>
      </w:r>
      <w:r w:rsidRPr="00C36793">
        <w:rPr>
          <w:rFonts w:ascii="Times New Roman" w:hAnsi="Times New Roman" w:cs="Times New Roman"/>
          <w:sz w:val="24"/>
          <w:szCs w:val="24"/>
        </w:rPr>
        <w:t>15th ed</w:t>
      </w:r>
      <w:r w:rsidR="00722115">
        <w:rPr>
          <w:rFonts w:ascii="Times New Roman" w:hAnsi="Times New Roman" w:cs="Times New Roman"/>
          <w:sz w:val="24"/>
          <w:szCs w:val="24"/>
        </w:rPr>
        <w:t>itio</w:t>
      </w:r>
      <w:r w:rsidRPr="00C36793">
        <w:rPr>
          <w:rFonts w:ascii="Times New Roman" w:hAnsi="Times New Roman" w:cs="Times New Roman"/>
          <w:sz w:val="24"/>
          <w:szCs w:val="24"/>
        </w:rPr>
        <w:t>n. Harlow: Pearson.</w:t>
      </w:r>
    </w:p>
    <w:p w14:paraId="29D99272" w14:textId="77777777" w:rsidR="00C36793" w:rsidRPr="00C36793" w:rsidRDefault="00C36793" w:rsidP="00C36793">
      <w:pPr>
        <w:spacing w:line="360" w:lineRule="auto"/>
        <w:rPr>
          <w:rFonts w:ascii="Times New Roman" w:hAnsi="Times New Roman" w:cs="Times New Roman"/>
          <w:sz w:val="24"/>
          <w:szCs w:val="24"/>
        </w:rPr>
      </w:pPr>
      <w:r w:rsidRPr="00C36793">
        <w:rPr>
          <w:rFonts w:ascii="Times New Roman" w:hAnsi="Times New Roman" w:cs="Times New Roman"/>
          <w:sz w:val="24"/>
          <w:szCs w:val="24"/>
        </w:rPr>
        <w:lastRenderedPageBreak/>
        <w:t xml:space="preserve">International Air Transport Association (IATA) (2024) </w:t>
      </w:r>
      <w:r w:rsidRPr="00722115">
        <w:rPr>
          <w:rFonts w:ascii="Times New Roman" w:hAnsi="Times New Roman" w:cs="Times New Roman"/>
          <w:i/>
          <w:iCs/>
          <w:sz w:val="24"/>
          <w:szCs w:val="24"/>
        </w:rPr>
        <w:t>Airline Industry Economic Performance - Mid-Year 2024</w:t>
      </w:r>
      <w:r w:rsidRPr="00C36793">
        <w:rPr>
          <w:rFonts w:ascii="Times New Roman" w:hAnsi="Times New Roman" w:cs="Times New Roman"/>
          <w:sz w:val="24"/>
          <w:szCs w:val="24"/>
        </w:rPr>
        <w:t>. Geneva: IATA.</w:t>
      </w:r>
    </w:p>
    <w:p w14:paraId="1AD3E181" w14:textId="3CAA06FF" w:rsidR="00C36793" w:rsidRPr="00C36793" w:rsidRDefault="00C36793" w:rsidP="00C36793">
      <w:pPr>
        <w:spacing w:line="360" w:lineRule="auto"/>
        <w:rPr>
          <w:rFonts w:ascii="Times New Roman" w:hAnsi="Times New Roman" w:cs="Times New Roman"/>
          <w:sz w:val="24"/>
          <w:szCs w:val="24"/>
        </w:rPr>
      </w:pPr>
      <w:r w:rsidRPr="00C36793">
        <w:rPr>
          <w:rFonts w:ascii="Times New Roman" w:hAnsi="Times New Roman" w:cs="Times New Roman"/>
          <w:sz w:val="24"/>
          <w:szCs w:val="24"/>
        </w:rPr>
        <w:t>International Airlines Group (IAG) (2024</w:t>
      </w:r>
      <w:r w:rsidRPr="00722115">
        <w:rPr>
          <w:rFonts w:ascii="Times New Roman" w:hAnsi="Times New Roman" w:cs="Times New Roman"/>
          <w:i/>
          <w:iCs/>
          <w:sz w:val="24"/>
          <w:szCs w:val="24"/>
        </w:rPr>
        <w:t xml:space="preserve">) British Airways </w:t>
      </w:r>
      <w:r w:rsidR="00722115" w:rsidRPr="00722115">
        <w:rPr>
          <w:rFonts w:ascii="Times New Roman" w:hAnsi="Times New Roman" w:cs="Times New Roman"/>
          <w:i/>
          <w:iCs/>
          <w:sz w:val="24"/>
          <w:szCs w:val="24"/>
        </w:rPr>
        <w:t>Six-Month</w:t>
      </w:r>
      <w:r w:rsidRPr="00722115">
        <w:rPr>
          <w:rFonts w:ascii="Times New Roman" w:hAnsi="Times New Roman" w:cs="Times New Roman"/>
          <w:i/>
          <w:iCs/>
          <w:sz w:val="24"/>
          <w:szCs w:val="24"/>
        </w:rPr>
        <w:t xml:space="preserve"> Results: 1 January 2024 - 30 June 2024</w:t>
      </w:r>
      <w:r w:rsidRPr="00C36793">
        <w:rPr>
          <w:rFonts w:ascii="Times New Roman" w:hAnsi="Times New Roman" w:cs="Times New Roman"/>
          <w:sz w:val="24"/>
          <w:szCs w:val="24"/>
        </w:rPr>
        <w:t xml:space="preserve">. Available at: </w:t>
      </w:r>
      <w:hyperlink r:id="rId10" w:history="1">
        <w:r w:rsidR="00722115" w:rsidRPr="000E333E">
          <w:rPr>
            <w:rStyle w:val="Hyperlink"/>
            <w:rFonts w:ascii="Times New Roman" w:hAnsi="Times New Roman" w:cs="Times New Roman"/>
            <w:sz w:val="24"/>
            <w:szCs w:val="24"/>
          </w:rPr>
          <w:t>https://www.iairgroup.com/media/gssms4s5/2024-q2-imr-final.pdf</w:t>
        </w:r>
      </w:hyperlink>
      <w:r w:rsidR="00722115">
        <w:rPr>
          <w:rFonts w:ascii="Times New Roman" w:hAnsi="Times New Roman" w:cs="Times New Roman"/>
          <w:sz w:val="24"/>
          <w:szCs w:val="24"/>
        </w:rPr>
        <w:t xml:space="preserve"> </w:t>
      </w:r>
      <w:r w:rsidRPr="00C36793">
        <w:rPr>
          <w:rFonts w:ascii="Times New Roman" w:hAnsi="Times New Roman" w:cs="Times New Roman"/>
          <w:sz w:val="24"/>
          <w:szCs w:val="24"/>
        </w:rPr>
        <w:t xml:space="preserve"> (Accessed: 1</w:t>
      </w:r>
      <w:r w:rsidR="00722115">
        <w:rPr>
          <w:rFonts w:ascii="Times New Roman" w:hAnsi="Times New Roman" w:cs="Times New Roman"/>
          <w:sz w:val="24"/>
          <w:szCs w:val="24"/>
        </w:rPr>
        <w:t>1</w:t>
      </w:r>
      <w:r w:rsidRPr="00C36793">
        <w:rPr>
          <w:rFonts w:ascii="Times New Roman" w:hAnsi="Times New Roman" w:cs="Times New Roman"/>
          <w:sz w:val="24"/>
          <w:szCs w:val="24"/>
        </w:rPr>
        <w:t xml:space="preserve"> July 2026).</w:t>
      </w:r>
    </w:p>
    <w:p w14:paraId="4D7ECD48" w14:textId="77777777" w:rsidR="00C36793" w:rsidRPr="00C36793" w:rsidRDefault="00C36793" w:rsidP="00C36793">
      <w:pPr>
        <w:spacing w:line="360" w:lineRule="auto"/>
        <w:rPr>
          <w:rFonts w:ascii="Times New Roman" w:hAnsi="Times New Roman" w:cs="Times New Roman"/>
          <w:sz w:val="24"/>
          <w:szCs w:val="24"/>
        </w:rPr>
      </w:pPr>
      <w:r w:rsidRPr="00C36793">
        <w:rPr>
          <w:rFonts w:ascii="Times New Roman" w:hAnsi="Times New Roman" w:cs="Times New Roman"/>
          <w:sz w:val="24"/>
          <w:szCs w:val="24"/>
        </w:rPr>
        <w:t xml:space="preserve">International Airlines Group (IAG) (2025) </w:t>
      </w:r>
      <w:r w:rsidRPr="00722115">
        <w:rPr>
          <w:rFonts w:ascii="Times New Roman" w:hAnsi="Times New Roman" w:cs="Times New Roman"/>
          <w:i/>
          <w:iCs/>
          <w:sz w:val="24"/>
          <w:szCs w:val="24"/>
        </w:rPr>
        <w:t>Annual Report and Accounts 2024</w:t>
      </w:r>
      <w:r w:rsidRPr="00C36793">
        <w:rPr>
          <w:rFonts w:ascii="Times New Roman" w:hAnsi="Times New Roman" w:cs="Times New Roman"/>
          <w:sz w:val="24"/>
          <w:szCs w:val="24"/>
        </w:rPr>
        <w:t>. Madrid: IAG.</w:t>
      </w:r>
    </w:p>
    <w:p w14:paraId="14961E92" w14:textId="468891F4" w:rsidR="00C36793" w:rsidRPr="00C36793" w:rsidRDefault="00C36793" w:rsidP="00C36793">
      <w:pPr>
        <w:spacing w:line="360" w:lineRule="auto"/>
        <w:rPr>
          <w:rFonts w:ascii="Times New Roman" w:hAnsi="Times New Roman" w:cs="Times New Roman"/>
          <w:sz w:val="24"/>
          <w:szCs w:val="24"/>
        </w:rPr>
      </w:pPr>
      <w:r w:rsidRPr="00C36793">
        <w:rPr>
          <w:rFonts w:ascii="Times New Roman" w:hAnsi="Times New Roman" w:cs="Times New Roman"/>
          <w:sz w:val="24"/>
          <w:szCs w:val="24"/>
        </w:rPr>
        <w:t xml:space="preserve">Kaplan, R.S. </w:t>
      </w:r>
      <w:r w:rsidR="00722115">
        <w:rPr>
          <w:rFonts w:ascii="Times New Roman" w:hAnsi="Times New Roman" w:cs="Times New Roman"/>
          <w:sz w:val="24"/>
          <w:szCs w:val="24"/>
        </w:rPr>
        <w:t>&amp;</w:t>
      </w:r>
      <w:r w:rsidRPr="00C36793">
        <w:rPr>
          <w:rFonts w:ascii="Times New Roman" w:hAnsi="Times New Roman" w:cs="Times New Roman"/>
          <w:sz w:val="24"/>
          <w:szCs w:val="24"/>
        </w:rPr>
        <w:t xml:space="preserve"> Anderson, S.R. (2007)</w:t>
      </w:r>
      <w:r w:rsidR="00722115">
        <w:rPr>
          <w:rFonts w:ascii="Times New Roman" w:hAnsi="Times New Roman" w:cs="Times New Roman"/>
          <w:sz w:val="24"/>
          <w:szCs w:val="24"/>
        </w:rPr>
        <w:t>.</w:t>
      </w:r>
      <w:r w:rsidRPr="00C36793">
        <w:rPr>
          <w:rFonts w:ascii="Times New Roman" w:hAnsi="Times New Roman" w:cs="Times New Roman"/>
          <w:sz w:val="24"/>
          <w:szCs w:val="24"/>
        </w:rPr>
        <w:t xml:space="preserve"> </w:t>
      </w:r>
      <w:r w:rsidRPr="00722115">
        <w:rPr>
          <w:rFonts w:ascii="Times New Roman" w:hAnsi="Times New Roman" w:cs="Times New Roman"/>
          <w:i/>
          <w:iCs/>
          <w:sz w:val="24"/>
          <w:szCs w:val="24"/>
        </w:rPr>
        <w:t>Time-Driven Activity-Based Costing: A Simpler and More Powerful Path to Higher Profits</w:t>
      </w:r>
      <w:r w:rsidRPr="00C36793">
        <w:rPr>
          <w:rFonts w:ascii="Times New Roman" w:hAnsi="Times New Roman" w:cs="Times New Roman"/>
          <w:sz w:val="24"/>
          <w:szCs w:val="24"/>
        </w:rPr>
        <w:t>. Boston: Harvard Business School Press.</w:t>
      </w:r>
    </w:p>
    <w:p w14:paraId="5E1F9197" w14:textId="2B0CB8E2" w:rsidR="00C36793" w:rsidRPr="00C36793" w:rsidRDefault="00C36793" w:rsidP="00C36793">
      <w:pPr>
        <w:spacing w:line="360" w:lineRule="auto"/>
        <w:rPr>
          <w:rFonts w:ascii="Times New Roman" w:hAnsi="Times New Roman" w:cs="Times New Roman"/>
          <w:sz w:val="24"/>
          <w:szCs w:val="24"/>
        </w:rPr>
      </w:pPr>
      <w:r w:rsidRPr="00C36793">
        <w:rPr>
          <w:rFonts w:ascii="Times New Roman" w:hAnsi="Times New Roman" w:cs="Times New Roman"/>
          <w:sz w:val="24"/>
          <w:szCs w:val="24"/>
        </w:rPr>
        <w:t xml:space="preserve">Kaplan, R.S. </w:t>
      </w:r>
      <w:r w:rsidR="00722115">
        <w:rPr>
          <w:rFonts w:ascii="Times New Roman" w:hAnsi="Times New Roman" w:cs="Times New Roman"/>
          <w:sz w:val="24"/>
          <w:szCs w:val="24"/>
        </w:rPr>
        <w:t>&amp;</w:t>
      </w:r>
      <w:r w:rsidRPr="00C36793">
        <w:rPr>
          <w:rFonts w:ascii="Times New Roman" w:hAnsi="Times New Roman" w:cs="Times New Roman"/>
          <w:sz w:val="24"/>
          <w:szCs w:val="24"/>
        </w:rPr>
        <w:t xml:space="preserve"> Norton, D.P. (1996)</w:t>
      </w:r>
      <w:r w:rsidR="00722115">
        <w:rPr>
          <w:rFonts w:ascii="Times New Roman" w:hAnsi="Times New Roman" w:cs="Times New Roman"/>
          <w:sz w:val="24"/>
          <w:szCs w:val="24"/>
        </w:rPr>
        <w:t>.</w:t>
      </w:r>
      <w:r w:rsidRPr="00C36793">
        <w:rPr>
          <w:rFonts w:ascii="Times New Roman" w:hAnsi="Times New Roman" w:cs="Times New Roman"/>
          <w:sz w:val="24"/>
          <w:szCs w:val="24"/>
        </w:rPr>
        <w:t xml:space="preserve"> </w:t>
      </w:r>
      <w:r w:rsidRPr="00722115">
        <w:rPr>
          <w:rFonts w:ascii="Times New Roman" w:hAnsi="Times New Roman" w:cs="Times New Roman"/>
          <w:i/>
          <w:iCs/>
          <w:sz w:val="24"/>
          <w:szCs w:val="24"/>
        </w:rPr>
        <w:t>The Balanced Scorecard: Translating Strategy into Action.</w:t>
      </w:r>
      <w:r w:rsidRPr="00C36793">
        <w:rPr>
          <w:rFonts w:ascii="Times New Roman" w:hAnsi="Times New Roman" w:cs="Times New Roman"/>
          <w:sz w:val="24"/>
          <w:szCs w:val="24"/>
        </w:rPr>
        <w:t xml:space="preserve"> Boston: Harvard Business School Press.</w:t>
      </w:r>
    </w:p>
    <w:p w14:paraId="7C2143CA" w14:textId="3AE9B4F1" w:rsidR="00C36793" w:rsidRPr="00C36793" w:rsidRDefault="00C36793" w:rsidP="00C36793">
      <w:pPr>
        <w:spacing w:line="360" w:lineRule="auto"/>
        <w:rPr>
          <w:rFonts w:ascii="Times New Roman" w:hAnsi="Times New Roman" w:cs="Times New Roman"/>
          <w:sz w:val="24"/>
          <w:szCs w:val="24"/>
        </w:rPr>
      </w:pPr>
      <w:proofErr w:type="spellStart"/>
      <w:r w:rsidRPr="00C36793">
        <w:rPr>
          <w:rFonts w:ascii="Times New Roman" w:hAnsi="Times New Roman" w:cs="Times New Roman"/>
          <w:sz w:val="24"/>
          <w:szCs w:val="24"/>
        </w:rPr>
        <w:t>Meyka</w:t>
      </w:r>
      <w:proofErr w:type="spellEnd"/>
      <w:r w:rsidRPr="00C36793">
        <w:rPr>
          <w:rFonts w:ascii="Times New Roman" w:hAnsi="Times New Roman" w:cs="Times New Roman"/>
          <w:sz w:val="24"/>
          <w:szCs w:val="24"/>
        </w:rPr>
        <w:t xml:space="preserve"> (2025) British Airways owner anticipates GBP 1.7B impact from rising fuel costs</w:t>
      </w:r>
      <w:r w:rsidR="00722115">
        <w:rPr>
          <w:rFonts w:ascii="Times New Roman" w:hAnsi="Times New Roman" w:cs="Times New Roman"/>
          <w:sz w:val="24"/>
          <w:szCs w:val="24"/>
        </w:rPr>
        <w:t>, Online,</w:t>
      </w:r>
      <w:r w:rsidRPr="00C36793">
        <w:rPr>
          <w:rFonts w:ascii="Times New Roman" w:hAnsi="Times New Roman" w:cs="Times New Roman"/>
          <w:sz w:val="24"/>
          <w:szCs w:val="24"/>
        </w:rPr>
        <w:t xml:space="preserve"> Available at: </w:t>
      </w:r>
      <w:hyperlink r:id="rId11" w:history="1">
        <w:r w:rsidR="00722115" w:rsidRPr="000E333E">
          <w:rPr>
            <w:rStyle w:val="Hyperlink"/>
            <w:rFonts w:ascii="Times New Roman" w:hAnsi="Times New Roman" w:cs="Times New Roman"/>
            <w:sz w:val="24"/>
            <w:szCs w:val="24"/>
          </w:rPr>
          <w:t>https://meyka.com/blog/british-airways-owner-anticipates-1-7b-impact-from-rising-fuel-costs/</w:t>
        </w:r>
      </w:hyperlink>
      <w:r w:rsidR="00722115">
        <w:rPr>
          <w:rFonts w:ascii="Times New Roman" w:hAnsi="Times New Roman" w:cs="Times New Roman"/>
          <w:sz w:val="24"/>
          <w:szCs w:val="24"/>
        </w:rPr>
        <w:t xml:space="preserve"> </w:t>
      </w:r>
      <w:r w:rsidRPr="00C36793">
        <w:rPr>
          <w:rFonts w:ascii="Times New Roman" w:hAnsi="Times New Roman" w:cs="Times New Roman"/>
          <w:sz w:val="24"/>
          <w:szCs w:val="24"/>
        </w:rPr>
        <w:t xml:space="preserve"> (Accessed: 10 July 2026).</w:t>
      </w:r>
    </w:p>
    <w:p w14:paraId="233298D7" w14:textId="1DC0DDB2" w:rsidR="00C36793" w:rsidRPr="00C36793" w:rsidRDefault="00C36793" w:rsidP="00C36793">
      <w:pPr>
        <w:spacing w:line="360" w:lineRule="auto"/>
        <w:rPr>
          <w:rFonts w:ascii="Times New Roman" w:hAnsi="Times New Roman" w:cs="Times New Roman"/>
          <w:sz w:val="24"/>
          <w:szCs w:val="24"/>
        </w:rPr>
      </w:pPr>
      <w:r w:rsidRPr="00C36793">
        <w:rPr>
          <w:rFonts w:ascii="Times New Roman" w:hAnsi="Times New Roman" w:cs="Times New Roman"/>
          <w:sz w:val="24"/>
          <w:szCs w:val="24"/>
        </w:rPr>
        <w:t>Otley, D. (1999)</w:t>
      </w:r>
      <w:r w:rsidR="00722115">
        <w:rPr>
          <w:rFonts w:ascii="Times New Roman" w:hAnsi="Times New Roman" w:cs="Times New Roman"/>
          <w:sz w:val="24"/>
          <w:szCs w:val="24"/>
        </w:rPr>
        <w:t>.</w:t>
      </w:r>
      <w:r w:rsidRPr="00C36793">
        <w:rPr>
          <w:rFonts w:ascii="Times New Roman" w:hAnsi="Times New Roman" w:cs="Times New Roman"/>
          <w:sz w:val="24"/>
          <w:szCs w:val="24"/>
        </w:rPr>
        <w:t xml:space="preserve"> Performance management: a framework for management control systems research, </w:t>
      </w:r>
      <w:r w:rsidRPr="00722115">
        <w:rPr>
          <w:rFonts w:ascii="Times New Roman" w:hAnsi="Times New Roman" w:cs="Times New Roman"/>
          <w:i/>
          <w:iCs/>
          <w:sz w:val="24"/>
          <w:szCs w:val="24"/>
        </w:rPr>
        <w:t>Management Accounting Research</w:t>
      </w:r>
      <w:r w:rsidRPr="00C36793">
        <w:rPr>
          <w:rFonts w:ascii="Times New Roman" w:hAnsi="Times New Roman" w:cs="Times New Roman"/>
          <w:sz w:val="24"/>
          <w:szCs w:val="24"/>
        </w:rPr>
        <w:t>, 10(4), pp. 363</w:t>
      </w:r>
      <w:r w:rsidR="00722115">
        <w:rPr>
          <w:rFonts w:ascii="Times New Roman" w:hAnsi="Times New Roman" w:cs="Times New Roman"/>
          <w:sz w:val="24"/>
          <w:szCs w:val="24"/>
        </w:rPr>
        <w:t>–</w:t>
      </w:r>
      <w:r w:rsidRPr="00C36793">
        <w:rPr>
          <w:rFonts w:ascii="Times New Roman" w:hAnsi="Times New Roman" w:cs="Times New Roman"/>
          <w:sz w:val="24"/>
          <w:szCs w:val="24"/>
        </w:rPr>
        <w:t>382.</w:t>
      </w:r>
    </w:p>
    <w:p w14:paraId="671E3EB4" w14:textId="0B05B73B" w:rsidR="00C36793" w:rsidRPr="00C36793" w:rsidRDefault="00C36793" w:rsidP="00C36793">
      <w:pPr>
        <w:spacing w:line="360" w:lineRule="auto"/>
        <w:rPr>
          <w:rFonts w:ascii="Times New Roman" w:hAnsi="Times New Roman" w:cs="Times New Roman"/>
          <w:sz w:val="24"/>
          <w:szCs w:val="24"/>
        </w:rPr>
      </w:pPr>
      <w:r w:rsidRPr="00C36793">
        <w:rPr>
          <w:rFonts w:ascii="Times New Roman" w:hAnsi="Times New Roman" w:cs="Times New Roman"/>
          <w:sz w:val="24"/>
          <w:szCs w:val="24"/>
        </w:rPr>
        <w:t>Porter, M.E. (1985)</w:t>
      </w:r>
      <w:r w:rsidR="00722115">
        <w:rPr>
          <w:rFonts w:ascii="Times New Roman" w:hAnsi="Times New Roman" w:cs="Times New Roman"/>
          <w:sz w:val="24"/>
          <w:szCs w:val="24"/>
        </w:rPr>
        <w:t>.</w:t>
      </w:r>
      <w:r w:rsidRPr="00C36793">
        <w:rPr>
          <w:rFonts w:ascii="Times New Roman" w:hAnsi="Times New Roman" w:cs="Times New Roman"/>
          <w:sz w:val="24"/>
          <w:szCs w:val="24"/>
        </w:rPr>
        <w:t xml:space="preserve"> </w:t>
      </w:r>
      <w:r w:rsidRPr="00722115">
        <w:rPr>
          <w:rFonts w:ascii="Times New Roman" w:hAnsi="Times New Roman" w:cs="Times New Roman"/>
          <w:i/>
          <w:iCs/>
          <w:sz w:val="24"/>
          <w:szCs w:val="24"/>
        </w:rPr>
        <w:t>Competitive Advantage: Creating and Sustaining Superior Performance</w:t>
      </w:r>
      <w:r w:rsidRPr="00C36793">
        <w:rPr>
          <w:rFonts w:ascii="Times New Roman" w:hAnsi="Times New Roman" w:cs="Times New Roman"/>
          <w:sz w:val="24"/>
          <w:szCs w:val="24"/>
        </w:rPr>
        <w:t>. New York: Free Press.</w:t>
      </w:r>
    </w:p>
    <w:p w14:paraId="0E586DFD" w14:textId="7CBCFE6B" w:rsidR="00C36793" w:rsidRPr="00C36793" w:rsidRDefault="00C36793" w:rsidP="00C36793">
      <w:pPr>
        <w:spacing w:line="360" w:lineRule="auto"/>
        <w:rPr>
          <w:rFonts w:ascii="Times New Roman" w:hAnsi="Times New Roman" w:cs="Times New Roman"/>
          <w:sz w:val="24"/>
          <w:szCs w:val="24"/>
        </w:rPr>
      </w:pPr>
      <w:r w:rsidRPr="00C36793">
        <w:rPr>
          <w:rFonts w:ascii="Times New Roman" w:hAnsi="Times New Roman" w:cs="Times New Roman"/>
          <w:sz w:val="24"/>
          <w:szCs w:val="24"/>
        </w:rPr>
        <w:t xml:space="preserve">Seal, W., Rohde, C. </w:t>
      </w:r>
      <w:r w:rsidR="00722115">
        <w:rPr>
          <w:rFonts w:ascii="Times New Roman" w:hAnsi="Times New Roman" w:cs="Times New Roman"/>
          <w:sz w:val="24"/>
          <w:szCs w:val="24"/>
        </w:rPr>
        <w:t>&amp;</w:t>
      </w:r>
      <w:r w:rsidRPr="00C36793">
        <w:rPr>
          <w:rFonts w:ascii="Times New Roman" w:hAnsi="Times New Roman" w:cs="Times New Roman"/>
          <w:sz w:val="24"/>
          <w:szCs w:val="24"/>
        </w:rPr>
        <w:t xml:space="preserve"> Garrison, R.H. (2019)</w:t>
      </w:r>
      <w:r w:rsidR="00722115">
        <w:rPr>
          <w:rFonts w:ascii="Times New Roman" w:hAnsi="Times New Roman" w:cs="Times New Roman"/>
          <w:sz w:val="24"/>
          <w:szCs w:val="24"/>
        </w:rPr>
        <w:t>.</w:t>
      </w:r>
      <w:r w:rsidRPr="00C36793">
        <w:rPr>
          <w:rFonts w:ascii="Times New Roman" w:hAnsi="Times New Roman" w:cs="Times New Roman"/>
          <w:sz w:val="24"/>
          <w:szCs w:val="24"/>
        </w:rPr>
        <w:t xml:space="preserve"> </w:t>
      </w:r>
      <w:r w:rsidRPr="00722115">
        <w:rPr>
          <w:rFonts w:ascii="Times New Roman" w:hAnsi="Times New Roman" w:cs="Times New Roman"/>
          <w:i/>
          <w:iCs/>
          <w:sz w:val="24"/>
          <w:szCs w:val="24"/>
        </w:rPr>
        <w:t>Management Accounting</w:t>
      </w:r>
      <w:r w:rsidRPr="00C36793">
        <w:rPr>
          <w:rFonts w:ascii="Times New Roman" w:hAnsi="Times New Roman" w:cs="Times New Roman"/>
          <w:sz w:val="24"/>
          <w:szCs w:val="24"/>
        </w:rPr>
        <w:t>. 6th ed</w:t>
      </w:r>
      <w:r w:rsidR="00722115">
        <w:rPr>
          <w:rFonts w:ascii="Times New Roman" w:hAnsi="Times New Roman" w:cs="Times New Roman"/>
          <w:sz w:val="24"/>
          <w:szCs w:val="24"/>
        </w:rPr>
        <w:t>itio</w:t>
      </w:r>
      <w:r w:rsidRPr="00C36793">
        <w:rPr>
          <w:rFonts w:ascii="Times New Roman" w:hAnsi="Times New Roman" w:cs="Times New Roman"/>
          <w:sz w:val="24"/>
          <w:szCs w:val="24"/>
        </w:rPr>
        <w:t>n. New York: McGraw-Hill.</w:t>
      </w:r>
    </w:p>
    <w:p w14:paraId="71803A48" w14:textId="6CC8E0B6" w:rsidR="00C36793" w:rsidRPr="00C36793" w:rsidRDefault="00C36793" w:rsidP="00C36793">
      <w:pPr>
        <w:spacing w:line="360" w:lineRule="auto"/>
        <w:rPr>
          <w:rFonts w:ascii="Times New Roman" w:hAnsi="Times New Roman" w:cs="Times New Roman"/>
          <w:sz w:val="24"/>
          <w:szCs w:val="24"/>
        </w:rPr>
      </w:pPr>
      <w:r w:rsidRPr="00C36793">
        <w:rPr>
          <w:rFonts w:ascii="Times New Roman" w:hAnsi="Times New Roman" w:cs="Times New Roman"/>
          <w:sz w:val="24"/>
          <w:szCs w:val="24"/>
        </w:rPr>
        <w:t xml:space="preserve">Travel and Tour World (2025) </w:t>
      </w:r>
      <w:r w:rsidRPr="00722115">
        <w:rPr>
          <w:rFonts w:ascii="Times New Roman" w:hAnsi="Times New Roman" w:cs="Times New Roman"/>
          <w:i/>
          <w:iCs/>
          <w:sz w:val="24"/>
          <w:szCs w:val="24"/>
        </w:rPr>
        <w:t xml:space="preserve">British Airways achieves strong financial growth and operational excellence. </w:t>
      </w:r>
      <w:r w:rsidRPr="00C36793">
        <w:rPr>
          <w:rFonts w:ascii="Times New Roman" w:hAnsi="Times New Roman" w:cs="Times New Roman"/>
          <w:sz w:val="24"/>
          <w:szCs w:val="24"/>
        </w:rPr>
        <w:t xml:space="preserve">Travel and Tour World. Available at: </w:t>
      </w:r>
      <w:hyperlink r:id="rId12" w:history="1">
        <w:r w:rsidR="00722115" w:rsidRPr="000E333E">
          <w:rPr>
            <w:rStyle w:val="Hyperlink"/>
            <w:rFonts w:ascii="Times New Roman" w:hAnsi="Times New Roman" w:cs="Times New Roman"/>
            <w:sz w:val="24"/>
            <w:szCs w:val="24"/>
          </w:rPr>
          <w:t>https://www.travelandtourworld.com/news/article/british-airways-achieves-strong-financial-growth-and-operational-excellence-in-2025/</w:t>
        </w:r>
      </w:hyperlink>
      <w:r w:rsidR="00722115">
        <w:rPr>
          <w:rFonts w:ascii="Times New Roman" w:hAnsi="Times New Roman" w:cs="Times New Roman"/>
          <w:sz w:val="24"/>
          <w:szCs w:val="24"/>
        </w:rPr>
        <w:t xml:space="preserve"> </w:t>
      </w:r>
      <w:r w:rsidRPr="00C36793">
        <w:rPr>
          <w:rFonts w:ascii="Times New Roman" w:hAnsi="Times New Roman" w:cs="Times New Roman"/>
          <w:sz w:val="24"/>
          <w:szCs w:val="24"/>
        </w:rPr>
        <w:t xml:space="preserve"> (Accessed: 1</w:t>
      </w:r>
      <w:r w:rsidR="00722115">
        <w:rPr>
          <w:rFonts w:ascii="Times New Roman" w:hAnsi="Times New Roman" w:cs="Times New Roman"/>
          <w:sz w:val="24"/>
          <w:szCs w:val="24"/>
        </w:rPr>
        <w:t xml:space="preserve">1 </w:t>
      </w:r>
      <w:r w:rsidRPr="00C36793">
        <w:rPr>
          <w:rFonts w:ascii="Times New Roman" w:hAnsi="Times New Roman" w:cs="Times New Roman"/>
          <w:sz w:val="24"/>
          <w:szCs w:val="24"/>
        </w:rPr>
        <w:t>July 2026).</w:t>
      </w:r>
    </w:p>
    <w:p w14:paraId="5F48BEE9" w14:textId="36982F4E" w:rsidR="00C36793" w:rsidRPr="00C36793" w:rsidRDefault="00C36793" w:rsidP="00C36793">
      <w:pPr>
        <w:spacing w:line="360" w:lineRule="auto"/>
        <w:rPr>
          <w:rFonts w:ascii="Times New Roman" w:hAnsi="Times New Roman" w:cs="Times New Roman"/>
          <w:sz w:val="24"/>
          <w:szCs w:val="24"/>
        </w:rPr>
      </w:pPr>
      <w:r w:rsidRPr="00C36793">
        <w:rPr>
          <w:rFonts w:ascii="Times New Roman" w:hAnsi="Times New Roman" w:cs="Times New Roman"/>
          <w:sz w:val="24"/>
          <w:szCs w:val="24"/>
        </w:rPr>
        <w:t>Weetman, P. (2013)</w:t>
      </w:r>
      <w:r w:rsidR="00722115">
        <w:rPr>
          <w:rFonts w:ascii="Times New Roman" w:hAnsi="Times New Roman" w:cs="Times New Roman"/>
          <w:sz w:val="24"/>
          <w:szCs w:val="24"/>
        </w:rPr>
        <w:t>.</w:t>
      </w:r>
      <w:r w:rsidRPr="00C36793">
        <w:rPr>
          <w:rFonts w:ascii="Times New Roman" w:hAnsi="Times New Roman" w:cs="Times New Roman"/>
          <w:sz w:val="24"/>
          <w:szCs w:val="24"/>
        </w:rPr>
        <w:t xml:space="preserve"> </w:t>
      </w:r>
      <w:r w:rsidRPr="00722115">
        <w:rPr>
          <w:rFonts w:ascii="Times New Roman" w:hAnsi="Times New Roman" w:cs="Times New Roman"/>
          <w:i/>
          <w:iCs/>
          <w:sz w:val="24"/>
          <w:szCs w:val="24"/>
        </w:rPr>
        <w:t>Financial and Management Accounting: An Introduction</w:t>
      </w:r>
      <w:r w:rsidRPr="00C36793">
        <w:rPr>
          <w:rFonts w:ascii="Times New Roman" w:hAnsi="Times New Roman" w:cs="Times New Roman"/>
          <w:sz w:val="24"/>
          <w:szCs w:val="24"/>
        </w:rPr>
        <w:t>. 6th ed</w:t>
      </w:r>
      <w:r w:rsidR="00722115">
        <w:rPr>
          <w:rFonts w:ascii="Times New Roman" w:hAnsi="Times New Roman" w:cs="Times New Roman"/>
          <w:sz w:val="24"/>
          <w:szCs w:val="24"/>
        </w:rPr>
        <w:t>itio</w:t>
      </w:r>
      <w:r w:rsidRPr="00C36793">
        <w:rPr>
          <w:rFonts w:ascii="Times New Roman" w:hAnsi="Times New Roman" w:cs="Times New Roman"/>
          <w:sz w:val="24"/>
          <w:szCs w:val="24"/>
        </w:rPr>
        <w:t>n. Harlow: Pearson Education Limited.</w:t>
      </w:r>
    </w:p>
    <w:p w14:paraId="6A07BA14" w14:textId="77777777" w:rsidR="00C36793" w:rsidRPr="00CA3542" w:rsidRDefault="00C36793" w:rsidP="00CA3542">
      <w:pPr>
        <w:spacing w:line="360" w:lineRule="auto"/>
        <w:rPr>
          <w:rFonts w:ascii="Times New Roman" w:hAnsi="Times New Roman" w:cs="Times New Roman"/>
          <w:sz w:val="24"/>
          <w:szCs w:val="24"/>
        </w:rPr>
      </w:pPr>
    </w:p>
    <w:sectPr w:rsidR="00C36793" w:rsidRPr="00CA354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6AEC1" w14:textId="77777777" w:rsidR="000507EC" w:rsidRDefault="000507EC" w:rsidP="00ED08E5">
      <w:pPr>
        <w:spacing w:after="0" w:line="240" w:lineRule="auto"/>
      </w:pPr>
      <w:r>
        <w:separator/>
      </w:r>
    </w:p>
  </w:endnote>
  <w:endnote w:type="continuationSeparator" w:id="0">
    <w:p w14:paraId="339C6DF8" w14:textId="77777777" w:rsidR="000507EC" w:rsidRDefault="000507EC" w:rsidP="00ED0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5508804"/>
      <w:docPartObj>
        <w:docPartGallery w:val="Page Numbers (Bottom of Page)"/>
        <w:docPartUnique/>
      </w:docPartObj>
    </w:sdtPr>
    <w:sdtContent>
      <w:p w14:paraId="04E04016" w14:textId="72A7B570" w:rsidR="00923A61" w:rsidRDefault="00923A61">
        <w:pPr>
          <w:pStyle w:val="Footer"/>
          <w:jc w:val="center"/>
        </w:pPr>
        <w:r>
          <w:fldChar w:fldCharType="begin"/>
        </w:r>
        <w:r>
          <w:instrText>PAGE   \* MERGEFORMAT</w:instrText>
        </w:r>
        <w:r>
          <w:fldChar w:fldCharType="separate"/>
        </w:r>
        <w:r>
          <w:t>2</w:t>
        </w:r>
        <w:r>
          <w:fldChar w:fldCharType="end"/>
        </w:r>
      </w:p>
    </w:sdtContent>
  </w:sdt>
  <w:p w14:paraId="01F24FED" w14:textId="77777777" w:rsidR="00E8799D" w:rsidRDefault="00E879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2F9A5" w14:textId="77777777" w:rsidR="000507EC" w:rsidRDefault="000507EC" w:rsidP="00ED08E5">
      <w:pPr>
        <w:spacing w:after="0" w:line="240" w:lineRule="auto"/>
      </w:pPr>
      <w:r>
        <w:separator/>
      </w:r>
    </w:p>
  </w:footnote>
  <w:footnote w:type="continuationSeparator" w:id="0">
    <w:p w14:paraId="283BEC53" w14:textId="77777777" w:rsidR="000507EC" w:rsidRDefault="000507EC" w:rsidP="00ED08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68D"/>
    <w:rsid w:val="00006ECC"/>
    <w:rsid w:val="000507EC"/>
    <w:rsid w:val="00066C75"/>
    <w:rsid w:val="000A7BAA"/>
    <w:rsid w:val="00183359"/>
    <w:rsid w:val="00196DFA"/>
    <w:rsid w:val="001A21D8"/>
    <w:rsid w:val="001E0AC6"/>
    <w:rsid w:val="003146B8"/>
    <w:rsid w:val="003D3E7D"/>
    <w:rsid w:val="003F6FE6"/>
    <w:rsid w:val="004426D8"/>
    <w:rsid w:val="00456047"/>
    <w:rsid w:val="004A5C5F"/>
    <w:rsid w:val="004E380D"/>
    <w:rsid w:val="0053297C"/>
    <w:rsid w:val="006544EA"/>
    <w:rsid w:val="006727A5"/>
    <w:rsid w:val="006D2A2E"/>
    <w:rsid w:val="006D5B47"/>
    <w:rsid w:val="00722115"/>
    <w:rsid w:val="007A38FB"/>
    <w:rsid w:val="00923A61"/>
    <w:rsid w:val="009F72B8"/>
    <w:rsid w:val="00A22CF0"/>
    <w:rsid w:val="00B2679D"/>
    <w:rsid w:val="00B533BB"/>
    <w:rsid w:val="00C36793"/>
    <w:rsid w:val="00C8592D"/>
    <w:rsid w:val="00CA3542"/>
    <w:rsid w:val="00D33AC8"/>
    <w:rsid w:val="00D412BE"/>
    <w:rsid w:val="00DE5E1E"/>
    <w:rsid w:val="00E37B76"/>
    <w:rsid w:val="00E8799D"/>
    <w:rsid w:val="00EA768D"/>
    <w:rsid w:val="00ED08E5"/>
    <w:rsid w:val="00FF12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8A723"/>
  <w15:chartTrackingRefBased/>
  <w15:docId w15:val="{E3C4B567-8772-45B6-B979-7CAB626CD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76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76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76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76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76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76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76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76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76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6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76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76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76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76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76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76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76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768D"/>
    <w:rPr>
      <w:rFonts w:eastAsiaTheme="majorEastAsia" w:cstheme="majorBidi"/>
      <w:color w:val="272727" w:themeColor="text1" w:themeTint="D8"/>
    </w:rPr>
  </w:style>
  <w:style w:type="paragraph" w:styleId="Title">
    <w:name w:val="Title"/>
    <w:basedOn w:val="Normal"/>
    <w:next w:val="Normal"/>
    <w:link w:val="TitleChar"/>
    <w:uiPriority w:val="10"/>
    <w:qFormat/>
    <w:rsid w:val="00EA76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76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76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76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768D"/>
    <w:pPr>
      <w:spacing w:before="160"/>
      <w:jc w:val="center"/>
    </w:pPr>
    <w:rPr>
      <w:i/>
      <w:iCs/>
      <w:color w:val="404040" w:themeColor="text1" w:themeTint="BF"/>
    </w:rPr>
  </w:style>
  <w:style w:type="character" w:customStyle="1" w:styleId="QuoteChar">
    <w:name w:val="Quote Char"/>
    <w:basedOn w:val="DefaultParagraphFont"/>
    <w:link w:val="Quote"/>
    <w:uiPriority w:val="29"/>
    <w:rsid w:val="00EA768D"/>
    <w:rPr>
      <w:i/>
      <w:iCs/>
      <w:color w:val="404040" w:themeColor="text1" w:themeTint="BF"/>
    </w:rPr>
  </w:style>
  <w:style w:type="paragraph" w:styleId="ListParagraph">
    <w:name w:val="List Paragraph"/>
    <w:basedOn w:val="Normal"/>
    <w:uiPriority w:val="34"/>
    <w:qFormat/>
    <w:rsid w:val="00EA768D"/>
    <w:pPr>
      <w:ind w:left="720"/>
      <w:contextualSpacing/>
    </w:pPr>
  </w:style>
  <w:style w:type="character" w:styleId="IntenseEmphasis">
    <w:name w:val="Intense Emphasis"/>
    <w:basedOn w:val="DefaultParagraphFont"/>
    <w:uiPriority w:val="21"/>
    <w:qFormat/>
    <w:rsid w:val="00EA768D"/>
    <w:rPr>
      <w:i/>
      <w:iCs/>
      <w:color w:val="0F4761" w:themeColor="accent1" w:themeShade="BF"/>
    </w:rPr>
  </w:style>
  <w:style w:type="paragraph" w:styleId="IntenseQuote">
    <w:name w:val="Intense Quote"/>
    <w:basedOn w:val="Normal"/>
    <w:next w:val="Normal"/>
    <w:link w:val="IntenseQuoteChar"/>
    <w:uiPriority w:val="30"/>
    <w:qFormat/>
    <w:rsid w:val="00EA76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768D"/>
    <w:rPr>
      <w:i/>
      <w:iCs/>
      <w:color w:val="0F4761" w:themeColor="accent1" w:themeShade="BF"/>
    </w:rPr>
  </w:style>
  <w:style w:type="character" w:styleId="IntenseReference">
    <w:name w:val="Intense Reference"/>
    <w:basedOn w:val="DefaultParagraphFont"/>
    <w:uiPriority w:val="32"/>
    <w:qFormat/>
    <w:rsid w:val="00EA768D"/>
    <w:rPr>
      <w:b/>
      <w:bCs/>
      <w:smallCaps/>
      <w:color w:val="0F4761" w:themeColor="accent1" w:themeShade="BF"/>
      <w:spacing w:val="5"/>
    </w:rPr>
  </w:style>
  <w:style w:type="character" w:styleId="Hyperlink">
    <w:name w:val="Hyperlink"/>
    <w:basedOn w:val="DefaultParagraphFont"/>
    <w:uiPriority w:val="99"/>
    <w:unhideWhenUsed/>
    <w:rsid w:val="00C36793"/>
    <w:rPr>
      <w:color w:val="467886" w:themeColor="hyperlink"/>
      <w:u w:val="single"/>
    </w:rPr>
  </w:style>
  <w:style w:type="character" w:styleId="UnresolvedMention">
    <w:name w:val="Unresolved Mention"/>
    <w:basedOn w:val="DefaultParagraphFont"/>
    <w:uiPriority w:val="99"/>
    <w:semiHidden/>
    <w:unhideWhenUsed/>
    <w:rsid w:val="00C36793"/>
    <w:rPr>
      <w:color w:val="605E5C"/>
      <w:shd w:val="clear" w:color="auto" w:fill="E1DFDD"/>
    </w:rPr>
  </w:style>
  <w:style w:type="paragraph" w:styleId="TOCHeading">
    <w:name w:val="TOC Heading"/>
    <w:basedOn w:val="Heading1"/>
    <w:next w:val="Normal"/>
    <w:uiPriority w:val="39"/>
    <w:unhideWhenUsed/>
    <w:qFormat/>
    <w:rsid w:val="00ED08E5"/>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8592D"/>
    <w:pPr>
      <w:tabs>
        <w:tab w:val="right" w:leader="dot" w:pos="9016"/>
      </w:tabs>
      <w:spacing w:after="100"/>
    </w:pPr>
    <w:rPr>
      <w:rFonts w:ascii="Times New Roman" w:eastAsia="Times New Roman" w:hAnsi="Times New Roman" w:cs="Times New Roman"/>
      <w:b/>
      <w:bCs/>
      <w:noProof/>
      <w:kern w:val="0"/>
      <w:lang w:eastAsia="en-GB"/>
      <w14:ligatures w14:val="none"/>
    </w:rPr>
  </w:style>
  <w:style w:type="paragraph" w:styleId="Header">
    <w:name w:val="header"/>
    <w:basedOn w:val="Normal"/>
    <w:link w:val="HeaderChar"/>
    <w:uiPriority w:val="99"/>
    <w:unhideWhenUsed/>
    <w:rsid w:val="00ED08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08E5"/>
  </w:style>
  <w:style w:type="paragraph" w:styleId="Footer">
    <w:name w:val="footer"/>
    <w:basedOn w:val="Normal"/>
    <w:link w:val="FooterChar"/>
    <w:uiPriority w:val="99"/>
    <w:unhideWhenUsed/>
    <w:rsid w:val="00ED08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08E5"/>
  </w:style>
  <w:style w:type="paragraph" w:styleId="TOC3">
    <w:name w:val="toc 3"/>
    <w:basedOn w:val="Normal"/>
    <w:next w:val="Normal"/>
    <w:autoRedefine/>
    <w:uiPriority w:val="39"/>
    <w:unhideWhenUsed/>
    <w:rsid w:val="00923A61"/>
    <w:pPr>
      <w:spacing w:after="100"/>
      <w:ind w:left="440"/>
    </w:pPr>
  </w:style>
  <w:style w:type="paragraph" w:styleId="TOC2">
    <w:name w:val="toc 2"/>
    <w:basedOn w:val="Normal"/>
    <w:next w:val="Normal"/>
    <w:autoRedefine/>
    <w:uiPriority w:val="39"/>
    <w:unhideWhenUsed/>
    <w:rsid w:val="00183359"/>
    <w:pPr>
      <w:tabs>
        <w:tab w:val="right" w:leader="dot" w:pos="9016"/>
      </w:tabs>
      <w:spacing w:after="100"/>
      <w:ind w:left="220"/>
    </w:pPr>
    <w:rPr>
      <w:rFonts w:ascii="Times New Roman" w:eastAsia="Times New Roman" w:hAnsi="Times New Roman" w:cs="Times New Roman"/>
      <w:noProof/>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18325911011048772/full/html"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businesstraveller.com/business-travel/2025/02/28/iag-reports-record-annual-profits-of-e4-4-billion/" TargetMode="External"/><Relationship Id="rId12" Type="http://schemas.openxmlformats.org/officeDocument/2006/relationships/hyperlink" Target="https://www.travelandtourworld.com/news/article/british-airways-achieves-strong-financial-growth-and-operational-excellence-in-202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itishairways.com/content/information/about-ba/ba-better-world" TargetMode="External"/><Relationship Id="rId11" Type="http://schemas.openxmlformats.org/officeDocument/2006/relationships/hyperlink" Target="https://meyka.com/blog/british-airways-owner-anticipates-1-7b-impact-from-rising-fuel-cost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iairgroup.com/media/gssms4s5/2024-q2-imr-final.pdf" TargetMode="External"/><Relationship Id="rId4" Type="http://schemas.openxmlformats.org/officeDocument/2006/relationships/footnotes" Target="footnotes.xml"/><Relationship Id="rId9" Type="http://schemas.openxmlformats.org/officeDocument/2006/relationships/hyperlink" Target="https://mediacentre.britishairways.com/pressrelease/details/2485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11</Pages>
  <Words>3302</Words>
  <Characters>18826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Chinole</dc:creator>
  <cp:keywords/>
  <dc:description/>
  <cp:lastModifiedBy>Mihaela Chinole</cp:lastModifiedBy>
  <cp:revision>23</cp:revision>
  <dcterms:created xsi:type="dcterms:W3CDTF">2026-07-11T15:19:00Z</dcterms:created>
  <dcterms:modified xsi:type="dcterms:W3CDTF">2026-07-12T10:13:00Z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96705557-75f7-4615-a3c6-0e066df4a669</vt:lpwstr>
  </property>
</Properties>
</file>