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8D3E3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62AC0">
              <w:rPr>
                <w:b/>
                <w:color w:val="auto"/>
                <w:sz w:val="32"/>
              </w:rPr>
              <w:t>___Giada</w:t>
            </w:r>
            <w:r w:rsidR="005A1BA3">
              <w:rPr>
                <w:b/>
                <w:color w:val="auto"/>
                <w:sz w:val="32"/>
              </w:rPr>
              <w:t>_</w:t>
            </w:r>
            <w:r w:rsidR="00D62AC0">
              <w:rPr>
                <w:b/>
                <w:color w:val="auto"/>
                <w:sz w:val="32"/>
              </w:rPr>
              <w:t>Bonazzi</w:t>
            </w:r>
            <w:r w:rsidR="005A1BA3">
              <w:rPr>
                <w:b/>
                <w:color w:val="auto"/>
                <w:sz w:val="32"/>
              </w:rPr>
              <w:t>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1F63D7" w:rsidR="005A1BA3" w:rsidRDefault="005A1BA3" w:rsidP="00340E9A">
            <w:pPr>
              <w:overflowPunct/>
              <w:autoSpaceDE/>
              <w:autoSpaceDN/>
              <w:adjustRightInd/>
              <w:ind w:right="237"/>
              <w:textAlignment w:val="auto"/>
              <w:rPr>
                <w:b/>
                <w:color w:val="auto"/>
                <w:sz w:val="32"/>
              </w:rPr>
            </w:pPr>
            <w:r>
              <w:rPr>
                <w:b/>
                <w:color w:val="auto"/>
                <w:sz w:val="32"/>
              </w:rPr>
              <w:t>_______</w:t>
            </w:r>
            <w:r w:rsidR="00D62AC0">
              <w:rPr>
                <w:b/>
                <w:color w:val="auto"/>
                <w:sz w:val="32"/>
              </w:rPr>
              <w:t>2016231</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020E493F" w14:textId="77777777" w:rsidR="00D62AC0" w:rsidRDefault="00D62AC0" w:rsidP="00D62AC0">
      <w:pPr>
        <w:ind w:right="237"/>
        <w:rPr>
          <w:color w:val="auto"/>
          <w:sz w:val="24"/>
        </w:rPr>
      </w:pPr>
    </w:p>
    <w:p w14:paraId="44831BFF" w14:textId="77777777" w:rsidR="00D62AC0" w:rsidRDefault="00D62AC0" w:rsidP="00D62AC0">
      <w:pPr>
        <w:ind w:right="237"/>
        <w:rPr>
          <w:color w:val="auto"/>
          <w:sz w:val="24"/>
        </w:rPr>
      </w:pPr>
    </w:p>
    <w:p w14:paraId="6D58F4AD" w14:textId="4EA5AA4D" w:rsidR="00D62AC0" w:rsidRDefault="00D62AC0" w:rsidP="00D62AC0">
      <w:pPr>
        <w:ind w:right="237"/>
        <w:rPr>
          <w:b/>
          <w:sz w:val="24"/>
          <w:szCs w:val="24"/>
        </w:rPr>
      </w:pPr>
      <w:r>
        <w:rPr>
          <w:b/>
          <w:sz w:val="24"/>
          <w:szCs w:val="24"/>
        </w:rPr>
        <w:t xml:space="preserve"> </w:t>
      </w:r>
    </w:p>
    <w:p w14:paraId="1DD51F52" w14:textId="48F6FB60" w:rsidR="007C1D94" w:rsidRPr="00270EEB" w:rsidRDefault="00450C83" w:rsidP="00340E9A">
      <w:pPr>
        <w:ind w:right="237"/>
        <w:jc w:val="center"/>
        <w:rPr>
          <w:b/>
          <w:sz w:val="24"/>
          <w:szCs w:val="24"/>
        </w:rPr>
      </w:pPr>
      <w:r>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2A3C251" w14:textId="65BBD8BC" w:rsidR="005C18CF" w:rsidRDefault="00906785" w:rsidP="00340E9A">
      <w:pPr>
        <w:ind w:right="237"/>
        <w:jc w:val="both"/>
        <w:rPr>
          <w:sz w:val="24"/>
          <w:szCs w:val="24"/>
        </w:rPr>
      </w:pPr>
      <w:r>
        <w:rPr>
          <w:sz w:val="24"/>
          <w:szCs w:val="24"/>
        </w:rPr>
        <w:t xml:space="preserve">For the purpose of this question I will be using The ERA cycle. </w:t>
      </w:r>
      <w:r w:rsidRPr="00906785">
        <w:rPr>
          <w:sz w:val="24"/>
          <w:szCs w:val="24"/>
        </w:rPr>
        <w:t>The cycle indicates that we will begin with an event. This experience might be favourable or unpleasant, and it could be tied to our profession or something else. When we have had an experience, we begin to evaluate what has occurred</w:t>
      </w:r>
      <w:sdt>
        <w:sdtPr>
          <w:rPr>
            <w:sz w:val="24"/>
            <w:szCs w:val="24"/>
          </w:rPr>
          <w:id w:val="865636740"/>
          <w:citation/>
        </w:sdtPr>
        <w:sdtContent>
          <w:r w:rsidR="00DC103B">
            <w:rPr>
              <w:sz w:val="24"/>
              <w:szCs w:val="24"/>
            </w:rPr>
            <w:fldChar w:fldCharType="begin"/>
          </w:r>
          <w:r w:rsidR="00DC103B">
            <w:rPr>
              <w:sz w:val="24"/>
              <w:szCs w:val="24"/>
            </w:rPr>
            <w:instrText xml:space="preserve"> CITATION Jas13 \l 2057 </w:instrText>
          </w:r>
          <w:r w:rsidR="00DC103B">
            <w:rPr>
              <w:sz w:val="24"/>
              <w:szCs w:val="24"/>
            </w:rPr>
            <w:fldChar w:fldCharType="separate"/>
          </w:r>
          <w:r w:rsidR="00DC103B">
            <w:rPr>
              <w:noProof/>
              <w:sz w:val="24"/>
              <w:szCs w:val="24"/>
            </w:rPr>
            <w:t xml:space="preserve"> </w:t>
          </w:r>
          <w:r w:rsidR="00DC103B" w:rsidRPr="00DC103B">
            <w:rPr>
              <w:noProof/>
              <w:sz w:val="24"/>
              <w:szCs w:val="24"/>
            </w:rPr>
            <w:t>(Jasper, 2013)</w:t>
          </w:r>
          <w:r w:rsidR="00DC103B">
            <w:rPr>
              <w:sz w:val="24"/>
              <w:szCs w:val="24"/>
            </w:rPr>
            <w:fldChar w:fldCharType="end"/>
          </w:r>
        </w:sdtContent>
      </w:sdt>
      <w:r w:rsidRPr="00906785">
        <w:rPr>
          <w:sz w:val="24"/>
          <w:szCs w:val="24"/>
        </w:rPr>
        <w:t>. This will help us to process the event, assess our thoughts about what happened, and deliberate on the next actions. This leads to the cycle's last component: taking action. What individuals do as a consequence of an event will vary based on the individual. This action will lead to another experience, and the cycle repeats</w:t>
      </w:r>
      <w:r w:rsidR="00DC103B">
        <w:rPr>
          <w:sz w:val="24"/>
          <w:szCs w:val="24"/>
        </w:rPr>
        <w:t xml:space="preserve"> (Ibid.)</w:t>
      </w:r>
      <w:r w:rsidRPr="00906785">
        <w:rPr>
          <w:sz w:val="24"/>
          <w:szCs w:val="24"/>
        </w:rPr>
        <w:t>.</w:t>
      </w:r>
      <w:r w:rsidR="00DC103B">
        <w:rPr>
          <w:sz w:val="24"/>
          <w:szCs w:val="24"/>
        </w:rPr>
        <w:t xml:space="preserve"> The impact of Organisational justice on myself as a member of the police service will be considered and reflected on and considerations will be given to the steps taken by the police force to raise ethical standards.</w:t>
      </w:r>
    </w:p>
    <w:p w14:paraId="0B4CF3D9" w14:textId="4849FE70" w:rsidR="00A82DF4" w:rsidRDefault="00A82DF4" w:rsidP="00340E9A">
      <w:pPr>
        <w:ind w:right="237"/>
        <w:jc w:val="both"/>
        <w:rPr>
          <w:sz w:val="24"/>
          <w:szCs w:val="24"/>
        </w:rPr>
      </w:pPr>
    </w:p>
    <w:p w14:paraId="45E339DB" w14:textId="45A426D6" w:rsidR="004B63EC" w:rsidRDefault="00DB0192" w:rsidP="00340E9A">
      <w:pPr>
        <w:ind w:right="237"/>
        <w:jc w:val="both"/>
        <w:rPr>
          <w:sz w:val="24"/>
          <w:szCs w:val="24"/>
        </w:rPr>
      </w:pPr>
      <w:r>
        <w:rPr>
          <w:sz w:val="24"/>
          <w:szCs w:val="24"/>
        </w:rPr>
        <w:t xml:space="preserve">During my time in the police force I have faced many challenges, including organisational justice. </w:t>
      </w:r>
      <w:r w:rsidR="005C18CF" w:rsidRPr="005C18CF">
        <w:rPr>
          <w:sz w:val="24"/>
          <w:szCs w:val="24"/>
        </w:rPr>
        <w:t>The phrase 'organisational justice' relates to how individuals consider company procedures, relationships, and outcomes to be fair. These views can affect attitudes and behaviour for better or worse, impacting employee performance and the profitability of the organisation</w:t>
      </w:r>
      <w:sdt>
        <w:sdtPr>
          <w:rPr>
            <w:sz w:val="24"/>
            <w:szCs w:val="24"/>
          </w:rPr>
          <w:id w:val="869494893"/>
          <w:citation/>
        </w:sdtPr>
        <w:sdtContent>
          <w:r w:rsidR="005C18CF">
            <w:rPr>
              <w:sz w:val="24"/>
              <w:szCs w:val="24"/>
            </w:rPr>
            <w:fldChar w:fldCharType="begin"/>
          </w:r>
          <w:r w:rsidR="005C18CF">
            <w:rPr>
              <w:sz w:val="24"/>
              <w:szCs w:val="24"/>
            </w:rPr>
            <w:instrText xml:space="preserve"> CITATION Bal06 \l 2057 </w:instrText>
          </w:r>
          <w:r w:rsidR="005C18CF">
            <w:rPr>
              <w:sz w:val="24"/>
              <w:szCs w:val="24"/>
            </w:rPr>
            <w:fldChar w:fldCharType="separate"/>
          </w:r>
          <w:r w:rsidR="005C18CF">
            <w:rPr>
              <w:noProof/>
              <w:sz w:val="24"/>
              <w:szCs w:val="24"/>
            </w:rPr>
            <w:t xml:space="preserve"> </w:t>
          </w:r>
          <w:r w:rsidR="005C18CF" w:rsidRPr="005C18CF">
            <w:rPr>
              <w:noProof/>
              <w:sz w:val="24"/>
              <w:szCs w:val="24"/>
            </w:rPr>
            <w:t>(Baldwin, 2006)</w:t>
          </w:r>
          <w:r w:rsidR="005C18CF">
            <w:rPr>
              <w:sz w:val="24"/>
              <w:szCs w:val="24"/>
            </w:rPr>
            <w:fldChar w:fldCharType="end"/>
          </w:r>
        </w:sdtContent>
      </w:sdt>
      <w:r w:rsidR="005C18CF" w:rsidRPr="005C18CF">
        <w:rPr>
          <w:sz w:val="24"/>
          <w:szCs w:val="24"/>
        </w:rPr>
        <w:t>.</w:t>
      </w:r>
    </w:p>
    <w:p w14:paraId="65985C07" w14:textId="426F040A" w:rsidR="007F307C" w:rsidRDefault="007F307C" w:rsidP="00340E9A">
      <w:pPr>
        <w:ind w:right="237"/>
        <w:jc w:val="both"/>
        <w:rPr>
          <w:sz w:val="24"/>
          <w:szCs w:val="24"/>
        </w:rPr>
      </w:pPr>
    </w:p>
    <w:p w14:paraId="37FAC9F3" w14:textId="5AA677AB" w:rsidR="00DB0192" w:rsidRDefault="00DB0192" w:rsidP="00340E9A">
      <w:pPr>
        <w:ind w:right="237"/>
        <w:jc w:val="both"/>
        <w:rPr>
          <w:sz w:val="24"/>
          <w:szCs w:val="24"/>
        </w:rPr>
      </w:pPr>
      <w:r>
        <w:rPr>
          <w:sz w:val="24"/>
          <w:szCs w:val="24"/>
        </w:rPr>
        <w:t xml:space="preserve">For a period of time </w:t>
      </w:r>
      <w:r w:rsidR="00DA0303">
        <w:rPr>
          <w:sz w:val="24"/>
          <w:szCs w:val="24"/>
        </w:rPr>
        <w:t>there were issues within my shift whereby we lacked a consistent supervisor. This caused rifts within the team for the duration of this period up until we gained a new supervisor. The Sergeant we had was moved to another team and we were left with an acting Sergeant who had been on the shift for several months and had formed friendships with a few members on the team. This caused issues with several members of the team where we felt unjustly treated.</w:t>
      </w:r>
    </w:p>
    <w:p w14:paraId="3F49BA81" w14:textId="78407BD2" w:rsidR="00DA0303" w:rsidRDefault="00DA0303" w:rsidP="00340E9A">
      <w:pPr>
        <w:ind w:right="237"/>
        <w:jc w:val="both"/>
        <w:rPr>
          <w:sz w:val="24"/>
          <w:szCs w:val="24"/>
        </w:rPr>
      </w:pPr>
    </w:p>
    <w:p w14:paraId="5CDB1FB3" w14:textId="37D0ED5F" w:rsidR="00DA0303" w:rsidRDefault="00DA0303" w:rsidP="00340E9A">
      <w:pPr>
        <w:ind w:right="237"/>
        <w:jc w:val="both"/>
        <w:rPr>
          <w:sz w:val="24"/>
          <w:szCs w:val="24"/>
        </w:rPr>
      </w:pPr>
      <w:r>
        <w:rPr>
          <w:sz w:val="24"/>
          <w:szCs w:val="24"/>
        </w:rPr>
        <w:t xml:space="preserve">The main issues I faced during this period was where I noticed that I was the only member of the team carrying a large workload and not being given adequate time to carry out the actions needed to complete my required tasks. This in turn affected my productivity as I felt that I was in a cycle of never ending work. This affected my willingness to come to work as I knew that my workload was increasing but I was </w:t>
      </w:r>
      <w:r>
        <w:rPr>
          <w:sz w:val="24"/>
          <w:szCs w:val="24"/>
        </w:rPr>
        <w:lastRenderedPageBreak/>
        <w:t>unable to progress what I had already started due to time constraints and emergency calls which had to be resourced.</w:t>
      </w:r>
    </w:p>
    <w:p w14:paraId="652F18DF" w14:textId="2BAA818B" w:rsidR="00DA0303" w:rsidRDefault="00DA0303" w:rsidP="00340E9A">
      <w:pPr>
        <w:ind w:right="237"/>
        <w:jc w:val="both"/>
        <w:rPr>
          <w:sz w:val="24"/>
          <w:szCs w:val="24"/>
        </w:rPr>
      </w:pPr>
    </w:p>
    <w:p w14:paraId="47387468" w14:textId="7EB139CC" w:rsidR="00DA0303" w:rsidRDefault="00DA0303" w:rsidP="00340E9A">
      <w:pPr>
        <w:ind w:right="237"/>
        <w:jc w:val="both"/>
        <w:rPr>
          <w:sz w:val="24"/>
          <w:szCs w:val="24"/>
        </w:rPr>
      </w:pPr>
      <w:r>
        <w:rPr>
          <w:sz w:val="24"/>
          <w:szCs w:val="24"/>
        </w:rPr>
        <w:t xml:space="preserve">Several months later we gained a new Sergeant. Within a week of his supervision I was able to complete over half of the tasks which I was required to </w:t>
      </w:r>
      <w:r w:rsidR="00BA7C95">
        <w:rPr>
          <w:sz w:val="24"/>
          <w:szCs w:val="24"/>
        </w:rPr>
        <w:t>do. I found that my new supervisor was easily approachable and that his door was always open for any issues that arose. This included tensions within the team, before his arrival on the team tensions were very high with certain member and I found that we were unable to communicate efficiently together. This was resolved almost immediately by removing the clique culture that had formed.</w:t>
      </w:r>
    </w:p>
    <w:p w14:paraId="70033B52" w14:textId="7B7B497A" w:rsidR="00BA7C95" w:rsidRDefault="00BA7C95" w:rsidP="00340E9A">
      <w:pPr>
        <w:ind w:right="237"/>
        <w:jc w:val="both"/>
        <w:rPr>
          <w:sz w:val="24"/>
          <w:szCs w:val="24"/>
        </w:rPr>
      </w:pPr>
    </w:p>
    <w:p w14:paraId="43BED611" w14:textId="0336F1E6" w:rsidR="00BA7C95" w:rsidRDefault="00BA7C95" w:rsidP="00340E9A">
      <w:pPr>
        <w:ind w:right="237"/>
        <w:jc w:val="both"/>
        <w:rPr>
          <w:sz w:val="24"/>
          <w:szCs w:val="24"/>
        </w:rPr>
      </w:pPr>
      <w:r>
        <w:rPr>
          <w:sz w:val="24"/>
          <w:szCs w:val="24"/>
        </w:rPr>
        <w:t xml:space="preserve">Cliques within the team had formed within the team due to friendships which had commenced outside of work with various team members, this excluded others which were then made to feel like outcasts. The Sergeant tackled this by ensuring that pairings were rotated daily and that natural pairings were limited. This has massively aided in forming better work relationships which in turn is proving to provide a greater work ethic and better performance at calls. </w:t>
      </w:r>
    </w:p>
    <w:p w14:paraId="37842E55" w14:textId="77777777" w:rsidR="00DA0303" w:rsidRDefault="00DA0303" w:rsidP="00340E9A">
      <w:pPr>
        <w:ind w:right="237"/>
        <w:jc w:val="both"/>
        <w:rPr>
          <w:sz w:val="24"/>
          <w:szCs w:val="24"/>
        </w:rPr>
      </w:pPr>
    </w:p>
    <w:p w14:paraId="7AED0C38" w14:textId="4D4142E2" w:rsidR="007F307C" w:rsidRDefault="007F307C" w:rsidP="00340E9A">
      <w:pPr>
        <w:ind w:right="237"/>
        <w:jc w:val="both"/>
        <w:rPr>
          <w:sz w:val="24"/>
          <w:szCs w:val="24"/>
        </w:rPr>
      </w:pPr>
      <w:r w:rsidRPr="007F307C">
        <w:rPr>
          <w:sz w:val="24"/>
          <w:szCs w:val="24"/>
        </w:rPr>
        <w:t>Policing is a job fraught with uncertainty. In the face of challenges such as frequent organisational change and increased public criticism, police managers, in particular, confront the challenging task of attempting to persuade their line-level personnel to have favourable opinions of their work environment</w:t>
      </w:r>
      <w:sdt>
        <w:sdtPr>
          <w:rPr>
            <w:sz w:val="24"/>
            <w:szCs w:val="24"/>
          </w:rPr>
          <w:id w:val="866954245"/>
          <w:citation/>
        </w:sdtPr>
        <w:sdtContent>
          <w:r>
            <w:rPr>
              <w:sz w:val="24"/>
              <w:szCs w:val="24"/>
            </w:rPr>
            <w:fldChar w:fldCharType="begin"/>
          </w:r>
          <w:r>
            <w:rPr>
              <w:sz w:val="24"/>
              <w:szCs w:val="24"/>
            </w:rPr>
            <w:instrText xml:space="preserve"> CITATION Wol18 \l 2057 </w:instrText>
          </w:r>
          <w:r>
            <w:rPr>
              <w:sz w:val="24"/>
              <w:szCs w:val="24"/>
            </w:rPr>
            <w:fldChar w:fldCharType="separate"/>
          </w:r>
          <w:r>
            <w:rPr>
              <w:noProof/>
              <w:sz w:val="24"/>
              <w:szCs w:val="24"/>
            </w:rPr>
            <w:t xml:space="preserve"> </w:t>
          </w:r>
          <w:r w:rsidRPr="007F307C">
            <w:rPr>
              <w:noProof/>
              <w:sz w:val="24"/>
              <w:szCs w:val="24"/>
            </w:rPr>
            <w:t>(Wolfe, et al., 2018)</w:t>
          </w:r>
          <w:r>
            <w:rPr>
              <w:sz w:val="24"/>
              <w:szCs w:val="24"/>
            </w:rPr>
            <w:fldChar w:fldCharType="end"/>
          </w:r>
        </w:sdtContent>
      </w:sdt>
      <w:r w:rsidRPr="007F307C">
        <w:rPr>
          <w:sz w:val="24"/>
          <w:szCs w:val="24"/>
        </w:rPr>
        <w:t>. According to research, organisational justice results in a variety of positive work-related outcomes for officers, including increased job satisfaction, faith in their agency, decreased misbehaviour, and support for the application of procedural fairness.</w:t>
      </w:r>
    </w:p>
    <w:p w14:paraId="2E138D51" w14:textId="6A222B68" w:rsidR="004B63EC" w:rsidRDefault="004B63EC" w:rsidP="00340E9A">
      <w:pPr>
        <w:ind w:right="237"/>
        <w:jc w:val="both"/>
        <w:rPr>
          <w:sz w:val="24"/>
          <w:szCs w:val="24"/>
        </w:rPr>
      </w:pPr>
    </w:p>
    <w:p w14:paraId="3BE834D6" w14:textId="1BFA33EA" w:rsidR="004B63EC" w:rsidRDefault="004B63EC" w:rsidP="00340E9A">
      <w:pPr>
        <w:ind w:right="237"/>
        <w:jc w:val="both"/>
        <w:rPr>
          <w:sz w:val="24"/>
          <w:szCs w:val="24"/>
        </w:rPr>
      </w:pPr>
      <w:r w:rsidRPr="004B63EC">
        <w:rPr>
          <w:sz w:val="24"/>
          <w:szCs w:val="24"/>
        </w:rPr>
        <w:t>Fair Cop 2, is a report published by the College of Policing in 2015 which examined the link between organisational justice and public results, questioning if the widely held belief that impartial treatment at the workplace converted into better employee conduct and thus a better service held true in the realm of policing</w:t>
      </w:r>
      <w:r w:rsidR="00297066">
        <w:rPr>
          <w:sz w:val="24"/>
          <w:szCs w:val="24"/>
        </w:rPr>
        <w:t xml:space="preserve"> </w:t>
      </w:r>
      <w:sdt>
        <w:sdtPr>
          <w:rPr>
            <w:sz w:val="24"/>
            <w:szCs w:val="24"/>
          </w:rPr>
          <w:id w:val="942334817"/>
          <w:citation/>
        </w:sdtPr>
        <w:sdtContent>
          <w:r w:rsidR="00297066">
            <w:rPr>
              <w:sz w:val="24"/>
              <w:szCs w:val="24"/>
            </w:rPr>
            <w:fldChar w:fldCharType="begin"/>
          </w:r>
          <w:r w:rsidR="00297066">
            <w:rPr>
              <w:sz w:val="24"/>
              <w:szCs w:val="24"/>
            </w:rPr>
            <w:instrText xml:space="preserve"> CITATION Mal17 \l 2057 </w:instrText>
          </w:r>
          <w:r w:rsidR="00297066">
            <w:rPr>
              <w:sz w:val="24"/>
              <w:szCs w:val="24"/>
            </w:rPr>
            <w:fldChar w:fldCharType="separate"/>
          </w:r>
          <w:r w:rsidR="00297066" w:rsidRPr="00297066">
            <w:rPr>
              <w:noProof/>
              <w:sz w:val="24"/>
              <w:szCs w:val="24"/>
            </w:rPr>
            <w:t>(Malkin, 2017)</w:t>
          </w:r>
          <w:r w:rsidR="00297066">
            <w:rPr>
              <w:sz w:val="24"/>
              <w:szCs w:val="24"/>
            </w:rPr>
            <w:fldChar w:fldCharType="end"/>
          </w:r>
        </w:sdtContent>
      </w:sdt>
      <w:r w:rsidRPr="004B63EC">
        <w:rPr>
          <w:sz w:val="24"/>
          <w:szCs w:val="24"/>
        </w:rPr>
        <w:t>. The idea that policing was distinct from other organisations appeared to have a solid foundation. The majority of study on organisational justice found that its influence was indirect, resulting from employees identifying more strongly with a company that treated them well. As a result, they were more inclined to act in the interests of the organisation and the individuals it served</w:t>
      </w:r>
      <w:r w:rsidR="00297066">
        <w:rPr>
          <w:sz w:val="24"/>
          <w:szCs w:val="24"/>
        </w:rPr>
        <w:t xml:space="preserve"> (Ibid.)</w:t>
      </w:r>
      <w:r w:rsidRPr="004B63EC">
        <w:rPr>
          <w:sz w:val="24"/>
          <w:szCs w:val="24"/>
        </w:rPr>
        <w:t>.</w:t>
      </w:r>
    </w:p>
    <w:p w14:paraId="6C654E02" w14:textId="317343DF" w:rsidR="009C28F6" w:rsidRDefault="009C28F6" w:rsidP="00340E9A">
      <w:pPr>
        <w:ind w:right="237"/>
        <w:jc w:val="both"/>
        <w:rPr>
          <w:sz w:val="24"/>
          <w:szCs w:val="24"/>
        </w:rPr>
      </w:pPr>
    </w:p>
    <w:p w14:paraId="7485198F" w14:textId="0EA1EA23" w:rsidR="009C28F6" w:rsidRDefault="009C28F6" w:rsidP="00340E9A">
      <w:pPr>
        <w:ind w:right="237"/>
        <w:jc w:val="both"/>
        <w:rPr>
          <w:sz w:val="24"/>
          <w:szCs w:val="24"/>
        </w:rPr>
      </w:pPr>
      <w:r w:rsidRPr="009C28F6">
        <w:rPr>
          <w:sz w:val="24"/>
          <w:szCs w:val="24"/>
        </w:rPr>
        <w:t>A police officer's duty includes making ethical and moral judgements. Throughout their career, the officer will very certainly be faced with similar decisions. In most circumstances, the officer's decision will either make or break them as an officer, and the decision will either reinforce or undermine their ethical ideals</w:t>
      </w:r>
      <w:r w:rsidR="004B63EC">
        <w:rPr>
          <w:sz w:val="24"/>
          <w:szCs w:val="24"/>
        </w:rPr>
        <w:t xml:space="preserve"> </w:t>
      </w:r>
      <w:sdt>
        <w:sdtPr>
          <w:rPr>
            <w:sz w:val="24"/>
            <w:szCs w:val="24"/>
          </w:rPr>
          <w:id w:val="-175199901"/>
          <w:citation/>
        </w:sdtPr>
        <w:sdtContent>
          <w:r w:rsidR="004B63EC">
            <w:rPr>
              <w:sz w:val="24"/>
              <w:szCs w:val="24"/>
            </w:rPr>
            <w:fldChar w:fldCharType="begin"/>
          </w:r>
          <w:r w:rsidR="004B63EC">
            <w:rPr>
              <w:sz w:val="24"/>
              <w:szCs w:val="24"/>
            </w:rPr>
            <w:instrText xml:space="preserve"> CITATION Law13 \l 2057 </w:instrText>
          </w:r>
          <w:r w:rsidR="004B63EC">
            <w:rPr>
              <w:sz w:val="24"/>
              <w:szCs w:val="24"/>
            </w:rPr>
            <w:fldChar w:fldCharType="separate"/>
          </w:r>
          <w:r w:rsidR="004B63EC" w:rsidRPr="004B63EC">
            <w:rPr>
              <w:noProof/>
              <w:sz w:val="24"/>
              <w:szCs w:val="24"/>
            </w:rPr>
            <w:t>(LawTeacher, 2013)</w:t>
          </w:r>
          <w:r w:rsidR="004B63EC">
            <w:rPr>
              <w:sz w:val="24"/>
              <w:szCs w:val="24"/>
            </w:rPr>
            <w:fldChar w:fldCharType="end"/>
          </w:r>
        </w:sdtContent>
      </w:sdt>
      <w:r w:rsidRPr="009C28F6">
        <w:rPr>
          <w:sz w:val="24"/>
          <w:szCs w:val="24"/>
        </w:rPr>
        <w:t>. Fortunately, during the last few years</w:t>
      </w:r>
      <w:r>
        <w:rPr>
          <w:sz w:val="24"/>
          <w:szCs w:val="24"/>
        </w:rPr>
        <w:t>, the job of policing has become</w:t>
      </w:r>
      <w:r w:rsidRPr="009C28F6">
        <w:rPr>
          <w:sz w:val="24"/>
          <w:szCs w:val="24"/>
        </w:rPr>
        <w:t xml:space="preserve"> more professionalised, and the requirements for being a police officer have been raised. Special emphasis is also being focused on ethical training, which is resulting in the majority of officers receiving some kind of this training throughout their careers.</w:t>
      </w:r>
      <w:r>
        <w:rPr>
          <w:sz w:val="24"/>
          <w:szCs w:val="24"/>
        </w:rPr>
        <w:t xml:space="preserve"> </w:t>
      </w:r>
      <w:r w:rsidRPr="009C28F6">
        <w:rPr>
          <w:sz w:val="24"/>
          <w:szCs w:val="24"/>
        </w:rPr>
        <w:t>This training has been demonstrated to be extremely beneficial to the officer, the department, and the community that the police have pledged to protect</w:t>
      </w:r>
      <w:r w:rsidR="004B63EC">
        <w:rPr>
          <w:sz w:val="24"/>
          <w:szCs w:val="24"/>
        </w:rPr>
        <w:t xml:space="preserve"> (Ibid.)</w:t>
      </w:r>
      <w:r w:rsidRPr="009C28F6">
        <w:rPr>
          <w:sz w:val="24"/>
          <w:szCs w:val="24"/>
        </w:rPr>
        <w:t>.</w:t>
      </w:r>
    </w:p>
    <w:p w14:paraId="3B63639D" w14:textId="0909F28F" w:rsidR="005C18CF" w:rsidRDefault="005C18CF" w:rsidP="00340E9A">
      <w:pPr>
        <w:ind w:right="237"/>
        <w:jc w:val="both"/>
        <w:rPr>
          <w:sz w:val="24"/>
          <w:szCs w:val="24"/>
        </w:rPr>
      </w:pPr>
    </w:p>
    <w:p w14:paraId="5DAAFE63" w14:textId="38CA900F" w:rsidR="00297066" w:rsidRDefault="00297066" w:rsidP="0026469D">
      <w:pPr>
        <w:ind w:right="237"/>
        <w:jc w:val="both"/>
        <w:rPr>
          <w:sz w:val="24"/>
          <w:szCs w:val="24"/>
        </w:rPr>
      </w:pPr>
      <w:r w:rsidRPr="00297066">
        <w:rPr>
          <w:sz w:val="24"/>
          <w:szCs w:val="24"/>
        </w:rPr>
        <w:t xml:space="preserve">Once supervisors have taken judgments on ethical issues, it is critical to properly communicate those decisions to the workforce. Higher-performing police forces, have devised methods to ensure that their workforces may learn about ethical </w:t>
      </w:r>
      <w:r w:rsidRPr="00297066">
        <w:rPr>
          <w:sz w:val="24"/>
          <w:szCs w:val="24"/>
        </w:rPr>
        <w:lastRenderedPageBreak/>
        <w:t>quandaries. They have 'ethical champions,' for example, or frequent gatherings hosted by prominent leaders</w:t>
      </w:r>
      <w:sdt>
        <w:sdtPr>
          <w:rPr>
            <w:sz w:val="24"/>
            <w:szCs w:val="24"/>
          </w:rPr>
          <w:id w:val="1098214006"/>
          <w:citation/>
        </w:sdtPr>
        <w:sdtContent>
          <w:r w:rsidR="0026469D">
            <w:rPr>
              <w:sz w:val="24"/>
              <w:szCs w:val="24"/>
            </w:rPr>
            <w:fldChar w:fldCharType="begin"/>
          </w:r>
          <w:r w:rsidR="0026469D">
            <w:rPr>
              <w:sz w:val="24"/>
              <w:szCs w:val="24"/>
            </w:rPr>
            <w:instrText xml:space="preserve"> CITATION HMI18 \l 2057 </w:instrText>
          </w:r>
          <w:r w:rsidR="0026469D">
            <w:rPr>
              <w:sz w:val="24"/>
              <w:szCs w:val="24"/>
            </w:rPr>
            <w:fldChar w:fldCharType="separate"/>
          </w:r>
          <w:r w:rsidR="0026469D">
            <w:rPr>
              <w:noProof/>
              <w:sz w:val="24"/>
              <w:szCs w:val="24"/>
            </w:rPr>
            <w:t xml:space="preserve"> </w:t>
          </w:r>
          <w:r w:rsidR="0026469D" w:rsidRPr="0026469D">
            <w:rPr>
              <w:noProof/>
              <w:sz w:val="24"/>
              <w:szCs w:val="24"/>
            </w:rPr>
            <w:t>(HMICFRS, 2018)</w:t>
          </w:r>
          <w:r w:rsidR="0026469D">
            <w:rPr>
              <w:sz w:val="24"/>
              <w:szCs w:val="24"/>
            </w:rPr>
            <w:fldChar w:fldCharType="end"/>
          </w:r>
        </w:sdtContent>
      </w:sdt>
      <w:r w:rsidRPr="00297066">
        <w:rPr>
          <w:sz w:val="24"/>
          <w:szCs w:val="24"/>
        </w:rPr>
        <w:t>. </w:t>
      </w:r>
      <w:r w:rsidR="0026469D" w:rsidRPr="0026469D">
        <w:rPr>
          <w:sz w:val="24"/>
          <w:szCs w:val="24"/>
        </w:rPr>
        <w:t>Gwent Police has a strong framework in place for dealing with ethical issues, which is overseen by an ethics commission. The committee examines a variety of intern</w:t>
      </w:r>
      <w:r w:rsidR="0026469D">
        <w:rPr>
          <w:sz w:val="24"/>
          <w:szCs w:val="24"/>
        </w:rPr>
        <w:t xml:space="preserve">al and external ethical issues. </w:t>
      </w:r>
      <w:r w:rsidR="0026469D" w:rsidRPr="0026469D">
        <w:rPr>
          <w:sz w:val="24"/>
          <w:szCs w:val="24"/>
        </w:rPr>
        <w:t>It is currently made up of independent external members and is open to all ranks and levels. The force is expanding the member status of the ethics committee in order to balance its makeup by include members of the police force in order to benefit from their experiences and viewpoints</w:t>
      </w:r>
      <w:r w:rsidR="0026469D">
        <w:rPr>
          <w:sz w:val="24"/>
          <w:szCs w:val="24"/>
        </w:rPr>
        <w:t xml:space="preserve"> (Ibid.)</w:t>
      </w:r>
      <w:r w:rsidR="0026469D" w:rsidRPr="0026469D">
        <w:rPr>
          <w:sz w:val="24"/>
          <w:szCs w:val="24"/>
        </w:rPr>
        <w:t>.</w:t>
      </w:r>
    </w:p>
    <w:p w14:paraId="0590AAF8" w14:textId="6FC35142"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7AC4ABEB" w14:textId="7030A56C" w:rsidR="00FF7784" w:rsidRPr="00270EEB" w:rsidRDefault="00BA7C95" w:rsidP="00340E9A">
      <w:pPr>
        <w:ind w:right="237"/>
        <w:jc w:val="both"/>
        <w:rPr>
          <w:sz w:val="24"/>
          <w:szCs w:val="24"/>
        </w:rPr>
      </w:pPr>
      <w:r>
        <w:rPr>
          <w:sz w:val="24"/>
          <w:szCs w:val="24"/>
        </w:rPr>
        <w:t>Word count - 1016</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D62AC0">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F231365" w14:textId="77777777" w:rsidR="003B3D7A" w:rsidRDefault="003B3D7A" w:rsidP="00340E9A">
      <w:pPr>
        <w:ind w:right="237"/>
        <w:jc w:val="both"/>
        <w:rPr>
          <w:sz w:val="24"/>
          <w:szCs w:val="24"/>
        </w:rPr>
      </w:pPr>
    </w:p>
    <w:p w14:paraId="3428869C" w14:textId="3BE0ECA5" w:rsidR="000B6AC6" w:rsidRDefault="00BA7C95" w:rsidP="00340E9A">
      <w:pPr>
        <w:ind w:right="237"/>
        <w:jc w:val="both"/>
        <w:rPr>
          <w:sz w:val="24"/>
          <w:szCs w:val="24"/>
        </w:rPr>
      </w:pPr>
      <w:r>
        <w:rPr>
          <w:sz w:val="24"/>
          <w:szCs w:val="24"/>
        </w:rPr>
        <w:t xml:space="preserve">For this section of the workbook I will be reflecting to an incident </w:t>
      </w:r>
      <w:r w:rsidRPr="5B63D80E">
        <w:rPr>
          <w:sz w:val="24"/>
          <w:szCs w:val="24"/>
        </w:rPr>
        <w:t>involving a partnership approach</w:t>
      </w:r>
      <w:r w:rsidR="003B3D7A">
        <w:rPr>
          <w:sz w:val="24"/>
          <w:szCs w:val="24"/>
        </w:rPr>
        <w:t xml:space="preserve"> </w:t>
      </w:r>
      <w:r w:rsidR="003B3D7A" w:rsidRPr="003B3D7A">
        <w:rPr>
          <w:sz w:val="24"/>
          <w:szCs w:val="24"/>
        </w:rPr>
        <w:t>using the era cycle</w:t>
      </w:r>
      <w:r w:rsidR="003B3D7A">
        <w:rPr>
          <w:sz w:val="24"/>
          <w:szCs w:val="24"/>
        </w:rPr>
        <w:t xml:space="preserve"> </w:t>
      </w:r>
      <w:sdt>
        <w:sdtPr>
          <w:rPr>
            <w:sz w:val="24"/>
            <w:szCs w:val="24"/>
          </w:rPr>
          <w:id w:val="1061686497"/>
          <w:citation/>
        </w:sdtPr>
        <w:sdtContent>
          <w:r w:rsidR="003B3D7A">
            <w:rPr>
              <w:sz w:val="24"/>
              <w:szCs w:val="24"/>
            </w:rPr>
            <w:fldChar w:fldCharType="begin"/>
          </w:r>
          <w:r w:rsidR="003B3D7A">
            <w:rPr>
              <w:sz w:val="24"/>
              <w:szCs w:val="24"/>
            </w:rPr>
            <w:instrText xml:space="preserve"> CITATION Jas13 \l 2057 </w:instrText>
          </w:r>
          <w:r w:rsidR="003B3D7A">
            <w:rPr>
              <w:sz w:val="24"/>
              <w:szCs w:val="24"/>
            </w:rPr>
            <w:fldChar w:fldCharType="separate"/>
          </w:r>
          <w:r w:rsidR="003B3D7A" w:rsidRPr="003B3D7A">
            <w:rPr>
              <w:noProof/>
              <w:sz w:val="24"/>
              <w:szCs w:val="24"/>
            </w:rPr>
            <w:t>(Jasper, 2013)</w:t>
          </w:r>
          <w:r w:rsidR="003B3D7A">
            <w:rPr>
              <w:sz w:val="24"/>
              <w:szCs w:val="24"/>
            </w:rPr>
            <w:fldChar w:fldCharType="end"/>
          </w:r>
        </w:sdtContent>
      </w:sdt>
      <w:r w:rsidR="003B3D7A" w:rsidRPr="003B3D7A">
        <w:rPr>
          <w:sz w:val="24"/>
          <w:szCs w:val="24"/>
        </w:rPr>
        <w:t xml:space="preserve">. </w:t>
      </w:r>
      <w:r w:rsidR="003B3D7A">
        <w:rPr>
          <w:sz w:val="24"/>
          <w:szCs w:val="24"/>
        </w:rPr>
        <w:t>I will firstly provide a brief description of the incident including</w:t>
      </w:r>
      <w:r w:rsidR="003B3D7A" w:rsidRPr="31856DE5">
        <w:rPr>
          <w:sz w:val="24"/>
          <w:szCs w:val="24"/>
        </w:rPr>
        <w:t xml:space="preserve"> social and legislative contexts and any relevant cultural, ethnicity and language issues.</w:t>
      </w:r>
      <w:r w:rsidR="003B3D7A">
        <w:rPr>
          <w:sz w:val="24"/>
          <w:szCs w:val="24"/>
        </w:rPr>
        <w:t xml:space="preserve"> I will highlight what options were considered </w:t>
      </w:r>
      <w:r w:rsidR="003B3D7A" w:rsidRPr="31856DE5">
        <w:rPr>
          <w:sz w:val="24"/>
          <w:szCs w:val="24"/>
        </w:rPr>
        <w:t>when adopting a multi-agency approach</w:t>
      </w:r>
      <w:r w:rsidR="003B3D7A">
        <w:rPr>
          <w:sz w:val="24"/>
          <w:szCs w:val="24"/>
        </w:rPr>
        <w:t xml:space="preserve">, how I </w:t>
      </w:r>
      <w:r w:rsidR="003B3D7A" w:rsidRPr="7FD84E4E">
        <w:rPr>
          <w:sz w:val="24"/>
          <w:szCs w:val="24"/>
        </w:rPr>
        <w:t>decide</w:t>
      </w:r>
      <w:r w:rsidR="003B3D7A">
        <w:rPr>
          <w:sz w:val="24"/>
          <w:szCs w:val="24"/>
        </w:rPr>
        <w:t>d</w:t>
      </w:r>
      <w:r w:rsidR="003B3D7A" w:rsidRPr="7FD84E4E">
        <w:rPr>
          <w:sz w:val="24"/>
          <w:szCs w:val="24"/>
        </w:rPr>
        <w:t xml:space="preserve"> on the most appropriate option to mitigate or resolve the problem</w:t>
      </w:r>
      <w:r w:rsidR="003B3D7A">
        <w:rPr>
          <w:sz w:val="24"/>
          <w:szCs w:val="24"/>
        </w:rPr>
        <w:t xml:space="preserve"> and how I evaluated the available evidence. Finally I will justify my intervention at the incident whilst highlighting any potential consequences before providing a conclusion which will summarise the information found during this section.</w:t>
      </w:r>
    </w:p>
    <w:p w14:paraId="5431209A" w14:textId="0C4754FB" w:rsidR="000B6AC6" w:rsidRDefault="000B6AC6" w:rsidP="00340E9A">
      <w:pPr>
        <w:ind w:right="237"/>
        <w:jc w:val="both"/>
        <w:rPr>
          <w:sz w:val="24"/>
          <w:szCs w:val="24"/>
        </w:rPr>
      </w:pPr>
    </w:p>
    <w:p w14:paraId="2793D137" w14:textId="059666F5" w:rsidR="003B3D7A" w:rsidRDefault="003B3D7A" w:rsidP="00340E9A">
      <w:pPr>
        <w:ind w:right="237"/>
        <w:jc w:val="both"/>
        <w:rPr>
          <w:sz w:val="24"/>
          <w:szCs w:val="24"/>
        </w:rPr>
      </w:pPr>
      <w:r>
        <w:rPr>
          <w:sz w:val="24"/>
          <w:szCs w:val="24"/>
        </w:rPr>
        <w:t>The example I will be using involves an elderly female who attended hospital due to an underlying health issue. Whilst in attendance at the hospital she informed staff that she was having issues with her son. The hospital staff then notified the police and I attended a short period of time later.</w:t>
      </w:r>
    </w:p>
    <w:p w14:paraId="75F87F98" w14:textId="1A1BAC67" w:rsidR="003B3D7A" w:rsidRDefault="003B3D7A" w:rsidP="00340E9A">
      <w:pPr>
        <w:ind w:right="237"/>
        <w:jc w:val="both"/>
        <w:rPr>
          <w:sz w:val="24"/>
          <w:szCs w:val="24"/>
        </w:rPr>
      </w:pPr>
    </w:p>
    <w:p w14:paraId="71C99C15" w14:textId="29B97BB8" w:rsidR="006870CB" w:rsidRDefault="006870CB" w:rsidP="00340E9A">
      <w:pPr>
        <w:ind w:right="237"/>
        <w:jc w:val="both"/>
        <w:rPr>
          <w:sz w:val="24"/>
          <w:szCs w:val="24"/>
        </w:rPr>
      </w:pPr>
      <w:r w:rsidRPr="006870CB">
        <w:rPr>
          <w:sz w:val="24"/>
          <w:szCs w:val="24"/>
        </w:rPr>
        <w:t>The N</w:t>
      </w:r>
      <w:r w:rsidR="00E43110">
        <w:rPr>
          <w:sz w:val="24"/>
          <w:szCs w:val="24"/>
        </w:rPr>
        <w:t xml:space="preserve">ational </w:t>
      </w:r>
      <w:r w:rsidRPr="006870CB">
        <w:rPr>
          <w:sz w:val="24"/>
          <w:szCs w:val="24"/>
        </w:rPr>
        <w:t>D</w:t>
      </w:r>
      <w:r w:rsidR="00E43110">
        <w:rPr>
          <w:sz w:val="24"/>
          <w:szCs w:val="24"/>
        </w:rPr>
        <w:t xml:space="preserve">ecision </w:t>
      </w:r>
      <w:r w:rsidRPr="006870CB">
        <w:rPr>
          <w:sz w:val="24"/>
          <w:szCs w:val="24"/>
        </w:rPr>
        <w:t>M</w:t>
      </w:r>
      <w:r w:rsidR="00E43110">
        <w:rPr>
          <w:sz w:val="24"/>
          <w:szCs w:val="24"/>
        </w:rPr>
        <w:t>odel (NDM)</w:t>
      </w:r>
      <w:r w:rsidRPr="006870CB">
        <w:rPr>
          <w:sz w:val="24"/>
          <w:szCs w:val="24"/>
        </w:rPr>
        <w:t xml:space="preserve"> is a circular sequential decision making procedure that is similar in design and function to older use-of-force continuums. While on route and on-scene to any call, police must ask themselves a set of qu</w:t>
      </w:r>
      <w:r w:rsidR="0001406C">
        <w:rPr>
          <w:sz w:val="24"/>
          <w:szCs w:val="24"/>
        </w:rPr>
        <w:t>estions in five stages</w:t>
      </w:r>
      <w:sdt>
        <w:sdtPr>
          <w:rPr>
            <w:sz w:val="24"/>
            <w:szCs w:val="24"/>
          </w:rPr>
          <w:id w:val="-1245877220"/>
          <w:citation/>
        </w:sdtPr>
        <w:sdtContent>
          <w:r w:rsidR="003B3D7A">
            <w:rPr>
              <w:sz w:val="24"/>
              <w:szCs w:val="24"/>
            </w:rPr>
            <w:fldChar w:fldCharType="begin"/>
          </w:r>
          <w:r w:rsidR="003B3D7A">
            <w:rPr>
              <w:sz w:val="24"/>
              <w:szCs w:val="24"/>
            </w:rPr>
            <w:instrText xml:space="preserve"> CITATION Avo19 \l 2057 </w:instrText>
          </w:r>
          <w:r w:rsidR="003B3D7A">
            <w:rPr>
              <w:sz w:val="24"/>
              <w:szCs w:val="24"/>
            </w:rPr>
            <w:fldChar w:fldCharType="separate"/>
          </w:r>
          <w:r w:rsidR="003B3D7A">
            <w:rPr>
              <w:noProof/>
              <w:sz w:val="24"/>
              <w:szCs w:val="24"/>
            </w:rPr>
            <w:t xml:space="preserve"> </w:t>
          </w:r>
          <w:r w:rsidR="003B3D7A" w:rsidRPr="003B3D7A">
            <w:rPr>
              <w:noProof/>
              <w:sz w:val="24"/>
              <w:szCs w:val="24"/>
            </w:rPr>
            <w:t>(Avon and Summerset Police, 2019)</w:t>
          </w:r>
          <w:r w:rsidR="003B3D7A">
            <w:rPr>
              <w:sz w:val="24"/>
              <w:szCs w:val="24"/>
            </w:rPr>
            <w:fldChar w:fldCharType="end"/>
          </w:r>
        </w:sdtContent>
      </w:sdt>
      <w:r w:rsidR="0001406C">
        <w:rPr>
          <w:sz w:val="24"/>
          <w:szCs w:val="24"/>
        </w:rPr>
        <w:t>. Stage one is to</w:t>
      </w:r>
      <w:r w:rsidRPr="006870CB">
        <w:rPr>
          <w:sz w:val="24"/>
          <w:szCs w:val="24"/>
        </w:rPr>
        <w:t xml:space="preserve"> Gather data and intelligence</w:t>
      </w:r>
      <w:r w:rsidR="0001406C">
        <w:rPr>
          <w:sz w:val="24"/>
          <w:szCs w:val="24"/>
        </w:rPr>
        <w:t xml:space="preserve"> available. Stage two is when</w:t>
      </w:r>
      <w:r w:rsidRPr="006870CB">
        <w:rPr>
          <w:sz w:val="24"/>
          <w:szCs w:val="24"/>
        </w:rPr>
        <w:t xml:space="preserve"> the danger </w:t>
      </w:r>
      <w:r w:rsidR="0001406C">
        <w:rPr>
          <w:sz w:val="24"/>
          <w:szCs w:val="24"/>
        </w:rPr>
        <w:t>is evaluated and a</w:t>
      </w:r>
      <w:r w:rsidRPr="006870CB">
        <w:rPr>
          <w:sz w:val="24"/>
          <w:szCs w:val="24"/>
        </w:rPr>
        <w:t xml:space="preserve"> strategy</w:t>
      </w:r>
      <w:r w:rsidR="0001406C">
        <w:rPr>
          <w:sz w:val="24"/>
          <w:szCs w:val="24"/>
        </w:rPr>
        <w:t xml:space="preserve"> is devised. Stage three is where </w:t>
      </w:r>
      <w:r w:rsidRPr="006870CB">
        <w:rPr>
          <w:sz w:val="24"/>
          <w:szCs w:val="24"/>
        </w:rPr>
        <w:t>Conside</w:t>
      </w:r>
      <w:r w:rsidR="0001406C">
        <w:rPr>
          <w:sz w:val="24"/>
          <w:szCs w:val="24"/>
        </w:rPr>
        <w:t>r authority and policy. Stage four</w:t>
      </w:r>
      <w:r w:rsidRPr="006870CB">
        <w:rPr>
          <w:sz w:val="24"/>
          <w:szCs w:val="24"/>
        </w:rPr>
        <w:t xml:space="preserve"> </w:t>
      </w:r>
      <w:r w:rsidRPr="006870CB">
        <w:rPr>
          <w:sz w:val="24"/>
          <w:szCs w:val="24"/>
        </w:rPr>
        <w:lastRenderedPageBreak/>
        <w:t>Determine your alternatives and contingencies. Stage 5: Take action and reflect on what has occurred</w:t>
      </w:r>
      <w:r w:rsidR="003B3D7A">
        <w:rPr>
          <w:sz w:val="24"/>
          <w:szCs w:val="24"/>
        </w:rPr>
        <w:t xml:space="preserve"> (Ibid.)</w:t>
      </w:r>
      <w:r w:rsidRPr="006870CB">
        <w:rPr>
          <w:sz w:val="24"/>
          <w:szCs w:val="24"/>
        </w:rPr>
        <w:t>.</w:t>
      </w:r>
    </w:p>
    <w:p w14:paraId="4BCC0474" w14:textId="77777777" w:rsidR="00E43110" w:rsidRDefault="00E43110" w:rsidP="00340E9A">
      <w:pPr>
        <w:ind w:right="237"/>
        <w:jc w:val="both"/>
        <w:rPr>
          <w:sz w:val="24"/>
          <w:szCs w:val="24"/>
        </w:rPr>
      </w:pPr>
    </w:p>
    <w:p w14:paraId="4A852969" w14:textId="5647FC33" w:rsidR="00CB6696" w:rsidRDefault="00E43110" w:rsidP="0091612D">
      <w:pPr>
        <w:ind w:right="237"/>
        <w:jc w:val="both"/>
        <w:rPr>
          <w:sz w:val="24"/>
          <w:szCs w:val="24"/>
        </w:rPr>
      </w:pPr>
      <w:r>
        <w:rPr>
          <w:sz w:val="24"/>
          <w:szCs w:val="24"/>
        </w:rPr>
        <w:t xml:space="preserve">Using the NDM, I gathered as much information and intelligence for all the sources available to me. Using Niche and ControlWorks, which are the systems used by South Wales police to store data in relation to the incident and persons involved, I obtained information on the female at the hospital and her son. The information held includes any mental health ailments which may be relevant as well as any other warning markers or intelligence held. I did not deem there to be a risk to myself as the female at the time was unwell and in hospital and I was in the company of a colleague that would have been able to assist me if any issues arose. I also did not feel that there was an immediate risk to the female as she was currently in a safe place and safeguarded from her son who was not in attendance. </w:t>
      </w:r>
      <w:r w:rsidR="0091612D" w:rsidRPr="0091612D">
        <w:rPr>
          <w:sz w:val="24"/>
          <w:szCs w:val="24"/>
        </w:rPr>
        <w:t>Of</w:t>
      </w:r>
      <w:r w:rsidR="0091612D">
        <w:rPr>
          <w:sz w:val="24"/>
          <w:szCs w:val="24"/>
        </w:rPr>
        <w:t>ficers should use the NDM</w:t>
      </w:r>
      <w:r w:rsidR="0091612D" w:rsidRPr="0091612D">
        <w:rPr>
          <w:sz w:val="24"/>
          <w:szCs w:val="24"/>
        </w:rPr>
        <w:t xml:space="preserve"> and therefore the Code of Ethics to confirm t</w:t>
      </w:r>
      <w:r w:rsidR="0091612D">
        <w:rPr>
          <w:sz w:val="24"/>
          <w:szCs w:val="24"/>
        </w:rPr>
        <w:t xml:space="preserve">hat they create acceptable and </w:t>
      </w:r>
      <w:r w:rsidR="0091612D" w:rsidRPr="0091612D">
        <w:rPr>
          <w:sz w:val="24"/>
          <w:szCs w:val="24"/>
        </w:rPr>
        <w:t>proportionate selections around once to use BWV. once of</w:t>
      </w:r>
      <w:r w:rsidR="0091612D">
        <w:rPr>
          <w:sz w:val="24"/>
          <w:szCs w:val="24"/>
        </w:rPr>
        <w:t>ficers reach the a part of the NDM</w:t>
      </w:r>
      <w:r w:rsidR="0091612D" w:rsidRPr="0091612D">
        <w:rPr>
          <w:sz w:val="24"/>
          <w:szCs w:val="24"/>
        </w:rPr>
        <w:t xml:space="preserve"> which needs them to think about powers, policy and</w:t>
      </w:r>
      <w:r w:rsidR="0091612D">
        <w:rPr>
          <w:sz w:val="24"/>
          <w:szCs w:val="24"/>
        </w:rPr>
        <w:t xml:space="preserve"> legislation they ought to pay </w:t>
      </w:r>
      <w:r w:rsidR="0091612D" w:rsidRPr="0091612D">
        <w:rPr>
          <w:sz w:val="24"/>
          <w:szCs w:val="24"/>
        </w:rPr>
        <w:t>specific attention to the Human Rights Act 1998 (</w:t>
      </w:r>
      <w:r w:rsidR="0091612D">
        <w:rPr>
          <w:sz w:val="24"/>
          <w:szCs w:val="24"/>
        </w:rPr>
        <w:t xml:space="preserve">HRA), Data Protection Act 1998 </w:t>
      </w:r>
      <w:r w:rsidR="0091612D" w:rsidRPr="0091612D">
        <w:rPr>
          <w:sz w:val="24"/>
          <w:szCs w:val="24"/>
        </w:rPr>
        <w:t>(DPA) and Surveillance Camera Code of Practice.</w:t>
      </w:r>
      <w:r w:rsidR="0091612D" w:rsidRPr="0091612D">
        <w:rPr>
          <w:sz w:val="24"/>
          <w:szCs w:val="24"/>
        </w:rPr>
        <w:t xml:space="preserve"> </w:t>
      </w:r>
      <w:r>
        <w:rPr>
          <w:sz w:val="24"/>
          <w:szCs w:val="24"/>
        </w:rPr>
        <w:t>The plan which I had f</w:t>
      </w:r>
      <w:r w:rsidR="00CB6696">
        <w:rPr>
          <w:sz w:val="24"/>
          <w:szCs w:val="24"/>
        </w:rPr>
        <w:t>ormulated was to obtain a first-</w:t>
      </w:r>
      <w:r>
        <w:rPr>
          <w:sz w:val="24"/>
          <w:szCs w:val="24"/>
        </w:rPr>
        <w:t xml:space="preserve">hand account </w:t>
      </w:r>
      <w:r w:rsidR="00CB6696">
        <w:rPr>
          <w:sz w:val="24"/>
          <w:szCs w:val="24"/>
        </w:rPr>
        <w:t>from the victim to ascertain what had happened and what she wanted done about the issues that she was experiencing this was conducted on body worn video due to her being too unwell to obtain a statement at the time of attendance. I also conferred with medical staff to see if there were any underlying health issues involving the female which I should be aware of such as dementia or Alzheimer’s which could alter the version of truth being reported.</w:t>
      </w:r>
    </w:p>
    <w:p w14:paraId="22A30858" w14:textId="52AD07E1" w:rsidR="0091612D" w:rsidRDefault="0091612D" w:rsidP="0091612D">
      <w:pPr>
        <w:ind w:right="237"/>
        <w:jc w:val="both"/>
        <w:rPr>
          <w:sz w:val="24"/>
          <w:szCs w:val="24"/>
        </w:rPr>
      </w:pPr>
    </w:p>
    <w:p w14:paraId="53141F33" w14:textId="5495CFEC" w:rsidR="0091612D" w:rsidRDefault="0091612D" w:rsidP="0091612D">
      <w:pPr>
        <w:ind w:right="237"/>
        <w:jc w:val="both"/>
        <w:rPr>
          <w:sz w:val="24"/>
          <w:szCs w:val="24"/>
        </w:rPr>
      </w:pPr>
      <w:r>
        <w:rPr>
          <w:sz w:val="24"/>
          <w:szCs w:val="24"/>
        </w:rPr>
        <w:t>The female reported that her son would on times become violent with her and that he would often scream and shout at her. The victim stated that he had control of her finances and would not allow her to spend her own money when she wanted to. Whilst asking open questions the victim informed me that her son would shake her wheelchair to cause her to fear him and that prior to her attending the hospital he had forced her to take tablets which were not prescribed to her. This caused a lot of concern and I immediately began implementing a safeguarding strategy.</w:t>
      </w:r>
    </w:p>
    <w:p w14:paraId="12566661" w14:textId="3A2BF056" w:rsidR="0091612D" w:rsidRDefault="0091612D" w:rsidP="0091612D">
      <w:pPr>
        <w:ind w:right="237"/>
        <w:jc w:val="both"/>
        <w:rPr>
          <w:sz w:val="24"/>
          <w:szCs w:val="24"/>
        </w:rPr>
      </w:pPr>
    </w:p>
    <w:p w14:paraId="42AFD7F4" w14:textId="6408EC98" w:rsidR="0091612D" w:rsidRDefault="0091612D" w:rsidP="0091612D">
      <w:pPr>
        <w:ind w:right="237"/>
        <w:jc w:val="both"/>
        <w:rPr>
          <w:sz w:val="24"/>
          <w:szCs w:val="24"/>
        </w:rPr>
      </w:pPr>
      <w:r>
        <w:rPr>
          <w:sz w:val="24"/>
          <w:szCs w:val="24"/>
        </w:rPr>
        <w:t>I firstly spoke to the hospital staff and ensured that the victim was not released to the perpetrator of the abuse and that she was able to remain there over the weekend whilst the relevant safeguarding agencies reviewed the matter and progressed further safeguarding implementations. On my return to the police station, I completed a public protection notice which was subsequently shared with partner agencies and a MARAC referral was held.</w:t>
      </w:r>
    </w:p>
    <w:p w14:paraId="307F5EC1" w14:textId="77777777" w:rsidR="00E43110" w:rsidRDefault="00E43110" w:rsidP="00340E9A">
      <w:pPr>
        <w:ind w:right="237"/>
        <w:jc w:val="both"/>
        <w:rPr>
          <w:sz w:val="24"/>
          <w:szCs w:val="24"/>
        </w:rPr>
      </w:pPr>
    </w:p>
    <w:p w14:paraId="4519C025" w14:textId="0FD813BD" w:rsidR="008B28E7" w:rsidRDefault="00CA5754" w:rsidP="00340E9A">
      <w:pPr>
        <w:ind w:right="237"/>
        <w:jc w:val="both"/>
        <w:rPr>
          <w:sz w:val="24"/>
          <w:szCs w:val="24"/>
        </w:rPr>
      </w:pPr>
      <w:r w:rsidRPr="00CA5754">
        <w:rPr>
          <w:sz w:val="24"/>
          <w:szCs w:val="24"/>
        </w:rPr>
        <w:t>Violence is highly linked to socioeconomic determinants of health, or the circumstances under which individuals are born, develop, live, work, and age. Violence is caused by a combination of risk factors that influence people, families, communities, and society. There is no single source or solution to the problem of violence</w:t>
      </w:r>
      <w:sdt>
        <w:sdtPr>
          <w:rPr>
            <w:sz w:val="24"/>
            <w:szCs w:val="24"/>
          </w:rPr>
          <w:id w:val="667066296"/>
          <w:citation/>
        </w:sdtPr>
        <w:sdtContent>
          <w:r w:rsidR="00F4446A">
            <w:rPr>
              <w:sz w:val="24"/>
              <w:szCs w:val="24"/>
            </w:rPr>
            <w:fldChar w:fldCharType="begin"/>
          </w:r>
          <w:r w:rsidR="00F4446A">
            <w:rPr>
              <w:sz w:val="24"/>
              <w:szCs w:val="24"/>
            </w:rPr>
            <w:instrText xml:space="preserve"> CITATION Gov19 \l 2057 </w:instrText>
          </w:r>
          <w:r w:rsidR="00F4446A">
            <w:rPr>
              <w:sz w:val="24"/>
              <w:szCs w:val="24"/>
            </w:rPr>
            <w:fldChar w:fldCharType="separate"/>
          </w:r>
          <w:r w:rsidR="00F4446A">
            <w:rPr>
              <w:noProof/>
              <w:sz w:val="24"/>
              <w:szCs w:val="24"/>
            </w:rPr>
            <w:t xml:space="preserve"> </w:t>
          </w:r>
          <w:r w:rsidR="00F4446A" w:rsidRPr="00F4446A">
            <w:rPr>
              <w:noProof/>
              <w:sz w:val="24"/>
              <w:szCs w:val="24"/>
            </w:rPr>
            <w:t>(Gov.uk, 2019)</w:t>
          </w:r>
          <w:r w:rsidR="00F4446A">
            <w:rPr>
              <w:sz w:val="24"/>
              <w:szCs w:val="24"/>
            </w:rPr>
            <w:fldChar w:fldCharType="end"/>
          </w:r>
        </w:sdtContent>
      </w:sdt>
      <w:r w:rsidRPr="00CA5754">
        <w:rPr>
          <w:sz w:val="24"/>
          <w:szCs w:val="24"/>
        </w:rPr>
        <w:t>. To have an influence on the contextual and associated risk factors that contribute to violence, diverse partners from different communities should collaborate and use a whole-systems approach.</w:t>
      </w:r>
      <w:r>
        <w:rPr>
          <w:sz w:val="24"/>
          <w:szCs w:val="24"/>
        </w:rPr>
        <w:t xml:space="preserve"> </w:t>
      </w:r>
      <w:r w:rsidRPr="00CA5754">
        <w:rPr>
          <w:sz w:val="24"/>
          <w:szCs w:val="24"/>
        </w:rPr>
        <w:t xml:space="preserve">A collaborative entire systems approach entails bringing together partners from various roles who share </w:t>
      </w:r>
      <w:r w:rsidRPr="00CA5754">
        <w:rPr>
          <w:sz w:val="24"/>
          <w:szCs w:val="24"/>
        </w:rPr>
        <w:lastRenderedPageBreak/>
        <w:t>the objective of combating and reducing violence</w:t>
      </w:r>
      <w:r w:rsidR="00973F2E">
        <w:rPr>
          <w:sz w:val="24"/>
          <w:szCs w:val="24"/>
        </w:rPr>
        <w:t xml:space="preserve"> (Ibid.)</w:t>
      </w:r>
      <w:r w:rsidRPr="00CA5754">
        <w:rPr>
          <w:sz w:val="24"/>
          <w:szCs w:val="24"/>
        </w:rPr>
        <w:t>. These partners must have a shared knowledge of the public health approach to addressing violence. They should establish and own the scope of work collaboratively, as well as methods of working that reflect the requirements of the local people. They will also need to discover resources together in order to operate effectively together</w:t>
      </w:r>
      <w:r w:rsidR="00973F2E">
        <w:rPr>
          <w:sz w:val="24"/>
          <w:szCs w:val="24"/>
        </w:rPr>
        <w:t xml:space="preserve"> (Ibid.)</w:t>
      </w:r>
      <w:r w:rsidRPr="00CA5754">
        <w:rPr>
          <w:sz w:val="24"/>
          <w:szCs w:val="24"/>
        </w:rPr>
        <w:t>.</w:t>
      </w:r>
    </w:p>
    <w:p w14:paraId="6F79E26B" w14:textId="40C71CBD" w:rsidR="00486E45" w:rsidRDefault="00486E45" w:rsidP="00340E9A">
      <w:pPr>
        <w:ind w:right="237"/>
        <w:jc w:val="both"/>
        <w:rPr>
          <w:sz w:val="24"/>
          <w:szCs w:val="24"/>
        </w:rPr>
      </w:pPr>
    </w:p>
    <w:p w14:paraId="31A66610" w14:textId="354F2907" w:rsidR="00486E45" w:rsidRDefault="00486E45" w:rsidP="00340E9A">
      <w:pPr>
        <w:ind w:right="237"/>
        <w:jc w:val="both"/>
        <w:rPr>
          <w:sz w:val="24"/>
          <w:szCs w:val="24"/>
        </w:rPr>
      </w:pPr>
      <w:r w:rsidRPr="00486E45">
        <w:rPr>
          <w:sz w:val="24"/>
          <w:szCs w:val="24"/>
        </w:rPr>
        <w:t xml:space="preserve">In the fiscal year ending March 2021, the police documented a sum of 1,459,663 domestic abuse-related events and offences in England and Wales. This was a 79,407 rise over the previous year. 613,929 (42 percent) of the overall quantity of domestic abuse-related occurrences and crimes were instances that were </w:t>
      </w:r>
      <w:r>
        <w:rPr>
          <w:sz w:val="24"/>
          <w:szCs w:val="24"/>
        </w:rPr>
        <w:t xml:space="preserve">not later registered as a crime </w:t>
      </w:r>
      <w:sdt>
        <w:sdtPr>
          <w:rPr>
            <w:sz w:val="24"/>
            <w:szCs w:val="24"/>
          </w:rPr>
          <w:id w:val="-178668445"/>
          <w:citation/>
        </w:sdtPr>
        <w:sdtContent>
          <w:r>
            <w:rPr>
              <w:sz w:val="24"/>
              <w:szCs w:val="24"/>
            </w:rPr>
            <w:fldChar w:fldCharType="begin"/>
          </w:r>
          <w:r>
            <w:rPr>
              <w:sz w:val="24"/>
              <w:szCs w:val="24"/>
            </w:rPr>
            <w:instrText xml:space="preserve"> CITATION Elk21 \l 2057 </w:instrText>
          </w:r>
          <w:r>
            <w:rPr>
              <w:sz w:val="24"/>
              <w:szCs w:val="24"/>
            </w:rPr>
            <w:fldChar w:fldCharType="separate"/>
          </w:r>
          <w:r w:rsidRPr="00486E45">
            <w:rPr>
              <w:noProof/>
              <w:sz w:val="24"/>
              <w:szCs w:val="24"/>
            </w:rPr>
            <w:t>(Elkin, 2021)</w:t>
          </w:r>
          <w:r>
            <w:rPr>
              <w:sz w:val="24"/>
              <w:szCs w:val="24"/>
            </w:rPr>
            <w:fldChar w:fldCharType="end"/>
          </w:r>
        </w:sdtContent>
      </w:sdt>
      <w:r w:rsidRPr="00486E45">
        <w:rPr>
          <w:sz w:val="24"/>
          <w:szCs w:val="24"/>
        </w:rPr>
        <w:t>. The remaining 845,734 offences (58 percent) were classified as domestic abuse-related. This constitutes 18% of all infractions registered by the police, a 6% rise over the previous year.</w:t>
      </w:r>
      <w:r>
        <w:rPr>
          <w:sz w:val="24"/>
          <w:szCs w:val="24"/>
        </w:rPr>
        <w:t xml:space="preserve"> </w:t>
      </w:r>
      <w:r w:rsidRPr="00486E45">
        <w:rPr>
          <w:sz w:val="24"/>
          <w:szCs w:val="24"/>
        </w:rPr>
        <w:t>In the fiscal year ending March 2021, the police registered 215,173 domestic abuse-related stalking and harassment offences, accounting for one-quarter of all domestic abuse-related crimes. Similar numbers of domestic abuse-related offences were detected in the stalking component category (39 %) and the harmful commun</w:t>
      </w:r>
      <w:r>
        <w:rPr>
          <w:sz w:val="24"/>
          <w:szCs w:val="24"/>
        </w:rPr>
        <w:t>ication subgroup category (37 %</w:t>
      </w:r>
      <w:r w:rsidRPr="00486E45">
        <w:rPr>
          <w:sz w:val="24"/>
          <w:szCs w:val="24"/>
        </w:rPr>
        <w:t>)</w:t>
      </w:r>
      <w:r>
        <w:rPr>
          <w:sz w:val="24"/>
          <w:szCs w:val="24"/>
        </w:rPr>
        <w:t xml:space="preserve"> (Ibid.).</w:t>
      </w:r>
    </w:p>
    <w:p w14:paraId="047B8BE4" w14:textId="77777777" w:rsidR="00CA5754" w:rsidRPr="00270EEB" w:rsidRDefault="00CA5754" w:rsidP="00340E9A">
      <w:pPr>
        <w:ind w:right="237"/>
        <w:jc w:val="both"/>
        <w:rPr>
          <w:sz w:val="24"/>
          <w:szCs w:val="24"/>
        </w:rPr>
      </w:pPr>
    </w:p>
    <w:p w14:paraId="07ED14A6" w14:textId="10FDDD3B" w:rsidR="00AA666E" w:rsidRDefault="00D55DFE" w:rsidP="00340E9A">
      <w:pPr>
        <w:ind w:right="237"/>
        <w:jc w:val="both"/>
        <w:rPr>
          <w:sz w:val="24"/>
          <w:szCs w:val="24"/>
        </w:rPr>
      </w:pPr>
      <w:r w:rsidRPr="00D55DFE">
        <w:rPr>
          <w:sz w:val="24"/>
          <w:szCs w:val="24"/>
        </w:rPr>
        <w:t>Policing is becoming progressively focused wi</w:t>
      </w:r>
      <w:r w:rsidR="00B46903">
        <w:rPr>
          <w:sz w:val="24"/>
          <w:szCs w:val="24"/>
        </w:rPr>
        <w:t>th the hazards faced by the vulnerable</w:t>
      </w:r>
      <w:r w:rsidRPr="00D55DFE">
        <w:rPr>
          <w:sz w:val="24"/>
          <w:szCs w:val="24"/>
        </w:rPr>
        <w:t>, the threats offered by the dangerous, and mitigating the harm produced by the latter. As a result, multi-agency case management agreements have developed, becoming a "new orthodoxy" for police and their partners</w:t>
      </w:r>
      <w:sdt>
        <w:sdtPr>
          <w:rPr>
            <w:sz w:val="24"/>
            <w:szCs w:val="24"/>
          </w:rPr>
          <w:id w:val="972256300"/>
          <w:citation/>
        </w:sdtPr>
        <w:sdtContent>
          <w:r>
            <w:rPr>
              <w:sz w:val="24"/>
              <w:szCs w:val="24"/>
            </w:rPr>
            <w:fldChar w:fldCharType="begin"/>
          </w:r>
          <w:r>
            <w:rPr>
              <w:sz w:val="24"/>
              <w:szCs w:val="24"/>
            </w:rPr>
            <w:instrText xml:space="preserve"> CITATION The19 \l 2057 </w:instrText>
          </w:r>
          <w:r>
            <w:rPr>
              <w:sz w:val="24"/>
              <w:szCs w:val="24"/>
            </w:rPr>
            <w:fldChar w:fldCharType="separate"/>
          </w:r>
          <w:r>
            <w:rPr>
              <w:noProof/>
              <w:sz w:val="24"/>
              <w:szCs w:val="24"/>
            </w:rPr>
            <w:t xml:space="preserve"> </w:t>
          </w:r>
          <w:r w:rsidRPr="00D55DFE">
            <w:rPr>
              <w:noProof/>
              <w:sz w:val="24"/>
              <w:szCs w:val="24"/>
            </w:rPr>
            <w:t>(The Police Foundation, 2019)</w:t>
          </w:r>
          <w:r>
            <w:rPr>
              <w:sz w:val="24"/>
              <w:szCs w:val="24"/>
            </w:rPr>
            <w:fldChar w:fldCharType="end"/>
          </w:r>
        </w:sdtContent>
      </w:sdt>
      <w:r w:rsidRPr="00D55DFE">
        <w:rPr>
          <w:sz w:val="24"/>
          <w:szCs w:val="24"/>
        </w:rPr>
        <w:t>. However, there is no evidence that such systems are effective.</w:t>
      </w:r>
      <w:r>
        <w:rPr>
          <w:sz w:val="24"/>
          <w:szCs w:val="24"/>
        </w:rPr>
        <w:t xml:space="preserve"> </w:t>
      </w:r>
      <w:r w:rsidRPr="00D55DFE">
        <w:rPr>
          <w:sz w:val="24"/>
          <w:szCs w:val="24"/>
        </w:rPr>
        <w:t>An effect and process study revealed that, despite securing strong local support, improving multi-agency collaboration, increasing information sharing, and stimulating</w:t>
      </w:r>
      <w:r>
        <w:rPr>
          <w:sz w:val="24"/>
          <w:szCs w:val="24"/>
        </w:rPr>
        <w:t xml:space="preserve"> </w:t>
      </w:r>
      <w:r w:rsidRPr="00D55DFE">
        <w:rPr>
          <w:sz w:val="24"/>
          <w:szCs w:val="24"/>
        </w:rPr>
        <w:t>'sensible' activities, it did not result in a demonstrable reduction in violence</w:t>
      </w:r>
      <w:r w:rsidR="00CC6C76">
        <w:rPr>
          <w:sz w:val="24"/>
          <w:szCs w:val="24"/>
        </w:rPr>
        <w:t xml:space="preserve"> (Ibid.)</w:t>
      </w:r>
      <w:r w:rsidRPr="00D55DFE">
        <w:rPr>
          <w:sz w:val="24"/>
          <w:szCs w:val="24"/>
        </w:rPr>
        <w:t>.</w:t>
      </w:r>
    </w:p>
    <w:p w14:paraId="5822BE14" w14:textId="77777777" w:rsidR="00D55DFE" w:rsidRPr="00270EEB" w:rsidRDefault="00D55DFE" w:rsidP="00340E9A">
      <w:pPr>
        <w:ind w:right="237"/>
        <w:jc w:val="both"/>
        <w:rPr>
          <w:sz w:val="24"/>
          <w:szCs w:val="24"/>
        </w:rPr>
      </w:pPr>
    </w:p>
    <w:p w14:paraId="5C6ECEDF" w14:textId="54BB958E" w:rsidR="00973F2E" w:rsidRDefault="00EE56FD" w:rsidP="00043328">
      <w:pPr>
        <w:ind w:right="237"/>
        <w:jc w:val="both"/>
        <w:rPr>
          <w:sz w:val="24"/>
          <w:szCs w:val="24"/>
        </w:rPr>
      </w:pPr>
      <w:r w:rsidRPr="005E2CAC">
        <w:rPr>
          <w:sz w:val="24"/>
          <w:szCs w:val="24"/>
        </w:rPr>
        <w:t>"Evidence-based policing" refers to the utilisation of the latest studies on the effectiveness of police work to develop policies and evaluate organisations, departments, and personnel</w:t>
      </w:r>
      <w:sdt>
        <w:sdtPr>
          <w:rPr>
            <w:sz w:val="24"/>
            <w:szCs w:val="24"/>
          </w:rPr>
          <w:id w:val="-1657376545"/>
          <w:citation/>
        </w:sdtPr>
        <w:sdtContent>
          <w:r>
            <w:rPr>
              <w:sz w:val="24"/>
              <w:szCs w:val="24"/>
            </w:rPr>
            <w:fldChar w:fldCharType="begin"/>
          </w:r>
          <w:r>
            <w:rPr>
              <w:sz w:val="24"/>
              <w:szCs w:val="24"/>
            </w:rPr>
            <w:instrText xml:space="preserve"> CITATION She98 \l 2057 </w:instrText>
          </w:r>
          <w:r>
            <w:rPr>
              <w:sz w:val="24"/>
              <w:szCs w:val="24"/>
            </w:rPr>
            <w:fldChar w:fldCharType="separate"/>
          </w:r>
          <w:r>
            <w:rPr>
              <w:noProof/>
              <w:sz w:val="24"/>
              <w:szCs w:val="24"/>
            </w:rPr>
            <w:t xml:space="preserve"> </w:t>
          </w:r>
          <w:r w:rsidRPr="005E2CAC">
            <w:rPr>
              <w:noProof/>
              <w:sz w:val="24"/>
              <w:szCs w:val="24"/>
            </w:rPr>
            <w:t>(Sherman, 1998)</w:t>
          </w:r>
          <w:r>
            <w:rPr>
              <w:sz w:val="24"/>
              <w:szCs w:val="24"/>
            </w:rPr>
            <w:fldChar w:fldCharType="end"/>
          </w:r>
        </w:sdtContent>
      </w:sdt>
      <w:r w:rsidRPr="005E2CAC">
        <w:rPr>
          <w:sz w:val="24"/>
          <w:szCs w:val="24"/>
        </w:rPr>
        <w:t>. It implies that simply conducting research is insufficient, and that proactive efforts are necessary to translate collected research knowledge into practise via national and community norms. These principles may then be used to concentrate internal assessments on what performs best throughout organizations, divisions, victims, and police</w:t>
      </w:r>
      <w:r>
        <w:rPr>
          <w:sz w:val="24"/>
          <w:szCs w:val="24"/>
        </w:rPr>
        <w:t xml:space="preserve"> (Ibid.)</w:t>
      </w:r>
      <w:r w:rsidR="00043328">
        <w:rPr>
          <w:sz w:val="24"/>
          <w:szCs w:val="24"/>
        </w:rPr>
        <w:t>.</w:t>
      </w:r>
    </w:p>
    <w:p w14:paraId="3B65468C" w14:textId="449C6A1E" w:rsidR="00043328" w:rsidRDefault="00043328" w:rsidP="00043328">
      <w:pPr>
        <w:ind w:right="237"/>
        <w:jc w:val="both"/>
        <w:rPr>
          <w:sz w:val="24"/>
          <w:szCs w:val="24"/>
        </w:rPr>
      </w:pPr>
    </w:p>
    <w:p w14:paraId="3F9FE1DB" w14:textId="7B2D2385" w:rsidR="00043328" w:rsidRDefault="00043328" w:rsidP="00043328">
      <w:pPr>
        <w:ind w:right="237"/>
        <w:jc w:val="both"/>
        <w:rPr>
          <w:sz w:val="24"/>
          <w:szCs w:val="24"/>
        </w:rPr>
      </w:pPr>
      <w:r w:rsidRPr="00043328">
        <w:rPr>
          <w:sz w:val="24"/>
          <w:szCs w:val="24"/>
        </w:rPr>
        <w:t>Second responder programmes, which include police following up with houses that have recently been visited for domestic violence, frequently in collaboration with victim advocacy or social workers, focus on assuring victims' immediate safety. In addition, they give information about legal, social, and health services</w:t>
      </w:r>
      <w:r>
        <w:rPr>
          <w:sz w:val="24"/>
          <w:szCs w:val="24"/>
        </w:rPr>
        <w:t xml:space="preserve"> </w:t>
      </w:r>
      <w:sdt>
        <w:sdtPr>
          <w:rPr>
            <w:sz w:val="24"/>
            <w:szCs w:val="24"/>
          </w:rPr>
          <w:id w:val="363946653"/>
          <w:citation/>
        </w:sdtPr>
        <w:sdtContent>
          <w:r>
            <w:rPr>
              <w:sz w:val="24"/>
              <w:szCs w:val="24"/>
            </w:rPr>
            <w:fldChar w:fldCharType="begin"/>
          </w:r>
          <w:r>
            <w:rPr>
              <w:sz w:val="24"/>
              <w:szCs w:val="24"/>
            </w:rPr>
            <w:instrText xml:space="preserve"> CITATION Dow18 \l 2057 </w:instrText>
          </w:r>
          <w:r>
            <w:rPr>
              <w:sz w:val="24"/>
              <w:szCs w:val="24"/>
            </w:rPr>
            <w:fldChar w:fldCharType="separate"/>
          </w:r>
          <w:r w:rsidRPr="00043328">
            <w:rPr>
              <w:noProof/>
              <w:sz w:val="24"/>
              <w:szCs w:val="24"/>
            </w:rPr>
            <w:t>(Dowling, et al., 2018)</w:t>
          </w:r>
          <w:r>
            <w:rPr>
              <w:sz w:val="24"/>
              <w:szCs w:val="24"/>
            </w:rPr>
            <w:fldChar w:fldCharType="end"/>
          </w:r>
        </w:sdtContent>
      </w:sdt>
      <w:r w:rsidRPr="00043328">
        <w:rPr>
          <w:sz w:val="24"/>
          <w:szCs w:val="24"/>
        </w:rPr>
        <w:t>. While these programmes improve the likelihood of new domestic violence occurrences being reported to police, research findings and comprehensive analyses have demonstrated that they do not prevent future domestic violence. Protection orders, which have become an important component of the criminal justice approach to domestic violence, impose requirements on abusers, such as prohibiting them from contacting victims. Police ensure compliance with the terms of these directives. Protection orders can lower the chance of reoccurring serious domestic violence</w:t>
      </w:r>
      <w:r>
        <w:rPr>
          <w:sz w:val="24"/>
          <w:szCs w:val="24"/>
        </w:rPr>
        <w:t xml:space="preserve"> (Ibid.)</w:t>
      </w:r>
      <w:r w:rsidRPr="00043328">
        <w:rPr>
          <w:sz w:val="24"/>
          <w:szCs w:val="24"/>
        </w:rPr>
        <w:t>.</w:t>
      </w:r>
    </w:p>
    <w:p w14:paraId="0DB898EF" w14:textId="2739FC9F" w:rsidR="007F335C" w:rsidRDefault="007F335C" w:rsidP="00043328">
      <w:pPr>
        <w:ind w:right="237"/>
        <w:jc w:val="both"/>
        <w:rPr>
          <w:sz w:val="24"/>
          <w:szCs w:val="24"/>
        </w:rPr>
      </w:pPr>
    </w:p>
    <w:p w14:paraId="769D164E" w14:textId="3BD30E6C" w:rsidR="007F335C" w:rsidRPr="00043328" w:rsidRDefault="000B6AC6" w:rsidP="00043328">
      <w:pPr>
        <w:ind w:right="237"/>
        <w:jc w:val="both"/>
        <w:rPr>
          <w:sz w:val="24"/>
          <w:szCs w:val="24"/>
        </w:rPr>
      </w:pPr>
      <w:r w:rsidRPr="000B6AC6">
        <w:rPr>
          <w:sz w:val="24"/>
          <w:szCs w:val="24"/>
        </w:rPr>
        <w:t>Multi Agency Risk Assessment Conference (MARAC) helps to ensure that high risk victims are supported and better protected from further abuse by a coordinated effort from all agencies and organisations. Local multi-agency partners will meet to discuss the highest risk victims of domestic abuse in the borough. Agencies will agree and undertake actions that form part of an effective safety plan for the victim and the children</w:t>
      </w:r>
      <w:r>
        <w:rPr>
          <w:sz w:val="24"/>
          <w:szCs w:val="24"/>
        </w:rPr>
        <w:t xml:space="preserve"> </w:t>
      </w:r>
      <w:sdt>
        <w:sdtPr>
          <w:rPr>
            <w:sz w:val="24"/>
            <w:szCs w:val="24"/>
          </w:rPr>
          <w:id w:val="-434983295"/>
          <w:citation/>
        </w:sdtPr>
        <w:sdtContent>
          <w:r>
            <w:rPr>
              <w:sz w:val="24"/>
              <w:szCs w:val="24"/>
            </w:rPr>
            <w:fldChar w:fldCharType="begin"/>
          </w:r>
          <w:r>
            <w:rPr>
              <w:sz w:val="24"/>
              <w:szCs w:val="24"/>
            </w:rPr>
            <w:instrText xml:space="preserve"> CITATION BAR22 \l 2057 </w:instrText>
          </w:r>
          <w:r>
            <w:rPr>
              <w:sz w:val="24"/>
              <w:szCs w:val="24"/>
            </w:rPr>
            <w:fldChar w:fldCharType="separate"/>
          </w:r>
          <w:r w:rsidRPr="000B6AC6">
            <w:rPr>
              <w:noProof/>
              <w:sz w:val="24"/>
              <w:szCs w:val="24"/>
            </w:rPr>
            <w:t>(BARNET, 2022)</w:t>
          </w:r>
          <w:r>
            <w:rPr>
              <w:sz w:val="24"/>
              <w:szCs w:val="24"/>
            </w:rPr>
            <w:fldChar w:fldCharType="end"/>
          </w:r>
        </w:sdtContent>
      </w:sdt>
      <w:r w:rsidRPr="000B6AC6">
        <w:rPr>
          <w:sz w:val="24"/>
          <w:szCs w:val="24"/>
        </w:rPr>
        <w:t>.</w:t>
      </w:r>
      <w:r>
        <w:rPr>
          <w:sz w:val="24"/>
          <w:szCs w:val="24"/>
        </w:rPr>
        <w:t xml:space="preserve"> MARAC meetings are a</w:t>
      </w:r>
      <w:r w:rsidR="007F335C" w:rsidRPr="007F335C">
        <w:rPr>
          <w:sz w:val="24"/>
          <w:szCs w:val="24"/>
        </w:rPr>
        <w:t xml:space="preserve"> monthly conference at which agencies analyse</w:t>
      </w:r>
      <w:r>
        <w:rPr>
          <w:sz w:val="24"/>
          <w:szCs w:val="24"/>
        </w:rPr>
        <w:t xml:space="preserve"> those</w:t>
      </w:r>
      <w:r w:rsidR="007F335C" w:rsidRPr="007F335C">
        <w:rPr>
          <w:sz w:val="24"/>
          <w:szCs w:val="24"/>
        </w:rPr>
        <w:t xml:space="preserve"> high-risk domestic abuse situations and collaborate to establish a contingency plan for the victim and his or her children. Authorities, Independent Domestic Violence Advisors (IDVAs), Children's Social Services, Health Visitors, and GPs are among the agencies that may participate</w:t>
      </w:r>
      <w:r w:rsidR="0072520D">
        <w:rPr>
          <w:sz w:val="24"/>
          <w:szCs w:val="24"/>
        </w:rPr>
        <w:t xml:space="preserve"> </w:t>
      </w:r>
      <w:sdt>
        <w:sdtPr>
          <w:rPr>
            <w:sz w:val="24"/>
            <w:szCs w:val="24"/>
          </w:rPr>
          <w:id w:val="-1154911325"/>
          <w:citation/>
        </w:sdtPr>
        <w:sdtContent>
          <w:r w:rsidR="0072520D">
            <w:rPr>
              <w:sz w:val="24"/>
              <w:szCs w:val="24"/>
            </w:rPr>
            <w:fldChar w:fldCharType="begin"/>
          </w:r>
          <w:r w:rsidR="0072520D">
            <w:rPr>
              <w:sz w:val="24"/>
              <w:szCs w:val="24"/>
            </w:rPr>
            <w:instrText xml:space="preserve"> CITATION Ken22 \l 2057 </w:instrText>
          </w:r>
          <w:r w:rsidR="0072520D">
            <w:rPr>
              <w:sz w:val="24"/>
              <w:szCs w:val="24"/>
            </w:rPr>
            <w:fldChar w:fldCharType="separate"/>
          </w:r>
          <w:r w:rsidR="0072520D" w:rsidRPr="0072520D">
            <w:rPr>
              <w:noProof/>
              <w:sz w:val="24"/>
              <w:szCs w:val="24"/>
            </w:rPr>
            <w:t>(Kent and Medway Domestic Abuse Support Services, 2022)</w:t>
          </w:r>
          <w:r w:rsidR="0072520D">
            <w:rPr>
              <w:sz w:val="24"/>
              <w:szCs w:val="24"/>
            </w:rPr>
            <w:fldChar w:fldCharType="end"/>
          </w:r>
        </w:sdtContent>
      </w:sdt>
      <w:r w:rsidR="007F335C" w:rsidRPr="007F335C">
        <w:rPr>
          <w:sz w:val="24"/>
          <w:szCs w:val="24"/>
        </w:rPr>
        <w:t>.</w:t>
      </w:r>
      <w:r w:rsidR="0072520D">
        <w:rPr>
          <w:sz w:val="24"/>
          <w:szCs w:val="24"/>
        </w:rPr>
        <w:t xml:space="preserve"> </w:t>
      </w:r>
      <w:r w:rsidR="0072520D" w:rsidRPr="0072520D">
        <w:rPr>
          <w:sz w:val="24"/>
          <w:szCs w:val="24"/>
        </w:rPr>
        <w:t>Incidents involved in the case are examined during a MARAC conference, and any identified risks are presented. Agencies will then determine together what action plans to implement. This may entail making referrals for the victim's residence to be made secure, or making referrals to other agencies that can provide additional help. Alternatively, this may entail assisting the victim in moving to a secure place to improve their safety, or assisting them in obtaining orders to restrict their former partner from contacting them</w:t>
      </w:r>
      <w:r w:rsidR="0072520D">
        <w:rPr>
          <w:sz w:val="24"/>
          <w:szCs w:val="24"/>
        </w:rPr>
        <w:t xml:space="preserve"> (Ibid.)</w:t>
      </w:r>
      <w:r w:rsidR="0072520D" w:rsidRPr="0072520D">
        <w:rPr>
          <w:sz w:val="24"/>
          <w:szCs w:val="24"/>
        </w:rPr>
        <w:t>.</w:t>
      </w:r>
    </w:p>
    <w:p w14:paraId="6FEFC369" w14:textId="77777777" w:rsidR="00973F2E" w:rsidRPr="00973F2E" w:rsidRDefault="00973F2E" w:rsidP="00973F2E"/>
    <w:p w14:paraId="1B0E5611" w14:textId="77777777" w:rsidR="00973F2E" w:rsidRPr="00973F2E" w:rsidRDefault="00973F2E" w:rsidP="00973F2E"/>
    <w:p w14:paraId="309E2348" w14:textId="77777777" w:rsidR="00973F2E" w:rsidRPr="00973F2E" w:rsidRDefault="00973F2E" w:rsidP="00973F2E"/>
    <w:p w14:paraId="7BAE74D1" w14:textId="77777777" w:rsidR="00973F2E" w:rsidRPr="00973F2E" w:rsidRDefault="00973F2E" w:rsidP="00973F2E"/>
    <w:p w14:paraId="02030105" w14:textId="77777777" w:rsidR="00973F2E" w:rsidRPr="00973F2E" w:rsidRDefault="00973F2E" w:rsidP="00973F2E"/>
    <w:p w14:paraId="7600C321" w14:textId="77777777" w:rsidR="00973F2E" w:rsidRPr="00973F2E" w:rsidRDefault="00973F2E" w:rsidP="00973F2E"/>
    <w:p w14:paraId="0008EA52" w14:textId="53856AAD" w:rsidR="00973F2E" w:rsidRDefault="00973F2E" w:rsidP="5B63D80E">
      <w:pPr>
        <w:ind w:right="237"/>
        <w:jc w:val="center"/>
      </w:pPr>
    </w:p>
    <w:p w14:paraId="405A623D" w14:textId="46299F0A" w:rsidR="00973F2E" w:rsidRDefault="00973F2E" w:rsidP="5B63D80E">
      <w:pPr>
        <w:ind w:right="237"/>
        <w:jc w:val="center"/>
      </w:pPr>
    </w:p>
    <w:p w14:paraId="45C7161A" w14:textId="30CB11C8" w:rsidR="00973F2E" w:rsidRDefault="003B3D7A" w:rsidP="00973F2E">
      <w:pPr>
        <w:tabs>
          <w:tab w:val="left" w:pos="3700"/>
        </w:tabs>
        <w:ind w:right="237"/>
      </w:pPr>
      <w:r>
        <w:t xml:space="preserve">Word count – </w:t>
      </w:r>
      <w:r w:rsidR="0091612D">
        <w:t>1527</w:t>
      </w:r>
    </w:p>
    <w:p w14:paraId="05D02621" w14:textId="77777777" w:rsidR="001C1578" w:rsidRDefault="001C1578" w:rsidP="001C1578">
      <w:pPr>
        <w:ind w:right="237"/>
      </w:pPr>
    </w:p>
    <w:p w14:paraId="37656C8F" w14:textId="77777777" w:rsidR="001C1578" w:rsidRDefault="001C1578" w:rsidP="001C1578">
      <w:pPr>
        <w:ind w:right="237"/>
      </w:pPr>
    </w:p>
    <w:p w14:paraId="0819CD33" w14:textId="77777777" w:rsidR="001C1578" w:rsidRDefault="001C1578" w:rsidP="001C1578">
      <w:pPr>
        <w:ind w:right="237"/>
      </w:pPr>
    </w:p>
    <w:p w14:paraId="7C8375C7" w14:textId="77777777" w:rsidR="001C1578" w:rsidRDefault="001C1578" w:rsidP="001C1578">
      <w:pPr>
        <w:ind w:right="237"/>
      </w:pPr>
    </w:p>
    <w:p w14:paraId="2AF70F54" w14:textId="77777777" w:rsidR="001C1578" w:rsidRDefault="001C1578" w:rsidP="001C1578">
      <w:pPr>
        <w:ind w:right="237"/>
      </w:pPr>
    </w:p>
    <w:p w14:paraId="53015A4F" w14:textId="77777777" w:rsidR="001C1578" w:rsidRDefault="001C1578" w:rsidP="001C1578">
      <w:pPr>
        <w:ind w:right="237"/>
      </w:pPr>
    </w:p>
    <w:p w14:paraId="14B1661E" w14:textId="77777777" w:rsidR="001C1578" w:rsidRDefault="001C1578" w:rsidP="001C1578">
      <w:pPr>
        <w:ind w:right="237"/>
      </w:pPr>
    </w:p>
    <w:p w14:paraId="78D753F4" w14:textId="77777777" w:rsidR="001C1578" w:rsidRDefault="001C1578" w:rsidP="001C1578">
      <w:pPr>
        <w:ind w:right="237"/>
      </w:pPr>
    </w:p>
    <w:p w14:paraId="66F3BCF2" w14:textId="77777777" w:rsidR="001C1578" w:rsidRDefault="001C1578" w:rsidP="001C1578">
      <w:pPr>
        <w:ind w:right="237"/>
      </w:pPr>
    </w:p>
    <w:p w14:paraId="7A3437A8" w14:textId="77777777" w:rsidR="001C1578" w:rsidRDefault="001C1578" w:rsidP="001C1578">
      <w:pPr>
        <w:ind w:right="237"/>
      </w:pPr>
    </w:p>
    <w:p w14:paraId="74269921" w14:textId="77777777" w:rsidR="001C1578" w:rsidRDefault="001C1578" w:rsidP="001C1578">
      <w:pPr>
        <w:ind w:right="237"/>
      </w:pPr>
    </w:p>
    <w:p w14:paraId="549B926D" w14:textId="77777777" w:rsidR="001C1578" w:rsidRDefault="001C1578" w:rsidP="001C1578">
      <w:pPr>
        <w:ind w:right="237"/>
      </w:pPr>
    </w:p>
    <w:p w14:paraId="2ABC743F" w14:textId="77777777" w:rsidR="001C1578" w:rsidRDefault="001C1578" w:rsidP="001C1578">
      <w:pPr>
        <w:ind w:right="237"/>
      </w:pPr>
    </w:p>
    <w:p w14:paraId="02A0358C" w14:textId="77777777" w:rsidR="001C1578" w:rsidRDefault="001C1578" w:rsidP="001C1578">
      <w:pPr>
        <w:ind w:right="237"/>
      </w:pPr>
    </w:p>
    <w:p w14:paraId="2D8D6043" w14:textId="77777777" w:rsidR="001C1578" w:rsidRDefault="001C1578" w:rsidP="001C1578">
      <w:pPr>
        <w:ind w:right="237"/>
      </w:pPr>
    </w:p>
    <w:p w14:paraId="0DCD3BFD" w14:textId="77777777" w:rsidR="001C1578" w:rsidRDefault="001C1578" w:rsidP="001C1578">
      <w:pPr>
        <w:ind w:right="237"/>
      </w:pPr>
    </w:p>
    <w:p w14:paraId="165966E1" w14:textId="77777777" w:rsidR="001C1578" w:rsidRDefault="001C1578" w:rsidP="001C1578">
      <w:pPr>
        <w:ind w:right="237"/>
      </w:pPr>
    </w:p>
    <w:p w14:paraId="4AEFC9AD" w14:textId="77777777" w:rsidR="001C1578" w:rsidRDefault="001C1578" w:rsidP="001C1578">
      <w:pPr>
        <w:ind w:right="237"/>
      </w:pPr>
    </w:p>
    <w:p w14:paraId="673C80AD" w14:textId="77777777" w:rsidR="001C1578" w:rsidRDefault="001C1578" w:rsidP="001C1578">
      <w:pPr>
        <w:ind w:right="237"/>
      </w:pPr>
    </w:p>
    <w:p w14:paraId="0F4190BB" w14:textId="77777777" w:rsidR="001C1578" w:rsidRDefault="001C1578" w:rsidP="001C1578">
      <w:pPr>
        <w:ind w:right="237"/>
      </w:pPr>
    </w:p>
    <w:p w14:paraId="22F5759A" w14:textId="77777777" w:rsidR="001C1578" w:rsidRDefault="001C1578" w:rsidP="001C1578">
      <w:pPr>
        <w:ind w:right="237"/>
      </w:pPr>
    </w:p>
    <w:p w14:paraId="448A79A3" w14:textId="77777777" w:rsidR="001C1578" w:rsidRDefault="001C1578" w:rsidP="001C1578">
      <w:pPr>
        <w:ind w:right="237"/>
      </w:pPr>
    </w:p>
    <w:p w14:paraId="26FDC218" w14:textId="77777777" w:rsidR="001C1578" w:rsidRDefault="001C1578" w:rsidP="001C1578">
      <w:pPr>
        <w:ind w:right="237"/>
      </w:pPr>
    </w:p>
    <w:p w14:paraId="0886BCC6" w14:textId="77777777" w:rsidR="001C1578" w:rsidRDefault="001C1578" w:rsidP="001C1578">
      <w:pPr>
        <w:ind w:right="237"/>
      </w:pPr>
    </w:p>
    <w:p w14:paraId="7FEFA26A" w14:textId="77777777" w:rsidR="001C1578" w:rsidRDefault="001C1578" w:rsidP="001C1578">
      <w:pPr>
        <w:ind w:right="237"/>
      </w:pPr>
    </w:p>
    <w:p w14:paraId="0160E43C" w14:textId="77777777" w:rsidR="001C1578" w:rsidRDefault="001C1578" w:rsidP="001C1578">
      <w:pPr>
        <w:ind w:right="237"/>
      </w:pPr>
    </w:p>
    <w:p w14:paraId="3B976137" w14:textId="5DCFA103" w:rsidR="5B63D80E" w:rsidRDefault="5B63D80E" w:rsidP="001C1578">
      <w:pPr>
        <w:ind w:right="237"/>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76633499" w14:textId="007CAE02"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21C8E376" w14:textId="6B0D6FA6" w:rsidR="00C83A4D" w:rsidRDefault="00C146DC">
      <w:pPr>
        <w:rPr>
          <w:sz w:val="24"/>
          <w:szCs w:val="24"/>
        </w:rPr>
      </w:pPr>
      <w:r>
        <w:rPr>
          <w:sz w:val="24"/>
          <w:szCs w:val="24"/>
        </w:rPr>
        <w:t xml:space="preserve">For this section of the workbook I will be reflecting </w:t>
      </w:r>
      <w:r>
        <w:rPr>
          <w:sz w:val="24"/>
          <w:szCs w:val="24"/>
        </w:rPr>
        <w:t>on an incident which I</w:t>
      </w:r>
      <w:r w:rsidRPr="5B63D80E">
        <w:rPr>
          <w:sz w:val="24"/>
          <w:szCs w:val="24"/>
        </w:rPr>
        <w:t xml:space="preserve"> played a significant role with a victim of crime or anti-social behaviour</w:t>
      </w:r>
      <w:r w:rsidRPr="003B3D7A">
        <w:rPr>
          <w:sz w:val="24"/>
          <w:szCs w:val="24"/>
        </w:rPr>
        <w:t xml:space="preserve"> </w:t>
      </w:r>
      <w:r w:rsidRPr="003B3D7A">
        <w:rPr>
          <w:sz w:val="24"/>
          <w:szCs w:val="24"/>
        </w:rPr>
        <w:t>using the era cycle</w:t>
      </w:r>
      <w:r>
        <w:rPr>
          <w:sz w:val="24"/>
          <w:szCs w:val="24"/>
        </w:rPr>
        <w:t xml:space="preserve"> </w:t>
      </w:r>
      <w:sdt>
        <w:sdtPr>
          <w:rPr>
            <w:sz w:val="24"/>
            <w:szCs w:val="24"/>
          </w:rPr>
          <w:id w:val="-1243716601"/>
          <w:citation/>
        </w:sdtPr>
        <w:sdtContent>
          <w:r>
            <w:rPr>
              <w:sz w:val="24"/>
              <w:szCs w:val="24"/>
            </w:rPr>
            <w:fldChar w:fldCharType="begin"/>
          </w:r>
          <w:r>
            <w:rPr>
              <w:sz w:val="24"/>
              <w:szCs w:val="24"/>
            </w:rPr>
            <w:instrText xml:space="preserve"> CITATION Jas13 \l 2057 </w:instrText>
          </w:r>
          <w:r>
            <w:rPr>
              <w:sz w:val="24"/>
              <w:szCs w:val="24"/>
            </w:rPr>
            <w:fldChar w:fldCharType="separate"/>
          </w:r>
          <w:r w:rsidRPr="003B3D7A">
            <w:rPr>
              <w:noProof/>
              <w:sz w:val="24"/>
              <w:szCs w:val="24"/>
            </w:rPr>
            <w:t>(Jasper, 2013)</w:t>
          </w:r>
          <w:r>
            <w:rPr>
              <w:sz w:val="24"/>
              <w:szCs w:val="24"/>
            </w:rPr>
            <w:fldChar w:fldCharType="end"/>
          </w:r>
        </w:sdtContent>
      </w:sdt>
      <w:r>
        <w:rPr>
          <w:sz w:val="24"/>
          <w:szCs w:val="24"/>
        </w:rPr>
        <w:t xml:space="preserve">. I will firstly be providing a brief description </w:t>
      </w:r>
      <w:r w:rsidRPr="31856DE5">
        <w:rPr>
          <w:rFonts w:eastAsia="Arial"/>
          <w:color w:val="000000" w:themeColor="text1"/>
          <w:sz w:val="24"/>
          <w:szCs w:val="24"/>
        </w:rPr>
        <w:t>of the incident including social and legislative contexts and any relevant cultural, ethnicity and language issues.</w:t>
      </w:r>
      <w:r>
        <w:rPr>
          <w:rFonts w:eastAsia="Arial"/>
          <w:color w:val="000000" w:themeColor="text1"/>
          <w:sz w:val="24"/>
          <w:szCs w:val="24"/>
        </w:rPr>
        <w:t xml:space="preserve"> I will then evaluate the </w:t>
      </w:r>
      <w:r w:rsidRPr="31856DE5">
        <w:rPr>
          <w:color w:val="000000" w:themeColor="text1"/>
          <w:sz w:val="24"/>
          <w:szCs w:val="24"/>
          <w:lang w:val="en-US"/>
        </w:rPr>
        <w:t>appropria</w:t>
      </w:r>
      <w:r>
        <w:rPr>
          <w:color w:val="000000" w:themeColor="text1"/>
          <w:sz w:val="24"/>
          <w:szCs w:val="24"/>
          <w:lang w:val="en-US"/>
        </w:rPr>
        <w:t>teness of different approaches by professionals and the police</w:t>
      </w:r>
      <w:r w:rsidRPr="31856DE5">
        <w:rPr>
          <w:color w:val="000000" w:themeColor="text1"/>
          <w:sz w:val="24"/>
          <w:szCs w:val="24"/>
          <w:lang w:val="en-US"/>
        </w:rPr>
        <w:t xml:space="preserve"> in supporting or managing vulnerable people or people at risk of harm</w:t>
      </w:r>
      <w:r>
        <w:rPr>
          <w:color w:val="000000" w:themeColor="text1"/>
          <w:sz w:val="24"/>
          <w:szCs w:val="24"/>
          <w:lang w:val="en-US"/>
        </w:rPr>
        <w:t xml:space="preserve"> and </w:t>
      </w:r>
      <w:r w:rsidRPr="31856DE5">
        <w:rPr>
          <w:sz w:val="24"/>
          <w:szCs w:val="24"/>
        </w:rPr>
        <w:t>what works in relation to tackling repeat victimisation and repeat offending.</w:t>
      </w:r>
      <w:r>
        <w:rPr>
          <w:sz w:val="24"/>
          <w:szCs w:val="24"/>
        </w:rPr>
        <w:t xml:space="preserve"> I will then conclude this section by providing a summary of my findings.</w:t>
      </w:r>
    </w:p>
    <w:p w14:paraId="7D811229" w14:textId="2AF3CDEF" w:rsidR="00C146DC" w:rsidRDefault="00C146DC">
      <w:pPr>
        <w:rPr>
          <w:sz w:val="24"/>
          <w:szCs w:val="24"/>
        </w:rPr>
      </w:pPr>
    </w:p>
    <w:p w14:paraId="66300863" w14:textId="65DC8D3F" w:rsidR="00C146DC" w:rsidRDefault="00C146DC">
      <w:pPr>
        <w:rPr>
          <w:sz w:val="24"/>
          <w:szCs w:val="24"/>
        </w:rPr>
      </w:pPr>
      <w:r>
        <w:rPr>
          <w:sz w:val="24"/>
          <w:szCs w:val="24"/>
        </w:rPr>
        <w:t xml:space="preserve">The incident I will be using </w:t>
      </w:r>
      <w:r w:rsidR="00BD089A">
        <w:rPr>
          <w:sz w:val="24"/>
          <w:szCs w:val="24"/>
        </w:rPr>
        <w:t>involves a</w:t>
      </w:r>
      <w:r>
        <w:rPr>
          <w:sz w:val="24"/>
          <w:szCs w:val="24"/>
        </w:rPr>
        <w:t xml:space="preserve"> homosexual man who has had repeat issues with neighbours who have regularly made homophobic comments to him and have on occasion defaced his home by using spray paints on his external walls and have posted excrement through his letterbox. The victim had reported these crimes on several occasions and had become increasingly concerned for his welfare. He informed me that he had only lived in the area for several months and that it commenced when he had a dispute with a neighbour over them being very loud during the night time hours.</w:t>
      </w:r>
    </w:p>
    <w:p w14:paraId="72E96EC2" w14:textId="72F68F1C" w:rsidR="00EE56FD" w:rsidRDefault="00EE56FD" w:rsidP="00EE56FD">
      <w:pPr>
        <w:ind w:right="237"/>
        <w:jc w:val="both"/>
      </w:pPr>
    </w:p>
    <w:p w14:paraId="3770F8DF" w14:textId="122EE9E2" w:rsidR="00EE56FD" w:rsidRDefault="00EE56FD" w:rsidP="00EE56FD">
      <w:pPr>
        <w:ind w:right="237"/>
        <w:jc w:val="both"/>
        <w:rPr>
          <w:sz w:val="24"/>
          <w:szCs w:val="24"/>
        </w:rPr>
      </w:pPr>
      <w:r w:rsidRPr="007B531F">
        <w:rPr>
          <w:sz w:val="24"/>
          <w:szCs w:val="24"/>
        </w:rPr>
        <w:t>The public readily recognises</w:t>
      </w:r>
      <w:r>
        <w:rPr>
          <w:sz w:val="24"/>
          <w:szCs w:val="24"/>
        </w:rPr>
        <w:t xml:space="preserve"> Anti-social behaviour</w:t>
      </w:r>
      <w:r w:rsidRPr="007B531F">
        <w:rPr>
          <w:sz w:val="24"/>
          <w:szCs w:val="24"/>
        </w:rPr>
        <w:t xml:space="preserve"> </w:t>
      </w:r>
      <w:r>
        <w:rPr>
          <w:sz w:val="24"/>
          <w:szCs w:val="24"/>
        </w:rPr>
        <w:t>(</w:t>
      </w:r>
      <w:r w:rsidRPr="007B531F">
        <w:rPr>
          <w:sz w:val="24"/>
          <w:szCs w:val="24"/>
        </w:rPr>
        <w:t>ASB</w:t>
      </w:r>
      <w:r>
        <w:rPr>
          <w:sz w:val="24"/>
          <w:szCs w:val="24"/>
        </w:rPr>
        <w:t>)</w:t>
      </w:r>
      <w:r w:rsidRPr="007B531F">
        <w:rPr>
          <w:sz w:val="24"/>
          <w:szCs w:val="24"/>
        </w:rPr>
        <w:t xml:space="preserve"> as a policing issue, and it is believed that around 45 percent of all public calls to the police are related to ASB. Importantly, the study discovered that the general population does not distinguish between criminality and anti-social behaviour. Rather, they address matters based on whether they affect their i</w:t>
      </w:r>
      <w:r>
        <w:rPr>
          <w:sz w:val="24"/>
          <w:szCs w:val="24"/>
        </w:rPr>
        <w:t>ndividual or communal security. The studies conducted by HM Inspectorate of Constabulary (HMIC)</w:t>
      </w:r>
      <w:r w:rsidRPr="007B531F">
        <w:rPr>
          <w:sz w:val="24"/>
          <w:szCs w:val="24"/>
        </w:rPr>
        <w:t xml:space="preserve"> discovered that those who are regularly exposed to ASB are considerably more likely to have such individual or group effects</w:t>
      </w:r>
      <w:r>
        <w:rPr>
          <w:sz w:val="24"/>
          <w:szCs w:val="24"/>
        </w:rPr>
        <w:t xml:space="preserve"> </w:t>
      </w:r>
      <w:sdt>
        <w:sdtPr>
          <w:rPr>
            <w:sz w:val="24"/>
            <w:szCs w:val="24"/>
          </w:rPr>
          <w:id w:val="419763889"/>
          <w:citation/>
        </w:sdtPr>
        <w:sdtContent>
          <w:r>
            <w:rPr>
              <w:sz w:val="24"/>
              <w:szCs w:val="24"/>
            </w:rPr>
            <w:fldChar w:fldCharType="begin"/>
          </w:r>
          <w:r>
            <w:rPr>
              <w:sz w:val="24"/>
              <w:szCs w:val="24"/>
            </w:rPr>
            <w:instrText xml:space="preserve"> CITATION Inn10 \l 2057 </w:instrText>
          </w:r>
          <w:r>
            <w:rPr>
              <w:sz w:val="24"/>
              <w:szCs w:val="24"/>
            </w:rPr>
            <w:fldChar w:fldCharType="separate"/>
          </w:r>
          <w:r w:rsidRPr="001D4731">
            <w:rPr>
              <w:noProof/>
              <w:sz w:val="24"/>
              <w:szCs w:val="24"/>
            </w:rPr>
            <w:t>(Innes &amp; Weston, 2010)</w:t>
          </w:r>
          <w:r>
            <w:rPr>
              <w:sz w:val="24"/>
              <w:szCs w:val="24"/>
            </w:rPr>
            <w:fldChar w:fldCharType="end"/>
          </w:r>
        </w:sdtContent>
      </w:sdt>
      <w:r w:rsidRPr="007B531F">
        <w:rPr>
          <w:sz w:val="24"/>
          <w:szCs w:val="24"/>
        </w:rPr>
        <w:t>. This is especially true when the difficulties are more personal in nature and there is an element of intimidation involved.</w:t>
      </w:r>
      <w:r>
        <w:rPr>
          <w:sz w:val="24"/>
          <w:szCs w:val="24"/>
        </w:rPr>
        <w:t xml:space="preserve"> </w:t>
      </w:r>
      <w:r w:rsidRPr="007B531F">
        <w:rPr>
          <w:sz w:val="24"/>
          <w:szCs w:val="24"/>
        </w:rPr>
        <w:t xml:space="preserve">People who self-identify as handicapped or who report a long-term medical </w:t>
      </w:r>
      <w:r w:rsidRPr="007B531F">
        <w:rPr>
          <w:sz w:val="24"/>
          <w:szCs w:val="24"/>
        </w:rPr>
        <w:lastRenderedPageBreak/>
        <w:t>problem are significantly more vulnerable to ASB. Similarly, towns and neighbourhoods that are already under</w:t>
      </w:r>
      <w:r>
        <w:rPr>
          <w:sz w:val="24"/>
          <w:szCs w:val="24"/>
        </w:rPr>
        <w:t xml:space="preserve"> </w:t>
      </w:r>
      <w:r w:rsidRPr="007B531F">
        <w:rPr>
          <w:sz w:val="24"/>
          <w:szCs w:val="24"/>
        </w:rPr>
        <w:t>'stress' from other social pressures such as elevated levels of socioeconomic hardship or high crime rates are more likely to be severely influenced by ASB</w:t>
      </w:r>
      <w:r>
        <w:rPr>
          <w:sz w:val="24"/>
          <w:szCs w:val="24"/>
        </w:rPr>
        <w:t xml:space="preserve"> (Ibid.)</w:t>
      </w:r>
      <w:r w:rsidRPr="007B531F">
        <w:rPr>
          <w:sz w:val="24"/>
          <w:szCs w:val="24"/>
        </w:rPr>
        <w:t>.</w:t>
      </w:r>
    </w:p>
    <w:p w14:paraId="7D1A5002" w14:textId="7B58E3D8" w:rsidR="00EE56FD" w:rsidRDefault="00EE56FD" w:rsidP="00EE56FD">
      <w:pPr>
        <w:ind w:right="237"/>
        <w:jc w:val="both"/>
        <w:rPr>
          <w:sz w:val="24"/>
          <w:szCs w:val="24"/>
        </w:rPr>
      </w:pPr>
    </w:p>
    <w:p w14:paraId="757C4925" w14:textId="77777777" w:rsidR="00EE56FD" w:rsidRDefault="00EE56FD" w:rsidP="00EE56FD">
      <w:pPr>
        <w:ind w:right="237"/>
        <w:jc w:val="both"/>
        <w:rPr>
          <w:sz w:val="24"/>
          <w:szCs w:val="24"/>
        </w:rPr>
      </w:pPr>
      <w:r w:rsidRPr="00AE0380">
        <w:rPr>
          <w:sz w:val="24"/>
          <w:szCs w:val="24"/>
        </w:rPr>
        <w:t>The Anti-social Behaviour, Crime, and Policing Act of 2014 enacted specific procedures to provide victims and communities a say in how anti-social behaviour complaints are handled</w:t>
      </w:r>
      <w:r>
        <w:rPr>
          <w:sz w:val="24"/>
          <w:szCs w:val="24"/>
        </w:rPr>
        <w:t xml:space="preserve"> </w:t>
      </w:r>
      <w:sdt>
        <w:sdtPr>
          <w:rPr>
            <w:sz w:val="24"/>
            <w:szCs w:val="24"/>
          </w:rPr>
          <w:id w:val="1016189591"/>
          <w:citation/>
        </w:sdtPr>
        <w:sdtContent>
          <w:r>
            <w:rPr>
              <w:sz w:val="24"/>
              <w:szCs w:val="24"/>
            </w:rPr>
            <w:fldChar w:fldCharType="begin"/>
          </w:r>
          <w:r>
            <w:rPr>
              <w:sz w:val="24"/>
              <w:szCs w:val="24"/>
            </w:rPr>
            <w:instrText xml:space="preserve"> CITATION Gov20 \l 2057 </w:instrText>
          </w:r>
          <w:r>
            <w:rPr>
              <w:sz w:val="24"/>
              <w:szCs w:val="24"/>
            </w:rPr>
            <w:fldChar w:fldCharType="separate"/>
          </w:r>
          <w:r w:rsidRPr="00694C08">
            <w:rPr>
              <w:noProof/>
              <w:sz w:val="24"/>
              <w:szCs w:val="24"/>
            </w:rPr>
            <w:t>(Gov.uk, 2020)</w:t>
          </w:r>
          <w:r>
            <w:rPr>
              <w:sz w:val="24"/>
              <w:szCs w:val="24"/>
            </w:rPr>
            <w:fldChar w:fldCharType="end"/>
          </w:r>
        </w:sdtContent>
      </w:sdt>
      <w:r w:rsidRPr="00AE0380">
        <w:rPr>
          <w:sz w:val="24"/>
          <w:szCs w:val="24"/>
        </w:rPr>
        <w:t>. This includes the Community Trigger (also known as the ASB Case Review), which allows victims of chronic anti-social behaviour reported to any of the major accountable authorities, such as the council, police, or housing providers to seek a multi-agency case review if a local threshold is met. When someone seeks a case review and their situation satisfies a locally determined threshold, agencies such as local authorities, the police, local health teams, and registered providers of social housing have an obligation to conduct one</w:t>
      </w:r>
      <w:r>
        <w:rPr>
          <w:sz w:val="24"/>
          <w:szCs w:val="24"/>
        </w:rPr>
        <w:t xml:space="preserve"> (Ibid.)</w:t>
      </w:r>
      <w:r w:rsidRPr="00AE0380">
        <w:rPr>
          <w:sz w:val="24"/>
          <w:szCs w:val="24"/>
        </w:rPr>
        <w:t>.</w:t>
      </w:r>
    </w:p>
    <w:p w14:paraId="3C0F0A5A" w14:textId="77777777" w:rsidR="00EE56FD" w:rsidRDefault="00EE56FD" w:rsidP="00EE56FD">
      <w:pPr>
        <w:ind w:right="237"/>
        <w:jc w:val="both"/>
        <w:rPr>
          <w:sz w:val="24"/>
          <w:szCs w:val="24"/>
        </w:rPr>
      </w:pPr>
    </w:p>
    <w:p w14:paraId="280CE68E" w14:textId="77777777" w:rsidR="00EE56FD" w:rsidRDefault="00EE56FD" w:rsidP="00EE56FD">
      <w:pPr>
        <w:ind w:right="237"/>
        <w:jc w:val="both"/>
        <w:rPr>
          <w:sz w:val="24"/>
          <w:szCs w:val="24"/>
        </w:rPr>
      </w:pPr>
      <w:r w:rsidRPr="00694C08">
        <w:rPr>
          <w:sz w:val="24"/>
          <w:szCs w:val="24"/>
        </w:rPr>
        <w:t>Each Local Authority shall designate a contact point for invoking the Community Trigger and focus on ensuring that applications submitted to that point of contact are sent to all relevant authorities within the local government area.</w:t>
      </w:r>
      <w:r>
        <w:rPr>
          <w:sz w:val="24"/>
          <w:szCs w:val="24"/>
        </w:rPr>
        <w:t xml:space="preserve"> If three or more incidents within a six month period have occurred the community trigger is activated through the local authorities</w:t>
      </w:r>
      <w:sdt>
        <w:sdtPr>
          <w:rPr>
            <w:sz w:val="24"/>
            <w:szCs w:val="24"/>
          </w:rPr>
          <w:id w:val="548890316"/>
          <w:citation/>
        </w:sdtPr>
        <w:sdtContent>
          <w:r>
            <w:rPr>
              <w:sz w:val="24"/>
              <w:szCs w:val="24"/>
            </w:rPr>
            <w:fldChar w:fldCharType="begin"/>
          </w:r>
          <w:r>
            <w:rPr>
              <w:sz w:val="24"/>
              <w:szCs w:val="24"/>
            </w:rPr>
            <w:instrText xml:space="preserve"> CITATION ASB21 \l 2057 </w:instrText>
          </w:r>
          <w:r>
            <w:rPr>
              <w:sz w:val="24"/>
              <w:szCs w:val="24"/>
            </w:rPr>
            <w:fldChar w:fldCharType="separate"/>
          </w:r>
          <w:r>
            <w:rPr>
              <w:noProof/>
              <w:sz w:val="24"/>
              <w:szCs w:val="24"/>
            </w:rPr>
            <w:t xml:space="preserve"> </w:t>
          </w:r>
          <w:r w:rsidRPr="007C493A">
            <w:rPr>
              <w:noProof/>
              <w:sz w:val="24"/>
              <w:szCs w:val="24"/>
            </w:rPr>
            <w:t>(ASB Help, 2021)</w:t>
          </w:r>
          <w:r>
            <w:rPr>
              <w:sz w:val="24"/>
              <w:szCs w:val="24"/>
            </w:rPr>
            <w:fldChar w:fldCharType="end"/>
          </w:r>
        </w:sdtContent>
      </w:sdt>
      <w:r>
        <w:rPr>
          <w:sz w:val="24"/>
          <w:szCs w:val="24"/>
        </w:rPr>
        <w:t xml:space="preserve">. </w:t>
      </w:r>
      <w:r w:rsidRPr="007C493A">
        <w:rPr>
          <w:sz w:val="24"/>
          <w:szCs w:val="24"/>
        </w:rPr>
        <w:t>There will</w:t>
      </w:r>
      <w:r>
        <w:rPr>
          <w:sz w:val="24"/>
          <w:szCs w:val="24"/>
        </w:rPr>
        <w:t xml:space="preserve"> then</w:t>
      </w:r>
      <w:r w:rsidRPr="007C493A">
        <w:rPr>
          <w:sz w:val="24"/>
          <w:szCs w:val="24"/>
        </w:rPr>
        <w:t xml:space="preserve"> be a multi-agency case review whic</w:t>
      </w:r>
      <w:r>
        <w:rPr>
          <w:sz w:val="24"/>
          <w:szCs w:val="24"/>
        </w:rPr>
        <w:t>h involves various agencies such as</w:t>
      </w:r>
      <w:r w:rsidRPr="007C493A">
        <w:rPr>
          <w:sz w:val="24"/>
          <w:szCs w:val="24"/>
        </w:rPr>
        <w:t xml:space="preserve"> local Police, Local Auth</w:t>
      </w:r>
      <w:r>
        <w:rPr>
          <w:sz w:val="24"/>
          <w:szCs w:val="24"/>
        </w:rPr>
        <w:t>ority, Housing Association and NHS</w:t>
      </w:r>
      <w:r w:rsidRPr="007C493A">
        <w:rPr>
          <w:sz w:val="24"/>
          <w:szCs w:val="24"/>
        </w:rPr>
        <w:t>. It should be considered that the administering agency use an independent chair to conduct the panel hearing.  This is different from a single-agency complaints process which looks at faults in the way an agency responded.  The Community Trigger process is more of an attempt to ultimately fix the problem and devise an action plan to resolve the anti-social behaviour</w:t>
      </w:r>
      <w:r>
        <w:rPr>
          <w:sz w:val="24"/>
          <w:szCs w:val="24"/>
        </w:rPr>
        <w:t xml:space="preserve"> (Ibid.)</w:t>
      </w:r>
      <w:r w:rsidRPr="007C493A">
        <w:rPr>
          <w:sz w:val="24"/>
          <w:szCs w:val="24"/>
        </w:rPr>
        <w:t>.</w:t>
      </w:r>
    </w:p>
    <w:p w14:paraId="11F5907C" w14:textId="77777777" w:rsidR="00EE56FD" w:rsidRDefault="00EE56FD" w:rsidP="00EE56FD">
      <w:pPr>
        <w:ind w:right="237"/>
        <w:jc w:val="both"/>
        <w:rPr>
          <w:sz w:val="24"/>
          <w:szCs w:val="24"/>
        </w:rPr>
      </w:pPr>
    </w:p>
    <w:p w14:paraId="14B48FAF" w14:textId="77777777" w:rsidR="00EE56FD" w:rsidRDefault="00EE56FD" w:rsidP="00EE56FD">
      <w:pPr>
        <w:ind w:right="237"/>
        <w:jc w:val="both"/>
        <w:rPr>
          <w:sz w:val="24"/>
          <w:szCs w:val="24"/>
        </w:rPr>
      </w:pPr>
      <w:r w:rsidRPr="00804BB6">
        <w:rPr>
          <w:sz w:val="24"/>
          <w:szCs w:val="24"/>
        </w:rPr>
        <w:t>For many years, victims of ASB have received a tough treatment from the criminal justice system. They are not covered under the Revised Victims Code, as well as the Ministry of Justice does not allow The Police and Crime Commissioners (PCC) and Local politicians with PCC responsibilities to use victim services monies allotted to them for this reason</w:t>
      </w:r>
      <w:r w:rsidRPr="007C493A">
        <w:rPr>
          <w:sz w:val="24"/>
          <w:szCs w:val="24"/>
        </w:rPr>
        <w:t xml:space="preserve"> </w:t>
      </w:r>
      <w:sdt>
        <w:sdtPr>
          <w:rPr>
            <w:sz w:val="24"/>
            <w:szCs w:val="24"/>
          </w:rPr>
          <w:id w:val="1602684957"/>
          <w:citation/>
        </w:sdtPr>
        <w:sdtContent>
          <w:r>
            <w:rPr>
              <w:sz w:val="24"/>
              <w:szCs w:val="24"/>
            </w:rPr>
            <w:fldChar w:fldCharType="begin"/>
          </w:r>
          <w:r>
            <w:rPr>
              <w:sz w:val="24"/>
              <w:szCs w:val="24"/>
            </w:rPr>
            <w:instrText xml:space="preserve"> CITATION Smi19 \l 2057 </w:instrText>
          </w:r>
          <w:r>
            <w:rPr>
              <w:sz w:val="24"/>
              <w:szCs w:val="24"/>
            </w:rPr>
            <w:fldChar w:fldCharType="separate"/>
          </w:r>
          <w:r w:rsidRPr="00804BB6">
            <w:rPr>
              <w:noProof/>
              <w:sz w:val="24"/>
              <w:szCs w:val="24"/>
            </w:rPr>
            <w:t>(Smith, 2019)</w:t>
          </w:r>
          <w:r>
            <w:rPr>
              <w:sz w:val="24"/>
              <w:szCs w:val="24"/>
            </w:rPr>
            <w:fldChar w:fldCharType="end"/>
          </w:r>
        </w:sdtContent>
      </w:sdt>
      <w:r w:rsidRPr="00804BB6">
        <w:rPr>
          <w:sz w:val="24"/>
          <w:szCs w:val="24"/>
        </w:rPr>
        <w:t>. Activities which should be handled as crimes are sometimes incorrectly categorised as ASB. Harassment, especially racial and sexist harassment, is a prime example of this. Despite this, restorative justice and other victim services have created remedies to their needs, frequently in collaboration with local governments and social housing providers such as housing associations</w:t>
      </w:r>
      <w:r>
        <w:rPr>
          <w:sz w:val="24"/>
          <w:szCs w:val="24"/>
        </w:rPr>
        <w:t xml:space="preserve"> (Ibid.)</w:t>
      </w:r>
      <w:r w:rsidRPr="00804BB6">
        <w:rPr>
          <w:sz w:val="24"/>
          <w:szCs w:val="24"/>
        </w:rPr>
        <w:t>.</w:t>
      </w:r>
      <w:r>
        <w:rPr>
          <w:sz w:val="24"/>
          <w:szCs w:val="24"/>
        </w:rPr>
        <w:t xml:space="preserve"> </w:t>
      </w:r>
      <w:r w:rsidRPr="004212E6">
        <w:rPr>
          <w:sz w:val="24"/>
          <w:szCs w:val="24"/>
        </w:rPr>
        <w:t>Restorative justice is critical in reacting to ASB. It is frequently a more effective solution than using the courts and criminal justice system. Everyone who resides in a neighbourhood wants to see healthy, respectful interactions amongst the many communities and people who reside there. When there is conflict, restorative interventions provided by independent, qualified agencies and practitioners can produce greater results</w:t>
      </w:r>
      <w:r>
        <w:rPr>
          <w:sz w:val="24"/>
          <w:szCs w:val="24"/>
        </w:rPr>
        <w:t xml:space="preserve"> (Ibid.)</w:t>
      </w:r>
      <w:r w:rsidRPr="004212E6">
        <w:rPr>
          <w:sz w:val="24"/>
          <w:szCs w:val="24"/>
        </w:rPr>
        <w:t>.</w:t>
      </w:r>
    </w:p>
    <w:p w14:paraId="6DF8ED9C" w14:textId="77777777" w:rsidR="00EE56FD" w:rsidRDefault="00EE56FD" w:rsidP="00EE56FD">
      <w:pPr>
        <w:ind w:right="237"/>
        <w:jc w:val="both"/>
        <w:rPr>
          <w:sz w:val="24"/>
          <w:szCs w:val="24"/>
        </w:rPr>
      </w:pPr>
    </w:p>
    <w:p w14:paraId="01C06CFE" w14:textId="77777777" w:rsidR="00EE56FD" w:rsidRDefault="00EE56FD" w:rsidP="00EE56FD">
      <w:pPr>
        <w:ind w:right="237"/>
        <w:jc w:val="both"/>
        <w:rPr>
          <w:sz w:val="24"/>
          <w:szCs w:val="24"/>
        </w:rPr>
      </w:pPr>
      <w:r w:rsidRPr="003036AD">
        <w:rPr>
          <w:sz w:val="24"/>
          <w:szCs w:val="24"/>
        </w:rPr>
        <w:t>A Community Multi-agency Risk Assessment Conference (CMARAC) is a multi-agency gathering at which information on complex/high risk situations involving vulnerable victims/perpetrators of anti-social behaviour is presented</w:t>
      </w:r>
      <w:r>
        <w:rPr>
          <w:sz w:val="24"/>
          <w:szCs w:val="24"/>
        </w:rPr>
        <w:t xml:space="preserve"> </w:t>
      </w:r>
      <w:sdt>
        <w:sdtPr>
          <w:rPr>
            <w:sz w:val="24"/>
            <w:szCs w:val="24"/>
          </w:rPr>
          <w:id w:val="-2116510218"/>
          <w:citation/>
        </w:sdtPr>
        <w:sdtContent>
          <w:r>
            <w:rPr>
              <w:sz w:val="24"/>
              <w:szCs w:val="24"/>
            </w:rPr>
            <w:fldChar w:fldCharType="begin"/>
          </w:r>
          <w:r>
            <w:rPr>
              <w:sz w:val="24"/>
              <w:szCs w:val="24"/>
            </w:rPr>
            <w:instrText xml:space="preserve"> CITATION Gov21 \l 2057 </w:instrText>
          </w:r>
          <w:r>
            <w:rPr>
              <w:sz w:val="24"/>
              <w:szCs w:val="24"/>
            </w:rPr>
            <w:fldChar w:fldCharType="separate"/>
          </w:r>
          <w:r w:rsidRPr="003036AD">
            <w:rPr>
              <w:noProof/>
              <w:sz w:val="24"/>
              <w:szCs w:val="24"/>
            </w:rPr>
            <w:t>(Gov.uk, 2021)</w:t>
          </w:r>
          <w:r>
            <w:rPr>
              <w:sz w:val="24"/>
              <w:szCs w:val="24"/>
            </w:rPr>
            <w:fldChar w:fldCharType="end"/>
          </w:r>
        </w:sdtContent>
      </w:sdt>
      <w:r w:rsidRPr="003036AD">
        <w:rPr>
          <w:sz w:val="24"/>
          <w:szCs w:val="24"/>
        </w:rPr>
        <w:t>. All essential information regarding victims,</w:t>
      </w:r>
      <w:r>
        <w:rPr>
          <w:sz w:val="24"/>
          <w:szCs w:val="24"/>
        </w:rPr>
        <w:t xml:space="preserve"> witnesses, and perpetrators is </w:t>
      </w:r>
      <w:r w:rsidRPr="003036AD">
        <w:rPr>
          <w:sz w:val="24"/>
          <w:szCs w:val="24"/>
        </w:rPr>
        <w:t xml:space="preserve">exchanged in order to develop a communal risk assessment. The panel will devise </w:t>
      </w:r>
      <w:r w:rsidRPr="003036AD">
        <w:rPr>
          <w:sz w:val="24"/>
          <w:szCs w:val="24"/>
        </w:rPr>
        <w:lastRenderedPageBreak/>
        <w:t>a plan of action to address problematic behaviour and will reach an agreement on an effective safety planning strategy to control the total risk to the victim, perpetrator, or community</w:t>
      </w:r>
      <w:r>
        <w:rPr>
          <w:sz w:val="24"/>
          <w:szCs w:val="24"/>
        </w:rPr>
        <w:t xml:space="preserve"> (Ibid.)</w:t>
      </w:r>
      <w:r w:rsidRPr="003036AD">
        <w:rPr>
          <w:sz w:val="24"/>
          <w:szCs w:val="24"/>
        </w:rPr>
        <w:t>.</w:t>
      </w:r>
    </w:p>
    <w:p w14:paraId="4E21EE5E" w14:textId="77777777" w:rsidR="00EE56FD" w:rsidRDefault="00EE56FD" w:rsidP="00EE56FD">
      <w:pPr>
        <w:ind w:right="237"/>
        <w:jc w:val="both"/>
        <w:rPr>
          <w:sz w:val="24"/>
          <w:szCs w:val="24"/>
        </w:rPr>
      </w:pPr>
    </w:p>
    <w:p w14:paraId="06C2586E" w14:textId="77777777" w:rsidR="00EE56FD" w:rsidRDefault="00EE56FD" w:rsidP="00EE56FD">
      <w:pPr>
        <w:ind w:right="237"/>
        <w:jc w:val="both"/>
        <w:rPr>
          <w:sz w:val="24"/>
          <w:szCs w:val="24"/>
        </w:rPr>
      </w:pPr>
      <w:r w:rsidRPr="00DF67C0">
        <w:rPr>
          <w:sz w:val="24"/>
          <w:szCs w:val="24"/>
        </w:rPr>
        <w:t>The dependence on the notion of 'problem-oriented partnerships' is one issue that throws these difficulties into clear focus (POP). POP is intended to give a formal framework within which agencies may collaborate to develop strategies to tackle the root causes of clusters or episodes of crime and disorder occurrences</w:t>
      </w:r>
      <w:sdt>
        <w:sdtPr>
          <w:rPr>
            <w:sz w:val="24"/>
            <w:szCs w:val="24"/>
          </w:rPr>
          <w:id w:val="1653327143"/>
          <w:citation/>
        </w:sdtPr>
        <w:sdtContent>
          <w:r>
            <w:rPr>
              <w:sz w:val="24"/>
              <w:szCs w:val="24"/>
            </w:rPr>
            <w:fldChar w:fldCharType="begin"/>
          </w:r>
          <w:r>
            <w:rPr>
              <w:sz w:val="24"/>
              <w:szCs w:val="24"/>
            </w:rPr>
            <w:instrText xml:space="preserve"> CITATION Inn10 \l 2057 </w:instrText>
          </w:r>
          <w:r>
            <w:rPr>
              <w:sz w:val="24"/>
              <w:szCs w:val="24"/>
            </w:rPr>
            <w:fldChar w:fldCharType="separate"/>
          </w:r>
          <w:r>
            <w:rPr>
              <w:noProof/>
              <w:sz w:val="24"/>
              <w:szCs w:val="24"/>
            </w:rPr>
            <w:t xml:space="preserve"> </w:t>
          </w:r>
          <w:r w:rsidRPr="00DF67C0">
            <w:rPr>
              <w:noProof/>
              <w:sz w:val="24"/>
              <w:szCs w:val="24"/>
            </w:rPr>
            <w:t>(Innes &amp; Weston, 2010)</w:t>
          </w:r>
          <w:r>
            <w:rPr>
              <w:sz w:val="24"/>
              <w:szCs w:val="24"/>
            </w:rPr>
            <w:fldChar w:fldCharType="end"/>
          </w:r>
        </w:sdtContent>
      </w:sdt>
      <w:r>
        <w:rPr>
          <w:sz w:val="24"/>
          <w:szCs w:val="24"/>
        </w:rPr>
        <w:t>. According to the studies conducted by HMIC in 2010</w:t>
      </w:r>
      <w:r w:rsidRPr="00DF67C0">
        <w:rPr>
          <w:sz w:val="24"/>
          <w:szCs w:val="24"/>
        </w:rPr>
        <w:t>, it is unclear whether the POP procedure is being used efficiently in all places. There is certainly evidence that, rather than beginning with an analysis of the problem and working backwards to gather solutions to complete it, some partnerships employ a more stereotypically constructed set of approaches that advance through a fairly established sequence until something gains traction</w:t>
      </w:r>
      <w:r>
        <w:rPr>
          <w:sz w:val="24"/>
          <w:szCs w:val="24"/>
        </w:rPr>
        <w:t xml:space="preserve"> (Ibid.)</w:t>
      </w:r>
      <w:r w:rsidRPr="00DF67C0">
        <w:rPr>
          <w:sz w:val="24"/>
          <w:szCs w:val="24"/>
        </w:rPr>
        <w:t>.</w:t>
      </w:r>
      <w:r>
        <w:rPr>
          <w:sz w:val="24"/>
          <w:szCs w:val="24"/>
        </w:rPr>
        <w:t xml:space="preserve"> </w:t>
      </w:r>
      <w:r w:rsidRPr="00DF67C0">
        <w:rPr>
          <w:sz w:val="24"/>
          <w:szCs w:val="24"/>
        </w:rPr>
        <w:t>The emphasis on POP may be leading partners to rely on longer-term problem-solving solutions more than they should, at the detriment of faster-time answers. The reason for using POP is to address the fundamental causes of a troublesome sequence of clusters. The major counter-challenge to this is that each occurrence that constitutes an incident cluster or series to be addressed through problem-solving approaches is yet another victimisation. And, given that our research indicates that going through the POP process typically takes a significant amount of time for partnerships, this is a key concern</w:t>
      </w:r>
      <w:r>
        <w:rPr>
          <w:sz w:val="24"/>
          <w:szCs w:val="24"/>
        </w:rPr>
        <w:t xml:space="preserve"> (Ibid.)</w:t>
      </w:r>
      <w:r w:rsidRPr="00DF67C0">
        <w:rPr>
          <w:sz w:val="24"/>
          <w:szCs w:val="24"/>
        </w:rPr>
        <w:t>.</w:t>
      </w:r>
    </w:p>
    <w:p w14:paraId="68C73AFE" w14:textId="5A1522E8" w:rsidR="00EE56FD" w:rsidRDefault="00EE56FD" w:rsidP="00EE56FD">
      <w:pPr>
        <w:ind w:right="237"/>
        <w:jc w:val="both"/>
        <w:rPr>
          <w:sz w:val="24"/>
          <w:szCs w:val="24"/>
        </w:rPr>
      </w:pPr>
    </w:p>
    <w:p w14:paraId="77E904B5" w14:textId="33AAB6EB" w:rsidR="000305FC" w:rsidRDefault="000305FC" w:rsidP="00EE56FD">
      <w:pPr>
        <w:ind w:right="237"/>
        <w:jc w:val="both"/>
        <w:rPr>
          <w:sz w:val="24"/>
          <w:szCs w:val="24"/>
        </w:rPr>
      </w:pPr>
      <w:r w:rsidRPr="000305FC">
        <w:rPr>
          <w:sz w:val="24"/>
          <w:szCs w:val="24"/>
        </w:rPr>
        <w:t xml:space="preserve">The UK government has established active pilots to deal with </w:t>
      </w:r>
      <w:r w:rsidR="00294961">
        <w:rPr>
          <w:sz w:val="24"/>
          <w:szCs w:val="24"/>
        </w:rPr>
        <w:t xml:space="preserve">victims </w:t>
      </w:r>
      <w:r w:rsidRPr="000305FC">
        <w:rPr>
          <w:sz w:val="24"/>
          <w:szCs w:val="24"/>
        </w:rPr>
        <w:t>in Sussex, Cumbria and South Wales. Pilots are exploring new ways to reach victims; to establish co-operation between the police and the probation service to establish a strong mechanism for perpetrators in the community through licenses; and to strengthen the capacity to identify serious offenders, to establish preventative or disruptive measures to prevent recurrence</w:t>
      </w:r>
      <w:r>
        <w:rPr>
          <w:sz w:val="24"/>
          <w:szCs w:val="24"/>
        </w:rPr>
        <w:t xml:space="preserve"> </w:t>
      </w:r>
      <w:sdt>
        <w:sdtPr>
          <w:rPr>
            <w:sz w:val="24"/>
            <w:szCs w:val="24"/>
          </w:rPr>
          <w:id w:val="-360673951"/>
          <w:citation/>
        </w:sdtPr>
        <w:sdtContent>
          <w:r>
            <w:rPr>
              <w:sz w:val="24"/>
              <w:szCs w:val="24"/>
            </w:rPr>
            <w:fldChar w:fldCharType="begin"/>
          </w:r>
          <w:r>
            <w:rPr>
              <w:sz w:val="24"/>
              <w:szCs w:val="24"/>
            </w:rPr>
            <w:instrText xml:space="preserve"> CITATION Hom21 \l 2057 </w:instrText>
          </w:r>
          <w:r>
            <w:rPr>
              <w:sz w:val="24"/>
              <w:szCs w:val="24"/>
            </w:rPr>
            <w:fldChar w:fldCharType="separate"/>
          </w:r>
          <w:r w:rsidRPr="000305FC">
            <w:rPr>
              <w:noProof/>
              <w:sz w:val="24"/>
              <w:szCs w:val="24"/>
            </w:rPr>
            <w:t>(Home Office, 2021)</w:t>
          </w:r>
          <w:r>
            <w:rPr>
              <w:sz w:val="24"/>
              <w:szCs w:val="24"/>
            </w:rPr>
            <w:fldChar w:fldCharType="end"/>
          </w:r>
        </w:sdtContent>
      </w:sdt>
      <w:r w:rsidRPr="000305FC">
        <w:rPr>
          <w:sz w:val="24"/>
          <w:szCs w:val="24"/>
        </w:rPr>
        <w:t>.</w:t>
      </w:r>
    </w:p>
    <w:p w14:paraId="3E2F039B" w14:textId="77777777" w:rsidR="00EE56FD" w:rsidRDefault="00EE56FD" w:rsidP="00EE56FD">
      <w:pPr>
        <w:ind w:right="237"/>
        <w:jc w:val="both"/>
        <w:rPr>
          <w:sz w:val="24"/>
          <w:szCs w:val="24"/>
        </w:rPr>
      </w:pPr>
    </w:p>
    <w:p w14:paraId="2D13EE46" w14:textId="323238B4" w:rsidR="00EE56FD" w:rsidRPr="00270EEB" w:rsidRDefault="00294961" w:rsidP="00EE56FD">
      <w:pPr>
        <w:ind w:right="237"/>
        <w:jc w:val="both"/>
        <w:rPr>
          <w:sz w:val="24"/>
          <w:szCs w:val="24"/>
        </w:rPr>
      </w:pPr>
      <w:r w:rsidRPr="00294961">
        <w:rPr>
          <w:sz w:val="24"/>
          <w:szCs w:val="24"/>
        </w:rPr>
        <w:t>Intervention strategies are more impactful when they are founded on a thorough evaluation of risk, need, and responsiveness. A substantial body of research emphasises the importance of risk, needs, and responsivity (RNR) assessment in effective interventions and better outcomes in reoffending reduction</w:t>
      </w:r>
      <w:r w:rsidR="001C1578">
        <w:rPr>
          <w:sz w:val="24"/>
          <w:szCs w:val="24"/>
        </w:rPr>
        <w:t xml:space="preserve"> </w:t>
      </w:r>
      <w:sdt>
        <w:sdtPr>
          <w:rPr>
            <w:sz w:val="24"/>
            <w:szCs w:val="24"/>
          </w:rPr>
          <w:id w:val="575564699"/>
          <w:citation/>
        </w:sdtPr>
        <w:sdtContent>
          <w:r w:rsidR="001C1578">
            <w:rPr>
              <w:sz w:val="24"/>
              <w:szCs w:val="24"/>
            </w:rPr>
            <w:fldChar w:fldCharType="begin"/>
          </w:r>
          <w:r w:rsidR="001C1578">
            <w:rPr>
              <w:sz w:val="24"/>
              <w:szCs w:val="24"/>
            </w:rPr>
            <w:instrText xml:space="preserve">CITATION Placeholder1 \l 2057 </w:instrText>
          </w:r>
          <w:r w:rsidR="001C1578">
            <w:rPr>
              <w:sz w:val="24"/>
              <w:szCs w:val="24"/>
            </w:rPr>
            <w:fldChar w:fldCharType="separate"/>
          </w:r>
          <w:r w:rsidR="001C1578" w:rsidRPr="001C1578">
            <w:rPr>
              <w:noProof/>
              <w:sz w:val="24"/>
              <w:szCs w:val="24"/>
            </w:rPr>
            <w:t>(Scottish Governement, 2015)</w:t>
          </w:r>
          <w:r w:rsidR="001C1578">
            <w:rPr>
              <w:sz w:val="24"/>
              <w:szCs w:val="24"/>
            </w:rPr>
            <w:fldChar w:fldCharType="end"/>
          </w:r>
        </w:sdtContent>
      </w:sdt>
      <w:r w:rsidRPr="00294961">
        <w:rPr>
          <w:sz w:val="24"/>
          <w:szCs w:val="24"/>
        </w:rPr>
        <w:t>. For instance, a meta-analysis of the efficiency of young perpetrator programmes in Europe found that programmes that followed RNR principles had approximately 18% less recidivism than control groups. According to the risk principle, the level of intervention should be proportionate to the risk of repeat offending, with higher risk perpetrators receiving more intervention</w:t>
      </w:r>
      <w:r w:rsidR="001C1578">
        <w:rPr>
          <w:sz w:val="24"/>
          <w:szCs w:val="24"/>
        </w:rPr>
        <w:t xml:space="preserve"> (Ibid.)</w:t>
      </w:r>
      <w:r w:rsidRPr="00294961">
        <w:rPr>
          <w:sz w:val="24"/>
          <w:szCs w:val="24"/>
        </w:rPr>
        <w:t>.</w:t>
      </w:r>
      <w:r>
        <w:rPr>
          <w:sz w:val="24"/>
          <w:szCs w:val="24"/>
        </w:rPr>
        <w:t xml:space="preserve"> </w:t>
      </w:r>
      <w:r w:rsidRPr="00294961">
        <w:rPr>
          <w:sz w:val="24"/>
          <w:szCs w:val="24"/>
        </w:rPr>
        <w:t>Several studies have evaluated the impact of short-term incarceration to those of community dispositions. According to Scottish and English data, community sentences are more successful than brief prison sentences in reducing recidivism. Reconviction rates for those given community sentences in Scotland are lower than those released from brief prison sentences</w:t>
      </w:r>
      <w:r w:rsidR="001C1578">
        <w:rPr>
          <w:sz w:val="24"/>
          <w:szCs w:val="24"/>
        </w:rPr>
        <w:t xml:space="preserve"> (Ibid.)</w:t>
      </w:r>
      <w:r w:rsidRPr="00294961">
        <w:rPr>
          <w:sz w:val="24"/>
          <w:szCs w:val="24"/>
        </w:rPr>
        <w:t>. 44 percent of those released from custody in 2011-12 were reconvicted the succeeding year, and the reoffending rate for those given short custodial sentences was 53 percent for sentences of 3 to 6 months and 59 percent for sentences of less than 3 months</w:t>
      </w:r>
      <w:r w:rsidR="001C1578">
        <w:rPr>
          <w:sz w:val="24"/>
          <w:szCs w:val="24"/>
        </w:rPr>
        <w:t xml:space="preserve"> (Ibid.).</w:t>
      </w:r>
    </w:p>
    <w:p w14:paraId="79375B2B" w14:textId="4E9D4F67" w:rsidR="00EE56FD" w:rsidRPr="00270EEB" w:rsidRDefault="00EE56FD" w:rsidP="00EE56FD">
      <w:pPr>
        <w:ind w:right="237"/>
        <w:jc w:val="both"/>
        <w:rPr>
          <w:sz w:val="24"/>
          <w:szCs w:val="24"/>
        </w:rPr>
      </w:pPr>
    </w:p>
    <w:p w14:paraId="19F48C43" w14:textId="236D1118" w:rsidR="00185E17" w:rsidRPr="001C1578" w:rsidRDefault="00C146DC" w:rsidP="001C1578">
      <w:pPr>
        <w:ind w:right="237"/>
        <w:jc w:val="both"/>
        <w:rPr>
          <w:sz w:val="24"/>
          <w:szCs w:val="24"/>
        </w:rPr>
      </w:pPr>
      <w:r>
        <w:rPr>
          <w:sz w:val="24"/>
          <w:szCs w:val="24"/>
        </w:rPr>
        <w:t xml:space="preserve">Word count – </w:t>
      </w:r>
      <w:r w:rsidR="001C1578">
        <w:rPr>
          <w:sz w:val="24"/>
          <w:szCs w:val="24"/>
        </w:rPr>
        <w:t>1362</w:t>
      </w:r>
    </w:p>
    <w:p w14:paraId="26A14EFF" w14:textId="17C142CD" w:rsidR="00185E17" w:rsidRDefault="00185E17"/>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EED23E8" w:rsidR="00025650" w:rsidRDefault="00025650" w:rsidP="00340E9A">
      <w:pPr>
        <w:ind w:right="237"/>
        <w:jc w:val="both"/>
        <w:rPr>
          <w:sz w:val="24"/>
          <w:szCs w:val="24"/>
        </w:rPr>
      </w:pPr>
    </w:p>
    <w:p w14:paraId="4A8773C4" w14:textId="12C620E6" w:rsidR="001C1578" w:rsidRDefault="001C1578" w:rsidP="00340E9A">
      <w:pPr>
        <w:ind w:right="237"/>
        <w:jc w:val="both"/>
        <w:rPr>
          <w:rFonts w:eastAsia="Arial"/>
          <w:color w:val="000000" w:themeColor="text1"/>
          <w:sz w:val="24"/>
          <w:szCs w:val="24"/>
        </w:rPr>
      </w:pPr>
      <w:r>
        <w:rPr>
          <w:sz w:val="24"/>
          <w:szCs w:val="24"/>
        </w:rPr>
        <w:t>For this section of the workbook I will be reflecting on an incident</w:t>
      </w:r>
      <w:r>
        <w:rPr>
          <w:sz w:val="24"/>
          <w:szCs w:val="24"/>
        </w:rPr>
        <w:t xml:space="preserve"> of a serious or complex nature in which I </w:t>
      </w:r>
      <w:r w:rsidRPr="00E676F7">
        <w:rPr>
          <w:sz w:val="24"/>
          <w:szCs w:val="24"/>
        </w:rPr>
        <w:t>played a significant role with an offender/service</w:t>
      </w:r>
      <w:r w:rsidRPr="00E676F7">
        <w:rPr>
          <w:b/>
          <w:bCs/>
          <w:sz w:val="24"/>
          <w:szCs w:val="24"/>
        </w:rPr>
        <w:t xml:space="preserve"> </w:t>
      </w:r>
      <w:r w:rsidRPr="00E676F7">
        <w:rPr>
          <w:sz w:val="24"/>
          <w:szCs w:val="24"/>
        </w:rPr>
        <w:t>user/victim</w:t>
      </w:r>
      <w:r w:rsidRPr="003B3D7A">
        <w:rPr>
          <w:sz w:val="24"/>
          <w:szCs w:val="24"/>
        </w:rPr>
        <w:t xml:space="preserve"> using the era cycle</w:t>
      </w:r>
      <w:r>
        <w:rPr>
          <w:sz w:val="24"/>
          <w:szCs w:val="24"/>
        </w:rPr>
        <w:t xml:space="preserve"> </w:t>
      </w:r>
      <w:sdt>
        <w:sdtPr>
          <w:rPr>
            <w:sz w:val="24"/>
            <w:szCs w:val="24"/>
          </w:rPr>
          <w:id w:val="1228337898"/>
          <w:citation/>
        </w:sdtPr>
        <w:sdtContent>
          <w:r>
            <w:rPr>
              <w:sz w:val="24"/>
              <w:szCs w:val="24"/>
            </w:rPr>
            <w:fldChar w:fldCharType="begin"/>
          </w:r>
          <w:r>
            <w:rPr>
              <w:sz w:val="24"/>
              <w:szCs w:val="24"/>
            </w:rPr>
            <w:instrText xml:space="preserve"> CITATION Jas13 \l 2057 </w:instrText>
          </w:r>
          <w:r>
            <w:rPr>
              <w:sz w:val="24"/>
              <w:szCs w:val="24"/>
            </w:rPr>
            <w:fldChar w:fldCharType="separate"/>
          </w:r>
          <w:r w:rsidRPr="003B3D7A">
            <w:rPr>
              <w:noProof/>
              <w:sz w:val="24"/>
              <w:szCs w:val="24"/>
            </w:rPr>
            <w:t>(Jasper, 2013)</w:t>
          </w:r>
          <w:r>
            <w:rPr>
              <w:sz w:val="24"/>
              <w:szCs w:val="24"/>
            </w:rPr>
            <w:fldChar w:fldCharType="end"/>
          </w:r>
        </w:sdtContent>
      </w:sdt>
      <w:r>
        <w:rPr>
          <w:sz w:val="24"/>
          <w:szCs w:val="24"/>
        </w:rPr>
        <w:t xml:space="preserve">. I will firstly provide a brief description of the </w:t>
      </w:r>
      <w:r w:rsidRPr="00C34A61">
        <w:rPr>
          <w:rFonts w:eastAsia="Arial"/>
          <w:color w:val="000000" w:themeColor="text1"/>
          <w:sz w:val="24"/>
          <w:szCs w:val="24"/>
        </w:rPr>
        <w:t>incident including social and legislative contexts and any relevant cultural, ethnicity and language issues</w:t>
      </w:r>
      <w:r>
        <w:rPr>
          <w:rFonts w:eastAsia="Arial"/>
          <w:color w:val="000000" w:themeColor="text1"/>
          <w:sz w:val="24"/>
          <w:szCs w:val="24"/>
        </w:rPr>
        <w:t xml:space="preserve">. I will consider how I have gathered, analysed and evaluated </w:t>
      </w:r>
      <w:r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Pr="7FD84E4E">
        <w:rPr>
          <w:rFonts w:eastAsia="Arial"/>
          <w:color w:val="000000" w:themeColor="text1"/>
          <w:sz w:val="24"/>
          <w:szCs w:val="24"/>
        </w:rPr>
        <w:t xml:space="preserve">intelligence from a range of sources as appropriate to </w:t>
      </w:r>
      <w:r>
        <w:rPr>
          <w:rFonts w:eastAsia="Arial"/>
          <w:color w:val="000000" w:themeColor="text1"/>
          <w:sz w:val="24"/>
          <w:szCs w:val="24"/>
        </w:rPr>
        <w:t>the</w:t>
      </w:r>
      <w:r w:rsidRPr="7FD84E4E">
        <w:rPr>
          <w:rFonts w:eastAsia="Arial"/>
          <w:color w:val="000000" w:themeColor="text1"/>
          <w:sz w:val="24"/>
          <w:szCs w:val="24"/>
        </w:rPr>
        <w:t xml:space="preserve"> policing</w:t>
      </w:r>
      <w:r>
        <w:rPr>
          <w:rFonts w:eastAsia="Arial"/>
          <w:color w:val="000000" w:themeColor="text1"/>
          <w:sz w:val="24"/>
          <w:szCs w:val="24"/>
        </w:rPr>
        <w:t xml:space="preserve"> incident</w:t>
      </w:r>
      <w:r>
        <w:rPr>
          <w:rFonts w:eastAsia="Arial"/>
          <w:color w:val="000000" w:themeColor="text1"/>
          <w:sz w:val="24"/>
          <w:szCs w:val="24"/>
        </w:rPr>
        <w:t xml:space="preserve"> and identify how I </w:t>
      </w:r>
      <w:r>
        <w:rPr>
          <w:rFonts w:eastAsia="Arial"/>
          <w:color w:val="000000" w:themeColor="text1"/>
          <w:sz w:val="24"/>
          <w:szCs w:val="24"/>
        </w:rPr>
        <w:t>have d</w:t>
      </w:r>
      <w:r w:rsidRPr="7FD84E4E">
        <w:rPr>
          <w:rFonts w:eastAsia="Arial"/>
          <w:color w:val="000000" w:themeColor="text1"/>
          <w:sz w:val="24"/>
          <w:szCs w:val="24"/>
        </w:rPr>
        <w:t>evelop</w:t>
      </w:r>
      <w:r>
        <w:rPr>
          <w:rFonts w:eastAsia="Arial"/>
          <w:color w:val="000000" w:themeColor="text1"/>
          <w:sz w:val="24"/>
          <w:szCs w:val="24"/>
        </w:rPr>
        <w:t>ed</w:t>
      </w:r>
      <w:r w:rsidRPr="7FD84E4E">
        <w:rPr>
          <w:rFonts w:eastAsia="Arial"/>
          <w:color w:val="000000" w:themeColor="text1"/>
          <w:sz w:val="24"/>
          <w:szCs w:val="24"/>
        </w:rPr>
        <w:t xml:space="preserve"> </w:t>
      </w:r>
      <w:r>
        <w:rPr>
          <w:rFonts w:eastAsia="Arial"/>
          <w:color w:val="000000" w:themeColor="text1"/>
          <w:sz w:val="24"/>
          <w:szCs w:val="24"/>
        </w:rPr>
        <w:t xml:space="preserve">the </w:t>
      </w:r>
      <w:r w:rsidRPr="7FD84E4E">
        <w:rPr>
          <w:rFonts w:eastAsia="Arial"/>
          <w:color w:val="000000" w:themeColor="text1"/>
          <w:sz w:val="24"/>
          <w:szCs w:val="24"/>
        </w:rPr>
        <w:t>information and intelligence for the purpose of informing the tasking and co-ordination process</w:t>
      </w:r>
      <w:r>
        <w:rPr>
          <w:rFonts w:eastAsia="Arial"/>
          <w:color w:val="000000" w:themeColor="text1"/>
          <w:sz w:val="24"/>
          <w:szCs w:val="24"/>
        </w:rPr>
        <w:t xml:space="preserve">. I will focus on how I have </w:t>
      </w:r>
      <w:r>
        <w:rPr>
          <w:rFonts w:eastAsia="Arial"/>
          <w:color w:val="000000" w:themeColor="text1"/>
          <w:sz w:val="24"/>
          <w:szCs w:val="24"/>
        </w:rPr>
        <w:t>made use of the additional sources of intelligence obtained through this</w:t>
      </w:r>
      <w:r w:rsidRPr="7FD84E4E">
        <w:rPr>
          <w:rFonts w:eastAsia="Arial"/>
          <w:color w:val="000000" w:themeColor="text1"/>
          <w:sz w:val="24"/>
          <w:szCs w:val="24"/>
        </w:rPr>
        <w:t xml:space="preserve"> complex </w:t>
      </w:r>
      <w:r>
        <w:rPr>
          <w:rFonts w:eastAsia="Arial"/>
          <w:color w:val="000000" w:themeColor="text1"/>
          <w:sz w:val="24"/>
          <w:szCs w:val="24"/>
        </w:rPr>
        <w:t xml:space="preserve">investigation and </w:t>
      </w:r>
      <w:r w:rsidRPr="001C1578">
        <w:rPr>
          <w:rFonts w:eastAsia="Arial"/>
          <w:bCs/>
          <w:color w:val="000000" w:themeColor="text1"/>
          <w:sz w:val="24"/>
          <w:szCs w:val="24"/>
        </w:rPr>
        <w:t>explain</w:t>
      </w:r>
      <w:r>
        <w:rPr>
          <w:rFonts w:eastAsia="Arial"/>
          <w:color w:val="000000" w:themeColor="text1"/>
          <w:sz w:val="24"/>
          <w:szCs w:val="24"/>
        </w:rPr>
        <w:t xml:space="preserve"> how I</w:t>
      </w:r>
      <w:r>
        <w:rPr>
          <w:rFonts w:eastAsia="Arial"/>
          <w:color w:val="000000" w:themeColor="text1"/>
          <w:sz w:val="24"/>
          <w:szCs w:val="24"/>
        </w:rPr>
        <w:t xml:space="preserve"> have </w:t>
      </w:r>
      <w:r w:rsidRPr="001C1578">
        <w:rPr>
          <w:rFonts w:eastAsia="Arial"/>
          <w:bCs/>
          <w:color w:val="000000" w:themeColor="text1"/>
          <w:sz w:val="24"/>
          <w:szCs w:val="24"/>
        </w:rPr>
        <w:t>applied</w:t>
      </w:r>
      <w:r>
        <w:rPr>
          <w:rFonts w:eastAsia="Arial"/>
          <w:color w:val="000000" w:themeColor="text1"/>
          <w:sz w:val="24"/>
          <w:szCs w:val="24"/>
        </w:rPr>
        <w:t xml:space="preserve"> learning from previous serious and complex investigations</w:t>
      </w:r>
      <w:r>
        <w:rPr>
          <w:rFonts w:eastAsia="Arial"/>
          <w:color w:val="000000" w:themeColor="text1"/>
          <w:sz w:val="24"/>
          <w:szCs w:val="24"/>
        </w:rPr>
        <w:t>.</w:t>
      </w:r>
    </w:p>
    <w:p w14:paraId="55E8C7CF" w14:textId="74F37214" w:rsidR="001C1578" w:rsidRDefault="001C1578" w:rsidP="00340E9A">
      <w:pPr>
        <w:ind w:right="237"/>
        <w:jc w:val="both"/>
        <w:rPr>
          <w:rFonts w:eastAsia="Arial"/>
          <w:color w:val="000000" w:themeColor="text1"/>
          <w:sz w:val="24"/>
          <w:szCs w:val="24"/>
        </w:rPr>
      </w:pPr>
    </w:p>
    <w:p w14:paraId="3A6C70B3" w14:textId="581AF3FA" w:rsidR="001C1578" w:rsidRDefault="001C1578" w:rsidP="00340E9A">
      <w:pPr>
        <w:ind w:right="237"/>
        <w:jc w:val="both"/>
        <w:rPr>
          <w:rFonts w:eastAsia="Arial"/>
          <w:color w:val="000000" w:themeColor="text1"/>
          <w:sz w:val="24"/>
          <w:szCs w:val="24"/>
        </w:rPr>
      </w:pPr>
      <w:r>
        <w:rPr>
          <w:rFonts w:eastAsia="Arial"/>
          <w:color w:val="000000" w:themeColor="text1"/>
          <w:sz w:val="24"/>
          <w:szCs w:val="24"/>
        </w:rPr>
        <w:t xml:space="preserve">The incident I will be referring occurred outside of a police station and it involved two polish brothers. The initial report to police was from one of the brothers, for the purpose of this workbook I will be referring to the main perpetrator as Red and his brother as Blue as to not use any names which may identify them. </w:t>
      </w:r>
    </w:p>
    <w:p w14:paraId="1D0EA6B9" w14:textId="7B1DFC87" w:rsidR="001C1578" w:rsidRDefault="001C1578" w:rsidP="00340E9A">
      <w:pPr>
        <w:ind w:right="237"/>
        <w:jc w:val="both"/>
        <w:rPr>
          <w:rFonts w:eastAsia="Arial"/>
          <w:color w:val="000000" w:themeColor="text1"/>
          <w:sz w:val="24"/>
          <w:szCs w:val="24"/>
        </w:rPr>
      </w:pPr>
    </w:p>
    <w:p w14:paraId="486DBA22" w14:textId="4571A766" w:rsidR="001C1578" w:rsidRDefault="001C1578" w:rsidP="00340E9A">
      <w:pPr>
        <w:ind w:right="237"/>
        <w:jc w:val="both"/>
        <w:rPr>
          <w:rFonts w:eastAsia="Arial"/>
          <w:color w:val="000000" w:themeColor="text1"/>
          <w:sz w:val="24"/>
          <w:szCs w:val="24"/>
        </w:rPr>
      </w:pPr>
      <w:r>
        <w:rPr>
          <w:rFonts w:eastAsia="Arial"/>
          <w:color w:val="000000" w:themeColor="text1"/>
          <w:sz w:val="24"/>
          <w:szCs w:val="24"/>
        </w:rPr>
        <w:t xml:space="preserve">RED had contacted 999 stating that he was outside of a local police station with a gun which he planned on using on himself. </w:t>
      </w:r>
      <w:r w:rsidR="00641BE7">
        <w:rPr>
          <w:rFonts w:eastAsia="Arial"/>
          <w:color w:val="000000" w:themeColor="text1"/>
          <w:sz w:val="24"/>
          <w:szCs w:val="24"/>
        </w:rPr>
        <w:t xml:space="preserve">Due to the risk posed by RED to the </w:t>
      </w:r>
      <w:r w:rsidR="00641BE7">
        <w:rPr>
          <w:rFonts w:eastAsia="Arial"/>
          <w:color w:val="000000" w:themeColor="text1"/>
          <w:sz w:val="24"/>
          <w:szCs w:val="24"/>
        </w:rPr>
        <w:lastRenderedPageBreak/>
        <w:t>public and colleagues at the police station various members high up in the chain of command were involved in monitoring the incident and providing relevant information and tactical commands.</w:t>
      </w:r>
    </w:p>
    <w:p w14:paraId="342FBAF0" w14:textId="6434652D" w:rsidR="00641BE7" w:rsidRDefault="00641BE7" w:rsidP="00340E9A">
      <w:pPr>
        <w:ind w:right="237"/>
        <w:jc w:val="both"/>
        <w:rPr>
          <w:rFonts w:eastAsia="Arial"/>
          <w:color w:val="000000" w:themeColor="text1"/>
          <w:sz w:val="24"/>
          <w:szCs w:val="24"/>
        </w:rPr>
      </w:pPr>
    </w:p>
    <w:p w14:paraId="491A5ACB" w14:textId="271A7599" w:rsidR="00641BE7" w:rsidRDefault="00641BE7" w:rsidP="00340E9A">
      <w:pPr>
        <w:ind w:right="237"/>
        <w:jc w:val="both"/>
        <w:rPr>
          <w:rFonts w:eastAsia="Arial"/>
          <w:color w:val="000000" w:themeColor="text1"/>
          <w:sz w:val="24"/>
          <w:szCs w:val="24"/>
        </w:rPr>
      </w:pPr>
      <w:r>
        <w:rPr>
          <w:rFonts w:eastAsia="Arial"/>
          <w:color w:val="000000" w:themeColor="text1"/>
          <w:sz w:val="24"/>
          <w:szCs w:val="24"/>
        </w:rPr>
        <w:t>All officers and persons inside of the police station were told that they were not to leave until the incident had been resolved. All officers in attendance were informed that they were not to engage with RED and to report back if he was located and that fire arms officers were to attend in the first instance.</w:t>
      </w:r>
    </w:p>
    <w:p w14:paraId="3D1E3BFC" w14:textId="32C989D9" w:rsidR="00641BE7" w:rsidRDefault="00641BE7" w:rsidP="00340E9A">
      <w:pPr>
        <w:ind w:right="237"/>
        <w:jc w:val="both"/>
        <w:rPr>
          <w:rFonts w:eastAsia="Arial"/>
          <w:color w:val="000000" w:themeColor="text1"/>
          <w:sz w:val="24"/>
          <w:szCs w:val="24"/>
        </w:rPr>
      </w:pPr>
    </w:p>
    <w:p w14:paraId="78BA2863" w14:textId="6F09326A" w:rsidR="00641BE7" w:rsidRDefault="00641BE7" w:rsidP="00340E9A">
      <w:pPr>
        <w:ind w:right="237"/>
        <w:jc w:val="both"/>
        <w:rPr>
          <w:rFonts w:eastAsia="Arial"/>
          <w:color w:val="000000" w:themeColor="text1"/>
          <w:sz w:val="24"/>
          <w:szCs w:val="24"/>
        </w:rPr>
      </w:pPr>
      <w:r>
        <w:rPr>
          <w:rFonts w:eastAsia="Arial"/>
          <w:color w:val="000000" w:themeColor="text1"/>
          <w:sz w:val="24"/>
          <w:szCs w:val="24"/>
        </w:rPr>
        <w:t xml:space="preserve">Intelligence relating to RED was passed to all officers in attendance at the incident. We were also made aware by other </w:t>
      </w:r>
      <w:r w:rsidR="00FE6074">
        <w:rPr>
          <w:rFonts w:eastAsia="Arial"/>
          <w:color w:val="000000" w:themeColor="text1"/>
          <w:sz w:val="24"/>
          <w:szCs w:val="24"/>
        </w:rPr>
        <w:t xml:space="preserve">officers which had previous dealings with </w:t>
      </w:r>
      <w:r>
        <w:rPr>
          <w:rFonts w:eastAsia="Arial"/>
          <w:color w:val="000000" w:themeColor="text1"/>
          <w:sz w:val="24"/>
          <w:szCs w:val="24"/>
        </w:rPr>
        <w:t xml:space="preserve">Red </w:t>
      </w:r>
      <w:r w:rsidR="00FE6074">
        <w:rPr>
          <w:rFonts w:eastAsia="Arial"/>
          <w:color w:val="000000" w:themeColor="text1"/>
          <w:sz w:val="24"/>
          <w:szCs w:val="24"/>
        </w:rPr>
        <w:t>that he had an identical twin brother who was usually in the same area as him. The only identifying factor between Red and Blue were the items of clothing that they were wearing.</w:t>
      </w:r>
    </w:p>
    <w:p w14:paraId="4EE00D16" w14:textId="55EF76A7" w:rsidR="00FE6074" w:rsidRDefault="00FE6074" w:rsidP="00340E9A">
      <w:pPr>
        <w:ind w:right="237"/>
        <w:jc w:val="both"/>
        <w:rPr>
          <w:rFonts w:eastAsia="Arial"/>
          <w:color w:val="000000" w:themeColor="text1"/>
          <w:sz w:val="24"/>
          <w:szCs w:val="24"/>
        </w:rPr>
      </w:pPr>
    </w:p>
    <w:p w14:paraId="5EA7CCAB" w14:textId="28FE3BC6" w:rsidR="00FE6074" w:rsidRPr="00270EEB" w:rsidRDefault="00FE6074" w:rsidP="00340E9A">
      <w:pPr>
        <w:ind w:right="237"/>
        <w:jc w:val="both"/>
        <w:rPr>
          <w:sz w:val="24"/>
          <w:szCs w:val="24"/>
        </w:rPr>
      </w:pPr>
      <w:r>
        <w:rPr>
          <w:rFonts w:eastAsia="Arial"/>
          <w:color w:val="000000" w:themeColor="text1"/>
          <w:sz w:val="24"/>
          <w:szCs w:val="24"/>
        </w:rPr>
        <w:t xml:space="preserve">Blue was the first of the two brothers to be located by officers, fire arms immediately attended and Blue was detained for a short period of time until it was confirmed that he was not the male involved. Red was located a short period of time later still in the vicinity of the police station hiding in a wooded area. He was located by the use of drone technology and local CCTV surveillance. </w:t>
      </w:r>
    </w:p>
    <w:p w14:paraId="1AA6B956" w14:textId="2DB1BE41" w:rsidR="00927919" w:rsidRDefault="00927919" w:rsidP="00340E9A">
      <w:pPr>
        <w:ind w:right="237"/>
        <w:jc w:val="both"/>
        <w:rPr>
          <w:sz w:val="24"/>
          <w:szCs w:val="24"/>
        </w:rPr>
      </w:pPr>
    </w:p>
    <w:p w14:paraId="287E141F" w14:textId="07027D91" w:rsidR="00824D78" w:rsidRDefault="00927919" w:rsidP="00340E9A">
      <w:pPr>
        <w:ind w:right="237"/>
        <w:jc w:val="both"/>
        <w:rPr>
          <w:sz w:val="24"/>
          <w:szCs w:val="24"/>
        </w:rPr>
      </w:pPr>
      <w:r w:rsidRPr="00927919">
        <w:rPr>
          <w:sz w:val="24"/>
          <w:szCs w:val="24"/>
        </w:rPr>
        <w:t>There are many types of intelligence source accessible to the police. Some of these are freely available, while access to others is dependent legislation such as the Regulation of Investigatory Powers Act 2000 (RIPA). As a result, deployment depends on the disposition and complexity of the investigation and the essentiality and proportion of their use</w:t>
      </w:r>
      <w:sdt>
        <w:sdtPr>
          <w:rPr>
            <w:sz w:val="24"/>
            <w:szCs w:val="24"/>
          </w:rPr>
          <w:id w:val="-1026717965"/>
          <w:citation/>
        </w:sdtPr>
        <w:sdtContent>
          <w:r>
            <w:rPr>
              <w:sz w:val="24"/>
              <w:szCs w:val="24"/>
            </w:rPr>
            <w:fldChar w:fldCharType="begin"/>
          </w:r>
          <w:r>
            <w:rPr>
              <w:sz w:val="24"/>
              <w:szCs w:val="24"/>
            </w:rPr>
            <w:instrText xml:space="preserve"> CITATION Col13 \l 2057 </w:instrText>
          </w:r>
          <w:r>
            <w:rPr>
              <w:sz w:val="24"/>
              <w:szCs w:val="24"/>
            </w:rPr>
            <w:fldChar w:fldCharType="separate"/>
          </w:r>
          <w:r>
            <w:rPr>
              <w:noProof/>
              <w:sz w:val="24"/>
              <w:szCs w:val="24"/>
            </w:rPr>
            <w:t xml:space="preserve"> </w:t>
          </w:r>
          <w:r w:rsidRPr="00927919">
            <w:rPr>
              <w:noProof/>
              <w:sz w:val="24"/>
              <w:szCs w:val="24"/>
            </w:rPr>
            <w:t>(College of Policing, 2013)</w:t>
          </w:r>
          <w:r>
            <w:rPr>
              <w:sz w:val="24"/>
              <w:szCs w:val="24"/>
            </w:rPr>
            <w:fldChar w:fldCharType="end"/>
          </w:r>
        </w:sdtContent>
      </w:sdt>
      <w:r w:rsidRPr="00927919">
        <w:rPr>
          <w:sz w:val="24"/>
          <w:szCs w:val="24"/>
        </w:rPr>
        <w:t>. Data from intelligence sources is subject to evaluation to check its authenticity before being documented in intelligence systems. Assessment should not be influenced by individual sentiments however, should depend on professional judgement. Its importance must not be exaggerated in order to guarantee that action is taken. Investigators record intelligence on reports are independently responsible for the preciseness and unbiased assessment of the material, based on their information of the circumstances prevailing at the time. Each piece of intelligence should be separately appraised</w:t>
      </w:r>
      <w:r>
        <w:rPr>
          <w:sz w:val="24"/>
          <w:szCs w:val="24"/>
        </w:rPr>
        <w:t xml:space="preserve"> (Ibid.)</w:t>
      </w:r>
      <w:r w:rsidRPr="00927919">
        <w:rPr>
          <w:sz w:val="24"/>
          <w:szCs w:val="24"/>
        </w:rPr>
        <w:t>.</w:t>
      </w:r>
      <w:r w:rsidR="00824D78">
        <w:rPr>
          <w:sz w:val="24"/>
          <w:szCs w:val="24"/>
        </w:rPr>
        <w:t xml:space="preserve"> Situations</w:t>
      </w:r>
      <w:r w:rsidR="00824D78" w:rsidRPr="00824D78">
        <w:rPr>
          <w:sz w:val="24"/>
          <w:szCs w:val="24"/>
        </w:rPr>
        <w:t xml:space="preserve"> that would warrant the use of covert techniques under RIPA include where it is reasonable in the interests of national protection, for the purpose of countering or detecting corruption or of forestalling disorder, in the interests of the financial welfare of the UK, in the interests of public security, for the goal of safeguarding public health or for the objective of assessing or compiling any tax, duty, levy or alternative imposition, contribution or charge to be paid to a government agency</w:t>
      </w:r>
      <w:r w:rsidR="00824D78">
        <w:rPr>
          <w:sz w:val="24"/>
          <w:szCs w:val="24"/>
        </w:rPr>
        <w:t xml:space="preserve"> (Ibid.)</w:t>
      </w:r>
      <w:r w:rsidR="00824D78" w:rsidRPr="00824D78">
        <w:rPr>
          <w:sz w:val="24"/>
          <w:szCs w:val="24"/>
        </w:rPr>
        <w:t>.</w:t>
      </w:r>
    </w:p>
    <w:p w14:paraId="533801E7" w14:textId="7CEC0E57" w:rsidR="00392C23" w:rsidRDefault="00392C23" w:rsidP="00340E9A">
      <w:pPr>
        <w:ind w:right="237"/>
        <w:jc w:val="both"/>
        <w:rPr>
          <w:sz w:val="24"/>
          <w:szCs w:val="24"/>
        </w:rPr>
      </w:pPr>
    </w:p>
    <w:p w14:paraId="071F319D" w14:textId="07B4C2FA" w:rsidR="00DB0CD9" w:rsidRDefault="00167893" w:rsidP="00340E9A">
      <w:pPr>
        <w:ind w:right="237"/>
        <w:jc w:val="both"/>
        <w:rPr>
          <w:sz w:val="24"/>
          <w:szCs w:val="24"/>
        </w:rPr>
      </w:pPr>
      <w:r w:rsidRPr="00167893">
        <w:rPr>
          <w:sz w:val="24"/>
          <w:szCs w:val="24"/>
        </w:rPr>
        <w:t>The National Intelligence Model (NIM) is a corporate framework that gives structure in a police investigation so that information may be processed and turned into useful intelligence</w:t>
      </w:r>
      <w:r w:rsidR="00DB0CD9">
        <w:rPr>
          <w:sz w:val="24"/>
          <w:szCs w:val="24"/>
        </w:rPr>
        <w:t xml:space="preserve"> </w:t>
      </w:r>
      <w:sdt>
        <w:sdtPr>
          <w:rPr>
            <w:sz w:val="24"/>
            <w:szCs w:val="24"/>
          </w:rPr>
          <w:id w:val="493306242"/>
          <w:citation/>
        </w:sdtPr>
        <w:sdtContent>
          <w:r w:rsidR="00DB0CD9">
            <w:rPr>
              <w:sz w:val="24"/>
              <w:szCs w:val="24"/>
            </w:rPr>
            <w:fldChar w:fldCharType="begin"/>
          </w:r>
          <w:r w:rsidR="00DB0CD9">
            <w:rPr>
              <w:sz w:val="24"/>
              <w:szCs w:val="24"/>
            </w:rPr>
            <w:instrText xml:space="preserve"> CITATION Ken20 \l 2057 </w:instrText>
          </w:r>
          <w:r w:rsidR="00DB0CD9">
            <w:rPr>
              <w:sz w:val="24"/>
              <w:szCs w:val="24"/>
            </w:rPr>
            <w:fldChar w:fldCharType="separate"/>
          </w:r>
          <w:r w:rsidR="00DB0CD9" w:rsidRPr="00DB0CD9">
            <w:rPr>
              <w:noProof/>
              <w:sz w:val="24"/>
              <w:szCs w:val="24"/>
            </w:rPr>
            <w:t>(Kenningale, 2020)</w:t>
          </w:r>
          <w:r w:rsidR="00DB0CD9">
            <w:rPr>
              <w:sz w:val="24"/>
              <w:szCs w:val="24"/>
            </w:rPr>
            <w:fldChar w:fldCharType="end"/>
          </w:r>
        </w:sdtContent>
      </w:sdt>
      <w:r w:rsidRPr="00167893">
        <w:rPr>
          <w:sz w:val="24"/>
          <w:szCs w:val="24"/>
        </w:rPr>
        <w:t>.</w:t>
      </w:r>
      <w:r w:rsidR="00DB0CD9">
        <w:rPr>
          <w:sz w:val="24"/>
          <w:szCs w:val="24"/>
        </w:rPr>
        <w:t xml:space="preserve"> The difference between information and intelligence is described as “</w:t>
      </w:r>
      <w:r w:rsidR="00DB0CD9" w:rsidRPr="00DB0CD9">
        <w:rPr>
          <w:sz w:val="24"/>
          <w:szCs w:val="24"/>
        </w:rPr>
        <w:t>Information consists of bits of data that, when combined and viewed together with relevant background knowledge, may be used to produce intelligence, which informs the actions and deci</w:t>
      </w:r>
      <w:r w:rsidR="00DB0CD9">
        <w:rPr>
          <w:sz w:val="24"/>
          <w:szCs w:val="24"/>
        </w:rPr>
        <w:t xml:space="preserve">sions of policing organisations” </w:t>
      </w:r>
      <w:sdt>
        <w:sdtPr>
          <w:rPr>
            <w:sz w:val="24"/>
            <w:szCs w:val="24"/>
          </w:rPr>
          <w:id w:val="-265000725"/>
          <w:citation/>
        </w:sdtPr>
        <w:sdtContent>
          <w:r>
            <w:rPr>
              <w:sz w:val="24"/>
              <w:szCs w:val="24"/>
            </w:rPr>
            <w:fldChar w:fldCharType="begin"/>
          </w:r>
          <w:r>
            <w:rPr>
              <w:sz w:val="24"/>
              <w:szCs w:val="24"/>
            </w:rPr>
            <w:instrText xml:space="preserve"> CITATION Inn04 \l 2057 </w:instrText>
          </w:r>
          <w:r>
            <w:rPr>
              <w:sz w:val="24"/>
              <w:szCs w:val="24"/>
            </w:rPr>
            <w:fldChar w:fldCharType="separate"/>
          </w:r>
          <w:r w:rsidRPr="00167893">
            <w:rPr>
              <w:noProof/>
              <w:sz w:val="24"/>
              <w:szCs w:val="24"/>
            </w:rPr>
            <w:t>(Innes &amp; Sheptycki, 2004)</w:t>
          </w:r>
          <w:r>
            <w:rPr>
              <w:sz w:val="24"/>
              <w:szCs w:val="24"/>
            </w:rPr>
            <w:fldChar w:fldCharType="end"/>
          </w:r>
        </w:sdtContent>
      </w:sdt>
      <w:r w:rsidR="00DB0CD9">
        <w:rPr>
          <w:sz w:val="24"/>
          <w:szCs w:val="24"/>
        </w:rPr>
        <w:t xml:space="preserve">. </w:t>
      </w:r>
      <w:r w:rsidR="00DB0CD9" w:rsidRPr="00DB0CD9">
        <w:rPr>
          <w:sz w:val="24"/>
          <w:szCs w:val="24"/>
        </w:rPr>
        <w:t xml:space="preserve">The gathering, creation, and distribution of intelligence enables choices regarding priorities and tactical alternatives to be made. The NIM </w:t>
      </w:r>
      <w:r w:rsidR="00DB0CD9" w:rsidRPr="00DB0CD9">
        <w:rPr>
          <w:sz w:val="24"/>
          <w:szCs w:val="24"/>
        </w:rPr>
        <w:lastRenderedPageBreak/>
        <w:t>operates on three levels: level one is the Local/Basic Command Unit, which handles low-value thefts and criminal damage. Level two- force and/or regional, including more than one local command unit, national specialists' guidance, and neighbouring troops. Finally, level three refers to significant and organised crime on a national and worldwide scale</w:t>
      </w:r>
      <w:sdt>
        <w:sdtPr>
          <w:rPr>
            <w:sz w:val="24"/>
            <w:szCs w:val="24"/>
          </w:rPr>
          <w:id w:val="1373734354"/>
          <w:citation/>
        </w:sdtPr>
        <w:sdtContent>
          <w:r w:rsidR="00DB0CD9">
            <w:rPr>
              <w:sz w:val="24"/>
              <w:szCs w:val="24"/>
            </w:rPr>
            <w:fldChar w:fldCharType="begin"/>
          </w:r>
          <w:r w:rsidR="00DB0CD9">
            <w:rPr>
              <w:sz w:val="24"/>
              <w:szCs w:val="24"/>
            </w:rPr>
            <w:instrText xml:space="preserve"> CITATION Ken20 \l 2057 </w:instrText>
          </w:r>
          <w:r w:rsidR="00DB0CD9">
            <w:rPr>
              <w:sz w:val="24"/>
              <w:szCs w:val="24"/>
            </w:rPr>
            <w:fldChar w:fldCharType="separate"/>
          </w:r>
          <w:r w:rsidR="00DB0CD9">
            <w:rPr>
              <w:noProof/>
              <w:sz w:val="24"/>
              <w:szCs w:val="24"/>
            </w:rPr>
            <w:t xml:space="preserve"> </w:t>
          </w:r>
          <w:r w:rsidR="00DB0CD9" w:rsidRPr="00DB0CD9">
            <w:rPr>
              <w:noProof/>
              <w:sz w:val="24"/>
              <w:szCs w:val="24"/>
            </w:rPr>
            <w:t>(Kenningale, 2020)</w:t>
          </w:r>
          <w:r w:rsidR="00DB0CD9">
            <w:rPr>
              <w:sz w:val="24"/>
              <w:szCs w:val="24"/>
            </w:rPr>
            <w:fldChar w:fldCharType="end"/>
          </w:r>
        </w:sdtContent>
      </w:sdt>
      <w:r w:rsidR="00DB0CD9" w:rsidRPr="00DB0CD9">
        <w:rPr>
          <w:sz w:val="24"/>
          <w:szCs w:val="24"/>
        </w:rPr>
        <w:t>.</w:t>
      </w:r>
    </w:p>
    <w:p w14:paraId="3CA8AAE4" w14:textId="2E92071E" w:rsidR="00AC5B9E" w:rsidRDefault="00AC5B9E" w:rsidP="00340E9A">
      <w:pPr>
        <w:ind w:right="237"/>
        <w:jc w:val="both"/>
        <w:rPr>
          <w:sz w:val="24"/>
          <w:szCs w:val="24"/>
        </w:rPr>
      </w:pPr>
    </w:p>
    <w:p w14:paraId="3327D0B5" w14:textId="53709C39" w:rsidR="00AC5B9E" w:rsidRDefault="00AC5B9E" w:rsidP="00AC5B9E">
      <w:pPr>
        <w:ind w:right="237"/>
        <w:jc w:val="both"/>
        <w:rPr>
          <w:sz w:val="24"/>
          <w:szCs w:val="24"/>
        </w:rPr>
      </w:pPr>
      <w:r w:rsidRPr="00AC5B9E">
        <w:rPr>
          <w:sz w:val="24"/>
          <w:szCs w:val="24"/>
        </w:rPr>
        <w:t>The intelligence report (IR) is used to submit and evaluate information, and to manage dissemination of intelligence. It protects the source and contributes to an audit trail of the intelligence. Standardisation of reporting provides a shared confidence between law enforcement co</w:t>
      </w:r>
      <w:r w:rsidR="001F5F43">
        <w:rPr>
          <w:sz w:val="24"/>
          <w:szCs w:val="24"/>
        </w:rPr>
        <w:t>mmunities and partner agencies</w:t>
      </w:r>
      <w:r w:rsidR="001F5F43" w:rsidRPr="001F5F43">
        <w:rPr>
          <w:sz w:val="24"/>
          <w:szCs w:val="24"/>
        </w:rPr>
        <w:t xml:space="preserve"> </w:t>
      </w:r>
      <w:sdt>
        <w:sdtPr>
          <w:rPr>
            <w:sz w:val="24"/>
            <w:szCs w:val="24"/>
          </w:rPr>
          <w:id w:val="-2091300985"/>
          <w:citation/>
        </w:sdtPr>
        <w:sdtContent>
          <w:r w:rsidR="001F5F43">
            <w:rPr>
              <w:sz w:val="24"/>
              <w:szCs w:val="24"/>
            </w:rPr>
            <w:fldChar w:fldCharType="begin"/>
          </w:r>
          <w:r w:rsidR="001F5F43">
            <w:rPr>
              <w:sz w:val="24"/>
              <w:szCs w:val="24"/>
            </w:rPr>
            <w:instrText xml:space="preserve"> CITATION Col152 \l 2057 </w:instrText>
          </w:r>
          <w:r w:rsidR="001F5F43">
            <w:rPr>
              <w:sz w:val="24"/>
              <w:szCs w:val="24"/>
            </w:rPr>
            <w:fldChar w:fldCharType="separate"/>
          </w:r>
          <w:r w:rsidR="001F5F43" w:rsidRPr="001F5F43">
            <w:rPr>
              <w:noProof/>
              <w:sz w:val="24"/>
              <w:szCs w:val="24"/>
            </w:rPr>
            <w:t>(College of Policing, 2015)</w:t>
          </w:r>
          <w:r w:rsidR="001F5F43">
            <w:rPr>
              <w:sz w:val="24"/>
              <w:szCs w:val="24"/>
            </w:rPr>
            <w:fldChar w:fldCharType="end"/>
          </w:r>
        </w:sdtContent>
      </w:sdt>
      <w:r w:rsidR="001F5F43">
        <w:rPr>
          <w:sz w:val="24"/>
          <w:szCs w:val="24"/>
        </w:rPr>
        <w:t xml:space="preserve">. </w:t>
      </w:r>
      <w:r w:rsidRPr="00AC5B9E">
        <w:rPr>
          <w:sz w:val="24"/>
          <w:szCs w:val="24"/>
        </w:rPr>
        <w:t>The IR evaluation reference material provides guidance on the 3x5x2 process and on how to apply it to intelligence that is graded under this system. This reference material will support forces where intelligence/products make reference to historic intelligence graded under the 5x5x5 system</w:t>
      </w:r>
      <w:r w:rsidR="001F5F43">
        <w:rPr>
          <w:sz w:val="24"/>
          <w:szCs w:val="24"/>
        </w:rPr>
        <w:t xml:space="preserve"> (Ibid.)</w:t>
      </w:r>
      <w:r w:rsidRPr="00AC5B9E">
        <w:rPr>
          <w:sz w:val="24"/>
          <w:szCs w:val="24"/>
        </w:rPr>
        <w:t>.</w:t>
      </w:r>
      <w:r w:rsidR="001F5F43">
        <w:rPr>
          <w:sz w:val="24"/>
          <w:szCs w:val="24"/>
        </w:rPr>
        <w:t xml:space="preserve"> </w:t>
      </w:r>
      <w:r w:rsidR="001F5F43" w:rsidRPr="001F5F43">
        <w:rPr>
          <w:sz w:val="24"/>
          <w:szCs w:val="24"/>
        </w:rPr>
        <w:t>The hazard to the source of the information or intelligence is always owned by the organisation that created it. When intelligence is distributed outside of the source organisation, the receiving organisation must follow any handling restrictions. If this does not occur, both institutions may be held liable for any repercussions</w:t>
      </w:r>
      <w:r w:rsidR="001F5F43">
        <w:rPr>
          <w:sz w:val="24"/>
          <w:szCs w:val="24"/>
        </w:rPr>
        <w:t xml:space="preserve"> (Ibid.)</w:t>
      </w:r>
      <w:r w:rsidR="001F5F43" w:rsidRPr="001F5F43">
        <w:rPr>
          <w:sz w:val="24"/>
          <w:szCs w:val="24"/>
        </w:rPr>
        <w:t>.</w:t>
      </w:r>
    </w:p>
    <w:p w14:paraId="010EEA5C" w14:textId="4467281D" w:rsidR="00DB0CD9" w:rsidRDefault="00DB0CD9" w:rsidP="00340E9A">
      <w:pPr>
        <w:ind w:right="237"/>
        <w:jc w:val="both"/>
        <w:rPr>
          <w:sz w:val="24"/>
          <w:szCs w:val="24"/>
        </w:rPr>
      </w:pPr>
    </w:p>
    <w:p w14:paraId="447ACC95" w14:textId="6B2BA123" w:rsidR="00077A86" w:rsidRDefault="00077A86" w:rsidP="00340E9A">
      <w:pPr>
        <w:ind w:right="237"/>
        <w:jc w:val="both"/>
        <w:rPr>
          <w:sz w:val="24"/>
          <w:szCs w:val="24"/>
        </w:rPr>
      </w:pPr>
      <w:r w:rsidRPr="00077A86">
        <w:rPr>
          <w:sz w:val="24"/>
          <w:szCs w:val="24"/>
        </w:rPr>
        <w:t>The term "covert surveillance" refers to gathering intelligence on a person without their knowledge or agreement. To ensure that these tactics are used wisely, the Home Office issued two Codes of Practice in December 2014: Covert Surveillance and Property Interference and Covert Human Intelligence Sources</w:t>
      </w:r>
      <w:r w:rsidR="00D42EC8">
        <w:rPr>
          <w:sz w:val="24"/>
          <w:szCs w:val="24"/>
        </w:rPr>
        <w:t xml:space="preserve"> (CHIS) </w:t>
      </w:r>
      <w:sdt>
        <w:sdtPr>
          <w:rPr>
            <w:sz w:val="24"/>
            <w:szCs w:val="24"/>
          </w:rPr>
          <w:id w:val="-1221823781"/>
          <w:citation/>
        </w:sdtPr>
        <w:sdtContent>
          <w:r w:rsidR="00D42EC8">
            <w:rPr>
              <w:sz w:val="24"/>
              <w:szCs w:val="24"/>
            </w:rPr>
            <w:fldChar w:fldCharType="begin"/>
          </w:r>
          <w:r w:rsidR="00D42EC8">
            <w:rPr>
              <w:sz w:val="24"/>
              <w:szCs w:val="24"/>
            </w:rPr>
            <w:instrText xml:space="preserve"> CITATION Rav17 \l 2057 </w:instrText>
          </w:r>
          <w:r w:rsidR="00D42EC8">
            <w:rPr>
              <w:sz w:val="24"/>
              <w:szCs w:val="24"/>
            </w:rPr>
            <w:fldChar w:fldCharType="separate"/>
          </w:r>
          <w:r w:rsidR="00D42EC8" w:rsidRPr="00D42EC8">
            <w:rPr>
              <w:noProof/>
              <w:sz w:val="24"/>
              <w:szCs w:val="24"/>
            </w:rPr>
            <w:t>(Ravelli, 2017)</w:t>
          </w:r>
          <w:r w:rsidR="00D42EC8">
            <w:rPr>
              <w:sz w:val="24"/>
              <w:szCs w:val="24"/>
            </w:rPr>
            <w:fldChar w:fldCharType="end"/>
          </w:r>
        </w:sdtContent>
      </w:sdt>
      <w:r w:rsidRPr="00077A86">
        <w:rPr>
          <w:sz w:val="24"/>
          <w:szCs w:val="24"/>
        </w:rPr>
        <w:t>.</w:t>
      </w:r>
      <w:r>
        <w:rPr>
          <w:sz w:val="24"/>
          <w:szCs w:val="24"/>
        </w:rPr>
        <w:t xml:space="preserve"> </w:t>
      </w:r>
      <w:r w:rsidRPr="00077A86">
        <w:rPr>
          <w:sz w:val="24"/>
          <w:szCs w:val="24"/>
        </w:rPr>
        <w:t>Directed surveillance is the most physical kind of surveillance. Intrusive surveillance refers to methods of surveillance used on private property or within a private vehicle. Because intrusive monitoring is more invasive, the authorization required is higher.</w:t>
      </w:r>
      <w:r>
        <w:rPr>
          <w:sz w:val="24"/>
          <w:szCs w:val="24"/>
        </w:rPr>
        <w:t xml:space="preserve"> </w:t>
      </w:r>
      <w:r w:rsidR="00D42EC8">
        <w:rPr>
          <w:sz w:val="24"/>
          <w:szCs w:val="24"/>
        </w:rPr>
        <w:t>A CHIS</w:t>
      </w:r>
      <w:r w:rsidRPr="00077A86">
        <w:rPr>
          <w:sz w:val="24"/>
          <w:szCs w:val="24"/>
        </w:rPr>
        <w:t xml:space="preserve"> is someone who develops a personal relationship with another person in order to collect details or information that might be critical in an inquiry. Intercept warrants are deemed as the most serious degree of intrusion; an intercept warrant is only authorised by a restricted group of senior authorities</w:t>
      </w:r>
      <w:r w:rsidR="00D42EC8">
        <w:rPr>
          <w:sz w:val="24"/>
          <w:szCs w:val="24"/>
        </w:rPr>
        <w:t xml:space="preserve"> (Ibid.)</w:t>
      </w:r>
      <w:r w:rsidRPr="00077A86">
        <w:rPr>
          <w:sz w:val="24"/>
          <w:szCs w:val="24"/>
        </w:rPr>
        <w:t>.</w:t>
      </w:r>
      <w:r w:rsidR="00D42EC8">
        <w:rPr>
          <w:sz w:val="24"/>
          <w:szCs w:val="24"/>
        </w:rPr>
        <w:t xml:space="preserve"> </w:t>
      </w:r>
      <w:r w:rsidRPr="00077A86">
        <w:rPr>
          <w:sz w:val="24"/>
          <w:szCs w:val="24"/>
        </w:rPr>
        <w:t>Covert surveillance is an especially invasive means of gathering information. The employment of covert surveillance tactics necessitates a careful weighing of a suspect's right to privacy vs the requirement to investigate severe crime. Covert surveillance provisions should properly consider the suspect's rights. Various international human rights agencies and courts have issued rulings on the legality of covert monitoring and the boundaries of these methods</w:t>
      </w:r>
      <w:sdt>
        <w:sdtPr>
          <w:rPr>
            <w:sz w:val="24"/>
            <w:szCs w:val="24"/>
          </w:rPr>
          <w:id w:val="1314055234"/>
          <w:citation/>
        </w:sdtPr>
        <w:sdtContent>
          <w:r>
            <w:rPr>
              <w:sz w:val="24"/>
              <w:szCs w:val="24"/>
            </w:rPr>
            <w:fldChar w:fldCharType="begin"/>
          </w:r>
          <w:r>
            <w:rPr>
              <w:sz w:val="24"/>
              <w:szCs w:val="24"/>
            </w:rPr>
            <w:instrText xml:space="preserve"> CITATION Uni06 \l 2057 </w:instrText>
          </w:r>
          <w:r>
            <w:rPr>
              <w:sz w:val="24"/>
              <w:szCs w:val="24"/>
            </w:rPr>
            <w:fldChar w:fldCharType="separate"/>
          </w:r>
          <w:r>
            <w:rPr>
              <w:noProof/>
              <w:sz w:val="24"/>
              <w:szCs w:val="24"/>
            </w:rPr>
            <w:t xml:space="preserve"> </w:t>
          </w:r>
          <w:r w:rsidRPr="00077A86">
            <w:rPr>
              <w:noProof/>
              <w:sz w:val="24"/>
              <w:szCs w:val="24"/>
            </w:rPr>
            <w:t>(United Nations, 2006)</w:t>
          </w:r>
          <w:r>
            <w:rPr>
              <w:sz w:val="24"/>
              <w:szCs w:val="24"/>
            </w:rPr>
            <w:fldChar w:fldCharType="end"/>
          </w:r>
        </w:sdtContent>
      </w:sdt>
      <w:r w:rsidRPr="00077A86">
        <w:rPr>
          <w:sz w:val="24"/>
          <w:szCs w:val="24"/>
        </w:rPr>
        <w:t>.</w:t>
      </w:r>
    </w:p>
    <w:p w14:paraId="03D19A0E" w14:textId="77777777" w:rsidR="00824D78" w:rsidRDefault="00824D78" w:rsidP="00340E9A">
      <w:pPr>
        <w:ind w:right="237"/>
        <w:jc w:val="both"/>
        <w:rPr>
          <w:sz w:val="24"/>
          <w:szCs w:val="24"/>
        </w:rPr>
      </w:pPr>
    </w:p>
    <w:p w14:paraId="5D9DB25E" w14:textId="77777777" w:rsidR="00824D78" w:rsidRDefault="00824D78" w:rsidP="00824D78">
      <w:pPr>
        <w:ind w:right="237"/>
        <w:jc w:val="both"/>
        <w:rPr>
          <w:sz w:val="24"/>
          <w:szCs w:val="24"/>
        </w:rPr>
      </w:pPr>
      <w:r>
        <w:rPr>
          <w:sz w:val="24"/>
          <w:szCs w:val="24"/>
        </w:rPr>
        <w:t>The purpose of the police’s</w:t>
      </w:r>
      <w:r w:rsidRPr="00DB0CD9">
        <w:rPr>
          <w:sz w:val="24"/>
          <w:szCs w:val="24"/>
        </w:rPr>
        <w:t xml:space="preserve"> Code of Ethics is to assist each member of the policing profession in maintaining the utmost professional standards in their commitment to the public. Ethical behaviour stems from the values, beliefs, attitudes, and information that govern each individual's decisions</w:t>
      </w:r>
      <w:sdt>
        <w:sdtPr>
          <w:rPr>
            <w:sz w:val="24"/>
            <w:szCs w:val="24"/>
          </w:rPr>
          <w:id w:val="1149249832"/>
          <w:citation/>
        </w:sdtPr>
        <w:sdtContent>
          <w:r>
            <w:rPr>
              <w:sz w:val="24"/>
              <w:szCs w:val="24"/>
            </w:rPr>
            <w:fldChar w:fldCharType="begin"/>
          </w:r>
          <w:r>
            <w:rPr>
              <w:sz w:val="24"/>
              <w:szCs w:val="24"/>
            </w:rPr>
            <w:instrText xml:space="preserve"> CITATION Col14 \l 2057 </w:instrText>
          </w:r>
          <w:r>
            <w:rPr>
              <w:sz w:val="24"/>
              <w:szCs w:val="24"/>
            </w:rPr>
            <w:fldChar w:fldCharType="separate"/>
          </w:r>
          <w:r>
            <w:rPr>
              <w:noProof/>
              <w:sz w:val="24"/>
              <w:szCs w:val="24"/>
            </w:rPr>
            <w:t xml:space="preserve"> </w:t>
          </w:r>
          <w:r w:rsidRPr="005B69F6">
            <w:rPr>
              <w:noProof/>
              <w:sz w:val="24"/>
              <w:szCs w:val="24"/>
            </w:rPr>
            <w:t>(College of Policing, 2014)</w:t>
          </w:r>
          <w:r>
            <w:rPr>
              <w:sz w:val="24"/>
              <w:szCs w:val="24"/>
            </w:rPr>
            <w:fldChar w:fldCharType="end"/>
          </w:r>
        </w:sdtContent>
      </w:sdt>
      <w:r w:rsidRPr="00DB0CD9">
        <w:rPr>
          <w:sz w:val="24"/>
          <w:szCs w:val="24"/>
        </w:rPr>
        <w:t>. These vary from how to approach a troubled member of the community to how to distribute scarce resources. The College of Policing, as the official organisation for all policing personnel, has an obligation to assist the manner in which these decisions are made. We must state clearly the ethical norms that we expect to drive judgments in all circumstances, and we must state clearly what will happen if certain standards are not satisfied</w:t>
      </w:r>
      <w:r>
        <w:rPr>
          <w:sz w:val="24"/>
          <w:szCs w:val="24"/>
        </w:rPr>
        <w:t xml:space="preserve"> (Ibid.)</w:t>
      </w:r>
      <w:r w:rsidRPr="00DB0CD9">
        <w:rPr>
          <w:sz w:val="24"/>
          <w:szCs w:val="24"/>
        </w:rPr>
        <w:t>.</w:t>
      </w:r>
    </w:p>
    <w:p w14:paraId="638CBB14" w14:textId="5D6AFD09" w:rsidR="00DB0CD9" w:rsidRDefault="00DB0CD9" w:rsidP="00340E9A">
      <w:pPr>
        <w:ind w:right="237"/>
        <w:jc w:val="both"/>
        <w:rPr>
          <w:sz w:val="24"/>
          <w:szCs w:val="24"/>
        </w:rPr>
      </w:pPr>
    </w:p>
    <w:p w14:paraId="6C7A1E47" w14:textId="148289FE" w:rsidR="00185E17" w:rsidRDefault="00185E17" w:rsidP="00340E9A">
      <w:pPr>
        <w:ind w:right="237"/>
        <w:jc w:val="both"/>
        <w:rPr>
          <w:sz w:val="24"/>
          <w:szCs w:val="24"/>
        </w:rPr>
      </w:pPr>
      <w:r w:rsidRPr="00185E17">
        <w:rPr>
          <w:sz w:val="24"/>
          <w:szCs w:val="24"/>
        </w:rPr>
        <w:lastRenderedPageBreak/>
        <w:t>The Human Rights Act of 1998 established in UK law the rights enshrined in the European Convention on Human Rights (ECHR). Some of these rights are absolute, such as the ban against torture, while others are qualified, which means that the state may interfere with those rights if specific criteria are met</w:t>
      </w:r>
      <w:sdt>
        <w:sdtPr>
          <w:rPr>
            <w:sz w:val="24"/>
            <w:szCs w:val="24"/>
          </w:rPr>
          <w:id w:val="1567069814"/>
          <w:citation/>
        </w:sdtPr>
        <w:sdtContent>
          <w:r>
            <w:rPr>
              <w:sz w:val="24"/>
              <w:szCs w:val="24"/>
            </w:rPr>
            <w:fldChar w:fldCharType="begin"/>
          </w:r>
          <w:r>
            <w:rPr>
              <w:sz w:val="24"/>
              <w:szCs w:val="24"/>
            </w:rPr>
            <w:instrText xml:space="preserve"> CITATION Hom18 \l 2057 </w:instrText>
          </w:r>
          <w:r>
            <w:rPr>
              <w:sz w:val="24"/>
              <w:szCs w:val="24"/>
            </w:rPr>
            <w:fldChar w:fldCharType="separate"/>
          </w:r>
          <w:r>
            <w:rPr>
              <w:noProof/>
              <w:sz w:val="24"/>
              <w:szCs w:val="24"/>
            </w:rPr>
            <w:t xml:space="preserve"> </w:t>
          </w:r>
          <w:r w:rsidRPr="00185E17">
            <w:rPr>
              <w:noProof/>
              <w:sz w:val="24"/>
              <w:szCs w:val="24"/>
            </w:rPr>
            <w:t>(Home Office, 2018)</w:t>
          </w:r>
          <w:r>
            <w:rPr>
              <w:sz w:val="24"/>
              <w:szCs w:val="24"/>
            </w:rPr>
            <w:fldChar w:fldCharType="end"/>
          </w:r>
        </w:sdtContent>
      </w:sdt>
      <w:r w:rsidRPr="00185E17">
        <w:rPr>
          <w:sz w:val="24"/>
          <w:szCs w:val="24"/>
        </w:rPr>
        <w:t>. Article 8 of the ECHR guarantees a person's right to respect for their private and family life, home, and communication as one of the qualified rights. When public authorities seek private information about a person through covert monitoring, Article 8 is most likely to be used</w:t>
      </w:r>
      <w:r>
        <w:rPr>
          <w:sz w:val="24"/>
          <w:szCs w:val="24"/>
        </w:rPr>
        <w:t xml:space="preserve"> (Ibid.)</w:t>
      </w:r>
      <w:r w:rsidRPr="00185E17">
        <w:rPr>
          <w:sz w:val="24"/>
          <w:szCs w:val="24"/>
        </w:rPr>
        <w:t>.</w:t>
      </w:r>
      <w:r w:rsidRPr="00185E17">
        <w:t xml:space="preserve"> </w:t>
      </w:r>
      <w:r w:rsidRPr="00185E17">
        <w:rPr>
          <w:sz w:val="24"/>
          <w:szCs w:val="24"/>
        </w:rPr>
        <w:t>Property interference activities may also violate Article 1 of the First Protocol, which guarantees the right to peaceful enjoyment of one's belongings, which may include any property exposed to interference by government authorities</w:t>
      </w:r>
      <w:r>
        <w:rPr>
          <w:sz w:val="24"/>
          <w:szCs w:val="24"/>
        </w:rPr>
        <w:t xml:space="preserve"> (Ibid.)</w:t>
      </w:r>
      <w:r w:rsidRPr="00185E17">
        <w:rPr>
          <w:sz w:val="24"/>
          <w:szCs w:val="24"/>
        </w:rPr>
        <w:t>. The right to a fair trial under Article 6 of the ECHR is especially significant when a prosecution follows the use of covert tactics, particularly when the prosecution seeks to safeguard the use of those methods through public interest immunity processes.</w:t>
      </w:r>
      <w:r>
        <w:rPr>
          <w:sz w:val="24"/>
          <w:szCs w:val="24"/>
        </w:rPr>
        <w:t xml:space="preserve"> </w:t>
      </w:r>
      <w:r w:rsidR="0072164C">
        <w:rPr>
          <w:sz w:val="24"/>
          <w:szCs w:val="24"/>
        </w:rPr>
        <w:t>Section 2 of the 2000 Act, Section 3</w:t>
      </w:r>
      <w:r w:rsidRPr="00185E17">
        <w:rPr>
          <w:sz w:val="24"/>
          <w:szCs w:val="24"/>
        </w:rPr>
        <w:t xml:space="preserve"> of the 1997 Act, and Section 5 of the 1994 Act all establish a legal framework within which covert surveillance or property interference activities can be authorised and carried out in accordance with the ECHR</w:t>
      </w:r>
      <w:r>
        <w:rPr>
          <w:sz w:val="24"/>
          <w:szCs w:val="24"/>
        </w:rPr>
        <w:t xml:space="preserve"> (Ibid.)</w:t>
      </w:r>
      <w:r w:rsidRPr="00185E17">
        <w:rPr>
          <w:sz w:val="24"/>
          <w:szCs w:val="24"/>
        </w:rPr>
        <w:t>.</w:t>
      </w:r>
    </w:p>
    <w:p w14:paraId="23CC1B89" w14:textId="77777777" w:rsidR="00185E17" w:rsidRDefault="00185E17" w:rsidP="00340E9A">
      <w:pPr>
        <w:ind w:right="237"/>
        <w:jc w:val="both"/>
        <w:rPr>
          <w:sz w:val="24"/>
          <w:szCs w:val="24"/>
        </w:rPr>
      </w:pPr>
    </w:p>
    <w:p w14:paraId="1967E2A8" w14:textId="672E1B3C" w:rsidR="00025650" w:rsidRPr="00270EEB" w:rsidRDefault="005840B5" w:rsidP="00340E9A">
      <w:pPr>
        <w:ind w:right="237"/>
        <w:jc w:val="both"/>
        <w:rPr>
          <w:sz w:val="24"/>
          <w:szCs w:val="24"/>
        </w:rPr>
      </w:pPr>
      <w:r w:rsidRPr="005840B5">
        <w:rPr>
          <w:sz w:val="24"/>
          <w:szCs w:val="24"/>
        </w:rPr>
        <w:t>The majority of shootings in the United Kingdom are committed by criminal groups involved in a variety of illegal activities, including armed robberies and drug distribution</w:t>
      </w:r>
      <w:sdt>
        <w:sdtPr>
          <w:rPr>
            <w:sz w:val="24"/>
            <w:szCs w:val="24"/>
          </w:rPr>
          <w:id w:val="1345121164"/>
          <w:citation/>
        </w:sdtPr>
        <w:sdtContent>
          <w:r>
            <w:rPr>
              <w:sz w:val="24"/>
              <w:szCs w:val="24"/>
            </w:rPr>
            <w:fldChar w:fldCharType="begin"/>
          </w:r>
          <w:r>
            <w:rPr>
              <w:sz w:val="24"/>
              <w:szCs w:val="24"/>
            </w:rPr>
            <w:instrText xml:space="preserve"> CITATION Nat22 \l 2057 </w:instrText>
          </w:r>
          <w:r>
            <w:rPr>
              <w:sz w:val="24"/>
              <w:szCs w:val="24"/>
            </w:rPr>
            <w:fldChar w:fldCharType="separate"/>
          </w:r>
          <w:r>
            <w:rPr>
              <w:noProof/>
              <w:sz w:val="24"/>
              <w:szCs w:val="24"/>
            </w:rPr>
            <w:t xml:space="preserve"> </w:t>
          </w:r>
          <w:r w:rsidRPr="005840B5">
            <w:rPr>
              <w:noProof/>
              <w:sz w:val="24"/>
              <w:szCs w:val="24"/>
            </w:rPr>
            <w:t>(National Crime Agency, 2022)</w:t>
          </w:r>
          <w:r>
            <w:rPr>
              <w:sz w:val="24"/>
              <w:szCs w:val="24"/>
            </w:rPr>
            <w:fldChar w:fldCharType="end"/>
          </w:r>
        </w:sdtContent>
      </w:sdt>
      <w:r w:rsidRPr="005840B5">
        <w:rPr>
          <w:sz w:val="24"/>
          <w:szCs w:val="24"/>
        </w:rPr>
        <w:t>. Victims of gun crime are commonly known to police, implying that criminals utilise firearms in rivalries with other crime gangs for protection, punishment, or to further their criminal enterprises. Most criminal firearms have never been used previously, indicating a constant supply from both the UK and abroad</w:t>
      </w:r>
      <w:r>
        <w:rPr>
          <w:sz w:val="24"/>
          <w:szCs w:val="24"/>
        </w:rPr>
        <w:t xml:space="preserve"> (Ibid.)</w:t>
      </w:r>
      <w:r w:rsidRPr="005840B5">
        <w:rPr>
          <w:sz w:val="24"/>
          <w:szCs w:val="24"/>
        </w:rPr>
        <w:t xml:space="preserve">. According to data, illegal ammunition is also becoming more widely available in the United Kingdom. </w:t>
      </w:r>
      <w:r w:rsidR="00FE6074" w:rsidRPr="00FE6074">
        <w:rPr>
          <w:sz w:val="24"/>
          <w:szCs w:val="24"/>
        </w:rPr>
        <w:t>According to the most recent national statistics, shotgun incidents increased by a startling 10% to 650</w:t>
      </w:r>
      <w:r>
        <w:rPr>
          <w:sz w:val="24"/>
          <w:szCs w:val="24"/>
        </w:rPr>
        <w:t xml:space="preserve"> </w:t>
      </w:r>
      <w:sdt>
        <w:sdtPr>
          <w:rPr>
            <w:sz w:val="24"/>
            <w:szCs w:val="24"/>
          </w:rPr>
          <w:id w:val="-1336451653"/>
          <w:citation/>
        </w:sdtPr>
        <w:sdtContent>
          <w:r>
            <w:rPr>
              <w:sz w:val="24"/>
              <w:szCs w:val="24"/>
            </w:rPr>
            <w:fldChar w:fldCharType="begin"/>
          </w:r>
          <w:r>
            <w:rPr>
              <w:sz w:val="24"/>
              <w:szCs w:val="24"/>
            </w:rPr>
            <w:instrText xml:space="preserve"> CITATION Sab18 \l 2057 </w:instrText>
          </w:r>
          <w:r>
            <w:rPr>
              <w:sz w:val="24"/>
              <w:szCs w:val="24"/>
            </w:rPr>
            <w:fldChar w:fldCharType="separate"/>
          </w:r>
          <w:r w:rsidRPr="005840B5">
            <w:rPr>
              <w:noProof/>
              <w:sz w:val="24"/>
              <w:szCs w:val="24"/>
            </w:rPr>
            <w:t>(Sabey, 2018)</w:t>
          </w:r>
          <w:r>
            <w:rPr>
              <w:sz w:val="24"/>
              <w:szCs w:val="24"/>
            </w:rPr>
            <w:fldChar w:fldCharType="end"/>
          </w:r>
        </w:sdtContent>
      </w:sdt>
      <w:r w:rsidR="00FE6074" w:rsidRPr="00FE6074">
        <w:rPr>
          <w:sz w:val="24"/>
          <w:szCs w:val="24"/>
        </w:rPr>
        <w:t>. Significant firearm offences have increased dramatically in the last year. Police also documented 2,847 handgun incidents in the year to March, a 6% increase, according to the Office of National Statistics. Overall, firearms offences, which include rifles and BB guns, increased at a 2% rate, a lesser rate than in past years</w:t>
      </w:r>
      <w:r>
        <w:rPr>
          <w:sz w:val="24"/>
          <w:szCs w:val="24"/>
        </w:rPr>
        <w:t xml:space="preserve"> (Ibid.)</w:t>
      </w:r>
      <w:r w:rsidR="00FE6074" w:rsidRPr="00FE6074">
        <w:rPr>
          <w:sz w:val="24"/>
          <w:szCs w:val="24"/>
        </w:rPr>
        <w:t>.</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C70F458" w:rsidR="00025650" w:rsidRPr="00270EEB" w:rsidRDefault="00824D78" w:rsidP="00340E9A">
      <w:pPr>
        <w:ind w:right="237"/>
        <w:jc w:val="both"/>
        <w:rPr>
          <w:sz w:val="24"/>
          <w:szCs w:val="24"/>
        </w:rPr>
      </w:pPr>
      <w:r>
        <w:rPr>
          <w:sz w:val="24"/>
          <w:szCs w:val="24"/>
        </w:rPr>
        <w:t xml:space="preserve">Word Count </w:t>
      </w:r>
      <w:r w:rsidR="005840B5">
        <w:rPr>
          <w:sz w:val="24"/>
          <w:szCs w:val="24"/>
        </w:rPr>
        <w:t xml:space="preserve"> - 1672</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688CCCA1" w:rsidR="00025650" w:rsidRDefault="00025650" w:rsidP="00340E9A">
      <w:pPr>
        <w:ind w:right="237"/>
        <w:jc w:val="both"/>
        <w:rPr>
          <w:sz w:val="24"/>
          <w:szCs w:val="24"/>
        </w:rPr>
      </w:pPr>
    </w:p>
    <w:p w14:paraId="7C933E69" w14:textId="6385E635" w:rsidR="00185E17" w:rsidRDefault="00185E17" w:rsidP="00340E9A">
      <w:pPr>
        <w:ind w:right="237"/>
        <w:jc w:val="both"/>
        <w:rPr>
          <w:sz w:val="24"/>
          <w:szCs w:val="24"/>
        </w:rPr>
      </w:pPr>
    </w:p>
    <w:p w14:paraId="05C97A77" w14:textId="4C732BF8" w:rsidR="00185E17" w:rsidRDefault="00185E17" w:rsidP="00340E9A">
      <w:pPr>
        <w:ind w:right="237"/>
        <w:jc w:val="both"/>
        <w:rPr>
          <w:sz w:val="24"/>
          <w:szCs w:val="24"/>
        </w:rPr>
      </w:pPr>
    </w:p>
    <w:p w14:paraId="796A9F2F" w14:textId="77777777" w:rsidR="00927919" w:rsidRDefault="00927919" w:rsidP="00340E9A">
      <w:pPr>
        <w:ind w:right="237"/>
        <w:jc w:val="both"/>
        <w:rPr>
          <w:sz w:val="24"/>
          <w:szCs w:val="24"/>
        </w:rPr>
      </w:pPr>
    </w:p>
    <w:p w14:paraId="3AEE4C26" w14:textId="22E4A0B6" w:rsidR="00185E17" w:rsidRDefault="00185E17" w:rsidP="00340E9A">
      <w:pPr>
        <w:ind w:right="237"/>
        <w:jc w:val="both"/>
        <w:rPr>
          <w:sz w:val="24"/>
          <w:szCs w:val="24"/>
        </w:rPr>
      </w:pPr>
    </w:p>
    <w:p w14:paraId="37F6376A" w14:textId="4867DB63" w:rsidR="005840B5" w:rsidRDefault="005840B5" w:rsidP="00340E9A">
      <w:pPr>
        <w:ind w:right="237"/>
        <w:jc w:val="both"/>
        <w:rPr>
          <w:sz w:val="24"/>
          <w:szCs w:val="24"/>
        </w:rPr>
      </w:pPr>
    </w:p>
    <w:p w14:paraId="53584D7D" w14:textId="733D227D" w:rsidR="005840B5" w:rsidRDefault="005840B5" w:rsidP="00340E9A">
      <w:pPr>
        <w:ind w:right="237"/>
        <w:jc w:val="both"/>
        <w:rPr>
          <w:sz w:val="24"/>
          <w:szCs w:val="24"/>
        </w:rPr>
      </w:pPr>
    </w:p>
    <w:p w14:paraId="0B61183D" w14:textId="53C539FD" w:rsidR="005840B5" w:rsidRDefault="005840B5" w:rsidP="00340E9A">
      <w:pPr>
        <w:ind w:right="237"/>
        <w:jc w:val="both"/>
        <w:rPr>
          <w:sz w:val="24"/>
          <w:szCs w:val="24"/>
        </w:rPr>
      </w:pPr>
    </w:p>
    <w:p w14:paraId="504E8A22" w14:textId="2AD85862" w:rsidR="005840B5" w:rsidRDefault="005840B5" w:rsidP="00340E9A">
      <w:pPr>
        <w:ind w:right="237"/>
        <w:jc w:val="both"/>
        <w:rPr>
          <w:sz w:val="24"/>
          <w:szCs w:val="24"/>
        </w:rPr>
      </w:pPr>
    </w:p>
    <w:p w14:paraId="48C37920" w14:textId="7440D145" w:rsidR="005840B5" w:rsidRDefault="005840B5" w:rsidP="00340E9A">
      <w:pPr>
        <w:ind w:right="237"/>
        <w:jc w:val="both"/>
        <w:rPr>
          <w:sz w:val="24"/>
          <w:szCs w:val="24"/>
        </w:rPr>
      </w:pPr>
    </w:p>
    <w:p w14:paraId="75A9270B" w14:textId="77777777" w:rsidR="005840B5" w:rsidRDefault="005840B5" w:rsidP="00340E9A">
      <w:pPr>
        <w:ind w:right="237"/>
        <w:jc w:val="both"/>
        <w:rPr>
          <w:sz w:val="24"/>
          <w:szCs w:val="24"/>
        </w:rPr>
      </w:pPr>
    </w:p>
    <w:p w14:paraId="55885AA0" w14:textId="34593AC6"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901F904" w14:textId="6A227A3C" w:rsidR="005840B5" w:rsidRDefault="005840B5" w:rsidP="005840B5">
      <w:pPr>
        <w:ind w:right="237"/>
        <w:jc w:val="both"/>
        <w:rPr>
          <w:rFonts w:eastAsia="Arial"/>
          <w:color w:val="000000" w:themeColor="text1"/>
          <w:sz w:val="24"/>
          <w:szCs w:val="24"/>
        </w:rPr>
      </w:pPr>
      <w:r>
        <w:rPr>
          <w:sz w:val="24"/>
          <w:szCs w:val="24"/>
        </w:rPr>
        <w:t>For this section of the workbook I will be involving digital technologies</w:t>
      </w:r>
      <w:r w:rsidRPr="003B3D7A">
        <w:rPr>
          <w:sz w:val="24"/>
          <w:szCs w:val="24"/>
        </w:rPr>
        <w:t xml:space="preserve"> </w:t>
      </w:r>
      <w:r>
        <w:rPr>
          <w:sz w:val="24"/>
          <w:szCs w:val="24"/>
        </w:rPr>
        <w:t xml:space="preserve">and how I </w:t>
      </w:r>
      <w:r>
        <w:rPr>
          <w:sz w:val="24"/>
          <w:szCs w:val="24"/>
        </w:rPr>
        <w:t>provided an appropriate initial police response</w:t>
      </w:r>
      <w:r w:rsidRPr="003B3D7A">
        <w:rPr>
          <w:sz w:val="24"/>
          <w:szCs w:val="24"/>
        </w:rPr>
        <w:t xml:space="preserve"> </w:t>
      </w:r>
      <w:r w:rsidRPr="003B3D7A">
        <w:rPr>
          <w:sz w:val="24"/>
          <w:szCs w:val="24"/>
        </w:rPr>
        <w:t>using the era cycle</w:t>
      </w:r>
      <w:r>
        <w:rPr>
          <w:sz w:val="24"/>
          <w:szCs w:val="24"/>
        </w:rPr>
        <w:t xml:space="preserve"> </w:t>
      </w:r>
      <w:sdt>
        <w:sdtPr>
          <w:rPr>
            <w:sz w:val="24"/>
            <w:szCs w:val="24"/>
          </w:rPr>
          <w:id w:val="2081639494"/>
          <w:citation/>
        </w:sdtPr>
        <w:sdtContent>
          <w:r>
            <w:rPr>
              <w:sz w:val="24"/>
              <w:szCs w:val="24"/>
            </w:rPr>
            <w:fldChar w:fldCharType="begin"/>
          </w:r>
          <w:r>
            <w:rPr>
              <w:sz w:val="24"/>
              <w:szCs w:val="24"/>
            </w:rPr>
            <w:instrText xml:space="preserve"> CITATION Jas13 \l 2057 </w:instrText>
          </w:r>
          <w:r>
            <w:rPr>
              <w:sz w:val="24"/>
              <w:szCs w:val="24"/>
            </w:rPr>
            <w:fldChar w:fldCharType="separate"/>
          </w:r>
          <w:r w:rsidRPr="003B3D7A">
            <w:rPr>
              <w:noProof/>
              <w:sz w:val="24"/>
              <w:szCs w:val="24"/>
            </w:rPr>
            <w:t>(Jasper, 2013)</w:t>
          </w:r>
          <w:r>
            <w:rPr>
              <w:sz w:val="24"/>
              <w:szCs w:val="24"/>
            </w:rPr>
            <w:fldChar w:fldCharType="end"/>
          </w:r>
        </w:sdtContent>
      </w:sdt>
      <w:r>
        <w:rPr>
          <w:sz w:val="24"/>
          <w:szCs w:val="24"/>
        </w:rPr>
        <w:t xml:space="preserve">. </w:t>
      </w:r>
      <w:r>
        <w:rPr>
          <w:sz w:val="24"/>
          <w:szCs w:val="24"/>
        </w:rPr>
        <w:t>I will explain the immediate actions that I</w:t>
      </w:r>
      <w:r w:rsidRPr="00C34A61">
        <w:rPr>
          <w:sz w:val="24"/>
          <w:szCs w:val="24"/>
        </w:rPr>
        <w:t xml:space="preserve"> took to reduce the risk o</w:t>
      </w:r>
      <w:r>
        <w:rPr>
          <w:sz w:val="24"/>
          <w:szCs w:val="24"/>
        </w:rPr>
        <w:t>f harm caused by the incident and d</w:t>
      </w:r>
      <w:r w:rsidRPr="00C34A61">
        <w:rPr>
          <w:sz w:val="24"/>
          <w:szCs w:val="24"/>
        </w:rPr>
        <w:t>etail who may be more vulnerable in this type of incident</w:t>
      </w:r>
      <w:r>
        <w:rPr>
          <w:sz w:val="24"/>
          <w:szCs w:val="24"/>
        </w:rPr>
        <w:t>. I will then conclude by summarising my findings.</w:t>
      </w:r>
    </w:p>
    <w:p w14:paraId="592CAEBA" w14:textId="50160E67" w:rsidR="000F7ECD" w:rsidRDefault="000F7ECD" w:rsidP="5B63D80E">
      <w:pPr>
        <w:ind w:right="237"/>
        <w:jc w:val="both"/>
        <w:rPr>
          <w:sz w:val="24"/>
          <w:szCs w:val="24"/>
        </w:rPr>
      </w:pPr>
    </w:p>
    <w:p w14:paraId="7933616D" w14:textId="4B0181E1" w:rsidR="005840B5" w:rsidRDefault="005840B5" w:rsidP="5B63D80E">
      <w:pPr>
        <w:ind w:right="237"/>
        <w:jc w:val="both"/>
        <w:rPr>
          <w:sz w:val="24"/>
          <w:szCs w:val="24"/>
        </w:rPr>
      </w:pPr>
      <w:r>
        <w:rPr>
          <w:sz w:val="24"/>
          <w:szCs w:val="24"/>
        </w:rPr>
        <w:t>The incident I will be using involves a teenage female who had been used a social media site which acts as a Russian roulette. The platform enables people to video chat with strangers across the globe. Whilst the victim wa</w:t>
      </w:r>
      <w:r w:rsidR="00EE151C">
        <w:rPr>
          <w:sz w:val="24"/>
          <w:szCs w:val="24"/>
        </w:rPr>
        <w:t>s talking to a male on the platform she had added him on a further social media platform which individuals can send images and videos for a set amount of seconds.</w:t>
      </w:r>
    </w:p>
    <w:p w14:paraId="13E082D0" w14:textId="2DC994C3" w:rsidR="00EE151C" w:rsidRDefault="00EE151C" w:rsidP="5B63D80E">
      <w:pPr>
        <w:ind w:right="237"/>
        <w:jc w:val="both"/>
        <w:rPr>
          <w:sz w:val="24"/>
          <w:szCs w:val="24"/>
        </w:rPr>
      </w:pPr>
    </w:p>
    <w:p w14:paraId="295CBE67" w14:textId="572947DC" w:rsidR="00EE151C" w:rsidRDefault="00EE151C" w:rsidP="5B63D80E">
      <w:pPr>
        <w:ind w:right="237"/>
        <w:jc w:val="both"/>
        <w:rPr>
          <w:sz w:val="24"/>
          <w:szCs w:val="24"/>
        </w:rPr>
      </w:pPr>
      <w:r>
        <w:rPr>
          <w:sz w:val="24"/>
          <w:szCs w:val="24"/>
        </w:rPr>
        <w:t>Whilst talking to the perpetrator the victim became increasingly concerned about his behaviour as he kept sending sexually suggestive messages to her. Later in the conversation the perpetrator then sent her an image of a young child being sexually assaulted. The female immediately blocked the perpetrator and alerted a responsible adult who then contacted the police. On attendance relevant safeguarding advice was passed to the victim but we were aware that there was further safeguarding to be conducted in relation to the video which was shared.</w:t>
      </w:r>
    </w:p>
    <w:p w14:paraId="65B6A9B9" w14:textId="4D5348A0" w:rsidR="00EE151C" w:rsidRDefault="00EE151C" w:rsidP="5B63D80E">
      <w:pPr>
        <w:ind w:right="237"/>
        <w:jc w:val="both"/>
        <w:rPr>
          <w:sz w:val="24"/>
          <w:szCs w:val="24"/>
        </w:rPr>
      </w:pPr>
    </w:p>
    <w:p w14:paraId="0F15F6B9" w14:textId="1802C11B" w:rsidR="00EE151C" w:rsidRDefault="00EE151C" w:rsidP="5B63D80E">
      <w:pPr>
        <w:ind w:right="237"/>
        <w:jc w:val="both"/>
        <w:rPr>
          <w:sz w:val="24"/>
          <w:szCs w:val="24"/>
        </w:rPr>
      </w:pPr>
      <w:r>
        <w:rPr>
          <w:sz w:val="24"/>
          <w:szCs w:val="24"/>
        </w:rPr>
        <w:t>On return to the police station we immediately commenced investigations in relation to the video and involved relevant police departments and partner agencies to assist in tracking the second victim to this crime.</w:t>
      </w:r>
    </w:p>
    <w:p w14:paraId="6BEC5BF6" w14:textId="7A7A85CA" w:rsidR="00C171FC" w:rsidRDefault="00C171FC" w:rsidP="5B63D80E">
      <w:pPr>
        <w:ind w:right="237"/>
        <w:jc w:val="both"/>
        <w:rPr>
          <w:sz w:val="24"/>
          <w:szCs w:val="24"/>
        </w:rPr>
      </w:pPr>
    </w:p>
    <w:p w14:paraId="496B849A" w14:textId="56465DC3" w:rsidR="00C171FC" w:rsidRDefault="00C1665A" w:rsidP="5B63D80E">
      <w:pPr>
        <w:ind w:right="237"/>
        <w:jc w:val="both"/>
        <w:rPr>
          <w:sz w:val="24"/>
          <w:szCs w:val="24"/>
        </w:rPr>
      </w:pPr>
      <w:r>
        <w:rPr>
          <w:sz w:val="24"/>
          <w:szCs w:val="24"/>
        </w:rPr>
        <w:t>The term "cyber-</w:t>
      </w:r>
      <w:r w:rsidR="00C171FC" w:rsidRPr="00C171FC">
        <w:rPr>
          <w:sz w:val="24"/>
          <w:szCs w:val="24"/>
        </w:rPr>
        <w:t>crime" refers to a wide range of crimes committed online via desktops, laptops, tablet devices, internet-enabled televisions, gaming systems, and smart phones</w:t>
      </w:r>
      <w:sdt>
        <w:sdtPr>
          <w:rPr>
            <w:sz w:val="24"/>
            <w:szCs w:val="24"/>
          </w:rPr>
          <w:id w:val="1851458582"/>
          <w:citation/>
        </w:sdtPr>
        <w:sdtContent>
          <w:r>
            <w:rPr>
              <w:sz w:val="24"/>
              <w:szCs w:val="24"/>
            </w:rPr>
            <w:fldChar w:fldCharType="begin"/>
          </w:r>
          <w:r>
            <w:rPr>
              <w:sz w:val="24"/>
              <w:szCs w:val="24"/>
            </w:rPr>
            <w:instrText xml:space="preserve"> CITATION Vic22 \l 2057 </w:instrText>
          </w:r>
          <w:r>
            <w:rPr>
              <w:sz w:val="24"/>
              <w:szCs w:val="24"/>
            </w:rPr>
            <w:fldChar w:fldCharType="separate"/>
          </w:r>
          <w:r>
            <w:rPr>
              <w:noProof/>
              <w:sz w:val="24"/>
              <w:szCs w:val="24"/>
            </w:rPr>
            <w:t xml:space="preserve"> </w:t>
          </w:r>
          <w:r w:rsidRPr="00C1665A">
            <w:rPr>
              <w:noProof/>
              <w:sz w:val="24"/>
              <w:szCs w:val="24"/>
            </w:rPr>
            <w:t>(Victim Support, 2022)</w:t>
          </w:r>
          <w:r>
            <w:rPr>
              <w:sz w:val="24"/>
              <w:szCs w:val="24"/>
            </w:rPr>
            <w:fldChar w:fldCharType="end"/>
          </w:r>
        </w:sdtContent>
      </w:sdt>
      <w:r w:rsidR="00C171FC" w:rsidRPr="00C171FC">
        <w:rPr>
          <w:sz w:val="24"/>
          <w:szCs w:val="24"/>
        </w:rPr>
        <w:t>.</w:t>
      </w:r>
      <w:r w:rsidR="00292110" w:rsidRPr="00292110">
        <w:rPr>
          <w:sz w:val="24"/>
          <w:szCs w:val="24"/>
        </w:rPr>
        <w:t xml:space="preserve"> Data and technology are essential tools for effective crime prevention.</w:t>
      </w:r>
      <w:r w:rsidR="00292110">
        <w:rPr>
          <w:sz w:val="24"/>
          <w:szCs w:val="24"/>
        </w:rPr>
        <w:t xml:space="preserve"> </w:t>
      </w:r>
      <w:r w:rsidR="00292110" w:rsidRPr="00C1665A">
        <w:rPr>
          <w:sz w:val="24"/>
          <w:szCs w:val="24"/>
        </w:rPr>
        <w:t>Criminals are using digital technology to broaden the scope of their crimes and boost their impact. However, technological advancements offer law enforcement authorities a huge chance to change the way they fight crime</w:t>
      </w:r>
      <w:sdt>
        <w:sdtPr>
          <w:rPr>
            <w:sz w:val="24"/>
            <w:szCs w:val="24"/>
          </w:rPr>
          <w:id w:val="66931988"/>
          <w:citation/>
        </w:sdtPr>
        <w:sdtContent>
          <w:r w:rsidR="00292110">
            <w:rPr>
              <w:sz w:val="24"/>
              <w:szCs w:val="24"/>
            </w:rPr>
            <w:fldChar w:fldCharType="begin"/>
          </w:r>
          <w:r w:rsidR="00292110">
            <w:rPr>
              <w:sz w:val="24"/>
              <w:szCs w:val="24"/>
            </w:rPr>
            <w:instrText xml:space="preserve"> CITATION Rex16 \l 2057 </w:instrText>
          </w:r>
          <w:r w:rsidR="00292110">
            <w:rPr>
              <w:sz w:val="24"/>
              <w:szCs w:val="24"/>
            </w:rPr>
            <w:fldChar w:fldCharType="separate"/>
          </w:r>
          <w:r w:rsidR="00292110">
            <w:rPr>
              <w:noProof/>
              <w:sz w:val="24"/>
              <w:szCs w:val="24"/>
            </w:rPr>
            <w:t xml:space="preserve"> </w:t>
          </w:r>
          <w:r w:rsidR="00292110" w:rsidRPr="00292110">
            <w:rPr>
              <w:noProof/>
              <w:sz w:val="24"/>
              <w:szCs w:val="24"/>
            </w:rPr>
            <w:t>(Rex, 2016)</w:t>
          </w:r>
          <w:r w:rsidR="00292110">
            <w:rPr>
              <w:sz w:val="24"/>
              <w:szCs w:val="24"/>
            </w:rPr>
            <w:fldChar w:fldCharType="end"/>
          </w:r>
        </w:sdtContent>
      </w:sdt>
    </w:p>
    <w:p w14:paraId="231E580B" w14:textId="4500E41E" w:rsidR="00C1665A" w:rsidRDefault="00C1665A" w:rsidP="5B63D80E">
      <w:pPr>
        <w:ind w:right="237"/>
        <w:jc w:val="both"/>
        <w:rPr>
          <w:sz w:val="24"/>
          <w:szCs w:val="24"/>
        </w:rPr>
      </w:pPr>
    </w:p>
    <w:p w14:paraId="4E3C368D" w14:textId="36F4FF44" w:rsidR="00C1665A" w:rsidRDefault="00C1665A" w:rsidP="5B63D80E">
      <w:pPr>
        <w:ind w:right="237"/>
        <w:jc w:val="both"/>
        <w:rPr>
          <w:sz w:val="24"/>
          <w:szCs w:val="24"/>
        </w:rPr>
      </w:pPr>
      <w:r w:rsidRPr="00C1665A">
        <w:rPr>
          <w:sz w:val="24"/>
          <w:szCs w:val="24"/>
        </w:rPr>
        <w:t xml:space="preserve">When someone commits a crime online, they might conceal their private information, such as personal identity and location. Cyber criminals are frequently </w:t>
      </w:r>
      <w:r w:rsidRPr="00C1665A">
        <w:rPr>
          <w:sz w:val="24"/>
          <w:szCs w:val="24"/>
        </w:rPr>
        <w:lastRenderedPageBreak/>
        <w:t>well-organized an</w:t>
      </w:r>
      <w:r>
        <w:rPr>
          <w:sz w:val="24"/>
          <w:szCs w:val="24"/>
        </w:rPr>
        <w:t>d convincing online. Many cyber-</w:t>
      </w:r>
      <w:r w:rsidRPr="00C1665A">
        <w:rPr>
          <w:sz w:val="24"/>
          <w:szCs w:val="24"/>
        </w:rPr>
        <w:t>crimes are perpetrated by individuals who could be thousands of miles away, making it challenging for police and other criminal justice organisations to apprehend them</w:t>
      </w:r>
      <w:sdt>
        <w:sdtPr>
          <w:rPr>
            <w:sz w:val="24"/>
            <w:szCs w:val="24"/>
          </w:rPr>
          <w:id w:val="-1693528493"/>
          <w:citation/>
        </w:sdtPr>
        <w:sdtContent>
          <w:r>
            <w:rPr>
              <w:sz w:val="24"/>
              <w:szCs w:val="24"/>
            </w:rPr>
            <w:fldChar w:fldCharType="begin"/>
          </w:r>
          <w:r>
            <w:rPr>
              <w:sz w:val="24"/>
              <w:szCs w:val="24"/>
            </w:rPr>
            <w:instrText xml:space="preserve"> CITATION Vic22 \l 2057 </w:instrText>
          </w:r>
          <w:r>
            <w:rPr>
              <w:sz w:val="24"/>
              <w:szCs w:val="24"/>
            </w:rPr>
            <w:fldChar w:fldCharType="separate"/>
          </w:r>
          <w:r>
            <w:rPr>
              <w:noProof/>
              <w:sz w:val="24"/>
              <w:szCs w:val="24"/>
            </w:rPr>
            <w:t xml:space="preserve"> </w:t>
          </w:r>
          <w:r w:rsidRPr="00C1665A">
            <w:rPr>
              <w:noProof/>
              <w:sz w:val="24"/>
              <w:szCs w:val="24"/>
            </w:rPr>
            <w:t>(Victim Support, 2022)</w:t>
          </w:r>
          <w:r>
            <w:rPr>
              <w:sz w:val="24"/>
              <w:szCs w:val="24"/>
            </w:rPr>
            <w:fldChar w:fldCharType="end"/>
          </w:r>
        </w:sdtContent>
      </w:sdt>
      <w:r w:rsidRPr="00C1665A">
        <w:rPr>
          <w:sz w:val="24"/>
          <w:szCs w:val="24"/>
        </w:rPr>
        <w:t>.</w:t>
      </w:r>
    </w:p>
    <w:p w14:paraId="6FF1B0FC" w14:textId="77777777" w:rsidR="00B86969" w:rsidRDefault="00B86969" w:rsidP="5B63D80E">
      <w:pPr>
        <w:ind w:right="237"/>
        <w:jc w:val="both"/>
        <w:rPr>
          <w:sz w:val="24"/>
          <w:szCs w:val="24"/>
        </w:rPr>
      </w:pPr>
    </w:p>
    <w:p w14:paraId="17B4FAE2" w14:textId="77777777" w:rsidR="00B86969" w:rsidRDefault="00B86969" w:rsidP="00B86969">
      <w:pPr>
        <w:ind w:right="237"/>
        <w:jc w:val="both"/>
        <w:rPr>
          <w:sz w:val="24"/>
          <w:szCs w:val="24"/>
        </w:rPr>
      </w:pPr>
      <w:r w:rsidRPr="00EE151C">
        <w:rPr>
          <w:sz w:val="24"/>
          <w:szCs w:val="24"/>
        </w:rPr>
        <w:t>The Digital knowledge and abilities that children and adolescents should have the opportunity to gain at different ages and stages of their lives are described in the Education for a Connected World framework</w:t>
      </w:r>
      <w:r>
        <w:rPr>
          <w:sz w:val="24"/>
          <w:szCs w:val="24"/>
        </w:rPr>
        <w:t xml:space="preserve"> (UKCCIS)</w:t>
      </w:r>
      <w:r w:rsidRPr="00EE151C">
        <w:rPr>
          <w:sz w:val="24"/>
          <w:szCs w:val="24"/>
        </w:rPr>
        <w:t>. It emphasises what a child should know about current online technology, its impact on behaviour and development, and the skills required to manage it</w:t>
      </w:r>
      <w:r>
        <w:rPr>
          <w:sz w:val="24"/>
          <w:szCs w:val="24"/>
        </w:rPr>
        <w:t xml:space="preserve"> </w:t>
      </w:r>
      <w:sdt>
        <w:sdtPr>
          <w:rPr>
            <w:sz w:val="24"/>
            <w:szCs w:val="24"/>
          </w:rPr>
          <w:id w:val="1792021150"/>
          <w:citation/>
        </w:sdtPr>
        <w:sdtContent>
          <w:r>
            <w:rPr>
              <w:sz w:val="24"/>
              <w:szCs w:val="24"/>
            </w:rPr>
            <w:fldChar w:fldCharType="begin"/>
          </w:r>
          <w:r>
            <w:rPr>
              <w:sz w:val="24"/>
              <w:szCs w:val="24"/>
            </w:rPr>
            <w:instrText xml:space="preserve"> CITATION Gov22 \l 2057 </w:instrText>
          </w:r>
          <w:r>
            <w:rPr>
              <w:sz w:val="24"/>
              <w:szCs w:val="24"/>
            </w:rPr>
            <w:fldChar w:fldCharType="separate"/>
          </w:r>
          <w:r w:rsidRPr="00B86969">
            <w:rPr>
              <w:noProof/>
              <w:sz w:val="24"/>
              <w:szCs w:val="24"/>
            </w:rPr>
            <w:t>(Gov.uk, 2022)</w:t>
          </w:r>
          <w:r>
            <w:rPr>
              <w:sz w:val="24"/>
              <w:szCs w:val="24"/>
            </w:rPr>
            <w:fldChar w:fldCharType="end"/>
          </w:r>
        </w:sdtContent>
      </w:sdt>
      <w:r w:rsidRPr="00EE151C">
        <w:rPr>
          <w:sz w:val="24"/>
          <w:szCs w:val="24"/>
        </w:rPr>
        <w:t>. The publication supports one of the primary goals of the government's Internet Safety Strategy, which is to help youngsters stay safe and contribute positively online while also allowing teachers to build effective techniques for understanding and dealing with online hazards</w:t>
      </w:r>
      <w:r>
        <w:rPr>
          <w:sz w:val="24"/>
          <w:szCs w:val="24"/>
        </w:rPr>
        <w:t xml:space="preserve"> (Ibid.)</w:t>
      </w:r>
      <w:r w:rsidRPr="00EE151C">
        <w:rPr>
          <w:sz w:val="24"/>
          <w:szCs w:val="24"/>
        </w:rPr>
        <w:t>.</w:t>
      </w:r>
      <w:r>
        <w:rPr>
          <w:sz w:val="24"/>
          <w:szCs w:val="24"/>
        </w:rPr>
        <w:t xml:space="preserve"> </w:t>
      </w:r>
      <w:r w:rsidRPr="00B86969">
        <w:rPr>
          <w:sz w:val="24"/>
          <w:szCs w:val="24"/>
        </w:rPr>
        <w:t>The UKCCIS Education Group has put together guidance for schools and institutions in Wales on how to deal with</w:t>
      </w:r>
      <w:r>
        <w:rPr>
          <w:sz w:val="24"/>
          <w:szCs w:val="24"/>
        </w:rPr>
        <w:t xml:space="preserve"> </w:t>
      </w:r>
      <w:r w:rsidRPr="00B86969">
        <w:rPr>
          <w:sz w:val="24"/>
          <w:szCs w:val="24"/>
        </w:rPr>
        <w:t>'sexting' occurrences. The advice is intended to assist them in dealing with the wide variety of concerns that these incidents bring up, such as responding to disclosures, handling devices and imagery, risk assessment, and involving other agencies. Preventative education, interacting with parents, and reporting imagery to providers are all covered in the guidance. This is non-statutory advice that should be read in conjunction with the Welsh Government's statutory guidance on keeping learners safe</w:t>
      </w:r>
      <w:r>
        <w:rPr>
          <w:sz w:val="24"/>
          <w:szCs w:val="24"/>
        </w:rPr>
        <w:t xml:space="preserve"> (Ibid.)</w:t>
      </w:r>
      <w:r w:rsidRPr="00B86969">
        <w:rPr>
          <w:sz w:val="24"/>
          <w:szCs w:val="24"/>
        </w:rPr>
        <w:t>.</w:t>
      </w:r>
    </w:p>
    <w:p w14:paraId="5924B455" w14:textId="77777777" w:rsidR="00292110" w:rsidRDefault="00292110" w:rsidP="5B63D80E">
      <w:pPr>
        <w:ind w:right="237"/>
        <w:jc w:val="both"/>
        <w:rPr>
          <w:sz w:val="24"/>
          <w:szCs w:val="24"/>
        </w:rPr>
      </w:pPr>
    </w:p>
    <w:p w14:paraId="1E1948C0" w14:textId="29E5C837" w:rsidR="00C1665A" w:rsidRDefault="00C1665A" w:rsidP="5B63D80E">
      <w:pPr>
        <w:ind w:right="237"/>
        <w:jc w:val="both"/>
        <w:rPr>
          <w:sz w:val="24"/>
          <w:szCs w:val="24"/>
        </w:rPr>
      </w:pPr>
      <w:r w:rsidRPr="00C1665A">
        <w:rPr>
          <w:sz w:val="24"/>
          <w:szCs w:val="24"/>
        </w:rPr>
        <w:t>The Home Office's Modern Crime Prevention Strategy emphasises the critical impact that technology will play in modern crime prevention in the future.</w:t>
      </w:r>
      <w:r w:rsidR="00163814">
        <w:rPr>
          <w:sz w:val="24"/>
          <w:szCs w:val="24"/>
        </w:rPr>
        <w:t xml:space="preserve"> </w:t>
      </w:r>
      <w:r w:rsidR="00163814" w:rsidRPr="00163814">
        <w:rPr>
          <w:sz w:val="24"/>
          <w:szCs w:val="24"/>
        </w:rPr>
        <w:t>This provides a unique challenge for law enforcement authorities, highlighting the crucial need of equipping police forces to combat modern crime. The government and police can only hope to confront this evolving new threat more effectively if they collaborate closely with the IT industry</w:t>
      </w:r>
      <w:sdt>
        <w:sdtPr>
          <w:rPr>
            <w:sz w:val="24"/>
            <w:szCs w:val="24"/>
          </w:rPr>
          <w:id w:val="-57564050"/>
          <w:citation/>
        </w:sdtPr>
        <w:sdtContent>
          <w:r w:rsidR="00292110">
            <w:rPr>
              <w:sz w:val="24"/>
              <w:szCs w:val="24"/>
            </w:rPr>
            <w:fldChar w:fldCharType="begin"/>
          </w:r>
          <w:r w:rsidR="00292110">
            <w:rPr>
              <w:sz w:val="24"/>
              <w:szCs w:val="24"/>
            </w:rPr>
            <w:instrText xml:space="preserve"> CITATION Rex16 \l 2057 </w:instrText>
          </w:r>
          <w:r w:rsidR="00292110">
            <w:rPr>
              <w:sz w:val="24"/>
              <w:szCs w:val="24"/>
            </w:rPr>
            <w:fldChar w:fldCharType="separate"/>
          </w:r>
          <w:r w:rsidR="00292110">
            <w:rPr>
              <w:noProof/>
              <w:sz w:val="24"/>
              <w:szCs w:val="24"/>
            </w:rPr>
            <w:t xml:space="preserve"> </w:t>
          </w:r>
          <w:r w:rsidR="00292110" w:rsidRPr="00292110">
            <w:rPr>
              <w:noProof/>
              <w:sz w:val="24"/>
              <w:szCs w:val="24"/>
            </w:rPr>
            <w:t>(Rex, 2016)</w:t>
          </w:r>
          <w:r w:rsidR="00292110">
            <w:rPr>
              <w:sz w:val="24"/>
              <w:szCs w:val="24"/>
            </w:rPr>
            <w:fldChar w:fldCharType="end"/>
          </w:r>
        </w:sdtContent>
      </w:sdt>
      <w:r w:rsidR="00163814" w:rsidRPr="00163814">
        <w:rPr>
          <w:sz w:val="24"/>
          <w:szCs w:val="24"/>
        </w:rPr>
        <w:t>.</w:t>
      </w:r>
    </w:p>
    <w:p w14:paraId="6F3EB879" w14:textId="64B881C0" w:rsidR="00787331" w:rsidRDefault="00787331" w:rsidP="5B63D80E">
      <w:pPr>
        <w:ind w:right="237"/>
        <w:jc w:val="both"/>
        <w:rPr>
          <w:sz w:val="24"/>
          <w:szCs w:val="24"/>
        </w:rPr>
      </w:pPr>
    </w:p>
    <w:p w14:paraId="15568D4D" w14:textId="352A9E6C" w:rsidR="00787331" w:rsidRDefault="00787331" w:rsidP="5B63D80E">
      <w:pPr>
        <w:ind w:right="237"/>
        <w:jc w:val="both"/>
        <w:rPr>
          <w:sz w:val="24"/>
          <w:szCs w:val="24"/>
        </w:rPr>
      </w:pPr>
      <w:r w:rsidRPr="00787331">
        <w:rPr>
          <w:sz w:val="24"/>
          <w:szCs w:val="24"/>
        </w:rPr>
        <w:t>Police forces face many challenges when investigating cybercrime</w:t>
      </w:r>
      <w:r w:rsidR="009329B0">
        <w:rPr>
          <w:sz w:val="24"/>
          <w:szCs w:val="24"/>
        </w:rPr>
        <w:t>.</w:t>
      </w:r>
      <w:r w:rsidRPr="00787331">
        <w:rPr>
          <w:sz w:val="24"/>
          <w:szCs w:val="24"/>
        </w:rPr>
        <w:t xml:space="preserve"> The perceptions of cybercrime and their perpetrators by law enforcement vary depending on a number of factors such as the level of the officer or the type of crime. Thanks to the expertise of the industry, these ideas may be instrumental in responding to cybercrime complaints</w:t>
      </w:r>
      <w:sdt>
        <w:sdtPr>
          <w:rPr>
            <w:sz w:val="24"/>
            <w:szCs w:val="24"/>
          </w:rPr>
          <w:id w:val="660355256"/>
          <w:citation/>
        </w:sdtPr>
        <w:sdtContent>
          <w:r w:rsidR="009329B0">
            <w:rPr>
              <w:sz w:val="24"/>
              <w:szCs w:val="24"/>
            </w:rPr>
            <w:fldChar w:fldCharType="begin"/>
          </w:r>
          <w:r w:rsidR="009329B0">
            <w:rPr>
              <w:sz w:val="24"/>
              <w:szCs w:val="24"/>
            </w:rPr>
            <w:instrText xml:space="preserve"> CITATION Dod20 \l 2057 </w:instrText>
          </w:r>
          <w:r w:rsidR="009329B0">
            <w:rPr>
              <w:sz w:val="24"/>
              <w:szCs w:val="24"/>
            </w:rPr>
            <w:fldChar w:fldCharType="separate"/>
          </w:r>
          <w:r w:rsidR="009329B0">
            <w:rPr>
              <w:noProof/>
              <w:sz w:val="24"/>
              <w:szCs w:val="24"/>
            </w:rPr>
            <w:t xml:space="preserve"> </w:t>
          </w:r>
          <w:r w:rsidR="009329B0" w:rsidRPr="009329B0">
            <w:rPr>
              <w:noProof/>
              <w:sz w:val="24"/>
              <w:szCs w:val="24"/>
            </w:rPr>
            <w:t>(Dodge, et al., 2020)</w:t>
          </w:r>
          <w:r w:rsidR="009329B0">
            <w:rPr>
              <w:sz w:val="24"/>
              <w:szCs w:val="24"/>
            </w:rPr>
            <w:fldChar w:fldCharType="end"/>
          </w:r>
        </w:sdtContent>
      </w:sdt>
      <w:r w:rsidRPr="00787331">
        <w:rPr>
          <w:sz w:val="24"/>
          <w:szCs w:val="24"/>
        </w:rPr>
        <w:t>. Another concern of the structures is the police's exposure to harassment. Other cybercrime investigations, such as cybercrime against children, may result in exposure to traumatic development, such as violent “traditional” crimes. Organizations also face the challenge of enforcing cybercrime or have to interpret existing laws in their field of cybercrime while dealing with legal issues. Despite advances in the field of digital intelligence, additional basic training for human resource management is still needed</w:t>
      </w:r>
      <w:r w:rsidR="009329B0">
        <w:rPr>
          <w:sz w:val="24"/>
          <w:szCs w:val="24"/>
        </w:rPr>
        <w:t xml:space="preserve"> </w:t>
      </w:r>
      <w:sdt>
        <w:sdtPr>
          <w:rPr>
            <w:sz w:val="24"/>
            <w:szCs w:val="24"/>
          </w:rPr>
          <w:id w:val="-1392725070"/>
          <w:citation/>
        </w:sdtPr>
        <w:sdtContent>
          <w:r w:rsidR="009329B0">
            <w:rPr>
              <w:sz w:val="24"/>
              <w:szCs w:val="24"/>
            </w:rPr>
            <w:fldChar w:fldCharType="begin"/>
          </w:r>
          <w:r w:rsidR="009329B0">
            <w:rPr>
              <w:sz w:val="24"/>
              <w:szCs w:val="24"/>
            </w:rPr>
            <w:instrText xml:space="preserve"> CITATION Dod20 \l 2057 </w:instrText>
          </w:r>
          <w:r w:rsidR="009329B0">
            <w:rPr>
              <w:sz w:val="24"/>
              <w:szCs w:val="24"/>
            </w:rPr>
            <w:fldChar w:fldCharType="separate"/>
          </w:r>
          <w:r w:rsidR="009329B0" w:rsidRPr="009329B0">
            <w:rPr>
              <w:noProof/>
              <w:sz w:val="24"/>
              <w:szCs w:val="24"/>
            </w:rPr>
            <w:t>(Dodge, et al., 2020)</w:t>
          </w:r>
          <w:r w:rsidR="009329B0">
            <w:rPr>
              <w:sz w:val="24"/>
              <w:szCs w:val="24"/>
            </w:rPr>
            <w:fldChar w:fldCharType="end"/>
          </w:r>
        </w:sdtContent>
      </w:sdt>
      <w:r w:rsidR="009329B0">
        <w:rPr>
          <w:sz w:val="24"/>
          <w:szCs w:val="24"/>
        </w:rPr>
        <w:t>.</w:t>
      </w:r>
    </w:p>
    <w:p w14:paraId="3F0C5F57" w14:textId="4B77DB3E" w:rsidR="009329B0" w:rsidRDefault="009329B0" w:rsidP="5B63D80E">
      <w:pPr>
        <w:ind w:right="237"/>
        <w:jc w:val="both"/>
        <w:rPr>
          <w:sz w:val="24"/>
          <w:szCs w:val="24"/>
        </w:rPr>
      </w:pPr>
    </w:p>
    <w:p w14:paraId="5022B0AA" w14:textId="5CA720A1" w:rsidR="009329B0" w:rsidRDefault="009329B0" w:rsidP="5B63D80E">
      <w:pPr>
        <w:ind w:right="237"/>
        <w:jc w:val="both"/>
        <w:rPr>
          <w:sz w:val="24"/>
          <w:szCs w:val="24"/>
        </w:rPr>
      </w:pPr>
      <w:r>
        <w:rPr>
          <w:sz w:val="24"/>
          <w:szCs w:val="24"/>
        </w:rPr>
        <w:t xml:space="preserve">The National Policing Digital strategy 2020 – 2030 was developed to aid law enforcement with the growth of digital crimes. </w:t>
      </w:r>
      <w:r w:rsidR="00044A55" w:rsidRPr="00044A55">
        <w:rPr>
          <w:sz w:val="24"/>
          <w:szCs w:val="24"/>
        </w:rPr>
        <w:t>This strategy analyses the internal and external pressures facing the service and presents five key digital aspirations, each accompanying a set of digital priorities to guide focus and investment. The public will have more choice of ho</w:t>
      </w:r>
      <w:r w:rsidR="003A21CE">
        <w:rPr>
          <w:sz w:val="24"/>
          <w:szCs w:val="24"/>
        </w:rPr>
        <w:t>w to engage with police</w:t>
      </w:r>
      <w:r w:rsidR="00044A55" w:rsidRPr="00044A55">
        <w:rPr>
          <w:sz w:val="24"/>
          <w:szCs w:val="24"/>
        </w:rPr>
        <w:t xml:space="preserve"> agencies, utilizing the most appropriate channels, media or resources</w:t>
      </w:r>
      <w:r w:rsidR="003A21CE">
        <w:rPr>
          <w:sz w:val="24"/>
          <w:szCs w:val="24"/>
        </w:rPr>
        <w:t xml:space="preserve"> </w:t>
      </w:r>
      <w:sdt>
        <w:sdtPr>
          <w:rPr>
            <w:sz w:val="24"/>
            <w:szCs w:val="24"/>
          </w:rPr>
          <w:id w:val="-1277323681"/>
          <w:citation/>
        </w:sdtPr>
        <w:sdtContent>
          <w:r w:rsidR="003A21CE">
            <w:rPr>
              <w:sz w:val="24"/>
              <w:szCs w:val="24"/>
            </w:rPr>
            <w:fldChar w:fldCharType="begin"/>
          </w:r>
          <w:r w:rsidR="003A21CE">
            <w:rPr>
              <w:sz w:val="24"/>
              <w:szCs w:val="24"/>
            </w:rPr>
            <w:instrText xml:space="preserve"> CITATION Pol20 \l 2057 </w:instrText>
          </w:r>
          <w:r w:rsidR="003A21CE">
            <w:rPr>
              <w:sz w:val="24"/>
              <w:szCs w:val="24"/>
            </w:rPr>
            <w:fldChar w:fldCharType="separate"/>
          </w:r>
          <w:r w:rsidR="003A21CE" w:rsidRPr="003A21CE">
            <w:rPr>
              <w:noProof/>
              <w:sz w:val="24"/>
              <w:szCs w:val="24"/>
            </w:rPr>
            <w:t>(Police Digital Service, 2020)</w:t>
          </w:r>
          <w:r w:rsidR="003A21CE">
            <w:rPr>
              <w:sz w:val="24"/>
              <w:szCs w:val="24"/>
            </w:rPr>
            <w:fldChar w:fldCharType="end"/>
          </w:r>
        </w:sdtContent>
      </w:sdt>
      <w:r w:rsidR="00044A55" w:rsidRPr="00044A55">
        <w:rPr>
          <w:sz w:val="24"/>
          <w:szCs w:val="24"/>
        </w:rPr>
        <w:t xml:space="preserve">. Police departments will be able to link citizen contacts, information and data to all departments, and devise a more creditable and rich intelligence, all while upholding public trust through ethical finding, taking advantage and sharing of their data. The </w:t>
      </w:r>
      <w:r w:rsidR="00044A55" w:rsidRPr="00044A55">
        <w:rPr>
          <w:sz w:val="24"/>
          <w:szCs w:val="24"/>
        </w:rPr>
        <w:lastRenderedPageBreak/>
        <w:t>strategy helps police use digital technology and ethics to determine the risk of harm and to save those at risk in the visible and digital world</w:t>
      </w:r>
      <w:r w:rsidR="003A21CE">
        <w:rPr>
          <w:sz w:val="24"/>
          <w:szCs w:val="24"/>
        </w:rPr>
        <w:t xml:space="preserve"> (Ibid.)</w:t>
      </w:r>
      <w:r w:rsidR="00044A55" w:rsidRPr="00044A55">
        <w:rPr>
          <w:sz w:val="24"/>
          <w:szCs w:val="24"/>
        </w:rPr>
        <w:t>. It helps to give faster, more precise and targeted police systems and early interference through digital technology. The strategy facilitates the establishment of digital leadership and means to allow constables to focus on pivotal and profitable projects</w:t>
      </w:r>
      <w:r w:rsidR="003A21CE">
        <w:rPr>
          <w:sz w:val="24"/>
          <w:szCs w:val="24"/>
        </w:rPr>
        <w:t xml:space="preserve"> (Ibid.)</w:t>
      </w:r>
      <w:r w:rsidR="00044A55" w:rsidRPr="00044A55">
        <w:rPr>
          <w:sz w:val="24"/>
          <w:szCs w:val="24"/>
        </w:rPr>
        <w:t>. It also helps to highlight the knowledge, abilities and tools wanted to fight cybercrime. It encourages openness philosophy and deepens our cooperation with our partners in the community to simultaneously design and address complex social security issues by giving data and using digital tools to work more effectively across the public safety structure, guaranteeing that we do so in a</w:t>
      </w:r>
      <w:r w:rsidR="003A21CE">
        <w:rPr>
          <w:sz w:val="24"/>
          <w:szCs w:val="24"/>
        </w:rPr>
        <w:t>n</w:t>
      </w:r>
      <w:r w:rsidR="00044A55" w:rsidRPr="00044A55">
        <w:rPr>
          <w:sz w:val="24"/>
          <w:szCs w:val="24"/>
        </w:rPr>
        <w:t xml:space="preserve"> accountable way to preserve public trust</w:t>
      </w:r>
      <w:r w:rsidR="003A21CE">
        <w:rPr>
          <w:sz w:val="24"/>
          <w:szCs w:val="24"/>
        </w:rPr>
        <w:t xml:space="preserve"> (Ibid.)</w:t>
      </w:r>
      <w:r w:rsidR="00044A55" w:rsidRPr="00044A55">
        <w:rPr>
          <w:sz w:val="24"/>
          <w:szCs w:val="24"/>
        </w:rPr>
        <w:t>.  It empowers police officers to strengthen connections with the private sector to permit it to accordingly share in public safety responsibilities. The private sector, and the users of its services, have consistently shared accountability for fundamentals of public security and, as technologies become easier and more available, there are new ways to securely empower those with an active desire to help</w:t>
      </w:r>
      <w:r w:rsidR="003A21CE">
        <w:rPr>
          <w:sz w:val="24"/>
          <w:szCs w:val="24"/>
        </w:rPr>
        <w:t xml:space="preserve"> (Ibid.)</w:t>
      </w:r>
      <w:r w:rsidR="00044A55" w:rsidRPr="00044A55">
        <w:rPr>
          <w:sz w:val="24"/>
          <w:szCs w:val="24"/>
        </w:rPr>
        <w:t>.</w:t>
      </w:r>
    </w:p>
    <w:p w14:paraId="1C6BF5BA" w14:textId="5280607A" w:rsidR="00787331" w:rsidRDefault="00787331" w:rsidP="5B63D80E">
      <w:pPr>
        <w:ind w:right="237"/>
        <w:jc w:val="both"/>
        <w:rPr>
          <w:sz w:val="24"/>
          <w:szCs w:val="24"/>
        </w:rPr>
      </w:pPr>
    </w:p>
    <w:p w14:paraId="2202133F" w14:textId="26C90054" w:rsidR="00F0555B" w:rsidRDefault="00F0555B" w:rsidP="5B63D80E">
      <w:pPr>
        <w:ind w:right="237"/>
        <w:jc w:val="both"/>
        <w:rPr>
          <w:sz w:val="24"/>
          <w:szCs w:val="24"/>
        </w:rPr>
      </w:pPr>
      <w:r w:rsidRPr="00F0555B">
        <w:rPr>
          <w:sz w:val="24"/>
          <w:szCs w:val="24"/>
        </w:rPr>
        <w:t>An appropriate definition of safeguarding is taking proactive steps reduce the risk of harm and abuse from occurring. Effective safeguardi</w:t>
      </w:r>
      <w:r>
        <w:rPr>
          <w:sz w:val="24"/>
          <w:szCs w:val="24"/>
        </w:rPr>
        <w:t>ng practice suggests that individuals</w:t>
      </w:r>
      <w:r w:rsidRPr="00F0555B">
        <w:rPr>
          <w:sz w:val="24"/>
          <w:szCs w:val="24"/>
        </w:rPr>
        <w:t xml:space="preserve"> recognize what to do if harm or abuse ever takes place, such as, who to contact, what to inform them, and the way to assis</w:t>
      </w:r>
      <w:r>
        <w:rPr>
          <w:sz w:val="24"/>
          <w:szCs w:val="24"/>
        </w:rPr>
        <w:t xml:space="preserve">t the person </w:t>
      </w:r>
      <w:r w:rsidR="00A50478">
        <w:rPr>
          <w:sz w:val="24"/>
          <w:szCs w:val="24"/>
        </w:rPr>
        <w:t>whose</w:t>
      </w:r>
      <w:r>
        <w:rPr>
          <w:sz w:val="24"/>
          <w:szCs w:val="24"/>
        </w:rPr>
        <w:t xml:space="preserve"> experienced </w:t>
      </w:r>
      <w:r w:rsidRPr="00F0555B">
        <w:rPr>
          <w:sz w:val="24"/>
          <w:szCs w:val="24"/>
        </w:rPr>
        <w:t>abuse</w:t>
      </w:r>
      <w:r>
        <w:rPr>
          <w:sz w:val="24"/>
          <w:szCs w:val="24"/>
        </w:rPr>
        <w:t xml:space="preserve"> </w:t>
      </w:r>
      <w:sdt>
        <w:sdtPr>
          <w:rPr>
            <w:sz w:val="24"/>
            <w:szCs w:val="24"/>
          </w:rPr>
          <w:id w:val="1894855975"/>
          <w:citation/>
        </w:sdtPr>
        <w:sdtContent>
          <w:r>
            <w:rPr>
              <w:sz w:val="24"/>
              <w:szCs w:val="24"/>
            </w:rPr>
            <w:fldChar w:fldCharType="begin"/>
          </w:r>
          <w:r>
            <w:rPr>
              <w:sz w:val="24"/>
              <w:szCs w:val="24"/>
            </w:rPr>
            <w:instrText xml:space="preserve"> CITATION Dav20 \l 2057 </w:instrText>
          </w:r>
          <w:r>
            <w:rPr>
              <w:sz w:val="24"/>
              <w:szCs w:val="24"/>
            </w:rPr>
            <w:fldChar w:fldCharType="separate"/>
          </w:r>
          <w:r w:rsidRPr="00F0555B">
            <w:rPr>
              <w:noProof/>
              <w:sz w:val="24"/>
              <w:szCs w:val="24"/>
            </w:rPr>
            <w:t>(Davies, 2020)</w:t>
          </w:r>
          <w:r>
            <w:rPr>
              <w:sz w:val="24"/>
              <w:szCs w:val="24"/>
            </w:rPr>
            <w:fldChar w:fldCharType="end"/>
          </w:r>
        </w:sdtContent>
      </w:sdt>
      <w:r w:rsidRPr="00F0555B">
        <w:rPr>
          <w:sz w:val="24"/>
          <w:szCs w:val="24"/>
        </w:rPr>
        <w:t>.</w:t>
      </w:r>
      <w:r w:rsidR="009E58D8">
        <w:rPr>
          <w:sz w:val="24"/>
          <w:szCs w:val="24"/>
        </w:rPr>
        <w:t xml:space="preserve"> </w:t>
      </w:r>
    </w:p>
    <w:p w14:paraId="33066F98" w14:textId="3668F2F9" w:rsidR="00044A55" w:rsidRDefault="00044A55" w:rsidP="5B63D80E">
      <w:pPr>
        <w:ind w:right="237"/>
        <w:jc w:val="both"/>
        <w:rPr>
          <w:sz w:val="24"/>
          <w:szCs w:val="24"/>
        </w:rPr>
      </w:pPr>
    </w:p>
    <w:p w14:paraId="733E1185" w14:textId="7E00510F" w:rsidR="00884DAF" w:rsidRDefault="00884DAF" w:rsidP="5B63D80E">
      <w:pPr>
        <w:ind w:right="237"/>
        <w:jc w:val="both"/>
        <w:rPr>
          <w:sz w:val="24"/>
          <w:szCs w:val="24"/>
        </w:rPr>
      </w:pPr>
      <w:r w:rsidRPr="00884DAF">
        <w:rPr>
          <w:sz w:val="24"/>
          <w:szCs w:val="24"/>
        </w:rPr>
        <w:t>The D</w:t>
      </w:r>
      <w:r>
        <w:rPr>
          <w:sz w:val="24"/>
          <w:szCs w:val="24"/>
        </w:rPr>
        <w:t xml:space="preserve">igital </w:t>
      </w:r>
      <w:r w:rsidRPr="00884DAF">
        <w:rPr>
          <w:sz w:val="24"/>
          <w:szCs w:val="24"/>
        </w:rPr>
        <w:t>P</w:t>
      </w:r>
      <w:r>
        <w:rPr>
          <w:sz w:val="24"/>
          <w:szCs w:val="24"/>
        </w:rPr>
        <w:t xml:space="preserve">olicing </w:t>
      </w:r>
      <w:r w:rsidRPr="00884DAF">
        <w:rPr>
          <w:sz w:val="24"/>
          <w:szCs w:val="24"/>
        </w:rPr>
        <w:t>P</w:t>
      </w:r>
      <w:r>
        <w:rPr>
          <w:sz w:val="24"/>
          <w:szCs w:val="24"/>
        </w:rPr>
        <w:t>ortfolio (DPP)</w:t>
      </w:r>
      <w:r w:rsidRPr="00884DAF">
        <w:rPr>
          <w:sz w:val="24"/>
          <w:szCs w:val="24"/>
        </w:rPr>
        <w:t xml:space="preserve"> is a national delivery organisation which supports the </w:t>
      </w:r>
      <w:r w:rsidR="00A50478">
        <w:rPr>
          <w:sz w:val="24"/>
          <w:szCs w:val="24"/>
        </w:rPr>
        <w:t>evolution of policing, enabling</w:t>
      </w:r>
      <w:r w:rsidRPr="00884DAF">
        <w:rPr>
          <w:sz w:val="24"/>
          <w:szCs w:val="24"/>
        </w:rPr>
        <w:t xml:space="preserve"> forces to respond and adapt to the progressively increasing digital worl</w:t>
      </w:r>
      <w:r w:rsidR="00A50478">
        <w:rPr>
          <w:sz w:val="24"/>
          <w:szCs w:val="24"/>
        </w:rPr>
        <w:t>d. It i</w:t>
      </w:r>
      <w:r w:rsidRPr="00884DAF">
        <w:rPr>
          <w:sz w:val="24"/>
          <w:szCs w:val="24"/>
        </w:rPr>
        <w:t>s accountable for delivering the Policing Vision 2025 by developing across the nation consistent services and capabilities which are enabled by technology</w:t>
      </w:r>
      <w:sdt>
        <w:sdtPr>
          <w:rPr>
            <w:sz w:val="24"/>
            <w:szCs w:val="24"/>
          </w:rPr>
          <w:id w:val="167535057"/>
          <w:citation/>
        </w:sdtPr>
        <w:sdtContent>
          <w:r w:rsidR="00A50478">
            <w:rPr>
              <w:sz w:val="24"/>
              <w:szCs w:val="24"/>
            </w:rPr>
            <w:fldChar w:fldCharType="begin"/>
          </w:r>
          <w:r w:rsidR="00A50478">
            <w:rPr>
              <w:sz w:val="24"/>
              <w:szCs w:val="24"/>
            </w:rPr>
            <w:instrText xml:space="preserve"> CITATION NPC21 \l 2057 </w:instrText>
          </w:r>
          <w:r w:rsidR="00A50478">
            <w:rPr>
              <w:sz w:val="24"/>
              <w:szCs w:val="24"/>
            </w:rPr>
            <w:fldChar w:fldCharType="separate"/>
          </w:r>
          <w:r w:rsidR="00A50478">
            <w:rPr>
              <w:noProof/>
              <w:sz w:val="24"/>
              <w:szCs w:val="24"/>
            </w:rPr>
            <w:t xml:space="preserve"> </w:t>
          </w:r>
          <w:r w:rsidR="00A50478" w:rsidRPr="00A50478">
            <w:rPr>
              <w:noProof/>
              <w:sz w:val="24"/>
              <w:szCs w:val="24"/>
            </w:rPr>
            <w:t>(NPCC, 2021)</w:t>
          </w:r>
          <w:r w:rsidR="00A50478">
            <w:rPr>
              <w:sz w:val="24"/>
              <w:szCs w:val="24"/>
            </w:rPr>
            <w:fldChar w:fldCharType="end"/>
          </w:r>
        </w:sdtContent>
      </w:sdt>
      <w:r w:rsidRPr="00884DAF">
        <w:rPr>
          <w:sz w:val="24"/>
          <w:szCs w:val="24"/>
        </w:rPr>
        <w:t xml:space="preserve">. The strategy aids to enable forces to satisfy the ever-changing needs of the public, more effectively </w:t>
      </w:r>
      <w:r>
        <w:rPr>
          <w:sz w:val="24"/>
          <w:szCs w:val="24"/>
        </w:rPr>
        <w:t>forestall and investigate crime. There are three services and capabilities developed by three national systems. These comprise of the Digital Public Contact which provides reliable and simplified contact between the police and victims by aiding the reporting and tracking of the crimes which in turn assist the police in their response and increases victim support</w:t>
      </w:r>
      <w:r w:rsidR="00A50478">
        <w:rPr>
          <w:sz w:val="24"/>
          <w:szCs w:val="24"/>
        </w:rPr>
        <w:t xml:space="preserve"> (Ibid.)</w:t>
      </w:r>
      <w:r>
        <w:rPr>
          <w:sz w:val="24"/>
          <w:szCs w:val="24"/>
        </w:rPr>
        <w:t xml:space="preserve">. The second programme is the Digital Intelligence and Investigation (DII) enables the police to protect the public more efficiently by </w:t>
      </w:r>
      <w:r w:rsidR="00A50478">
        <w:rPr>
          <w:sz w:val="24"/>
          <w:szCs w:val="24"/>
        </w:rPr>
        <w:t xml:space="preserve">assisting the detection of this form of crime by improving the knowledge of frontline officers. Thirdly there is the Digital First programme which integrates digitised policing into the Criminal Justice System to deliver the most appropriate service (Ibid.). </w:t>
      </w:r>
    </w:p>
    <w:p w14:paraId="6D32BA49" w14:textId="49D3CD97" w:rsidR="00A50478" w:rsidRDefault="00A50478" w:rsidP="5B63D80E">
      <w:pPr>
        <w:ind w:right="237"/>
        <w:jc w:val="both"/>
        <w:rPr>
          <w:sz w:val="24"/>
          <w:szCs w:val="24"/>
        </w:rPr>
      </w:pPr>
    </w:p>
    <w:p w14:paraId="5D82F32C" w14:textId="135AE1D6" w:rsidR="00B86969" w:rsidRDefault="00B86969" w:rsidP="00B86969">
      <w:pPr>
        <w:ind w:right="237"/>
        <w:jc w:val="both"/>
        <w:rPr>
          <w:sz w:val="24"/>
          <w:szCs w:val="24"/>
        </w:rPr>
      </w:pPr>
      <w:r w:rsidRPr="00B86969">
        <w:rPr>
          <w:sz w:val="24"/>
          <w:szCs w:val="24"/>
        </w:rPr>
        <w:t>Children's internet use is generally favourable, as seen by their regular participation in video, music, gaming, texting, and searching. Furthermore, studies suggest that children's online and real lives are extremely interwoven. Children's online and offline activities are intertwined, according to Ofcom, because some children utilise digital technology to supplem</w:t>
      </w:r>
      <w:r>
        <w:rPr>
          <w:sz w:val="24"/>
          <w:szCs w:val="24"/>
        </w:rPr>
        <w:t>ent their offline activities.</w:t>
      </w:r>
      <w:sdt>
        <w:sdtPr>
          <w:rPr>
            <w:sz w:val="24"/>
            <w:szCs w:val="24"/>
          </w:rPr>
          <w:id w:val="137082285"/>
          <w:citation/>
        </w:sdtPr>
        <w:sdtContent>
          <w:r>
            <w:rPr>
              <w:sz w:val="24"/>
              <w:szCs w:val="24"/>
            </w:rPr>
            <w:fldChar w:fldCharType="begin"/>
          </w:r>
          <w:r>
            <w:rPr>
              <w:sz w:val="24"/>
              <w:szCs w:val="24"/>
            </w:rPr>
            <w:instrText xml:space="preserve"> CITATION UKC17 \l 2057 </w:instrText>
          </w:r>
          <w:r>
            <w:rPr>
              <w:sz w:val="24"/>
              <w:szCs w:val="24"/>
            </w:rPr>
            <w:fldChar w:fldCharType="separate"/>
          </w:r>
          <w:r>
            <w:rPr>
              <w:noProof/>
              <w:sz w:val="24"/>
              <w:szCs w:val="24"/>
            </w:rPr>
            <w:t xml:space="preserve"> </w:t>
          </w:r>
          <w:r w:rsidRPr="00B86969">
            <w:rPr>
              <w:noProof/>
              <w:sz w:val="24"/>
              <w:szCs w:val="24"/>
            </w:rPr>
            <w:t>(UKCCIS, 2017)</w:t>
          </w:r>
          <w:r>
            <w:rPr>
              <w:sz w:val="24"/>
              <w:szCs w:val="24"/>
            </w:rPr>
            <w:fldChar w:fldCharType="end"/>
          </w:r>
        </w:sdtContent>
      </w:sdt>
      <w:r w:rsidRPr="00B86969">
        <w:rPr>
          <w:sz w:val="24"/>
          <w:szCs w:val="24"/>
        </w:rPr>
        <w:t xml:space="preserve">In January 2016, the UK Safer Internet Centre polled 1,500 13- to 18-year-olds about their experiences with online empowerment. Young people see the internet's positive function in self-expression, fostering understanding, bringing people together, and respecting and celebrating differences, according to the findings. The majority of </w:t>
      </w:r>
      <w:r w:rsidRPr="00B86969">
        <w:rPr>
          <w:sz w:val="24"/>
          <w:szCs w:val="24"/>
        </w:rPr>
        <w:lastRenderedPageBreak/>
        <w:t>participants (78%) say they can be themselves on the internet. Girls, on the other hand, are less inclined than boys to be themselves online (74 percent vs. 82 percent respectively).</w:t>
      </w:r>
    </w:p>
    <w:p w14:paraId="5EBE570A" w14:textId="77777777" w:rsidR="00884DAF" w:rsidRDefault="00884DAF" w:rsidP="5B63D80E">
      <w:pPr>
        <w:ind w:right="237"/>
        <w:jc w:val="both"/>
        <w:rPr>
          <w:sz w:val="24"/>
          <w:szCs w:val="24"/>
        </w:rPr>
      </w:pPr>
    </w:p>
    <w:p w14:paraId="5F79983B" w14:textId="53F7E1EA" w:rsidR="00044A55" w:rsidRPr="00270EEB" w:rsidRDefault="00044A55" w:rsidP="5B63D80E">
      <w:pPr>
        <w:ind w:right="237"/>
        <w:jc w:val="both"/>
        <w:rPr>
          <w:sz w:val="24"/>
          <w:szCs w:val="24"/>
        </w:rPr>
        <w:sectPr w:rsidR="00044A55" w:rsidRPr="00270EEB" w:rsidSect="00D62AC0">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rPr>
          <w:sz w:val="24"/>
          <w:szCs w:val="24"/>
        </w:rPr>
        <w:t xml:space="preserve">Word Count </w:t>
      </w:r>
      <w:r w:rsidR="00B86969">
        <w:rPr>
          <w:sz w:val="24"/>
          <w:szCs w:val="24"/>
        </w:rPr>
        <w:t>1452</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56D0B60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_ _ </w:t>
      </w:r>
      <w:r w:rsidR="00044A55">
        <w:rPr>
          <w:rStyle w:val="normaltextrun"/>
          <w:rFonts w:eastAsia="Arial"/>
          <w:color w:val="000000" w:themeColor="text1"/>
          <w:sz w:val="24"/>
          <w:szCs w:val="24"/>
        </w:rPr>
        <w:t>G.Bonazzi</w:t>
      </w:r>
      <w:r w:rsidRPr="4C3E8AB8">
        <w:rPr>
          <w:rStyle w:val="normaltextrun"/>
          <w:rFonts w:eastAsia="Arial"/>
          <w:color w:val="000000" w:themeColor="text1"/>
          <w:sz w:val="24"/>
          <w:szCs w:val="24"/>
        </w:rPr>
        <w:t>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AF5F6C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_ </w:t>
      </w:r>
      <w:r w:rsidR="00044A55">
        <w:rPr>
          <w:rStyle w:val="normaltextrun"/>
          <w:rFonts w:eastAsia="Arial"/>
          <w:color w:val="000000" w:themeColor="text1"/>
          <w:sz w:val="24"/>
          <w:szCs w:val="24"/>
        </w:rPr>
        <w:t>06/06/2022</w:t>
      </w:r>
      <w:r w:rsidRPr="4C3E8AB8">
        <w:rPr>
          <w:rStyle w:val="normaltextrun"/>
          <w:rFonts w:eastAsia="Arial"/>
          <w:color w:val="000000" w:themeColor="text1"/>
          <w:sz w:val="24"/>
          <w:szCs w:val="24"/>
        </w:rPr>
        <w:t>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sdt>
      <w:sdtPr>
        <w:id w:val="-1065566655"/>
        <w:docPartObj>
          <w:docPartGallery w:val="Bibliographies"/>
          <w:docPartUnique/>
        </w:docPartObj>
      </w:sdtPr>
      <w:sdtEndPr>
        <w:rPr>
          <w:b w:val="0"/>
          <w:kern w:val="0"/>
          <w:sz w:val="20"/>
        </w:rPr>
      </w:sdtEndPr>
      <w:sdtContent>
        <w:p w14:paraId="3EF7D1F6" w14:textId="59926522" w:rsidR="00B86969" w:rsidRDefault="00B86969">
          <w:pPr>
            <w:pStyle w:val="Heading1"/>
          </w:pPr>
          <w:r>
            <w:t>Bibliography</w:t>
          </w:r>
        </w:p>
        <w:sdt>
          <w:sdtPr>
            <w:id w:val="111145805"/>
            <w:bibliography/>
          </w:sdtPr>
          <w:sdtContent>
            <w:p w14:paraId="44A9FEAA" w14:textId="77777777" w:rsidR="00B86969" w:rsidRDefault="00B86969" w:rsidP="00B86969">
              <w:pPr>
                <w:pStyle w:val="Bibliography"/>
                <w:rPr>
                  <w:noProof/>
                  <w:sz w:val="24"/>
                  <w:szCs w:val="24"/>
                </w:rPr>
              </w:pPr>
              <w:r>
                <w:fldChar w:fldCharType="begin"/>
              </w:r>
              <w:r>
                <w:instrText xml:space="preserve"> BIBLIOGRAPHY </w:instrText>
              </w:r>
              <w:r>
                <w:fldChar w:fldCharType="separate"/>
              </w:r>
              <w:r>
                <w:rPr>
                  <w:noProof/>
                </w:rPr>
                <w:t xml:space="preserve">ASB Help, 2021. </w:t>
              </w:r>
              <w:r>
                <w:rPr>
                  <w:i/>
                  <w:iCs/>
                  <w:noProof/>
                </w:rPr>
                <w:t xml:space="preserve">Community Trigger. </w:t>
              </w:r>
              <w:r>
                <w:rPr>
                  <w:noProof/>
                </w:rPr>
                <w:t xml:space="preserve">[Online] </w:t>
              </w:r>
              <w:r>
                <w:rPr>
                  <w:noProof/>
                </w:rPr>
                <w:br/>
                <w:t xml:space="preserve">Available at: </w:t>
              </w:r>
              <w:r>
                <w:rPr>
                  <w:noProof/>
                  <w:u w:val="single"/>
                </w:rPr>
                <w:t>https://asbhelp.co.uk/community-trigger/</w:t>
              </w:r>
              <w:r>
                <w:rPr>
                  <w:noProof/>
                </w:rPr>
                <w:br/>
                <w:t>[Accessed 31 May 2022].</w:t>
              </w:r>
            </w:p>
            <w:p w14:paraId="489B8B96" w14:textId="77777777" w:rsidR="00B86969" w:rsidRDefault="00B86969" w:rsidP="00B86969">
              <w:pPr>
                <w:pStyle w:val="Bibliography"/>
                <w:rPr>
                  <w:noProof/>
                </w:rPr>
              </w:pPr>
              <w:r>
                <w:rPr>
                  <w:noProof/>
                </w:rPr>
                <w:t xml:space="preserve">Avon and Summerset Police, 2019. </w:t>
              </w:r>
              <w:r>
                <w:rPr>
                  <w:i/>
                  <w:iCs/>
                  <w:noProof/>
                </w:rPr>
                <w:t xml:space="preserve">National Decision Model. </w:t>
              </w:r>
              <w:r>
                <w:rPr>
                  <w:noProof/>
                </w:rPr>
                <w:t xml:space="preserve">[Online] </w:t>
              </w:r>
              <w:r>
                <w:rPr>
                  <w:noProof/>
                </w:rPr>
                <w:br/>
                <w:t xml:space="preserve">Available at: </w:t>
              </w:r>
              <w:r>
                <w:rPr>
                  <w:noProof/>
                  <w:u w:val="single"/>
                </w:rPr>
                <w:t>https://www.bing.com/search?q=National+decision+making+model+sujmmary&amp;qs=n&amp;form=QBRE&amp;sp</w:t>
              </w:r>
              <w:r>
                <w:rPr>
                  <w:noProof/>
                  <w:u w:val="single"/>
                </w:rPr>
                <w:lastRenderedPageBreak/>
                <w:t>=-1&amp;ghc=1&amp;pq=national+decision+making+model+sujmmary&amp;sc=0-39&amp;sk=&amp;cvid=16E36C18CA464A6AB2FF213A22578AD1</w:t>
              </w:r>
              <w:r>
                <w:rPr>
                  <w:noProof/>
                </w:rPr>
                <w:br/>
                <w:t>[Accessed 20 May 2022].</w:t>
              </w:r>
            </w:p>
            <w:p w14:paraId="1246CC71" w14:textId="77777777" w:rsidR="00B86969" w:rsidRDefault="00B86969" w:rsidP="00B86969">
              <w:pPr>
                <w:pStyle w:val="Bibliography"/>
                <w:rPr>
                  <w:noProof/>
                </w:rPr>
              </w:pPr>
              <w:r>
                <w:rPr>
                  <w:noProof/>
                </w:rPr>
                <w:t xml:space="preserve">Baldwin, S., 2006. </w:t>
              </w:r>
              <w:r>
                <w:rPr>
                  <w:i/>
                  <w:iCs/>
                  <w:noProof/>
                </w:rPr>
                <w:t xml:space="preserve">Organisational Justice. </w:t>
              </w:r>
              <w:r>
                <w:rPr>
                  <w:noProof/>
                </w:rPr>
                <w:t>1st ed. Brighton: IES.</w:t>
              </w:r>
            </w:p>
            <w:p w14:paraId="411DC173" w14:textId="77777777" w:rsidR="00B86969" w:rsidRDefault="00B86969" w:rsidP="00B86969">
              <w:pPr>
                <w:pStyle w:val="Bibliography"/>
                <w:rPr>
                  <w:noProof/>
                </w:rPr>
              </w:pPr>
              <w:r>
                <w:rPr>
                  <w:noProof/>
                </w:rPr>
                <w:t xml:space="preserve">BARNET, 2022. </w:t>
              </w:r>
              <w:r>
                <w:rPr>
                  <w:i/>
                  <w:iCs/>
                  <w:noProof/>
                </w:rPr>
                <w:t xml:space="preserve">Multi-agency risk assessment conference. </w:t>
              </w:r>
              <w:r>
                <w:rPr>
                  <w:noProof/>
                </w:rPr>
                <w:t xml:space="preserve">[Online] </w:t>
              </w:r>
              <w:r>
                <w:rPr>
                  <w:noProof/>
                </w:rPr>
                <w:br/>
                <w:t xml:space="preserve">Available at: </w:t>
              </w:r>
              <w:r>
                <w:rPr>
                  <w:noProof/>
                  <w:u w:val="single"/>
                </w:rPr>
                <w:t>https://wwc.barnet.gov.uk/working-children-barnet/practitioner-guidance/violence-against-women-and-girls/multi-agency-risk#:~:text=Referring%20to%20MARAC%20enables%20timely%20interventions%20for%20the,abuse.%20The%20referral%20criteria%20for%20high%20risk</w:t>
              </w:r>
              <w:r>
                <w:rPr>
                  <w:noProof/>
                </w:rPr>
                <w:br/>
                <w:t>[Accessed 1 June 2022].</w:t>
              </w:r>
            </w:p>
            <w:p w14:paraId="2D932DAC" w14:textId="77777777" w:rsidR="00B86969" w:rsidRDefault="00B86969" w:rsidP="00B86969">
              <w:pPr>
                <w:pStyle w:val="Bibliography"/>
                <w:rPr>
                  <w:noProof/>
                </w:rPr>
              </w:pPr>
              <w:r>
                <w:rPr>
                  <w:noProof/>
                </w:rPr>
                <w:t xml:space="preserve">College of Policing, 2013. </w:t>
              </w:r>
              <w:r>
                <w:rPr>
                  <w:i/>
                  <w:iCs/>
                  <w:noProof/>
                </w:rPr>
                <w:t xml:space="preserve">Intelligence Strategy. </w:t>
              </w:r>
              <w:r>
                <w:rPr>
                  <w:noProof/>
                </w:rPr>
                <w:t xml:space="preserve">[Online] </w:t>
              </w:r>
              <w:r>
                <w:rPr>
                  <w:noProof/>
                </w:rPr>
                <w:br/>
                <w:t xml:space="preserve">Available at: </w:t>
              </w:r>
              <w:r>
                <w:rPr>
                  <w:noProof/>
                  <w:u w:val="single"/>
                </w:rPr>
                <w:t>https://www.college.police.uk/app/investigation/investigative-strategies/intelligence-strategy</w:t>
              </w:r>
              <w:r>
                <w:rPr>
                  <w:noProof/>
                </w:rPr>
                <w:br/>
                <w:t>[Accessed 4 June 2022].</w:t>
              </w:r>
            </w:p>
            <w:p w14:paraId="024BF19C" w14:textId="77777777" w:rsidR="00B86969" w:rsidRDefault="00B86969" w:rsidP="00B86969">
              <w:pPr>
                <w:pStyle w:val="Bibliography"/>
                <w:rPr>
                  <w:noProof/>
                </w:rPr>
              </w:pPr>
              <w:r>
                <w:rPr>
                  <w:noProof/>
                </w:rPr>
                <w:t xml:space="preserve">College of Policing, 2014. </w:t>
              </w:r>
              <w:r>
                <w:rPr>
                  <w:i/>
                  <w:iCs/>
                  <w:noProof/>
                </w:rPr>
                <w:t xml:space="preserve">Code of Ethics, </w:t>
              </w:r>
              <w:r>
                <w:rPr>
                  <w:noProof/>
                </w:rPr>
                <w:t>Coventry: College of Policing.</w:t>
              </w:r>
            </w:p>
            <w:p w14:paraId="3680A425" w14:textId="77777777" w:rsidR="00B86969" w:rsidRDefault="00B86969" w:rsidP="00B86969">
              <w:pPr>
                <w:pStyle w:val="Bibliography"/>
                <w:rPr>
                  <w:noProof/>
                </w:rPr>
              </w:pPr>
              <w:r>
                <w:rPr>
                  <w:noProof/>
                </w:rPr>
                <w:t xml:space="preserve">College of Policing, 2015. </w:t>
              </w:r>
              <w:r>
                <w:rPr>
                  <w:i/>
                  <w:iCs/>
                  <w:noProof/>
                </w:rPr>
                <w:t xml:space="preserve">Intelligence Report, </w:t>
              </w:r>
              <w:r>
                <w:rPr>
                  <w:noProof/>
                </w:rPr>
                <w:t>London: College of Policing.</w:t>
              </w:r>
            </w:p>
            <w:p w14:paraId="0025FB4F" w14:textId="77777777" w:rsidR="00B86969" w:rsidRDefault="00B86969" w:rsidP="00B86969">
              <w:pPr>
                <w:pStyle w:val="Bibliography"/>
                <w:rPr>
                  <w:noProof/>
                </w:rPr>
              </w:pPr>
              <w:r>
                <w:rPr>
                  <w:noProof/>
                </w:rPr>
                <w:t xml:space="preserve">Davies, E., 2020. </w:t>
              </w:r>
              <w:r>
                <w:rPr>
                  <w:i/>
                  <w:iCs/>
                  <w:noProof/>
                </w:rPr>
                <w:t xml:space="preserve">An Introduction to Digital Safeguarding. </w:t>
              </w:r>
              <w:r>
                <w:rPr>
                  <w:noProof/>
                </w:rPr>
                <w:t xml:space="preserve">[Online] </w:t>
              </w:r>
              <w:r>
                <w:rPr>
                  <w:noProof/>
                </w:rPr>
                <w:br/>
                <w:t xml:space="preserve">Available at: </w:t>
              </w:r>
              <w:r>
                <w:rPr>
                  <w:noProof/>
                  <w:u w:val="single"/>
                </w:rPr>
                <w:t>https://www.anncrafttrust.org/an-introduction-to-digital-safeguarding/</w:t>
              </w:r>
              <w:r>
                <w:rPr>
                  <w:noProof/>
                </w:rPr>
                <w:br/>
                <w:t>[Accessed 4 June 2022].</w:t>
              </w:r>
            </w:p>
            <w:p w14:paraId="4C26C457" w14:textId="77777777" w:rsidR="00B86969" w:rsidRDefault="00B86969" w:rsidP="00B86969">
              <w:pPr>
                <w:pStyle w:val="Bibliography"/>
                <w:rPr>
                  <w:noProof/>
                </w:rPr>
              </w:pPr>
              <w:r>
                <w:rPr>
                  <w:noProof/>
                </w:rPr>
                <w:t xml:space="preserve">Dodge, C., Burruss, G., Holt, T. &amp; Leukfeldt, R., 2020. </w:t>
              </w:r>
              <w:r>
                <w:rPr>
                  <w:i/>
                  <w:iCs/>
                  <w:noProof/>
                </w:rPr>
                <w:t xml:space="preserve">Policing cybercrime: Responding to the growing problem and considering future solutions. </w:t>
              </w:r>
              <w:r>
                <w:rPr>
                  <w:noProof/>
                </w:rPr>
                <w:t>1 ed. Brighton: Routledge.</w:t>
              </w:r>
            </w:p>
            <w:p w14:paraId="064711C1" w14:textId="77777777" w:rsidR="00B86969" w:rsidRDefault="00B86969" w:rsidP="00B86969">
              <w:pPr>
                <w:pStyle w:val="Bibliography"/>
                <w:rPr>
                  <w:noProof/>
                </w:rPr>
              </w:pPr>
              <w:r>
                <w:rPr>
                  <w:noProof/>
                </w:rPr>
                <w:t xml:space="preserve">Dowling, C., Morgan, A., Boyd, C. &amp; Voce, I., 2018. </w:t>
              </w:r>
              <w:r>
                <w:rPr>
                  <w:i/>
                  <w:iCs/>
                  <w:noProof/>
                </w:rPr>
                <w:t xml:space="preserve">Policing domestic violence: A review of the evidence, </w:t>
              </w:r>
              <w:r>
                <w:rPr>
                  <w:noProof/>
                </w:rPr>
                <w:t>Canberra: Australian Institute of Criminology.</w:t>
              </w:r>
            </w:p>
            <w:p w14:paraId="6F80DA4C" w14:textId="77777777" w:rsidR="00B86969" w:rsidRDefault="00B86969" w:rsidP="00B86969">
              <w:pPr>
                <w:pStyle w:val="Bibliography"/>
                <w:rPr>
                  <w:noProof/>
                </w:rPr>
              </w:pPr>
              <w:r>
                <w:rPr>
                  <w:noProof/>
                </w:rPr>
                <w:t xml:space="preserve">Elkin, M., 2021. </w:t>
              </w:r>
              <w:r>
                <w:rPr>
                  <w:i/>
                  <w:iCs/>
                  <w:noProof/>
                </w:rPr>
                <w:t xml:space="preserve">Domestic abuse prevalence and trends, England and Wales: year ending March 2021, </w:t>
              </w:r>
              <w:r>
                <w:rPr>
                  <w:noProof/>
                </w:rPr>
                <w:t>London: Office for National Statistics.</w:t>
              </w:r>
            </w:p>
            <w:p w14:paraId="3D4396DC" w14:textId="77777777" w:rsidR="00B86969" w:rsidRDefault="00B86969" w:rsidP="00B86969">
              <w:pPr>
                <w:pStyle w:val="Bibliography"/>
                <w:rPr>
                  <w:noProof/>
                </w:rPr>
              </w:pPr>
              <w:r>
                <w:rPr>
                  <w:noProof/>
                </w:rPr>
                <w:t xml:space="preserve">Gov.uk, 2019. </w:t>
              </w:r>
              <w:r>
                <w:rPr>
                  <w:i/>
                  <w:iCs/>
                  <w:noProof/>
                </w:rPr>
                <w:t xml:space="preserve">Preventing serious violence: summary. </w:t>
              </w:r>
              <w:r>
                <w:rPr>
                  <w:noProof/>
                </w:rPr>
                <w:t xml:space="preserve">[Online] </w:t>
              </w:r>
              <w:r>
                <w:rPr>
                  <w:noProof/>
                </w:rPr>
                <w:br/>
                <w:t xml:space="preserve">Available at: </w:t>
              </w:r>
              <w:r>
                <w:rPr>
                  <w:noProof/>
                  <w:u w:val="single"/>
                </w:rPr>
                <w:t>https://www.gov.uk/government/publications/preventing-serious-violence-a-multi-agency-approach/preventing-serious-violence-summary</w:t>
              </w:r>
              <w:r>
                <w:rPr>
                  <w:noProof/>
                </w:rPr>
                <w:br/>
                <w:t>[Accessed 2nd June 2022].</w:t>
              </w:r>
            </w:p>
            <w:p w14:paraId="64FF5C7F" w14:textId="77777777" w:rsidR="00B86969" w:rsidRDefault="00B86969" w:rsidP="00B86969">
              <w:pPr>
                <w:pStyle w:val="Bibliography"/>
                <w:rPr>
                  <w:noProof/>
                </w:rPr>
              </w:pPr>
              <w:r>
                <w:rPr>
                  <w:noProof/>
                </w:rPr>
                <w:t xml:space="preserve">Gov.uk, 2020. </w:t>
              </w:r>
              <w:r>
                <w:rPr>
                  <w:i/>
                  <w:iCs/>
                  <w:noProof/>
                </w:rPr>
                <w:t xml:space="preserve">The Anti-social Behaviour, Crime, and Policing Act of 2014 enacted specific procedures to provide victims and communities a say in how anti-social behaviour complaints are handled. This includes the Community Trigger (also known as the ASB Case Review), w. </w:t>
              </w:r>
              <w:r>
                <w:rPr>
                  <w:noProof/>
                </w:rPr>
                <w:t xml:space="preserve">[Online] </w:t>
              </w:r>
              <w:r>
                <w:rPr>
                  <w:noProof/>
                </w:rPr>
                <w:br/>
                <w:t xml:space="preserve">Available at: </w:t>
              </w:r>
              <w:r>
                <w:rPr>
                  <w:noProof/>
                  <w:u w:val="single"/>
                </w:rPr>
                <w:t>https://www.gov.uk/guidance/anti-social-behaviour-asb-case-review-also-known-as-the-community-trigger</w:t>
              </w:r>
              <w:r>
                <w:rPr>
                  <w:noProof/>
                </w:rPr>
                <w:br/>
                <w:t>[Accessed 1st June 2022].</w:t>
              </w:r>
            </w:p>
            <w:p w14:paraId="338C6787" w14:textId="77777777" w:rsidR="00B86969" w:rsidRDefault="00B86969" w:rsidP="00B86969">
              <w:pPr>
                <w:pStyle w:val="Bibliography"/>
                <w:rPr>
                  <w:noProof/>
                </w:rPr>
              </w:pPr>
              <w:r>
                <w:rPr>
                  <w:noProof/>
                </w:rPr>
                <w:t xml:space="preserve">Gov.uk, 2021. </w:t>
              </w:r>
              <w:r>
                <w:rPr>
                  <w:i/>
                  <w:iCs/>
                  <w:noProof/>
                </w:rPr>
                <w:t xml:space="preserve">What is the Community MARAC. </w:t>
              </w:r>
              <w:r>
                <w:rPr>
                  <w:noProof/>
                </w:rPr>
                <w:t xml:space="preserve">[Online] </w:t>
              </w:r>
              <w:r>
                <w:rPr>
                  <w:noProof/>
                </w:rPr>
                <w:br/>
                <w:t xml:space="preserve">Available at: </w:t>
              </w:r>
              <w:r>
                <w:rPr>
                  <w:noProof/>
                  <w:u w:val="single"/>
                </w:rPr>
                <w:t>A Community Multi-agency Risk Assessment Conference (CMARAC) is a multi-agency gathering at which information on complex/high risk situations involving vulnerable victims/perpetrators of anti-social behaviour is presented. All essential information regard</w:t>
              </w:r>
              <w:r>
                <w:rPr>
                  <w:noProof/>
                </w:rPr>
                <w:br/>
                <w:t>[Accessed 31 March 2022].</w:t>
              </w:r>
            </w:p>
            <w:p w14:paraId="2C6C7565" w14:textId="77777777" w:rsidR="00B86969" w:rsidRDefault="00B86969" w:rsidP="00B86969">
              <w:pPr>
                <w:pStyle w:val="Bibliography"/>
                <w:rPr>
                  <w:noProof/>
                </w:rPr>
              </w:pPr>
              <w:r>
                <w:rPr>
                  <w:noProof/>
                </w:rPr>
                <w:t xml:space="preserve">Gov.uk, 2022. </w:t>
              </w:r>
              <w:r>
                <w:rPr>
                  <w:i/>
                  <w:iCs/>
                  <w:noProof/>
                </w:rPr>
                <w:t xml:space="preserve">UK Council for Child Internet Safety (UKCCIS). </w:t>
              </w:r>
              <w:r>
                <w:rPr>
                  <w:noProof/>
                </w:rPr>
                <w:t xml:space="preserve">[Online] </w:t>
              </w:r>
              <w:r>
                <w:rPr>
                  <w:noProof/>
                </w:rPr>
                <w:br/>
                <w:t xml:space="preserve">Available at: </w:t>
              </w:r>
              <w:r>
                <w:rPr>
                  <w:noProof/>
                  <w:u w:val="single"/>
                </w:rPr>
                <w:t>https://www.gov.uk/government/groups/uk-council-for-child-internet-safety-ukccis</w:t>
              </w:r>
              <w:r>
                <w:rPr>
                  <w:noProof/>
                </w:rPr>
                <w:br/>
                <w:t>[Accessed 6 June 2022].</w:t>
              </w:r>
            </w:p>
            <w:p w14:paraId="57E064E1" w14:textId="77777777" w:rsidR="00B86969" w:rsidRDefault="00B86969" w:rsidP="00B86969">
              <w:pPr>
                <w:pStyle w:val="Bibliography"/>
                <w:rPr>
                  <w:noProof/>
                </w:rPr>
              </w:pPr>
              <w:r>
                <w:rPr>
                  <w:noProof/>
                </w:rPr>
                <w:t xml:space="preserve">HMICFRS, 2018. </w:t>
              </w:r>
              <w:r>
                <w:rPr>
                  <w:i/>
                  <w:iCs/>
                  <w:noProof/>
                </w:rPr>
                <w:t xml:space="preserve">PEEL: Police leadership 2017, </w:t>
              </w:r>
              <w:r>
                <w:rPr>
                  <w:noProof/>
                </w:rPr>
                <w:t>London: Justice inspectorates.</w:t>
              </w:r>
            </w:p>
            <w:p w14:paraId="568AE6A0" w14:textId="77777777" w:rsidR="00B86969" w:rsidRDefault="00B86969" w:rsidP="00B86969">
              <w:pPr>
                <w:pStyle w:val="Bibliography"/>
                <w:rPr>
                  <w:noProof/>
                </w:rPr>
              </w:pPr>
              <w:r>
                <w:rPr>
                  <w:noProof/>
                </w:rPr>
                <w:t xml:space="preserve">Home Office, 2018. </w:t>
              </w:r>
              <w:r>
                <w:rPr>
                  <w:i/>
                  <w:iCs/>
                  <w:noProof/>
                </w:rPr>
                <w:t xml:space="preserve">Covert surveillance and property interference, </w:t>
              </w:r>
              <w:r>
                <w:rPr>
                  <w:noProof/>
                </w:rPr>
                <w:t>London: Open Government Licence.</w:t>
              </w:r>
            </w:p>
            <w:p w14:paraId="29BE6EA1" w14:textId="77777777" w:rsidR="00B86969" w:rsidRDefault="00B86969" w:rsidP="00B86969">
              <w:pPr>
                <w:pStyle w:val="Bibliography"/>
                <w:rPr>
                  <w:noProof/>
                </w:rPr>
              </w:pPr>
              <w:r>
                <w:rPr>
                  <w:noProof/>
                </w:rPr>
                <w:t xml:space="preserve">Home Office, 2021. </w:t>
              </w:r>
              <w:r>
                <w:rPr>
                  <w:i/>
                  <w:iCs/>
                  <w:noProof/>
                </w:rPr>
                <w:t xml:space="preserve">Beating crime plan, </w:t>
              </w:r>
              <w:r>
                <w:rPr>
                  <w:noProof/>
                </w:rPr>
                <w:t>London: Home Office.</w:t>
              </w:r>
            </w:p>
            <w:p w14:paraId="09A6DC8D" w14:textId="77777777" w:rsidR="00B86969" w:rsidRDefault="00B86969" w:rsidP="00B86969">
              <w:pPr>
                <w:pStyle w:val="Bibliography"/>
                <w:rPr>
                  <w:noProof/>
                </w:rPr>
              </w:pPr>
              <w:r>
                <w:rPr>
                  <w:noProof/>
                </w:rPr>
                <w:t xml:space="preserve">Innes, M. &amp; Sheptycki, J., 2004. International Criminal Justice Review. </w:t>
              </w:r>
              <w:r>
                <w:rPr>
                  <w:i/>
                  <w:iCs/>
                  <w:noProof/>
                </w:rPr>
                <w:t xml:space="preserve">Sage Journals, </w:t>
              </w:r>
              <w:r>
                <w:rPr>
                  <w:noProof/>
                </w:rPr>
                <w:t>14(1), pp. 1-24.</w:t>
              </w:r>
            </w:p>
            <w:p w14:paraId="6167BA54" w14:textId="77777777" w:rsidR="00B86969" w:rsidRDefault="00B86969" w:rsidP="00B86969">
              <w:pPr>
                <w:pStyle w:val="Bibliography"/>
                <w:rPr>
                  <w:noProof/>
                </w:rPr>
              </w:pPr>
              <w:r>
                <w:rPr>
                  <w:noProof/>
                </w:rPr>
                <w:t xml:space="preserve">Innes, M. &amp; Weston, N., 2010. </w:t>
              </w:r>
              <w:r>
                <w:rPr>
                  <w:i/>
                  <w:iCs/>
                  <w:noProof/>
                </w:rPr>
                <w:t xml:space="preserve">Re-thinking the policing of anti-social behaviour, </w:t>
              </w:r>
              <w:r>
                <w:rPr>
                  <w:noProof/>
                </w:rPr>
                <w:t>London: HMIC.</w:t>
              </w:r>
            </w:p>
            <w:p w14:paraId="63640FB1" w14:textId="77777777" w:rsidR="00B86969" w:rsidRDefault="00B86969" w:rsidP="00B86969">
              <w:pPr>
                <w:pStyle w:val="Bibliography"/>
                <w:rPr>
                  <w:noProof/>
                </w:rPr>
              </w:pPr>
              <w:r>
                <w:rPr>
                  <w:noProof/>
                </w:rPr>
                <w:t xml:space="preserve">Jasper, M., 2013. </w:t>
              </w:r>
              <w:r>
                <w:rPr>
                  <w:i/>
                  <w:iCs/>
                  <w:noProof/>
                </w:rPr>
                <w:t xml:space="preserve">Beginning reflective practice. </w:t>
              </w:r>
              <w:r>
                <w:rPr>
                  <w:noProof/>
                </w:rPr>
                <w:t>2nd ed. Cheltenham: Andover: Cengage Learning.</w:t>
              </w:r>
            </w:p>
            <w:p w14:paraId="10BAD7B7" w14:textId="77777777" w:rsidR="00B86969" w:rsidRDefault="00B86969" w:rsidP="00B86969">
              <w:pPr>
                <w:pStyle w:val="Bibliography"/>
                <w:rPr>
                  <w:noProof/>
                </w:rPr>
              </w:pPr>
              <w:r>
                <w:rPr>
                  <w:noProof/>
                </w:rPr>
                <w:t xml:space="preserve">Kenningale, P., 2020. </w:t>
              </w:r>
              <w:r>
                <w:rPr>
                  <w:i/>
                  <w:iCs/>
                  <w:noProof/>
                </w:rPr>
                <w:t xml:space="preserve">The National Intelligence Model, </w:t>
              </w:r>
              <w:r>
                <w:rPr>
                  <w:noProof/>
                </w:rPr>
                <w:t>Surrey: Policing Network.</w:t>
              </w:r>
            </w:p>
            <w:p w14:paraId="6AF235DC" w14:textId="77777777" w:rsidR="00B86969" w:rsidRDefault="00B86969" w:rsidP="00B86969">
              <w:pPr>
                <w:pStyle w:val="Bibliography"/>
                <w:rPr>
                  <w:noProof/>
                </w:rPr>
              </w:pPr>
              <w:r>
                <w:rPr>
                  <w:noProof/>
                </w:rPr>
                <w:t xml:space="preserve">Kent and Medway Domestic Abuse Support Services, 2022. </w:t>
              </w:r>
              <w:r>
                <w:rPr>
                  <w:i/>
                  <w:iCs/>
                  <w:noProof/>
                </w:rPr>
                <w:t xml:space="preserve">Multi-Agency Risk Assessment Conference (MARAC). </w:t>
              </w:r>
              <w:r>
                <w:rPr>
                  <w:noProof/>
                </w:rPr>
                <w:t xml:space="preserve">[Online] </w:t>
              </w:r>
              <w:r>
                <w:rPr>
                  <w:noProof/>
                </w:rPr>
                <w:br/>
                <w:t xml:space="preserve">Available at: </w:t>
              </w:r>
              <w:r>
                <w:rPr>
                  <w:noProof/>
                  <w:u w:val="single"/>
                </w:rPr>
                <w:t>https://www.domesticabuseservices.org.uk/latest-news-articles-advice/marac/</w:t>
              </w:r>
              <w:r>
                <w:rPr>
                  <w:noProof/>
                </w:rPr>
                <w:br/>
                <w:t>[Accessed 1 June 2022].</w:t>
              </w:r>
            </w:p>
            <w:p w14:paraId="69092378" w14:textId="77777777" w:rsidR="00B86969" w:rsidRDefault="00B86969" w:rsidP="00B86969">
              <w:pPr>
                <w:pStyle w:val="Bibliography"/>
                <w:rPr>
                  <w:noProof/>
                </w:rPr>
              </w:pPr>
              <w:r>
                <w:rPr>
                  <w:noProof/>
                </w:rPr>
                <w:t xml:space="preserve">LawTeacher, 2013. </w:t>
              </w:r>
              <w:r>
                <w:rPr>
                  <w:i/>
                  <w:iCs/>
                  <w:noProof/>
                </w:rPr>
                <w:t xml:space="preserve">Law Enforcement Code of Ethics for Police Officers. </w:t>
              </w:r>
              <w:r>
                <w:rPr>
                  <w:noProof/>
                </w:rPr>
                <w:t xml:space="preserve">[Online] </w:t>
              </w:r>
              <w:r>
                <w:rPr>
                  <w:noProof/>
                </w:rPr>
                <w:br/>
                <w:t xml:space="preserve">Available at: </w:t>
              </w:r>
              <w:r>
                <w:rPr>
                  <w:noProof/>
                  <w:u w:val="single"/>
                </w:rPr>
                <w:t>https://www.lawteacher.net/free-law-essays/criminology/ethics-of-police-officers.php#citethis</w:t>
              </w:r>
              <w:r>
                <w:rPr>
                  <w:noProof/>
                </w:rPr>
                <w:br/>
                <w:t>[Accessed 30 May 2022].</w:t>
              </w:r>
            </w:p>
            <w:p w14:paraId="1EA297D3" w14:textId="77777777" w:rsidR="00B86969" w:rsidRDefault="00B86969" w:rsidP="00B86969">
              <w:pPr>
                <w:pStyle w:val="Bibliography"/>
                <w:rPr>
                  <w:noProof/>
                </w:rPr>
              </w:pPr>
              <w:r>
                <w:rPr>
                  <w:noProof/>
                </w:rPr>
                <w:lastRenderedPageBreak/>
                <w:t xml:space="preserve">Malkin, G., 2017. </w:t>
              </w:r>
              <w:r>
                <w:rPr>
                  <w:i/>
                  <w:iCs/>
                  <w:noProof/>
                </w:rPr>
                <w:t xml:space="preserve">Just desserts: Why organisational justice in policing matters. </w:t>
              </w:r>
              <w:r>
                <w:rPr>
                  <w:noProof/>
                </w:rPr>
                <w:t xml:space="preserve">[Online] </w:t>
              </w:r>
              <w:r>
                <w:rPr>
                  <w:noProof/>
                </w:rPr>
                <w:br/>
                <w:t xml:space="preserve">Available at: </w:t>
              </w:r>
              <w:r>
                <w:rPr>
                  <w:noProof/>
                  <w:u w:val="single"/>
                </w:rPr>
                <w:t>http://www.greymalkinconsulting.com/our-thinking/oorganisational-justice-in-policing</w:t>
              </w:r>
              <w:r>
                <w:rPr>
                  <w:noProof/>
                </w:rPr>
                <w:br/>
                <w:t>[Accessed 30 May 2022].</w:t>
              </w:r>
            </w:p>
            <w:p w14:paraId="5EA73C56" w14:textId="77777777" w:rsidR="00B86969" w:rsidRDefault="00B86969" w:rsidP="00B86969">
              <w:pPr>
                <w:pStyle w:val="Bibliography"/>
                <w:rPr>
                  <w:noProof/>
                </w:rPr>
              </w:pPr>
              <w:r>
                <w:rPr>
                  <w:noProof/>
                </w:rPr>
                <w:t xml:space="preserve">National Crime Agency, 2022. </w:t>
              </w:r>
              <w:r>
                <w:rPr>
                  <w:i/>
                  <w:iCs/>
                  <w:noProof/>
                </w:rPr>
                <w:t xml:space="preserve">Illegal firearms. </w:t>
              </w:r>
              <w:r>
                <w:rPr>
                  <w:noProof/>
                </w:rPr>
                <w:t xml:space="preserve">[Online] </w:t>
              </w:r>
              <w:r>
                <w:rPr>
                  <w:noProof/>
                </w:rPr>
                <w:br/>
                <w:t xml:space="preserve">Available at: </w:t>
              </w:r>
              <w:r>
                <w:rPr>
                  <w:noProof/>
                  <w:u w:val="single"/>
                </w:rPr>
                <w:t>https://nationalcrimeagency.gov.uk/what-we-do/crime-threats/firearms#:~:text=Pistols%2C%20revolvers%20and%20shotguns%20are%20the%20firearms%20most,that%20have%20been%20illegally%20converted%2C%20modified%20or%20reactivated.</w:t>
              </w:r>
              <w:r>
                <w:rPr>
                  <w:noProof/>
                </w:rPr>
                <w:br/>
                <w:t>[Accessed 6 June 2022].</w:t>
              </w:r>
            </w:p>
            <w:p w14:paraId="50C2A268" w14:textId="77777777" w:rsidR="00B86969" w:rsidRDefault="00B86969" w:rsidP="00B86969">
              <w:pPr>
                <w:pStyle w:val="Bibliography"/>
                <w:rPr>
                  <w:noProof/>
                </w:rPr>
              </w:pPr>
              <w:r>
                <w:rPr>
                  <w:noProof/>
                </w:rPr>
                <w:t xml:space="preserve">NPCC, 2021. </w:t>
              </w:r>
              <w:r>
                <w:rPr>
                  <w:i/>
                  <w:iCs/>
                  <w:noProof/>
                </w:rPr>
                <w:t xml:space="preserve">Digital policing. </w:t>
              </w:r>
              <w:r>
                <w:rPr>
                  <w:noProof/>
                </w:rPr>
                <w:t xml:space="preserve">[Online] </w:t>
              </w:r>
              <w:r>
                <w:rPr>
                  <w:noProof/>
                </w:rPr>
                <w:br/>
                <w:t xml:space="preserve">Available at: </w:t>
              </w:r>
              <w:r>
                <w:rPr>
                  <w:noProof/>
                  <w:u w:val="single"/>
                </w:rPr>
                <w:t>https://www.npcc.police.uk/NPCCBusinessAreas/ReformandTransformation/Digitalpolicing.aspx</w:t>
              </w:r>
              <w:r>
                <w:rPr>
                  <w:noProof/>
                </w:rPr>
                <w:br/>
                <w:t>[Accessed 5 June 2022].</w:t>
              </w:r>
            </w:p>
            <w:p w14:paraId="55DD5096" w14:textId="77777777" w:rsidR="00B86969" w:rsidRDefault="00B86969" w:rsidP="00B86969">
              <w:pPr>
                <w:pStyle w:val="Bibliography"/>
                <w:rPr>
                  <w:noProof/>
                </w:rPr>
              </w:pPr>
              <w:r>
                <w:rPr>
                  <w:noProof/>
                </w:rPr>
                <w:t xml:space="preserve">Police Digital Service, 2020. </w:t>
              </w:r>
              <w:r>
                <w:rPr>
                  <w:i/>
                  <w:iCs/>
                  <w:noProof/>
                </w:rPr>
                <w:t xml:space="preserve">National Policing Digital Strategy. </w:t>
              </w:r>
              <w:r>
                <w:rPr>
                  <w:noProof/>
                </w:rPr>
                <w:t xml:space="preserve">[Online] </w:t>
              </w:r>
              <w:r>
                <w:rPr>
                  <w:noProof/>
                </w:rPr>
                <w:br/>
                <w:t xml:space="preserve">Available at: </w:t>
              </w:r>
              <w:r>
                <w:rPr>
                  <w:noProof/>
                  <w:u w:val="single"/>
                </w:rPr>
                <w:t>https://pds.police.uk/national-policing-digital-strategy-2020/</w:t>
              </w:r>
              <w:r>
                <w:rPr>
                  <w:noProof/>
                </w:rPr>
                <w:br/>
                <w:t>[Accessed 3 June 2022].</w:t>
              </w:r>
            </w:p>
            <w:p w14:paraId="26697E68" w14:textId="77777777" w:rsidR="00B86969" w:rsidRDefault="00B86969" w:rsidP="00B86969">
              <w:pPr>
                <w:pStyle w:val="Bibliography"/>
                <w:rPr>
                  <w:noProof/>
                </w:rPr>
              </w:pPr>
              <w:r>
                <w:rPr>
                  <w:noProof/>
                </w:rPr>
                <w:t xml:space="preserve">Ravelli, R., 2017. </w:t>
              </w:r>
              <w:r>
                <w:rPr>
                  <w:i/>
                  <w:iCs/>
                  <w:noProof/>
                </w:rPr>
                <w:t xml:space="preserve">Police surveillance &amp; human rights. </w:t>
              </w:r>
              <w:r>
                <w:rPr>
                  <w:noProof/>
                </w:rPr>
                <w:t xml:space="preserve">[Online] </w:t>
              </w:r>
              <w:r>
                <w:rPr>
                  <w:noProof/>
                </w:rPr>
                <w:br/>
                <w:t xml:space="preserve">Available at: </w:t>
              </w:r>
              <w:r>
                <w:rPr>
                  <w:noProof/>
                  <w:u w:val="single"/>
                </w:rPr>
                <w:t>https://www.rahmanravelli.co.uk/articles/police-surveillance-and-human-rights/#:~:text=The%20term%20%E2%80%98covert%20surveillance%E2%80%99%20means%20to%20procure%20intelligence,Human%20Intelligence%20Sources%2C%20both%20introduced%20in%20December%202014.</w:t>
              </w:r>
              <w:r>
                <w:rPr>
                  <w:noProof/>
                </w:rPr>
                <w:br/>
                <w:t>[Accessed 2 June 2022].</w:t>
              </w:r>
            </w:p>
            <w:p w14:paraId="3823358C" w14:textId="77777777" w:rsidR="00B86969" w:rsidRDefault="00B86969" w:rsidP="00B86969">
              <w:pPr>
                <w:pStyle w:val="Bibliography"/>
                <w:rPr>
                  <w:noProof/>
                </w:rPr>
              </w:pPr>
              <w:r>
                <w:rPr>
                  <w:noProof/>
                </w:rPr>
                <w:t xml:space="preserve">Rex, H., 2016. </w:t>
              </w:r>
              <w:r>
                <w:rPr>
                  <w:i/>
                  <w:iCs/>
                  <w:noProof/>
                </w:rPr>
                <w:t xml:space="preserve">How digital crime will change how we fight crime. </w:t>
              </w:r>
              <w:r>
                <w:rPr>
                  <w:noProof/>
                </w:rPr>
                <w:t xml:space="preserve">[Online] </w:t>
              </w:r>
              <w:r>
                <w:rPr>
                  <w:noProof/>
                </w:rPr>
                <w:br/>
                <w:t xml:space="preserve">Available at: </w:t>
              </w:r>
              <w:r>
                <w:rPr>
                  <w:noProof/>
                  <w:u w:val="single"/>
                </w:rPr>
                <w:t>https://www.itproportal.com/features/how-digital-tech-will-change-how-we-fight-crime/</w:t>
              </w:r>
              <w:r>
                <w:rPr>
                  <w:noProof/>
                </w:rPr>
                <w:br/>
                <w:t>[Accessed 3 June 2022].</w:t>
              </w:r>
            </w:p>
            <w:p w14:paraId="39CA0690" w14:textId="77777777" w:rsidR="00B86969" w:rsidRDefault="00B86969" w:rsidP="00B86969">
              <w:pPr>
                <w:pStyle w:val="Bibliography"/>
                <w:rPr>
                  <w:noProof/>
                </w:rPr>
              </w:pPr>
              <w:r>
                <w:rPr>
                  <w:noProof/>
                </w:rPr>
                <w:t xml:space="preserve">Sabey, R., 2018. GUN CRIMEWAVE Serious firearm offences soar in the past twelve months – as number of police officers falls. </w:t>
              </w:r>
              <w:r>
                <w:rPr>
                  <w:i/>
                  <w:iCs/>
                  <w:noProof/>
                </w:rPr>
                <w:t>The Sun</w:t>
              </w:r>
              <w:r>
                <w:rPr>
                  <w:noProof/>
                </w:rPr>
                <w:t>, 22 July, p. 1.</w:t>
              </w:r>
            </w:p>
            <w:p w14:paraId="166A9FD3" w14:textId="77777777" w:rsidR="00B86969" w:rsidRDefault="00B86969" w:rsidP="00B86969">
              <w:pPr>
                <w:pStyle w:val="Bibliography"/>
                <w:rPr>
                  <w:noProof/>
                </w:rPr>
              </w:pPr>
              <w:r>
                <w:rPr>
                  <w:noProof/>
                </w:rPr>
                <w:t xml:space="preserve">Scottish Governement, 2015. </w:t>
              </w:r>
              <w:r>
                <w:rPr>
                  <w:i/>
                  <w:iCs/>
                  <w:noProof/>
                </w:rPr>
                <w:t xml:space="preserve">What Works to Reduce Reoffending: A Summary of the Evidence. </w:t>
              </w:r>
              <w:r>
                <w:rPr>
                  <w:noProof/>
                </w:rPr>
                <w:t xml:space="preserve">[Online] </w:t>
              </w:r>
              <w:r>
                <w:rPr>
                  <w:noProof/>
                </w:rPr>
                <w:br/>
                <w:t xml:space="preserve">Available at: </w:t>
              </w:r>
              <w:r>
                <w:rPr>
                  <w:noProof/>
                  <w:u w:val="single"/>
                </w:rPr>
                <w:t>https://www.gov.scot/publications/works-reduce-reoffending-summary-evidence/pages/3/</w:t>
              </w:r>
              <w:r>
                <w:rPr>
                  <w:noProof/>
                </w:rPr>
                <w:br/>
                <w:t>[Accessed 5 June 2022].</w:t>
              </w:r>
            </w:p>
            <w:p w14:paraId="13822F82" w14:textId="77777777" w:rsidR="00B86969" w:rsidRDefault="00B86969" w:rsidP="00B86969">
              <w:pPr>
                <w:pStyle w:val="Bibliography"/>
                <w:rPr>
                  <w:noProof/>
                </w:rPr>
              </w:pPr>
              <w:r>
                <w:rPr>
                  <w:noProof/>
                </w:rPr>
                <w:t xml:space="preserve">Sherman, L., 1998. </w:t>
              </w:r>
              <w:r>
                <w:rPr>
                  <w:i/>
                  <w:iCs/>
                  <w:noProof/>
                </w:rPr>
                <w:t xml:space="preserve">Evidence - Based Policing. </w:t>
              </w:r>
              <w:r>
                <w:rPr>
                  <w:noProof/>
                </w:rPr>
                <w:t xml:space="preserve">[Online] </w:t>
              </w:r>
              <w:r>
                <w:rPr>
                  <w:noProof/>
                </w:rPr>
                <w:br/>
                <w:t xml:space="preserve">Available at: </w:t>
              </w:r>
              <w:r>
                <w:rPr>
                  <w:noProof/>
                  <w:u w:val="single"/>
                </w:rPr>
                <w:t>https://www.ojp.gov/ncjrs/virtual-library/abstracts/evidence-based-policing#:~:text=%22Evidence-based%20policing%22%20is%20the%20use%20of%20the%20best,implement%20guidelines%20and%20evaluate%20agencies%2C%20units%2C%20and%20officers.</w:t>
              </w:r>
              <w:r>
                <w:rPr>
                  <w:noProof/>
                </w:rPr>
                <w:br/>
                <w:t>[Accessed 1 June 2022].</w:t>
              </w:r>
            </w:p>
            <w:p w14:paraId="04653724" w14:textId="77777777" w:rsidR="00B86969" w:rsidRDefault="00B86969" w:rsidP="00B86969">
              <w:pPr>
                <w:pStyle w:val="Bibliography"/>
                <w:rPr>
                  <w:noProof/>
                </w:rPr>
              </w:pPr>
              <w:r>
                <w:rPr>
                  <w:noProof/>
                </w:rPr>
                <w:t xml:space="preserve">Smith, D., 2019. </w:t>
              </w:r>
              <w:r>
                <w:rPr>
                  <w:i/>
                  <w:iCs/>
                  <w:noProof/>
                </w:rPr>
                <w:t xml:space="preserve">Restorative Justice and anti-social behaviour. </w:t>
              </w:r>
              <w:r>
                <w:rPr>
                  <w:noProof/>
                </w:rPr>
                <w:t xml:space="preserve">[Online] </w:t>
              </w:r>
              <w:r>
                <w:rPr>
                  <w:noProof/>
                </w:rPr>
                <w:br/>
                <w:t xml:space="preserve">Available at: </w:t>
              </w:r>
              <w:r>
                <w:rPr>
                  <w:noProof/>
                  <w:u w:val="single"/>
                </w:rPr>
                <w:t>https://restorativejustice.org.uk/blog/restorative-justice-and-anti-social-behaviour#:~:text=Restorative%20justice%20has%20a%20vital%20role%20to%20play,the%20diverse%20communities%20%26%20people%20who%20live%20there.</w:t>
              </w:r>
              <w:r>
                <w:rPr>
                  <w:noProof/>
                </w:rPr>
                <w:br/>
                <w:t>[Accessed 31 May 2022].</w:t>
              </w:r>
            </w:p>
            <w:p w14:paraId="3A011A4C" w14:textId="77777777" w:rsidR="00B86969" w:rsidRDefault="00B86969" w:rsidP="00B86969">
              <w:pPr>
                <w:pStyle w:val="Bibliography"/>
                <w:rPr>
                  <w:noProof/>
                </w:rPr>
              </w:pPr>
              <w:r>
                <w:rPr>
                  <w:noProof/>
                </w:rPr>
                <w:t xml:space="preserve">The Police Foundation, 2019. </w:t>
              </w:r>
              <w:r>
                <w:rPr>
                  <w:i/>
                  <w:iCs/>
                  <w:noProof/>
                </w:rPr>
                <w:t xml:space="preserve">Police effectiveness and multi-agency case management. </w:t>
              </w:r>
              <w:r>
                <w:rPr>
                  <w:noProof/>
                </w:rPr>
                <w:t xml:space="preserve">[Online] </w:t>
              </w:r>
              <w:r>
                <w:rPr>
                  <w:noProof/>
                </w:rPr>
                <w:br/>
                <w:t xml:space="preserve">Available at: </w:t>
              </w:r>
              <w:r>
                <w:rPr>
                  <w:noProof/>
                  <w:u w:val="single"/>
                </w:rPr>
                <w:t>https://www.police-foundation.org.uk/project/multi-agency-case-management/#:~:text=Policing%20is%20increasingly%20concerned%20with%20the%20risks%20faced,%E2%80%98new%20orthodoxy%E2%80%99%20for%20the%20police%20and%20their%20partners.</w:t>
              </w:r>
              <w:r>
                <w:rPr>
                  <w:noProof/>
                </w:rPr>
                <w:br/>
                <w:t>[Accessed 31 May 2022].</w:t>
              </w:r>
            </w:p>
            <w:p w14:paraId="575AB49E" w14:textId="77777777" w:rsidR="00B86969" w:rsidRDefault="00B86969" w:rsidP="00B86969">
              <w:pPr>
                <w:pStyle w:val="Bibliography"/>
                <w:rPr>
                  <w:noProof/>
                </w:rPr>
              </w:pPr>
              <w:r>
                <w:rPr>
                  <w:noProof/>
                </w:rPr>
                <w:t xml:space="preserve">UKCCIS, 2017. </w:t>
              </w:r>
              <w:r>
                <w:rPr>
                  <w:i/>
                  <w:iCs/>
                  <w:noProof/>
                </w:rPr>
                <w:t xml:space="preserve">Children’s online activities, risks and safety, </w:t>
              </w:r>
              <w:r>
                <w:rPr>
                  <w:noProof/>
                </w:rPr>
                <w:t>London: LSE consulting.</w:t>
              </w:r>
            </w:p>
            <w:p w14:paraId="4DCFF786" w14:textId="77777777" w:rsidR="00B86969" w:rsidRDefault="00B86969" w:rsidP="00B86969">
              <w:pPr>
                <w:pStyle w:val="Bibliography"/>
                <w:rPr>
                  <w:noProof/>
                </w:rPr>
              </w:pPr>
              <w:r>
                <w:rPr>
                  <w:noProof/>
                </w:rPr>
                <w:t xml:space="preserve">United Nations, 2006. </w:t>
              </w:r>
              <w:r>
                <w:rPr>
                  <w:i/>
                  <w:iCs/>
                  <w:noProof/>
                </w:rPr>
                <w:t xml:space="preserve">Police information and intelligence systems, </w:t>
              </w:r>
              <w:r>
                <w:rPr>
                  <w:noProof/>
                </w:rPr>
                <w:t>Belgium: OSCE.</w:t>
              </w:r>
            </w:p>
            <w:p w14:paraId="3E57BF9F" w14:textId="77777777" w:rsidR="00B86969" w:rsidRDefault="00B86969" w:rsidP="00B86969">
              <w:pPr>
                <w:pStyle w:val="Bibliography"/>
                <w:rPr>
                  <w:noProof/>
                </w:rPr>
              </w:pPr>
              <w:r>
                <w:rPr>
                  <w:noProof/>
                </w:rPr>
                <w:t xml:space="preserve">Victim Support, 2022. </w:t>
              </w:r>
              <w:r>
                <w:rPr>
                  <w:i/>
                  <w:iCs/>
                  <w:noProof/>
                </w:rPr>
                <w:t xml:space="preserve">Cyber crime and online fraud. </w:t>
              </w:r>
              <w:r>
                <w:rPr>
                  <w:noProof/>
                </w:rPr>
                <w:t xml:space="preserve">[Online] </w:t>
              </w:r>
              <w:r>
                <w:rPr>
                  <w:noProof/>
                </w:rPr>
                <w:br/>
                <w:t xml:space="preserve">Available at: </w:t>
              </w:r>
              <w:r>
                <w:rPr>
                  <w:noProof/>
                  <w:u w:val="single"/>
                </w:rPr>
                <w:t>https://www.victimsupport.org.uk/crime-info/types-crime/cyber-crime/</w:t>
              </w:r>
              <w:r>
                <w:rPr>
                  <w:noProof/>
                </w:rPr>
                <w:br/>
                <w:t>[Accessed 3 June 2022].</w:t>
              </w:r>
            </w:p>
            <w:p w14:paraId="475F1ED6" w14:textId="77777777" w:rsidR="00B86969" w:rsidRDefault="00B86969" w:rsidP="00B86969">
              <w:pPr>
                <w:pStyle w:val="Bibliography"/>
                <w:rPr>
                  <w:noProof/>
                </w:rPr>
              </w:pPr>
              <w:r>
                <w:rPr>
                  <w:noProof/>
                </w:rPr>
                <w:t xml:space="preserve">Wolfe, S., Rojek, J., Manjarrez, V. &amp; Rojek, A., 2018. Why does organizational justice matter? Uncertainty management among law enforcement officers. </w:t>
              </w:r>
              <w:r>
                <w:rPr>
                  <w:i/>
                  <w:iCs/>
                  <w:noProof/>
                </w:rPr>
                <w:t xml:space="preserve">Journal od Criminal Justice, </w:t>
              </w:r>
              <w:r>
                <w:rPr>
                  <w:noProof/>
                </w:rPr>
                <w:t>54(1), pp. 20-29.</w:t>
              </w:r>
            </w:p>
            <w:p w14:paraId="443E94B2" w14:textId="4BE2DF03" w:rsidR="00B86969" w:rsidRDefault="00B86969" w:rsidP="00B86969">
              <w:r>
                <w:rPr>
                  <w:b/>
                  <w:bCs/>
                  <w:noProof/>
                </w:rPr>
                <w:fldChar w:fldCharType="end"/>
              </w:r>
            </w:p>
          </w:sdtContent>
        </w:sdt>
      </w:sdtContent>
    </w:sdt>
    <w:p w14:paraId="62165D1A" w14:textId="07CFF7FC" w:rsidR="6E85A413" w:rsidRPr="00DD7FFD" w:rsidRDefault="6E85A413" w:rsidP="00DD7FFD">
      <w:pPr>
        <w:keepNext/>
        <w:ind w:right="237"/>
        <w:rPr>
          <w:b/>
          <w:sz w:val="24"/>
          <w:szCs w:val="24"/>
          <w:highlight w:val="yellow"/>
        </w:rPr>
      </w:pPr>
      <w:bookmarkStart w:id="12" w:name="_GoBack"/>
      <w:bookmarkEnd w:id="12"/>
    </w:p>
    <w:sectPr w:rsidR="6E85A413" w:rsidRPr="00DD7FFD" w:rsidSect="00D62AC0">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4D8A1C" w14:textId="77777777" w:rsidR="00DB0192" w:rsidRDefault="00DB0192">
      <w:r>
        <w:separator/>
      </w:r>
    </w:p>
  </w:endnote>
  <w:endnote w:type="continuationSeparator" w:id="0">
    <w:p w14:paraId="19350405" w14:textId="77777777" w:rsidR="00DB0192" w:rsidRDefault="00DB01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64CF8F" w14:textId="7396B0B8" w:rsidR="00DB0192" w:rsidRDefault="00B86969" w:rsidP="00B86969">
    <w:pPr>
      <w:pStyle w:val="Footer"/>
      <w:rPr>
        <w:sz w:val="17"/>
      </w:rPr>
    </w:pPr>
    <w:bookmarkStart w:id="2" w:name="TITUS1FooterEvenPages"/>
    <w:r>
      <w:rPr>
        <w:sz w:val="17"/>
      </w:rPr>
      <w:t> </w:t>
    </w:r>
  </w:p>
  <w:bookmarkEnd w:id="2"/>
  <w:p w14:paraId="1E701721" w14:textId="250634B3" w:rsidR="00DB0192" w:rsidRDefault="00DB0192" w:rsidP="00D62AC0">
    <w:pPr>
      <w:pStyle w:val="Footer"/>
      <w:jc w:val="right"/>
    </w:pPr>
    <w:r>
      <w:fldChar w:fldCharType="begin"/>
    </w:r>
    <w:r>
      <w:instrText xml:space="preserve"> PAGE   \* MERGEFORMAT </w:instrText>
    </w:r>
    <w:r>
      <w:fldChar w:fldCharType="separate"/>
    </w:r>
    <w:r w:rsidR="00B86969">
      <w:rPr>
        <w:noProof/>
      </w:rPr>
      <w:t>4</w:t>
    </w:r>
    <w:r>
      <w:rPr>
        <w:noProof/>
      </w:rPr>
      <w:fldChar w:fldCharType="end"/>
    </w:r>
  </w:p>
  <w:p w14:paraId="4D3410A6" w14:textId="77777777" w:rsidR="00DB0192" w:rsidRPr="00BB5EAA" w:rsidRDefault="00DB0192" w:rsidP="00D62AC0">
    <w:pPr>
      <w:pStyle w:val="Footer"/>
      <w:ind w:right="360"/>
      <w:jc w:val="center"/>
    </w:pPr>
  </w:p>
  <w:p w14:paraId="3902C787" w14:textId="77777777" w:rsidR="00DB0192" w:rsidRDefault="00DB01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BE39FC" w14:textId="616D7309" w:rsidR="00DB0192" w:rsidRDefault="00B86969" w:rsidP="00B86969">
    <w:pPr>
      <w:pStyle w:val="Footer"/>
      <w:rPr>
        <w:sz w:val="17"/>
      </w:rPr>
    </w:pPr>
    <w:bookmarkStart w:id="3" w:name="TITUS1FooterPrimary"/>
    <w:r>
      <w:rPr>
        <w:sz w:val="17"/>
      </w:rPr>
      <w:t> </w:t>
    </w:r>
  </w:p>
  <w:bookmarkEnd w:id="3"/>
  <w:p w14:paraId="50521BFA" w14:textId="6FEC6C22" w:rsidR="00DB0192" w:rsidRDefault="00DB0192">
    <w:pPr>
      <w:pStyle w:val="Footer"/>
      <w:jc w:val="right"/>
    </w:pPr>
    <w:r>
      <w:fldChar w:fldCharType="begin"/>
    </w:r>
    <w:r>
      <w:instrText xml:space="preserve"> PAGE   \* MERGEFORMAT </w:instrText>
    </w:r>
    <w:r>
      <w:fldChar w:fldCharType="separate"/>
    </w:r>
    <w:r w:rsidR="00B86969">
      <w:rPr>
        <w:noProof/>
      </w:rPr>
      <w:t>3</w:t>
    </w:r>
    <w:r>
      <w:rPr>
        <w:noProof/>
      </w:rPr>
      <w:fldChar w:fldCharType="end"/>
    </w:r>
  </w:p>
  <w:p w14:paraId="790812FF" w14:textId="77777777" w:rsidR="00DB0192" w:rsidRPr="00BB5EAA" w:rsidRDefault="00DB019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77ADD" w14:textId="2A1E4C3A" w:rsidR="00DB0192" w:rsidRDefault="00B86969" w:rsidP="00B86969">
    <w:pPr>
      <w:pStyle w:val="Footer"/>
      <w:rPr>
        <w:sz w:val="17"/>
      </w:rPr>
    </w:pPr>
    <w:bookmarkStart w:id="5" w:name="TITUS1FooterFirstPage"/>
    <w:r>
      <w:rPr>
        <w:sz w:val="17"/>
      </w:rPr>
      <w:t> </w:t>
    </w:r>
  </w:p>
  <w:bookmarkEnd w:id="5"/>
  <w:p w14:paraId="46DB4C7F" w14:textId="06A91071" w:rsidR="00DB0192" w:rsidRDefault="00DB0192" w:rsidP="00D62AC0">
    <w:pPr>
      <w:pStyle w:val="Footer"/>
      <w:jc w:val="right"/>
    </w:pPr>
    <w:r>
      <w:fldChar w:fldCharType="begin"/>
    </w:r>
    <w:r>
      <w:instrText xml:space="preserve"> PAGE   \* MERGEFORMAT </w:instrText>
    </w:r>
    <w:r>
      <w:fldChar w:fldCharType="separate"/>
    </w:r>
    <w:r w:rsidR="00B86969">
      <w:rPr>
        <w:noProof/>
      </w:rPr>
      <w:t>1</w:t>
    </w:r>
    <w:r>
      <w:rPr>
        <w:noProof/>
      </w:rPr>
      <w:fldChar w:fldCharType="end"/>
    </w:r>
  </w:p>
  <w:p w14:paraId="66128BE9" w14:textId="77777777" w:rsidR="00DB0192" w:rsidRPr="00BB5EAA" w:rsidRDefault="00DB0192" w:rsidP="00D62AC0">
    <w:pPr>
      <w:pStyle w:val="Footer"/>
      <w:ind w:right="360"/>
      <w:jc w:val="center"/>
    </w:pPr>
  </w:p>
  <w:p w14:paraId="5E7D1105" w14:textId="77777777" w:rsidR="00DB0192" w:rsidRDefault="00DB019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2C4C48" w14:textId="42EE6590" w:rsidR="00DB0192" w:rsidRDefault="00B86969" w:rsidP="00B86969">
    <w:pPr>
      <w:pStyle w:val="Footer"/>
      <w:rPr>
        <w:sz w:val="17"/>
      </w:rPr>
    </w:pPr>
    <w:bookmarkStart w:id="8" w:name="TITUS2FooterEvenPages"/>
    <w:r>
      <w:rPr>
        <w:sz w:val="17"/>
      </w:rPr>
      <w:t> </w:t>
    </w:r>
  </w:p>
  <w:bookmarkEnd w:id="8"/>
  <w:p w14:paraId="0559B5B6" w14:textId="77777777" w:rsidR="00DB0192" w:rsidRDefault="00DB0192" w:rsidP="00D62AC0">
    <w:pPr>
      <w:pStyle w:val="Footer"/>
      <w:jc w:val="right"/>
    </w:pPr>
  </w:p>
  <w:p w14:paraId="6D775CC4" w14:textId="5B361705" w:rsidR="00DB0192" w:rsidRDefault="00DB0192" w:rsidP="00D62AC0">
    <w:pPr>
      <w:pStyle w:val="Footer"/>
      <w:jc w:val="right"/>
    </w:pPr>
    <w:r>
      <w:fldChar w:fldCharType="begin"/>
    </w:r>
    <w:r>
      <w:instrText xml:space="preserve"> PAGE   \* MERGEFORMAT </w:instrText>
    </w:r>
    <w:r>
      <w:fldChar w:fldCharType="separate"/>
    </w:r>
    <w:r w:rsidR="00B86969">
      <w:rPr>
        <w:noProof/>
      </w:rPr>
      <w:t>18</w:t>
    </w:r>
    <w:r>
      <w:rPr>
        <w:noProof/>
      </w:rPr>
      <w:fldChar w:fldCharType="end"/>
    </w:r>
  </w:p>
  <w:p w14:paraId="172EB9BA" w14:textId="77777777" w:rsidR="00DB0192" w:rsidRPr="00BB5EAA" w:rsidRDefault="00DB0192" w:rsidP="00D62AC0">
    <w:pPr>
      <w:pStyle w:val="Footer"/>
      <w:ind w:right="360"/>
      <w:jc w:val="center"/>
    </w:pPr>
  </w:p>
  <w:p w14:paraId="7697C50C" w14:textId="77777777" w:rsidR="00DB0192" w:rsidRDefault="00DB019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11227" w14:textId="7E21C114" w:rsidR="00DB0192" w:rsidRDefault="00B86969" w:rsidP="00B86969">
    <w:pPr>
      <w:pStyle w:val="Footer"/>
      <w:rPr>
        <w:sz w:val="17"/>
      </w:rPr>
    </w:pPr>
    <w:bookmarkStart w:id="9" w:name="TITUS2FooterPrimary"/>
    <w:r>
      <w:rPr>
        <w:sz w:val="17"/>
      </w:rPr>
      <w:t> </w:t>
    </w:r>
  </w:p>
  <w:bookmarkEnd w:id="9"/>
  <w:p w14:paraId="74B984C6" w14:textId="77777777" w:rsidR="00DB0192" w:rsidRDefault="00DB0192">
    <w:pPr>
      <w:pStyle w:val="Footer"/>
      <w:jc w:val="right"/>
    </w:pPr>
  </w:p>
  <w:p w14:paraId="10321F3D" w14:textId="2F5509DE" w:rsidR="00DB0192" w:rsidRDefault="00DB0192">
    <w:pPr>
      <w:pStyle w:val="Footer"/>
      <w:jc w:val="right"/>
    </w:pPr>
    <w:r>
      <w:fldChar w:fldCharType="begin"/>
    </w:r>
    <w:r>
      <w:instrText xml:space="preserve"> PAGE   \* MERGEFORMAT </w:instrText>
    </w:r>
    <w:r>
      <w:fldChar w:fldCharType="separate"/>
    </w:r>
    <w:r w:rsidR="00B86969">
      <w:rPr>
        <w:noProof/>
      </w:rPr>
      <w:t>19</w:t>
    </w:r>
    <w:r>
      <w:rPr>
        <w:noProof/>
      </w:rPr>
      <w:fldChar w:fldCharType="end"/>
    </w:r>
  </w:p>
  <w:p w14:paraId="6DE51C0F" w14:textId="77777777" w:rsidR="00DB0192" w:rsidRPr="00BB5EAA" w:rsidRDefault="00DB019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F7F4F3" w14:textId="3F3EC2A7" w:rsidR="00DB0192" w:rsidRDefault="00B86969" w:rsidP="00B86969">
    <w:pPr>
      <w:pStyle w:val="Footer"/>
      <w:rPr>
        <w:sz w:val="17"/>
      </w:rPr>
    </w:pPr>
    <w:bookmarkStart w:id="11" w:name="TITUS2FooterFirstPage"/>
    <w:r>
      <w:rPr>
        <w:sz w:val="17"/>
      </w:rPr>
      <w:t> </w:t>
    </w:r>
  </w:p>
  <w:bookmarkEnd w:id="11"/>
  <w:p w14:paraId="300A648F" w14:textId="77777777" w:rsidR="00DB0192" w:rsidRDefault="00DB0192" w:rsidP="00D62AC0">
    <w:pPr>
      <w:pStyle w:val="Footer"/>
      <w:jc w:val="right"/>
    </w:pPr>
  </w:p>
  <w:p w14:paraId="6A7CE4BE" w14:textId="4D304EAE" w:rsidR="00DB0192" w:rsidRDefault="00DB0192" w:rsidP="00D62AC0">
    <w:pPr>
      <w:pStyle w:val="Footer"/>
      <w:jc w:val="right"/>
    </w:pPr>
    <w:r>
      <w:fldChar w:fldCharType="begin"/>
    </w:r>
    <w:r>
      <w:instrText xml:space="preserve"> PAGE   \* MERGEFORMAT </w:instrText>
    </w:r>
    <w:r>
      <w:fldChar w:fldCharType="separate"/>
    </w:r>
    <w:r w:rsidR="00B86969">
      <w:rPr>
        <w:noProof/>
      </w:rPr>
      <w:t>5</w:t>
    </w:r>
    <w:r>
      <w:rPr>
        <w:noProof/>
      </w:rPr>
      <w:fldChar w:fldCharType="end"/>
    </w:r>
  </w:p>
  <w:p w14:paraId="54603E64" w14:textId="77777777" w:rsidR="00DB0192" w:rsidRPr="00BB5EAA" w:rsidRDefault="00DB0192" w:rsidP="00D62AC0">
    <w:pPr>
      <w:pStyle w:val="Footer"/>
      <w:ind w:right="360"/>
      <w:jc w:val="center"/>
    </w:pPr>
  </w:p>
  <w:p w14:paraId="66F6AF93" w14:textId="77777777" w:rsidR="00DB0192" w:rsidRDefault="00DB019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236B2F" w14:textId="159C0A33" w:rsidR="00DB0192" w:rsidRDefault="00B86969" w:rsidP="00B86969">
    <w:pPr>
      <w:pStyle w:val="Footer"/>
      <w:rPr>
        <w:sz w:val="17"/>
      </w:rPr>
    </w:pPr>
    <w:bookmarkStart w:id="15" w:name="TITUS3FooterEvenPages"/>
    <w:r>
      <w:rPr>
        <w:sz w:val="17"/>
      </w:rPr>
      <w:t> </w:t>
    </w:r>
  </w:p>
  <w:bookmarkEnd w:id="15"/>
  <w:p w14:paraId="4A7AB4B0" w14:textId="77777777" w:rsidR="00DB0192" w:rsidRDefault="00DB0192" w:rsidP="00D62AC0">
    <w:pPr>
      <w:pStyle w:val="Footer"/>
      <w:jc w:val="right"/>
    </w:pPr>
  </w:p>
  <w:p w14:paraId="50D3948F" w14:textId="4177E5AB" w:rsidR="00DB0192" w:rsidRDefault="00DB0192" w:rsidP="00D62AC0">
    <w:pPr>
      <w:pStyle w:val="Footer"/>
      <w:jc w:val="right"/>
    </w:pPr>
    <w:r>
      <w:fldChar w:fldCharType="begin"/>
    </w:r>
    <w:r>
      <w:instrText xml:space="preserve"> PAGE   \* MERGEFORMAT </w:instrText>
    </w:r>
    <w:r>
      <w:fldChar w:fldCharType="separate"/>
    </w:r>
    <w:r w:rsidR="00B86969">
      <w:rPr>
        <w:noProof/>
      </w:rPr>
      <w:t>22</w:t>
    </w:r>
    <w:r>
      <w:rPr>
        <w:noProof/>
      </w:rPr>
      <w:fldChar w:fldCharType="end"/>
    </w:r>
  </w:p>
  <w:p w14:paraId="5FF70B69" w14:textId="77777777" w:rsidR="00DB0192" w:rsidRPr="00BB5EAA" w:rsidRDefault="00DB0192" w:rsidP="00D62AC0">
    <w:pPr>
      <w:pStyle w:val="Footer"/>
      <w:ind w:right="360"/>
      <w:jc w:val="center"/>
    </w:pPr>
  </w:p>
  <w:p w14:paraId="237DB6B4" w14:textId="77777777" w:rsidR="00DB0192" w:rsidRDefault="00DB019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19905" w14:textId="649A8FEC" w:rsidR="00DB0192" w:rsidRDefault="00B86969" w:rsidP="00B86969">
    <w:pPr>
      <w:pStyle w:val="Footer"/>
      <w:rPr>
        <w:sz w:val="17"/>
      </w:rPr>
    </w:pPr>
    <w:bookmarkStart w:id="16" w:name="TITUS3FooterPrimary"/>
    <w:r>
      <w:rPr>
        <w:sz w:val="17"/>
      </w:rPr>
      <w:t> </w:t>
    </w:r>
  </w:p>
  <w:bookmarkEnd w:id="16"/>
  <w:p w14:paraId="65E97C5B" w14:textId="77777777" w:rsidR="00DB0192" w:rsidRDefault="00DB0192">
    <w:pPr>
      <w:pStyle w:val="Footer"/>
      <w:jc w:val="right"/>
    </w:pPr>
  </w:p>
  <w:p w14:paraId="13683B3F" w14:textId="0261C7D2" w:rsidR="00DB0192" w:rsidRDefault="00DB0192">
    <w:pPr>
      <w:pStyle w:val="Footer"/>
      <w:jc w:val="right"/>
    </w:pPr>
    <w:r>
      <w:fldChar w:fldCharType="begin"/>
    </w:r>
    <w:r>
      <w:instrText xml:space="preserve"> PAGE   \* MERGEFORMAT </w:instrText>
    </w:r>
    <w:r>
      <w:fldChar w:fldCharType="separate"/>
    </w:r>
    <w:r w:rsidR="00B86969">
      <w:rPr>
        <w:noProof/>
      </w:rPr>
      <w:t>21</w:t>
    </w:r>
    <w:r>
      <w:rPr>
        <w:noProof/>
      </w:rPr>
      <w:fldChar w:fldCharType="end"/>
    </w:r>
  </w:p>
  <w:p w14:paraId="20B59EFB" w14:textId="77777777" w:rsidR="00DB0192" w:rsidRPr="00BB5EAA" w:rsidRDefault="00DB019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CB6408" w14:textId="3C451F97" w:rsidR="00DB0192" w:rsidRDefault="00B86969" w:rsidP="00B86969">
    <w:pPr>
      <w:pStyle w:val="Footer"/>
      <w:rPr>
        <w:sz w:val="17"/>
      </w:rPr>
    </w:pPr>
    <w:bookmarkStart w:id="18" w:name="TITUS3FooterFirstPage"/>
    <w:r>
      <w:rPr>
        <w:sz w:val="17"/>
      </w:rPr>
      <w:t> </w:t>
    </w:r>
  </w:p>
  <w:bookmarkEnd w:id="18"/>
  <w:p w14:paraId="2935604B" w14:textId="77777777" w:rsidR="00DB0192" w:rsidRDefault="00DB0192" w:rsidP="00D62AC0">
    <w:pPr>
      <w:pStyle w:val="Footer"/>
      <w:jc w:val="right"/>
    </w:pPr>
  </w:p>
  <w:p w14:paraId="68C98635" w14:textId="6EA37EA9" w:rsidR="00DB0192" w:rsidRDefault="00DB0192" w:rsidP="00D62AC0">
    <w:pPr>
      <w:pStyle w:val="Footer"/>
      <w:jc w:val="right"/>
    </w:pPr>
    <w:r>
      <w:fldChar w:fldCharType="begin"/>
    </w:r>
    <w:r>
      <w:instrText xml:space="preserve"> PAGE   \* MERGEFORMAT </w:instrText>
    </w:r>
    <w:r>
      <w:fldChar w:fldCharType="separate"/>
    </w:r>
    <w:r w:rsidR="00B86969">
      <w:rPr>
        <w:noProof/>
      </w:rPr>
      <w:t>20</w:t>
    </w:r>
    <w:r>
      <w:rPr>
        <w:noProof/>
      </w:rPr>
      <w:fldChar w:fldCharType="end"/>
    </w:r>
  </w:p>
  <w:p w14:paraId="162E9079" w14:textId="77777777" w:rsidR="00DB0192" w:rsidRPr="00BB5EAA" w:rsidRDefault="00DB0192" w:rsidP="00D62AC0">
    <w:pPr>
      <w:pStyle w:val="Footer"/>
      <w:ind w:right="360"/>
      <w:jc w:val="center"/>
    </w:pPr>
  </w:p>
  <w:p w14:paraId="3DCAEB9A" w14:textId="77777777" w:rsidR="00DB0192" w:rsidRDefault="00DB01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23D7FA" w14:textId="77777777" w:rsidR="00DB0192" w:rsidRDefault="00DB0192">
      <w:r>
        <w:separator/>
      </w:r>
    </w:p>
  </w:footnote>
  <w:footnote w:type="continuationSeparator" w:id="0">
    <w:p w14:paraId="1BF4619E" w14:textId="77777777" w:rsidR="00DB0192" w:rsidRDefault="00DB01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87C31" w14:textId="0B3A05C3" w:rsidR="00DB0192" w:rsidRDefault="00B86969" w:rsidP="00B86969">
    <w:pPr>
      <w:pStyle w:val="Header"/>
      <w:rPr>
        <w:sz w:val="17"/>
      </w:rPr>
    </w:pPr>
    <w:bookmarkStart w:id="0" w:name="TITUS1HeaderEvenPages"/>
    <w:r>
      <w:rPr>
        <w:sz w:val="17"/>
      </w:rPr>
      <w:t> </w:t>
    </w:r>
  </w:p>
  <w:bookmarkEnd w:id="0"/>
  <w:p w14:paraId="0A5E408D" w14:textId="77777777" w:rsidR="00DB0192" w:rsidRDefault="00DB0192" w:rsidP="00C83A4D">
    <w:pPr>
      <w:pStyle w:val="Header"/>
    </w:pPr>
  </w:p>
  <w:p w14:paraId="4E638A1F" w14:textId="77777777" w:rsidR="00DB0192" w:rsidRDefault="00DB01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CBBF8" w14:textId="260B49B5" w:rsidR="00DB0192" w:rsidRDefault="00B86969" w:rsidP="00B86969">
    <w:pPr>
      <w:pStyle w:val="Header"/>
      <w:rPr>
        <w:sz w:val="17"/>
      </w:rPr>
    </w:pPr>
    <w:bookmarkStart w:id="1" w:name="TITUS1HeaderPrimary"/>
    <w:r>
      <w:rPr>
        <w:sz w:val="17"/>
      </w:rPr>
      <w:t> </w:t>
    </w:r>
  </w:p>
  <w:bookmarkEnd w:id="1"/>
  <w:p w14:paraId="6E2C9C7E" w14:textId="77777777" w:rsidR="00DB0192" w:rsidRDefault="00DB01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0E17C3" w14:textId="5BE0B8C6" w:rsidR="00DB0192" w:rsidRDefault="00B86969" w:rsidP="00B86969">
    <w:pPr>
      <w:pStyle w:val="Header"/>
      <w:rPr>
        <w:sz w:val="17"/>
      </w:rPr>
    </w:pPr>
    <w:bookmarkStart w:id="4" w:name="TITUS1HeaderFirstPage"/>
    <w:r>
      <w:rPr>
        <w:sz w:val="17"/>
      </w:rPr>
      <w:t> </w:t>
    </w:r>
  </w:p>
  <w:bookmarkEnd w:id="4"/>
  <w:p w14:paraId="3FE25867" w14:textId="77777777" w:rsidR="00DB0192" w:rsidRDefault="00DB01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1B4C5E" w14:textId="00F4A057" w:rsidR="00DB0192" w:rsidRDefault="00B86969" w:rsidP="00B86969">
    <w:pPr>
      <w:pStyle w:val="Header"/>
      <w:rPr>
        <w:sz w:val="17"/>
      </w:rPr>
    </w:pPr>
    <w:bookmarkStart w:id="6" w:name="TITUS2HeaderEvenPages"/>
    <w:r>
      <w:rPr>
        <w:sz w:val="17"/>
      </w:rPr>
      <w:t> </w:t>
    </w:r>
  </w:p>
  <w:bookmarkEnd w:id="6"/>
  <w:p w14:paraId="5AB7B9AB" w14:textId="77777777" w:rsidR="00DB0192" w:rsidRDefault="00DB0192" w:rsidP="00D62AC0">
    <w:pPr>
      <w:pStyle w:val="Header"/>
    </w:pPr>
  </w:p>
  <w:p w14:paraId="33918F8D" w14:textId="77777777" w:rsidR="00DB0192" w:rsidRDefault="00DB019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108ED" w14:textId="13A71076" w:rsidR="00DB0192" w:rsidRDefault="00B86969" w:rsidP="00B86969">
    <w:pPr>
      <w:pStyle w:val="Header"/>
      <w:rPr>
        <w:sz w:val="17"/>
      </w:rPr>
    </w:pPr>
    <w:bookmarkStart w:id="7" w:name="TITUS2HeaderPrimary"/>
    <w:r>
      <w:rPr>
        <w:sz w:val="17"/>
      </w:rPr>
      <w:t> </w:t>
    </w:r>
  </w:p>
  <w:bookmarkEnd w:id="7"/>
  <w:p w14:paraId="7A4E1D45" w14:textId="77777777" w:rsidR="00DB0192" w:rsidRDefault="00DB019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F3FA73" w14:textId="3A9E3169" w:rsidR="00DB0192" w:rsidRDefault="00B86969" w:rsidP="00B86969">
    <w:pPr>
      <w:pStyle w:val="Header"/>
      <w:rPr>
        <w:sz w:val="17"/>
      </w:rPr>
    </w:pPr>
    <w:bookmarkStart w:id="10" w:name="TITUS2HeaderFirstPage"/>
    <w:r>
      <w:rPr>
        <w:sz w:val="17"/>
      </w:rPr>
      <w:t> </w:t>
    </w:r>
  </w:p>
  <w:bookmarkEnd w:id="10"/>
  <w:p w14:paraId="54FB50C5" w14:textId="77777777" w:rsidR="00DB0192" w:rsidRDefault="00DB0192" w:rsidP="00D62AC0">
    <w:pPr>
      <w:pStyle w:val="Header"/>
    </w:pPr>
  </w:p>
  <w:p w14:paraId="2C5E7BFC" w14:textId="77777777" w:rsidR="00DB0192" w:rsidRDefault="00DB019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2B5445" w14:textId="3DD1697D" w:rsidR="00DB0192" w:rsidRDefault="00B86969" w:rsidP="00B86969">
    <w:pPr>
      <w:pStyle w:val="Header"/>
      <w:rPr>
        <w:sz w:val="17"/>
      </w:rPr>
    </w:pPr>
    <w:bookmarkStart w:id="13" w:name="TITUS3HeaderEvenPages"/>
    <w:r>
      <w:rPr>
        <w:sz w:val="17"/>
      </w:rPr>
      <w:t> </w:t>
    </w:r>
  </w:p>
  <w:bookmarkEnd w:id="13"/>
  <w:p w14:paraId="3D891A5C" w14:textId="77777777" w:rsidR="00DB0192" w:rsidRDefault="00DB0192" w:rsidP="00D62AC0">
    <w:pPr>
      <w:pStyle w:val="Header"/>
    </w:pPr>
  </w:p>
  <w:p w14:paraId="174CAA1E" w14:textId="77777777" w:rsidR="00DB0192" w:rsidRDefault="00DB019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378A21" w14:textId="5EDEA67D" w:rsidR="00DB0192" w:rsidRDefault="00B86969" w:rsidP="00B86969">
    <w:pPr>
      <w:pStyle w:val="Header"/>
      <w:rPr>
        <w:sz w:val="17"/>
      </w:rPr>
    </w:pPr>
    <w:bookmarkStart w:id="14" w:name="TITUS3HeaderPrimary"/>
    <w:r>
      <w:rPr>
        <w:sz w:val="17"/>
      </w:rPr>
      <w:t> </w:t>
    </w:r>
  </w:p>
  <w:bookmarkEnd w:id="14"/>
  <w:p w14:paraId="24BF5F2A" w14:textId="77777777" w:rsidR="00DB0192" w:rsidRDefault="00DB019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59E4B" w14:textId="76A73F73" w:rsidR="00DB0192" w:rsidRDefault="00B86969" w:rsidP="00B86969">
    <w:pPr>
      <w:pStyle w:val="Header"/>
      <w:rPr>
        <w:sz w:val="17"/>
      </w:rPr>
    </w:pPr>
    <w:bookmarkStart w:id="17" w:name="TITUS3HeaderFirstPage"/>
    <w:r>
      <w:rPr>
        <w:sz w:val="17"/>
      </w:rPr>
      <w:t> </w:t>
    </w:r>
  </w:p>
  <w:bookmarkEnd w:id="17"/>
  <w:p w14:paraId="58A4E7CD" w14:textId="77777777" w:rsidR="00DB0192" w:rsidRDefault="00DB0192" w:rsidP="00D62AC0">
    <w:pPr>
      <w:pStyle w:val="Header"/>
    </w:pPr>
  </w:p>
  <w:p w14:paraId="29449A17" w14:textId="77777777" w:rsidR="00DB0192" w:rsidRDefault="00DB01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94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06C"/>
    <w:rsid w:val="00020EEC"/>
    <w:rsid w:val="00025650"/>
    <w:rsid w:val="00026FAB"/>
    <w:rsid w:val="00027B1F"/>
    <w:rsid w:val="000305FC"/>
    <w:rsid w:val="0003088B"/>
    <w:rsid w:val="000325D9"/>
    <w:rsid w:val="000372B2"/>
    <w:rsid w:val="0004079F"/>
    <w:rsid w:val="00043328"/>
    <w:rsid w:val="00044A55"/>
    <w:rsid w:val="00045B87"/>
    <w:rsid w:val="00045C07"/>
    <w:rsid w:val="00055D43"/>
    <w:rsid w:val="00056FAC"/>
    <w:rsid w:val="00057751"/>
    <w:rsid w:val="00062E39"/>
    <w:rsid w:val="00077A86"/>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B6AC6"/>
    <w:rsid w:val="000C378F"/>
    <w:rsid w:val="000C6892"/>
    <w:rsid w:val="000C6FFE"/>
    <w:rsid w:val="000D0BB6"/>
    <w:rsid w:val="000E26B0"/>
    <w:rsid w:val="000E7D78"/>
    <w:rsid w:val="000F0E5C"/>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63814"/>
    <w:rsid w:val="00167893"/>
    <w:rsid w:val="00171418"/>
    <w:rsid w:val="00185E17"/>
    <w:rsid w:val="00190913"/>
    <w:rsid w:val="001961CF"/>
    <w:rsid w:val="001A59BB"/>
    <w:rsid w:val="001A6A51"/>
    <w:rsid w:val="001A79C4"/>
    <w:rsid w:val="001B331A"/>
    <w:rsid w:val="001B3570"/>
    <w:rsid w:val="001C0E74"/>
    <w:rsid w:val="001C1578"/>
    <w:rsid w:val="001C321F"/>
    <w:rsid w:val="001C6CEC"/>
    <w:rsid w:val="001D229F"/>
    <w:rsid w:val="001D4731"/>
    <w:rsid w:val="001D6162"/>
    <w:rsid w:val="001E7592"/>
    <w:rsid w:val="001F3878"/>
    <w:rsid w:val="001F4552"/>
    <w:rsid w:val="001F5F43"/>
    <w:rsid w:val="001F726F"/>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458"/>
    <w:rsid w:val="00260CE8"/>
    <w:rsid w:val="0026469D"/>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2110"/>
    <w:rsid w:val="00294868"/>
    <w:rsid w:val="00294961"/>
    <w:rsid w:val="00295CA1"/>
    <w:rsid w:val="00297066"/>
    <w:rsid w:val="002A291A"/>
    <w:rsid w:val="002A5604"/>
    <w:rsid w:val="002B1701"/>
    <w:rsid w:val="002B1736"/>
    <w:rsid w:val="002B23C3"/>
    <w:rsid w:val="002B443A"/>
    <w:rsid w:val="002B5B35"/>
    <w:rsid w:val="002C256A"/>
    <w:rsid w:val="002C496D"/>
    <w:rsid w:val="002D05EB"/>
    <w:rsid w:val="002D2F29"/>
    <w:rsid w:val="002D2FD3"/>
    <w:rsid w:val="002E3F6C"/>
    <w:rsid w:val="002E58E7"/>
    <w:rsid w:val="002E7017"/>
    <w:rsid w:val="002F4F6E"/>
    <w:rsid w:val="003015C3"/>
    <w:rsid w:val="003036AD"/>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2C23"/>
    <w:rsid w:val="0039762B"/>
    <w:rsid w:val="003A0C37"/>
    <w:rsid w:val="003A1B6B"/>
    <w:rsid w:val="003A21CE"/>
    <w:rsid w:val="003A2F82"/>
    <w:rsid w:val="003A46C0"/>
    <w:rsid w:val="003A600E"/>
    <w:rsid w:val="003A6513"/>
    <w:rsid w:val="003B16C7"/>
    <w:rsid w:val="003B3D7A"/>
    <w:rsid w:val="003C19F1"/>
    <w:rsid w:val="003C4186"/>
    <w:rsid w:val="003C458C"/>
    <w:rsid w:val="003C6185"/>
    <w:rsid w:val="003D0D2D"/>
    <w:rsid w:val="003D34AC"/>
    <w:rsid w:val="003D4710"/>
    <w:rsid w:val="003D655D"/>
    <w:rsid w:val="003E16D7"/>
    <w:rsid w:val="003E197E"/>
    <w:rsid w:val="004046F0"/>
    <w:rsid w:val="0040668F"/>
    <w:rsid w:val="00412677"/>
    <w:rsid w:val="00417925"/>
    <w:rsid w:val="004212E6"/>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6E45"/>
    <w:rsid w:val="004911B4"/>
    <w:rsid w:val="0049196A"/>
    <w:rsid w:val="004923DA"/>
    <w:rsid w:val="00493434"/>
    <w:rsid w:val="004962F9"/>
    <w:rsid w:val="004968E2"/>
    <w:rsid w:val="004A2A49"/>
    <w:rsid w:val="004B38E7"/>
    <w:rsid w:val="004B600B"/>
    <w:rsid w:val="004B63EC"/>
    <w:rsid w:val="004B6822"/>
    <w:rsid w:val="004B69F6"/>
    <w:rsid w:val="004C2D3A"/>
    <w:rsid w:val="004C321F"/>
    <w:rsid w:val="004D03C4"/>
    <w:rsid w:val="004D0BF1"/>
    <w:rsid w:val="004D24D2"/>
    <w:rsid w:val="004D35A4"/>
    <w:rsid w:val="004D445F"/>
    <w:rsid w:val="004D5AB8"/>
    <w:rsid w:val="004E087B"/>
    <w:rsid w:val="004E44A4"/>
    <w:rsid w:val="004E7B8B"/>
    <w:rsid w:val="004E7BDD"/>
    <w:rsid w:val="004F1E21"/>
    <w:rsid w:val="004F740D"/>
    <w:rsid w:val="004F7B8F"/>
    <w:rsid w:val="00500748"/>
    <w:rsid w:val="005011D6"/>
    <w:rsid w:val="0050167A"/>
    <w:rsid w:val="005042F1"/>
    <w:rsid w:val="005062DE"/>
    <w:rsid w:val="005117E4"/>
    <w:rsid w:val="00513C7D"/>
    <w:rsid w:val="005169D1"/>
    <w:rsid w:val="00521123"/>
    <w:rsid w:val="00521221"/>
    <w:rsid w:val="005368D7"/>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40B5"/>
    <w:rsid w:val="00586D89"/>
    <w:rsid w:val="005916B8"/>
    <w:rsid w:val="005971C0"/>
    <w:rsid w:val="005A1B4C"/>
    <w:rsid w:val="005A1BA3"/>
    <w:rsid w:val="005A545C"/>
    <w:rsid w:val="005B1CF8"/>
    <w:rsid w:val="005B69F6"/>
    <w:rsid w:val="005C1567"/>
    <w:rsid w:val="005C18CF"/>
    <w:rsid w:val="005C6CE5"/>
    <w:rsid w:val="005D1743"/>
    <w:rsid w:val="005D2A9A"/>
    <w:rsid w:val="005D3F07"/>
    <w:rsid w:val="005D583E"/>
    <w:rsid w:val="005E13EA"/>
    <w:rsid w:val="005E2CAC"/>
    <w:rsid w:val="005E53BD"/>
    <w:rsid w:val="00606E27"/>
    <w:rsid w:val="006108C9"/>
    <w:rsid w:val="00615C7E"/>
    <w:rsid w:val="0062158D"/>
    <w:rsid w:val="006218FE"/>
    <w:rsid w:val="00630F39"/>
    <w:rsid w:val="006326D1"/>
    <w:rsid w:val="00632E0A"/>
    <w:rsid w:val="00633165"/>
    <w:rsid w:val="00636B6C"/>
    <w:rsid w:val="00641BE7"/>
    <w:rsid w:val="006447DE"/>
    <w:rsid w:val="0065276E"/>
    <w:rsid w:val="00654329"/>
    <w:rsid w:val="00654CEC"/>
    <w:rsid w:val="00655507"/>
    <w:rsid w:val="00656D91"/>
    <w:rsid w:val="006712A7"/>
    <w:rsid w:val="006733CC"/>
    <w:rsid w:val="00674FC2"/>
    <w:rsid w:val="00677E42"/>
    <w:rsid w:val="00682334"/>
    <w:rsid w:val="00684B16"/>
    <w:rsid w:val="006870CB"/>
    <w:rsid w:val="00690C40"/>
    <w:rsid w:val="00694C00"/>
    <w:rsid w:val="00694C08"/>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164C"/>
    <w:rsid w:val="0072520D"/>
    <w:rsid w:val="0072678F"/>
    <w:rsid w:val="00727C4C"/>
    <w:rsid w:val="00733908"/>
    <w:rsid w:val="00734809"/>
    <w:rsid w:val="007406E1"/>
    <w:rsid w:val="00743E40"/>
    <w:rsid w:val="00751263"/>
    <w:rsid w:val="0075704F"/>
    <w:rsid w:val="00763B2D"/>
    <w:rsid w:val="00772924"/>
    <w:rsid w:val="00784EC4"/>
    <w:rsid w:val="007872F2"/>
    <w:rsid w:val="00787331"/>
    <w:rsid w:val="007874BC"/>
    <w:rsid w:val="007908E0"/>
    <w:rsid w:val="00793EB3"/>
    <w:rsid w:val="00794205"/>
    <w:rsid w:val="00797012"/>
    <w:rsid w:val="007A1F6A"/>
    <w:rsid w:val="007B0DE3"/>
    <w:rsid w:val="007B491F"/>
    <w:rsid w:val="007B531F"/>
    <w:rsid w:val="007B5CB2"/>
    <w:rsid w:val="007B7191"/>
    <w:rsid w:val="007C1634"/>
    <w:rsid w:val="007C1D94"/>
    <w:rsid w:val="007C2879"/>
    <w:rsid w:val="007C493A"/>
    <w:rsid w:val="007C6A87"/>
    <w:rsid w:val="007C705D"/>
    <w:rsid w:val="007D0A07"/>
    <w:rsid w:val="007D0C96"/>
    <w:rsid w:val="007D133D"/>
    <w:rsid w:val="007D3EB4"/>
    <w:rsid w:val="007D3F16"/>
    <w:rsid w:val="007D78CC"/>
    <w:rsid w:val="007E2846"/>
    <w:rsid w:val="007E4FC2"/>
    <w:rsid w:val="007F307C"/>
    <w:rsid w:val="007F335C"/>
    <w:rsid w:val="007F3F7E"/>
    <w:rsid w:val="007F5497"/>
    <w:rsid w:val="00800668"/>
    <w:rsid w:val="00804BB6"/>
    <w:rsid w:val="00813CEC"/>
    <w:rsid w:val="0081534C"/>
    <w:rsid w:val="008171E4"/>
    <w:rsid w:val="008208EA"/>
    <w:rsid w:val="00820B00"/>
    <w:rsid w:val="00824D78"/>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4DAF"/>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6785"/>
    <w:rsid w:val="009079BD"/>
    <w:rsid w:val="00912BD9"/>
    <w:rsid w:val="0091612D"/>
    <w:rsid w:val="00920E5B"/>
    <w:rsid w:val="00926436"/>
    <w:rsid w:val="00927919"/>
    <w:rsid w:val="0093018C"/>
    <w:rsid w:val="009329B0"/>
    <w:rsid w:val="00932CCA"/>
    <w:rsid w:val="00953E15"/>
    <w:rsid w:val="009544C0"/>
    <w:rsid w:val="00954FA4"/>
    <w:rsid w:val="00956AE9"/>
    <w:rsid w:val="0096106E"/>
    <w:rsid w:val="00964CC6"/>
    <w:rsid w:val="0096706C"/>
    <w:rsid w:val="00973F2E"/>
    <w:rsid w:val="00987EFE"/>
    <w:rsid w:val="00991FDA"/>
    <w:rsid w:val="009927A1"/>
    <w:rsid w:val="0099774D"/>
    <w:rsid w:val="009A5F3B"/>
    <w:rsid w:val="009B0B61"/>
    <w:rsid w:val="009B28C0"/>
    <w:rsid w:val="009B7136"/>
    <w:rsid w:val="009B7806"/>
    <w:rsid w:val="009C28F6"/>
    <w:rsid w:val="009C3AC2"/>
    <w:rsid w:val="009D4365"/>
    <w:rsid w:val="009D4E3B"/>
    <w:rsid w:val="009D7BC9"/>
    <w:rsid w:val="009E0C5A"/>
    <w:rsid w:val="009E1982"/>
    <w:rsid w:val="009E4D2C"/>
    <w:rsid w:val="009E58D8"/>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478"/>
    <w:rsid w:val="00A50CFC"/>
    <w:rsid w:val="00A515D5"/>
    <w:rsid w:val="00A54D67"/>
    <w:rsid w:val="00A55A3F"/>
    <w:rsid w:val="00A56BC4"/>
    <w:rsid w:val="00A652F6"/>
    <w:rsid w:val="00A732EA"/>
    <w:rsid w:val="00A7489E"/>
    <w:rsid w:val="00A8015F"/>
    <w:rsid w:val="00A80BD2"/>
    <w:rsid w:val="00A82DF4"/>
    <w:rsid w:val="00A839DB"/>
    <w:rsid w:val="00A85039"/>
    <w:rsid w:val="00A851F7"/>
    <w:rsid w:val="00A906AA"/>
    <w:rsid w:val="00A94C5E"/>
    <w:rsid w:val="00AA241A"/>
    <w:rsid w:val="00AA252C"/>
    <w:rsid w:val="00AA4247"/>
    <w:rsid w:val="00AA666E"/>
    <w:rsid w:val="00AB5518"/>
    <w:rsid w:val="00AC01D4"/>
    <w:rsid w:val="00AC4A04"/>
    <w:rsid w:val="00AC5B9E"/>
    <w:rsid w:val="00AD336F"/>
    <w:rsid w:val="00AD3550"/>
    <w:rsid w:val="00AD4DB4"/>
    <w:rsid w:val="00AE0380"/>
    <w:rsid w:val="00AE2564"/>
    <w:rsid w:val="00AE2FD0"/>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6903"/>
    <w:rsid w:val="00B47734"/>
    <w:rsid w:val="00B50FBA"/>
    <w:rsid w:val="00B558EB"/>
    <w:rsid w:val="00B577D3"/>
    <w:rsid w:val="00B60466"/>
    <w:rsid w:val="00B6548F"/>
    <w:rsid w:val="00B7502A"/>
    <w:rsid w:val="00B77305"/>
    <w:rsid w:val="00B82CC2"/>
    <w:rsid w:val="00B84A89"/>
    <w:rsid w:val="00B86969"/>
    <w:rsid w:val="00B92BEF"/>
    <w:rsid w:val="00B9689A"/>
    <w:rsid w:val="00BA16A7"/>
    <w:rsid w:val="00BA1FFA"/>
    <w:rsid w:val="00BA358B"/>
    <w:rsid w:val="00BA4BCA"/>
    <w:rsid w:val="00BA7C95"/>
    <w:rsid w:val="00BA7FF1"/>
    <w:rsid w:val="00BB06CB"/>
    <w:rsid w:val="00BB261F"/>
    <w:rsid w:val="00BB2887"/>
    <w:rsid w:val="00BB5EAA"/>
    <w:rsid w:val="00BB5F11"/>
    <w:rsid w:val="00BC0401"/>
    <w:rsid w:val="00BC04FA"/>
    <w:rsid w:val="00BC1C22"/>
    <w:rsid w:val="00BC31B1"/>
    <w:rsid w:val="00BC460B"/>
    <w:rsid w:val="00BC5725"/>
    <w:rsid w:val="00BD089A"/>
    <w:rsid w:val="00BD30B1"/>
    <w:rsid w:val="00BE0F7B"/>
    <w:rsid w:val="00BE10C2"/>
    <w:rsid w:val="00BE4E31"/>
    <w:rsid w:val="00C01D14"/>
    <w:rsid w:val="00C025B4"/>
    <w:rsid w:val="00C11F61"/>
    <w:rsid w:val="00C146DC"/>
    <w:rsid w:val="00C161FD"/>
    <w:rsid w:val="00C1665A"/>
    <w:rsid w:val="00C171FC"/>
    <w:rsid w:val="00C23F17"/>
    <w:rsid w:val="00C26D0D"/>
    <w:rsid w:val="00C275B5"/>
    <w:rsid w:val="00C27C95"/>
    <w:rsid w:val="00C300D2"/>
    <w:rsid w:val="00C3270F"/>
    <w:rsid w:val="00C3278B"/>
    <w:rsid w:val="00C33375"/>
    <w:rsid w:val="00C34A61"/>
    <w:rsid w:val="00C34C23"/>
    <w:rsid w:val="00C42005"/>
    <w:rsid w:val="00C44446"/>
    <w:rsid w:val="00C4664D"/>
    <w:rsid w:val="00C472AA"/>
    <w:rsid w:val="00C50A05"/>
    <w:rsid w:val="00C51E29"/>
    <w:rsid w:val="00C54AED"/>
    <w:rsid w:val="00C55B2F"/>
    <w:rsid w:val="00C63D00"/>
    <w:rsid w:val="00C6441B"/>
    <w:rsid w:val="00C657F6"/>
    <w:rsid w:val="00C7108B"/>
    <w:rsid w:val="00C8089F"/>
    <w:rsid w:val="00C836CC"/>
    <w:rsid w:val="00C83A4D"/>
    <w:rsid w:val="00C87A74"/>
    <w:rsid w:val="00C90A71"/>
    <w:rsid w:val="00C91574"/>
    <w:rsid w:val="00C91BC2"/>
    <w:rsid w:val="00C92C71"/>
    <w:rsid w:val="00C93F8F"/>
    <w:rsid w:val="00CA1286"/>
    <w:rsid w:val="00CA2745"/>
    <w:rsid w:val="00CA3593"/>
    <w:rsid w:val="00CA5754"/>
    <w:rsid w:val="00CA7F4F"/>
    <w:rsid w:val="00CB258E"/>
    <w:rsid w:val="00CB3C8F"/>
    <w:rsid w:val="00CB6696"/>
    <w:rsid w:val="00CB75CE"/>
    <w:rsid w:val="00CC02F1"/>
    <w:rsid w:val="00CC11A6"/>
    <w:rsid w:val="00CC135E"/>
    <w:rsid w:val="00CC2F8D"/>
    <w:rsid w:val="00CC6C76"/>
    <w:rsid w:val="00CD5D3F"/>
    <w:rsid w:val="00CF1E90"/>
    <w:rsid w:val="00CF3DB3"/>
    <w:rsid w:val="00D052BC"/>
    <w:rsid w:val="00D07026"/>
    <w:rsid w:val="00D10419"/>
    <w:rsid w:val="00D11C62"/>
    <w:rsid w:val="00D22C8F"/>
    <w:rsid w:val="00D27C77"/>
    <w:rsid w:val="00D33491"/>
    <w:rsid w:val="00D42EC8"/>
    <w:rsid w:val="00D44F8E"/>
    <w:rsid w:val="00D44FD0"/>
    <w:rsid w:val="00D55DFE"/>
    <w:rsid w:val="00D5733C"/>
    <w:rsid w:val="00D607EF"/>
    <w:rsid w:val="00D60F88"/>
    <w:rsid w:val="00D625E7"/>
    <w:rsid w:val="00D62AC0"/>
    <w:rsid w:val="00D646BD"/>
    <w:rsid w:val="00D70239"/>
    <w:rsid w:val="00D71201"/>
    <w:rsid w:val="00D720C7"/>
    <w:rsid w:val="00D73A26"/>
    <w:rsid w:val="00D77A04"/>
    <w:rsid w:val="00D81D06"/>
    <w:rsid w:val="00D8652C"/>
    <w:rsid w:val="00D876E6"/>
    <w:rsid w:val="00DA0303"/>
    <w:rsid w:val="00DA1025"/>
    <w:rsid w:val="00DA22EC"/>
    <w:rsid w:val="00DA5860"/>
    <w:rsid w:val="00DB0192"/>
    <w:rsid w:val="00DB0CD9"/>
    <w:rsid w:val="00DB2767"/>
    <w:rsid w:val="00DC103B"/>
    <w:rsid w:val="00DC4729"/>
    <w:rsid w:val="00DD7FFD"/>
    <w:rsid w:val="00DE556F"/>
    <w:rsid w:val="00DF4CF5"/>
    <w:rsid w:val="00DF67C0"/>
    <w:rsid w:val="00E03B6D"/>
    <w:rsid w:val="00E17160"/>
    <w:rsid w:val="00E27E98"/>
    <w:rsid w:val="00E34061"/>
    <w:rsid w:val="00E35BEC"/>
    <w:rsid w:val="00E413CE"/>
    <w:rsid w:val="00E43110"/>
    <w:rsid w:val="00E50821"/>
    <w:rsid w:val="00E50EF8"/>
    <w:rsid w:val="00E50F95"/>
    <w:rsid w:val="00E51F91"/>
    <w:rsid w:val="00E530DC"/>
    <w:rsid w:val="00E57B0A"/>
    <w:rsid w:val="00E63F63"/>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2DA0"/>
    <w:rsid w:val="00EB3E2F"/>
    <w:rsid w:val="00EB62E6"/>
    <w:rsid w:val="00ED1B30"/>
    <w:rsid w:val="00ED250E"/>
    <w:rsid w:val="00ED6535"/>
    <w:rsid w:val="00EE151C"/>
    <w:rsid w:val="00EE1AC1"/>
    <w:rsid w:val="00EE39D6"/>
    <w:rsid w:val="00EE413C"/>
    <w:rsid w:val="00EE52AD"/>
    <w:rsid w:val="00EE56FD"/>
    <w:rsid w:val="00F01F92"/>
    <w:rsid w:val="00F0555B"/>
    <w:rsid w:val="00F10A08"/>
    <w:rsid w:val="00F139CF"/>
    <w:rsid w:val="00F22AC5"/>
    <w:rsid w:val="00F254D1"/>
    <w:rsid w:val="00F26BD0"/>
    <w:rsid w:val="00F32664"/>
    <w:rsid w:val="00F32B82"/>
    <w:rsid w:val="00F4043E"/>
    <w:rsid w:val="00F40CB5"/>
    <w:rsid w:val="00F41BBC"/>
    <w:rsid w:val="00F43B9D"/>
    <w:rsid w:val="00F4446A"/>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6074"/>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7"/>
    <o:shapelayout v:ext="edit">
      <o:idmap v:ext="edit" data="1"/>
    </o:shapelayout>
  </w:shapeDefaults>
  <w:decimalSymbol w:val="."/>
  <w:listSeparator w:val=","/>
  <w14:docId w14:val="4B4DBC44"/>
  <w15:chartTrackingRefBased/>
  <w15:docId w15:val="{BCA36F85-EE3C-450C-91A0-5695BC698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B86969"/>
    <w:rPr>
      <w:rFonts w:ascii="Arial" w:hAnsi="Arial" w:cs="Arial"/>
      <w:b/>
      <w:color w:val="000000"/>
      <w:kern w:val="28"/>
      <w:sz w:val="28"/>
      <w:lang w:eastAsia="en-GB"/>
    </w:rPr>
  </w:style>
  <w:style w:type="paragraph" w:styleId="Bibliography">
    <w:name w:val="Bibliography"/>
    <w:basedOn w:val="Normal"/>
    <w:next w:val="Normal"/>
    <w:uiPriority w:val="37"/>
    <w:unhideWhenUsed/>
    <w:rsid w:val="00B86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05096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4637540">
      <w:bodyDiv w:val="1"/>
      <w:marLeft w:val="0"/>
      <w:marRight w:val="0"/>
      <w:marTop w:val="0"/>
      <w:marBottom w:val="0"/>
      <w:divBdr>
        <w:top w:val="none" w:sz="0" w:space="0" w:color="auto"/>
        <w:left w:val="none" w:sz="0" w:space="0" w:color="auto"/>
        <w:bottom w:val="none" w:sz="0" w:space="0" w:color="auto"/>
        <w:right w:val="none" w:sz="0" w:space="0" w:color="auto"/>
      </w:divBdr>
    </w:div>
    <w:div w:id="13476227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8949838">
      <w:bodyDiv w:val="1"/>
      <w:marLeft w:val="0"/>
      <w:marRight w:val="0"/>
      <w:marTop w:val="0"/>
      <w:marBottom w:val="0"/>
      <w:divBdr>
        <w:top w:val="none" w:sz="0" w:space="0" w:color="auto"/>
        <w:left w:val="none" w:sz="0" w:space="0" w:color="auto"/>
        <w:bottom w:val="none" w:sz="0" w:space="0" w:color="auto"/>
        <w:right w:val="none" w:sz="0" w:space="0" w:color="auto"/>
      </w:divBdr>
    </w:div>
    <w:div w:id="286863772">
      <w:bodyDiv w:val="1"/>
      <w:marLeft w:val="0"/>
      <w:marRight w:val="0"/>
      <w:marTop w:val="0"/>
      <w:marBottom w:val="0"/>
      <w:divBdr>
        <w:top w:val="none" w:sz="0" w:space="0" w:color="auto"/>
        <w:left w:val="none" w:sz="0" w:space="0" w:color="auto"/>
        <w:bottom w:val="none" w:sz="0" w:space="0" w:color="auto"/>
        <w:right w:val="none" w:sz="0" w:space="0" w:color="auto"/>
      </w:divBdr>
    </w:div>
    <w:div w:id="32828803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5912782">
      <w:bodyDiv w:val="1"/>
      <w:marLeft w:val="0"/>
      <w:marRight w:val="0"/>
      <w:marTop w:val="0"/>
      <w:marBottom w:val="0"/>
      <w:divBdr>
        <w:top w:val="none" w:sz="0" w:space="0" w:color="auto"/>
        <w:left w:val="none" w:sz="0" w:space="0" w:color="auto"/>
        <w:bottom w:val="none" w:sz="0" w:space="0" w:color="auto"/>
        <w:right w:val="none" w:sz="0" w:space="0" w:color="auto"/>
      </w:divBdr>
    </w:div>
    <w:div w:id="367948867">
      <w:bodyDiv w:val="1"/>
      <w:marLeft w:val="0"/>
      <w:marRight w:val="0"/>
      <w:marTop w:val="0"/>
      <w:marBottom w:val="0"/>
      <w:divBdr>
        <w:top w:val="none" w:sz="0" w:space="0" w:color="auto"/>
        <w:left w:val="none" w:sz="0" w:space="0" w:color="auto"/>
        <w:bottom w:val="none" w:sz="0" w:space="0" w:color="auto"/>
        <w:right w:val="none" w:sz="0" w:space="0" w:color="auto"/>
      </w:divBdr>
    </w:div>
    <w:div w:id="376246515">
      <w:bodyDiv w:val="1"/>
      <w:marLeft w:val="0"/>
      <w:marRight w:val="0"/>
      <w:marTop w:val="0"/>
      <w:marBottom w:val="0"/>
      <w:divBdr>
        <w:top w:val="none" w:sz="0" w:space="0" w:color="auto"/>
        <w:left w:val="none" w:sz="0" w:space="0" w:color="auto"/>
        <w:bottom w:val="none" w:sz="0" w:space="0" w:color="auto"/>
        <w:right w:val="none" w:sz="0" w:space="0" w:color="auto"/>
      </w:divBdr>
    </w:div>
    <w:div w:id="428358219">
      <w:bodyDiv w:val="1"/>
      <w:marLeft w:val="0"/>
      <w:marRight w:val="0"/>
      <w:marTop w:val="0"/>
      <w:marBottom w:val="0"/>
      <w:divBdr>
        <w:top w:val="none" w:sz="0" w:space="0" w:color="auto"/>
        <w:left w:val="none" w:sz="0" w:space="0" w:color="auto"/>
        <w:bottom w:val="none" w:sz="0" w:space="0" w:color="auto"/>
        <w:right w:val="none" w:sz="0" w:space="0" w:color="auto"/>
      </w:divBdr>
    </w:div>
    <w:div w:id="43536940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967516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281903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6063754">
      <w:bodyDiv w:val="1"/>
      <w:marLeft w:val="0"/>
      <w:marRight w:val="0"/>
      <w:marTop w:val="0"/>
      <w:marBottom w:val="0"/>
      <w:divBdr>
        <w:top w:val="none" w:sz="0" w:space="0" w:color="auto"/>
        <w:left w:val="none" w:sz="0" w:space="0" w:color="auto"/>
        <w:bottom w:val="none" w:sz="0" w:space="0" w:color="auto"/>
        <w:right w:val="none" w:sz="0" w:space="0" w:color="auto"/>
      </w:divBdr>
    </w:div>
    <w:div w:id="903105125">
      <w:bodyDiv w:val="1"/>
      <w:marLeft w:val="0"/>
      <w:marRight w:val="0"/>
      <w:marTop w:val="0"/>
      <w:marBottom w:val="0"/>
      <w:divBdr>
        <w:top w:val="none" w:sz="0" w:space="0" w:color="auto"/>
        <w:left w:val="none" w:sz="0" w:space="0" w:color="auto"/>
        <w:bottom w:val="none" w:sz="0" w:space="0" w:color="auto"/>
        <w:right w:val="none" w:sz="0" w:space="0" w:color="auto"/>
      </w:divBdr>
    </w:div>
    <w:div w:id="981156848">
      <w:bodyDiv w:val="1"/>
      <w:marLeft w:val="0"/>
      <w:marRight w:val="0"/>
      <w:marTop w:val="0"/>
      <w:marBottom w:val="0"/>
      <w:divBdr>
        <w:top w:val="none" w:sz="0" w:space="0" w:color="auto"/>
        <w:left w:val="none" w:sz="0" w:space="0" w:color="auto"/>
        <w:bottom w:val="none" w:sz="0" w:space="0" w:color="auto"/>
        <w:right w:val="none" w:sz="0" w:space="0" w:color="auto"/>
      </w:divBdr>
    </w:div>
    <w:div w:id="996804988">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888848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422768">
      <w:bodyDiv w:val="1"/>
      <w:marLeft w:val="0"/>
      <w:marRight w:val="0"/>
      <w:marTop w:val="0"/>
      <w:marBottom w:val="0"/>
      <w:divBdr>
        <w:top w:val="none" w:sz="0" w:space="0" w:color="auto"/>
        <w:left w:val="none" w:sz="0" w:space="0" w:color="auto"/>
        <w:bottom w:val="none" w:sz="0" w:space="0" w:color="auto"/>
        <w:right w:val="none" w:sz="0" w:space="0" w:color="auto"/>
      </w:divBdr>
    </w:div>
    <w:div w:id="1109854580">
      <w:bodyDiv w:val="1"/>
      <w:marLeft w:val="0"/>
      <w:marRight w:val="0"/>
      <w:marTop w:val="0"/>
      <w:marBottom w:val="0"/>
      <w:divBdr>
        <w:top w:val="none" w:sz="0" w:space="0" w:color="auto"/>
        <w:left w:val="none" w:sz="0" w:space="0" w:color="auto"/>
        <w:bottom w:val="none" w:sz="0" w:space="0" w:color="auto"/>
        <w:right w:val="none" w:sz="0" w:space="0" w:color="auto"/>
      </w:divBdr>
    </w:div>
    <w:div w:id="111289659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989725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360654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9452298">
      <w:bodyDiv w:val="1"/>
      <w:marLeft w:val="0"/>
      <w:marRight w:val="0"/>
      <w:marTop w:val="0"/>
      <w:marBottom w:val="0"/>
      <w:divBdr>
        <w:top w:val="none" w:sz="0" w:space="0" w:color="auto"/>
        <w:left w:val="none" w:sz="0" w:space="0" w:color="auto"/>
        <w:bottom w:val="none" w:sz="0" w:space="0" w:color="auto"/>
        <w:right w:val="none" w:sz="0" w:space="0" w:color="auto"/>
      </w:divBdr>
    </w:div>
    <w:div w:id="1374387143">
      <w:bodyDiv w:val="1"/>
      <w:marLeft w:val="0"/>
      <w:marRight w:val="0"/>
      <w:marTop w:val="0"/>
      <w:marBottom w:val="0"/>
      <w:divBdr>
        <w:top w:val="none" w:sz="0" w:space="0" w:color="auto"/>
        <w:left w:val="none" w:sz="0" w:space="0" w:color="auto"/>
        <w:bottom w:val="none" w:sz="0" w:space="0" w:color="auto"/>
        <w:right w:val="none" w:sz="0" w:space="0" w:color="auto"/>
      </w:divBdr>
    </w:div>
    <w:div w:id="1389498822">
      <w:bodyDiv w:val="1"/>
      <w:marLeft w:val="0"/>
      <w:marRight w:val="0"/>
      <w:marTop w:val="0"/>
      <w:marBottom w:val="0"/>
      <w:divBdr>
        <w:top w:val="none" w:sz="0" w:space="0" w:color="auto"/>
        <w:left w:val="none" w:sz="0" w:space="0" w:color="auto"/>
        <w:bottom w:val="none" w:sz="0" w:space="0" w:color="auto"/>
        <w:right w:val="none" w:sz="0" w:space="0" w:color="auto"/>
      </w:divBdr>
    </w:div>
    <w:div w:id="145964610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286732">
      <w:bodyDiv w:val="1"/>
      <w:marLeft w:val="0"/>
      <w:marRight w:val="0"/>
      <w:marTop w:val="0"/>
      <w:marBottom w:val="0"/>
      <w:divBdr>
        <w:top w:val="none" w:sz="0" w:space="0" w:color="auto"/>
        <w:left w:val="none" w:sz="0" w:space="0" w:color="auto"/>
        <w:bottom w:val="none" w:sz="0" w:space="0" w:color="auto"/>
        <w:right w:val="none" w:sz="0" w:space="0" w:color="auto"/>
      </w:divBdr>
    </w:div>
    <w:div w:id="1632206186">
      <w:bodyDiv w:val="1"/>
      <w:marLeft w:val="0"/>
      <w:marRight w:val="0"/>
      <w:marTop w:val="0"/>
      <w:marBottom w:val="0"/>
      <w:divBdr>
        <w:top w:val="none" w:sz="0" w:space="0" w:color="auto"/>
        <w:left w:val="none" w:sz="0" w:space="0" w:color="auto"/>
        <w:bottom w:val="none" w:sz="0" w:space="0" w:color="auto"/>
        <w:right w:val="none" w:sz="0" w:space="0" w:color="auto"/>
      </w:divBdr>
    </w:div>
    <w:div w:id="1653951284">
      <w:bodyDiv w:val="1"/>
      <w:marLeft w:val="0"/>
      <w:marRight w:val="0"/>
      <w:marTop w:val="0"/>
      <w:marBottom w:val="0"/>
      <w:divBdr>
        <w:top w:val="none" w:sz="0" w:space="0" w:color="auto"/>
        <w:left w:val="none" w:sz="0" w:space="0" w:color="auto"/>
        <w:bottom w:val="none" w:sz="0" w:space="0" w:color="auto"/>
        <w:right w:val="none" w:sz="0" w:space="0" w:color="auto"/>
      </w:divBdr>
    </w:div>
    <w:div w:id="16862454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000387">
      <w:bodyDiv w:val="1"/>
      <w:marLeft w:val="0"/>
      <w:marRight w:val="0"/>
      <w:marTop w:val="0"/>
      <w:marBottom w:val="0"/>
      <w:divBdr>
        <w:top w:val="none" w:sz="0" w:space="0" w:color="auto"/>
        <w:left w:val="none" w:sz="0" w:space="0" w:color="auto"/>
        <w:bottom w:val="none" w:sz="0" w:space="0" w:color="auto"/>
        <w:right w:val="none" w:sz="0" w:space="0" w:color="auto"/>
      </w:divBdr>
    </w:div>
    <w:div w:id="1775517012">
      <w:bodyDiv w:val="1"/>
      <w:marLeft w:val="0"/>
      <w:marRight w:val="0"/>
      <w:marTop w:val="0"/>
      <w:marBottom w:val="0"/>
      <w:divBdr>
        <w:top w:val="none" w:sz="0" w:space="0" w:color="auto"/>
        <w:left w:val="none" w:sz="0" w:space="0" w:color="auto"/>
        <w:bottom w:val="none" w:sz="0" w:space="0" w:color="auto"/>
        <w:right w:val="none" w:sz="0" w:space="0" w:color="auto"/>
      </w:divBdr>
    </w:div>
    <w:div w:id="178160434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7065837">
      <w:bodyDiv w:val="1"/>
      <w:marLeft w:val="0"/>
      <w:marRight w:val="0"/>
      <w:marTop w:val="0"/>
      <w:marBottom w:val="0"/>
      <w:divBdr>
        <w:top w:val="none" w:sz="0" w:space="0" w:color="auto"/>
        <w:left w:val="none" w:sz="0" w:space="0" w:color="auto"/>
        <w:bottom w:val="none" w:sz="0" w:space="0" w:color="auto"/>
        <w:right w:val="none" w:sz="0" w:space="0" w:color="auto"/>
      </w:divBdr>
    </w:div>
    <w:div w:id="1873609632">
      <w:bodyDiv w:val="1"/>
      <w:marLeft w:val="0"/>
      <w:marRight w:val="0"/>
      <w:marTop w:val="0"/>
      <w:marBottom w:val="0"/>
      <w:divBdr>
        <w:top w:val="none" w:sz="0" w:space="0" w:color="auto"/>
        <w:left w:val="none" w:sz="0" w:space="0" w:color="auto"/>
        <w:bottom w:val="none" w:sz="0" w:space="0" w:color="auto"/>
        <w:right w:val="none" w:sz="0" w:space="0" w:color="auto"/>
      </w:divBdr>
    </w:div>
    <w:div w:id="1877158837">
      <w:bodyDiv w:val="1"/>
      <w:marLeft w:val="0"/>
      <w:marRight w:val="0"/>
      <w:marTop w:val="0"/>
      <w:marBottom w:val="0"/>
      <w:divBdr>
        <w:top w:val="none" w:sz="0" w:space="0" w:color="auto"/>
        <w:left w:val="none" w:sz="0" w:space="0" w:color="auto"/>
        <w:bottom w:val="none" w:sz="0" w:space="0" w:color="auto"/>
        <w:right w:val="none" w:sz="0" w:space="0" w:color="auto"/>
      </w:divBdr>
    </w:div>
    <w:div w:id="1896775270">
      <w:bodyDiv w:val="1"/>
      <w:marLeft w:val="0"/>
      <w:marRight w:val="0"/>
      <w:marTop w:val="0"/>
      <w:marBottom w:val="0"/>
      <w:divBdr>
        <w:top w:val="none" w:sz="0" w:space="0" w:color="auto"/>
        <w:left w:val="none" w:sz="0" w:space="0" w:color="auto"/>
        <w:bottom w:val="none" w:sz="0" w:space="0" w:color="auto"/>
        <w:right w:val="none" w:sz="0" w:space="0" w:color="auto"/>
      </w:divBdr>
    </w:div>
    <w:div w:id="190186406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7229109">
      <w:bodyDiv w:val="1"/>
      <w:marLeft w:val="0"/>
      <w:marRight w:val="0"/>
      <w:marTop w:val="0"/>
      <w:marBottom w:val="0"/>
      <w:divBdr>
        <w:top w:val="none" w:sz="0" w:space="0" w:color="auto"/>
        <w:left w:val="none" w:sz="0" w:space="0" w:color="auto"/>
        <w:bottom w:val="none" w:sz="0" w:space="0" w:color="auto"/>
        <w:right w:val="none" w:sz="0" w:space="0" w:color="auto"/>
      </w:divBdr>
    </w:div>
    <w:div w:id="1928533650">
      <w:bodyDiv w:val="1"/>
      <w:marLeft w:val="0"/>
      <w:marRight w:val="0"/>
      <w:marTop w:val="0"/>
      <w:marBottom w:val="0"/>
      <w:divBdr>
        <w:top w:val="none" w:sz="0" w:space="0" w:color="auto"/>
        <w:left w:val="none" w:sz="0" w:space="0" w:color="auto"/>
        <w:bottom w:val="none" w:sz="0" w:space="0" w:color="auto"/>
        <w:right w:val="none" w:sz="0" w:space="0" w:color="auto"/>
      </w:divBdr>
    </w:div>
    <w:div w:id="1935817580">
      <w:bodyDiv w:val="1"/>
      <w:marLeft w:val="0"/>
      <w:marRight w:val="0"/>
      <w:marTop w:val="0"/>
      <w:marBottom w:val="0"/>
      <w:divBdr>
        <w:top w:val="none" w:sz="0" w:space="0" w:color="auto"/>
        <w:left w:val="none" w:sz="0" w:space="0" w:color="auto"/>
        <w:bottom w:val="none" w:sz="0" w:space="0" w:color="auto"/>
        <w:right w:val="none" w:sz="0" w:space="0" w:color="auto"/>
      </w:divBdr>
    </w:div>
    <w:div w:id="1940789803">
      <w:bodyDiv w:val="1"/>
      <w:marLeft w:val="0"/>
      <w:marRight w:val="0"/>
      <w:marTop w:val="0"/>
      <w:marBottom w:val="0"/>
      <w:divBdr>
        <w:top w:val="none" w:sz="0" w:space="0" w:color="auto"/>
        <w:left w:val="none" w:sz="0" w:space="0" w:color="auto"/>
        <w:bottom w:val="none" w:sz="0" w:space="0" w:color="auto"/>
        <w:right w:val="none" w:sz="0" w:space="0" w:color="auto"/>
      </w:divBdr>
    </w:div>
    <w:div w:id="2024555422">
      <w:bodyDiv w:val="1"/>
      <w:marLeft w:val="0"/>
      <w:marRight w:val="0"/>
      <w:marTop w:val="0"/>
      <w:marBottom w:val="0"/>
      <w:divBdr>
        <w:top w:val="none" w:sz="0" w:space="0" w:color="auto"/>
        <w:left w:val="none" w:sz="0" w:space="0" w:color="auto"/>
        <w:bottom w:val="none" w:sz="0" w:space="0" w:color="auto"/>
        <w:right w:val="none" w:sz="0" w:space="0" w:color="auto"/>
      </w:divBdr>
    </w:div>
    <w:div w:id="20279751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37305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7823845">
      <w:bodyDiv w:val="1"/>
      <w:marLeft w:val="0"/>
      <w:marRight w:val="0"/>
      <w:marTop w:val="0"/>
      <w:marBottom w:val="0"/>
      <w:divBdr>
        <w:top w:val="none" w:sz="0" w:space="0" w:color="auto"/>
        <w:left w:val="none" w:sz="0" w:space="0" w:color="auto"/>
        <w:bottom w:val="none" w:sz="0" w:space="0" w:color="auto"/>
        <w:right w:val="none" w:sz="0" w:space="0" w:color="auto"/>
      </w:divBdr>
    </w:div>
    <w:div w:id="212376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Bal06</b:Tag>
    <b:SourceType>Book</b:SourceType>
    <b:Guid>{98B6B7F0-5B61-4F2E-80A6-7A625C17DE58}</b:Guid>
    <b:Title>Organisational Justice</b:Title>
    <b:Year>2006</b:Year>
    <b:Author>
      <b:Author>
        <b:NameList>
          <b:Person>
            <b:Last>Baldwin</b:Last>
            <b:First>Susanna</b:First>
          </b:Person>
        </b:NameList>
      </b:Author>
    </b:Author>
    <b:JournalName>Institute for employment studies</b:JournalName>
    <b:Pages>1-13</b:Pages>
    <b:City>Brighton</b:City>
    <b:Publisher>IES</b:Publisher>
    <b:Edition>1st</b:Edition>
    <b:RefOrder>2</b:RefOrder>
  </b:Source>
  <b:Source>
    <b:Tag>Law13</b:Tag>
    <b:SourceType>InternetSite</b:SourceType>
    <b:Guid>{6B4AAC95-4D95-423D-B099-1E394C9F3B3E}</b:Guid>
    <b:Author>
      <b:Author>
        <b:Corporate>LawTeacher</b:Corporate>
      </b:Author>
    </b:Author>
    <b:Title>Law Enforcement Code of Ethics for Police Officers</b:Title>
    <b:Year>2013</b:Year>
    <b:YearAccessed>2022</b:YearAccessed>
    <b:MonthAccessed>May</b:MonthAccessed>
    <b:DayAccessed>30</b:DayAccessed>
    <b:URL>https://www.lawteacher.net/free-law-essays/criminology/ethics-of-police-officers.php#citethis</b:URL>
    <b:RefOrder>5</b:RefOrder>
  </b:Source>
  <b:Source>
    <b:Tag>Mal17</b:Tag>
    <b:SourceType>InternetSite</b:SourceType>
    <b:Guid>{6F8544FA-D72E-4F54-878B-A40E03FD5813}</b:Guid>
    <b:Author>
      <b:Author>
        <b:NameList>
          <b:Person>
            <b:Last>Malkin</b:Last>
            <b:First>Grey</b:First>
          </b:Person>
        </b:NameList>
      </b:Author>
    </b:Author>
    <b:Title>Just desserts: Why organisational justice in policing matters</b:Title>
    <b:Year>2017</b:Year>
    <b:YearAccessed>2022</b:YearAccessed>
    <b:MonthAccessed>May</b:MonthAccessed>
    <b:DayAccessed>30</b:DayAccessed>
    <b:URL>http://www.greymalkinconsulting.com/our-thinking/oorganisational-justice-in-policing</b:URL>
    <b:RefOrder>4</b:RefOrder>
  </b:Source>
  <b:Source>
    <b:Tag>HMI18</b:Tag>
    <b:SourceType>Report</b:SourceType>
    <b:Guid>{C6162ECF-1857-4821-80B4-C74F12255DE0}</b:Guid>
    <b:Title>PEEL: Police leadership 2017</b:Title>
    <b:Year>2018</b:Year>
    <b:Author>
      <b:Author>
        <b:Corporate>HMICFRS</b:Corporate>
      </b:Author>
    </b:Author>
    <b:Publisher>Justice inspectorates</b:Publisher>
    <b:City>London</b:City>
    <b:RefOrder>6</b:RefOrder>
  </b:Source>
  <b:Source>
    <b:Tag>Jas13</b:Tag>
    <b:SourceType>Book</b:SourceType>
    <b:Guid>{41C0638A-1AA7-48E2-91B2-226D24E3E351}</b:Guid>
    <b:Title>Beginning reflective practice</b:Title>
    <b:Year>2013</b:Year>
    <b:Publisher>Andover: Cengage Learning</b:Publisher>
    <b:City>Cheltenham</b:City>
    <b:Author>
      <b:Author>
        <b:NameList>
          <b:Person>
            <b:Last>Jasper</b:Last>
            <b:First>Melanie</b:First>
          </b:Person>
        </b:NameList>
      </b:Author>
    </b:Author>
    <b:Edition>2nd</b:Edition>
    <b:RefOrder>1</b:RefOrder>
  </b:Source>
  <b:Source>
    <b:Tag>Wol18</b:Tag>
    <b:SourceType>JournalArticle</b:SourceType>
    <b:Guid>{5FF2494F-FFE2-4F91-9426-E7FE50BB9F5A}</b:Guid>
    <b:Title>Why does organizational justice matter? Uncertainty management among law enforcement officers</b:Title>
    <b:Year>2018</b:Year>
    <b:Author>
      <b:Author>
        <b:NameList>
          <b:Person>
            <b:Last>Wolfe</b:Last>
            <b:First>Scott</b:First>
          </b:Person>
          <b:Person>
            <b:Last>Rojek</b:Last>
            <b:First>Jeff</b:First>
          </b:Person>
          <b:Person>
            <b:Last>Manjarrez</b:Last>
            <b:First>Victor</b:First>
          </b:Person>
          <b:Person>
            <b:Last>Rojek</b:Last>
            <b:First>Allison</b:First>
          </b:Person>
        </b:NameList>
      </b:Author>
    </b:Author>
    <b:JournalName>Journal od Criminal Justice</b:JournalName>
    <b:Pages>20-29</b:Pages>
    <b:Volume>54</b:Volume>
    <b:Issue>1</b:Issue>
    <b:RefOrder>3</b:RefOrder>
  </b:Source>
  <b:Source>
    <b:Tag>Gov21</b:Tag>
    <b:SourceType>InternetSite</b:SourceType>
    <b:Guid>{2B491D3C-CF9B-4310-AAE7-1876B2178F21}</b:Guid>
    <b:Title>What is the Community MARAC</b:Title>
    <b:Year>2021</b:Year>
    <b:Author>
      <b:Author>
        <b:Corporate>Gov.uk</b:Corporate>
      </b:Author>
    </b:Author>
    <b:YearAccessed>2022</b:YearAccessed>
    <b:MonthAccessed>March</b:MonthAccessed>
    <b:DayAccessed>31</b:DayAccessed>
    <b:URL>A Community Multi-agency Risk Assessment Conference (CMARAC) is a multi-agency gathering at which information on complex/high risk situations involving vulnerable victims/perpetrators of anti-social behaviour is presented. All essential information regard</b:URL>
    <b:RefOrder>19</b:RefOrder>
  </b:Source>
  <b:Source>
    <b:Tag>Smi19</b:Tag>
    <b:SourceType>InternetSite</b:SourceType>
    <b:Guid>{71318F53-2962-4D05-AC17-0A4C4135421D}</b:Guid>
    <b:Author>
      <b:Author>
        <b:NameList>
          <b:Person>
            <b:Last>Smith</b:Last>
            <b:First>David</b:First>
          </b:Person>
        </b:NameList>
      </b:Author>
    </b:Author>
    <b:Title>Restorative Justice and anti-social behaviour</b:Title>
    <b:Year>2019</b:Year>
    <b:YearAccessed>2022</b:YearAccessed>
    <b:MonthAccessed>May</b:MonthAccessed>
    <b:DayAccessed>31</b:DayAccessed>
    <b:URL>https://restorativejustice.org.uk/blog/restorative-justice-and-anti-social-behaviour#:~:text=Restorative%20justice%20has%20a%20vital%20role%20to%20play,the%20diverse%20communities%20%26%20people%20who%20live%20there.</b:URL>
    <b:RefOrder>18</b:RefOrder>
  </b:Source>
  <b:Source>
    <b:Tag>Gov20</b:Tag>
    <b:SourceType>InternetSite</b:SourceType>
    <b:Guid>{1F58AD53-20DA-439B-9BD0-0BA246BB25B0}</b:Guid>
    <b:Author>
      <b:Author>
        <b:Corporate>Gov.uk</b:Corporate>
      </b:Author>
    </b:Author>
    <b:Title>The Anti-social Behaviour, Crime, and Policing Act of 2014 enacted specific procedures to provide victims and communities a say in how anti-social behaviour complaints are handled. This includes the Community Trigger (also known as the ASB Case Review), w</b:Title>
    <b:Year>2020</b:Year>
    <b:YearAccessed>2022</b:YearAccessed>
    <b:MonthAccessed>June</b:MonthAccessed>
    <b:DayAccessed>1st</b:DayAccessed>
    <b:URL>https://www.gov.uk/guidance/anti-social-behaviour-asb-case-review-also-known-as-the-community-trigger</b:URL>
    <b:RefOrder>16</b:RefOrder>
  </b:Source>
  <b:Source>
    <b:Tag>ASB21</b:Tag>
    <b:SourceType>InternetSite</b:SourceType>
    <b:Guid>{9964F350-E7D7-4F3D-A587-AC8889302FBB}</b:Guid>
    <b:Author>
      <b:Author>
        <b:Corporate>ASB Help</b:Corporate>
      </b:Author>
    </b:Author>
    <b:Title>Community Trigger</b:Title>
    <b:Year>2021</b:Year>
    <b:YearAccessed>2022</b:YearAccessed>
    <b:MonthAccessed>May</b:MonthAccessed>
    <b:DayAccessed>31</b:DayAccessed>
    <b:URL>https://asbhelp.co.uk/community-trigger/</b:URL>
    <b:RefOrder>17</b:RefOrder>
  </b:Source>
  <b:Source>
    <b:Tag>She98</b:Tag>
    <b:SourceType>DocumentFromInternetSite</b:SourceType>
    <b:Guid>{B69B48AC-A7F8-4E46-AEAB-938C3789D15A}</b:Guid>
    <b:Author>
      <b:Author>
        <b:NameList>
          <b:Person>
            <b:Last>Sherman</b:Last>
            <b:First>L</b:First>
          </b:Person>
        </b:NameList>
      </b:Author>
    </b:Author>
    <b:Title>Evidence - Based Policing</b:Title>
    <b:Year>1998</b:Year>
    <b:YearAccessed>2022</b:YearAccessed>
    <b:MonthAccessed>June</b:MonthAccessed>
    <b:DayAccessed>1</b:DayAccessed>
    <b:URL>https://www.ojp.gov/ncjrs/virtual-library/abstracts/evidence-based-policing#:~:text=%22Evidence-based%20policing%22%20is%20the%20use%20of%20the%20best,implement%20guidelines%20and%20evaluate%20agencies%2C%20units%2C%20and%20officers.</b:URL>
    <b:Month>March</b:Month>
    <b:Day>05</b:Day>
    <b:RefOrder>11</b:RefOrder>
  </b:Source>
  <b:Source>
    <b:Tag>Inn10</b:Tag>
    <b:SourceType>Report</b:SourceType>
    <b:Guid>{E17A2EC8-8CEB-4B0D-B26F-B1ADB83EE99C}</b:Guid>
    <b:Author>
      <b:Author>
        <b:NameList>
          <b:Person>
            <b:Last>Innes</b:Last>
            <b:First>Martin</b:First>
          </b:Person>
          <b:Person>
            <b:Last>Weston</b:Last>
            <b:First>Nicola</b:First>
          </b:Person>
        </b:NameList>
      </b:Author>
    </b:Author>
    <b:Title>Re-thinking the policing of anti-social behaviour</b:Title>
    <b:Year>2010</b:Year>
    <b:Publisher>HMIC</b:Publisher>
    <b:City>London</b:City>
    <b:RefOrder>15</b:RefOrder>
  </b:Source>
  <b:Source>
    <b:Tag>The19</b:Tag>
    <b:SourceType>InternetSite</b:SourceType>
    <b:Guid>{0AAAC759-3DB2-4473-B5B3-C8EAB1CA4653}</b:Guid>
    <b:Title>Police effectiveness and multi-agency case management</b:Title>
    <b:Year>2019</b:Year>
    <b:Author>
      <b:Author>
        <b:Corporate>The Police Foundation</b:Corporate>
      </b:Author>
    </b:Author>
    <b:YearAccessed>2022</b:YearAccessed>
    <b:MonthAccessed>May</b:MonthAccessed>
    <b:DayAccessed>31</b:DayAccessed>
    <b:URL>https://www.police-foundation.org.uk/project/multi-agency-case-management/#:~:text=Policing%20is%20increasingly%20concerned%20with%20the%20risks%20faced,%E2%80%98new%20orthodoxy%E2%80%99%20for%20the%20police%20and%20their%20partners.</b:URL>
    <b:RefOrder>10</b:RefOrder>
  </b:Source>
  <b:Source>
    <b:Tag>Gov19</b:Tag>
    <b:SourceType>InternetSite</b:SourceType>
    <b:Guid>{77DE4528-C2C0-4324-94C1-D0EDAF522A4E}</b:Guid>
    <b:Author>
      <b:Author>
        <b:Corporate>Gov.uk</b:Corporate>
      </b:Author>
    </b:Author>
    <b:Title>Preventing serious violence: summary</b:Title>
    <b:Year>2019</b:Year>
    <b:YearAccessed>2022</b:YearAccessed>
    <b:MonthAccessed>June</b:MonthAccessed>
    <b:DayAccessed>2nd</b:DayAccessed>
    <b:URL>https://www.gov.uk/government/publications/preventing-serious-violence-a-multi-agency-approach/preventing-serious-violence-summary</b:URL>
    <b:RefOrder>8</b:RefOrder>
  </b:Source>
  <b:Source>
    <b:Tag>Elk21</b:Tag>
    <b:SourceType>Report</b:SourceType>
    <b:Guid>{3D196A1E-E855-4E8B-84FF-918BC099ED8B}</b:Guid>
    <b:Title>Domestic abuse prevalence and trends, England and Wales: year ending March 2021</b:Title>
    <b:Year>2021</b:Year>
    <b:Author>
      <b:Author>
        <b:NameList>
          <b:Person>
            <b:Last>Elkin</b:Last>
            <b:First>Meghan</b:First>
          </b:Person>
        </b:NameList>
      </b:Author>
    </b:Author>
    <b:Publisher>Office for National Statistics</b:Publisher>
    <b:City>London</b:City>
    <b:RefOrder>9</b:RefOrder>
  </b:Source>
  <b:Source>
    <b:Tag>Dow18</b:Tag>
    <b:SourceType>Report</b:SourceType>
    <b:Guid>{3D543D45-25AC-4E38-BCC5-E78D8932BDC2}</b:Guid>
    <b:Author>
      <b:Author>
        <b:NameList>
          <b:Person>
            <b:Last>Dowling</b:Last>
            <b:First>Christopher</b:First>
          </b:Person>
          <b:Person>
            <b:Last>Morgan</b:Last>
            <b:First>Anthony</b:First>
          </b:Person>
          <b:Person>
            <b:Last>Boyd</b:Last>
            <b:First>Chloe</b:First>
          </b:Person>
          <b:Person>
            <b:Last>Voce</b:Last>
            <b:First>Isabella</b:First>
          </b:Person>
        </b:NameList>
      </b:Author>
    </b:Author>
    <b:Title>Policing domestic violence: A review of the evidence</b:Title>
    <b:Year>2018</b:Year>
    <b:Publisher>Australian Institute of Criminology</b:Publisher>
    <b:City>Canberra</b:City>
    <b:RefOrder>12</b:RefOrder>
  </b:Source>
  <b:Source>
    <b:Tag>Ken22</b:Tag>
    <b:SourceType>InternetSite</b:SourceType>
    <b:Guid>{98CCDAF3-E486-4172-AFD2-DE05A5A8AA8F}</b:Guid>
    <b:Author>
      <b:Author>
        <b:Corporate>Kent and Medway Domestic Abuse Support Services</b:Corporate>
      </b:Author>
    </b:Author>
    <b:Title>Multi-Agency Risk Assessment Conference (MARAC)</b:Title>
    <b:Year>2022</b:Year>
    <b:YearAccessed>2022</b:YearAccessed>
    <b:MonthAccessed>June</b:MonthAccessed>
    <b:DayAccessed>1</b:DayAccessed>
    <b:URL>https://www.domesticabuseservices.org.uk/latest-news-articles-advice/marac/</b:URL>
    <b:RefOrder>14</b:RefOrder>
  </b:Source>
  <b:Source>
    <b:Tag>BAR22</b:Tag>
    <b:SourceType>InternetSite</b:SourceType>
    <b:Guid>{7A1155EA-05BC-45CC-9EC3-DF65AE6DA209}</b:Guid>
    <b:Author>
      <b:Author>
        <b:Corporate>BARNET</b:Corporate>
      </b:Author>
    </b:Author>
    <b:Title>Multi-agency risk assessment conference</b:Title>
    <b:Year>2022</b:Year>
    <b:YearAccessed>2022</b:YearAccessed>
    <b:MonthAccessed>June</b:MonthAccessed>
    <b:DayAccessed>1</b:DayAccessed>
    <b:URL>https://wwc.barnet.gov.uk/working-children-barnet/practitioner-guidance/violence-against-women-and-girls/multi-agency-risk#:~:text=Referring%20to%20MARAC%20enables%20timely%20interventions%20for%20the,abuse.%20The%20referral%20criteria%20for%20high%20risk</b:URL>
    <b:RefOrder>13</b:RefOrder>
  </b:Source>
  <b:Source>
    <b:Tag>Inn04</b:Tag>
    <b:SourceType>JournalArticle</b:SourceType>
    <b:Guid>{0B5A000A-09D1-4244-ABFE-DF16FE5E29E1}</b:Guid>
    <b:Title>International Criminal Justice Review</b:Title>
    <b:Year>2004</b:Year>
    <b:Author>
      <b:Author>
        <b:NameList>
          <b:Person>
            <b:Last>Innes</b:Last>
            <b:First>Martin</b:First>
          </b:Person>
          <b:Person>
            <b:Last>Sheptycki</b:Last>
            <b:First>James</b:First>
          </b:Person>
        </b:NameList>
      </b:Author>
    </b:Author>
    <b:JournalName>Sage Journals</b:JournalName>
    <b:Pages>1-24</b:Pages>
    <b:Volume>14</b:Volume>
    <b:Issue>1</b:Issue>
    <b:RefOrder>24</b:RefOrder>
  </b:Source>
  <b:Source>
    <b:Tag>Ken20</b:Tag>
    <b:SourceType>Report</b:SourceType>
    <b:Guid>{F6F8857B-423C-4D0E-8A21-6FD111C5B92C}</b:Guid>
    <b:Title>The National Intelligence Model</b:Title>
    <b:Year>2020</b:Year>
    <b:Author>
      <b:Author>
        <b:NameList>
          <b:Person>
            <b:Last>Kenningale</b:Last>
            <b:First>Paige</b:First>
          </b:Person>
        </b:NameList>
      </b:Author>
    </b:Author>
    <b:Publisher>Policing Network</b:Publisher>
    <b:City>Surrey</b:City>
    <b:RefOrder>23</b:RefOrder>
  </b:Source>
  <b:Source>
    <b:Tag>Col14</b:Tag>
    <b:SourceType>Report</b:SourceType>
    <b:Guid>{8B734B6F-81DA-4A27-BEF1-7D99838E74F6}</b:Guid>
    <b:Author>
      <b:Author>
        <b:Corporate>College of Policing</b:Corporate>
      </b:Author>
    </b:Author>
    <b:Title>Code of Ethics</b:Title>
    <b:Year>2014</b:Year>
    <b:Publisher>College of Policing</b:Publisher>
    <b:City>Coventry</b:City>
    <b:RefOrder>28</b:RefOrder>
  </b:Source>
  <b:Source>
    <b:Tag>Col152</b:Tag>
    <b:SourceType>Report</b:SourceType>
    <b:Guid>{99FBB00B-1E7E-4727-BBBD-E2FBA94F06A6}</b:Guid>
    <b:Author>
      <b:Author>
        <b:Corporate>College of Policing</b:Corporate>
      </b:Author>
    </b:Author>
    <b:Title>Intelligence Report</b:Title>
    <b:Year>2015</b:Year>
    <b:Publisher>College of Policing</b:Publisher>
    <b:City>London</b:City>
    <b:RefOrder>25</b:RefOrder>
  </b:Source>
  <b:Source>
    <b:Tag>Uni06</b:Tag>
    <b:SourceType>Report</b:SourceType>
    <b:Guid>{6DCD8923-625A-496A-A03D-D6593F4686AF}</b:Guid>
    <b:Author>
      <b:Author>
        <b:Corporate>United Nations</b:Corporate>
      </b:Author>
    </b:Author>
    <b:Title>Police information and intelligence systems</b:Title>
    <b:Year>2006</b:Year>
    <b:Publisher>OSCE</b:Publisher>
    <b:City>Belgium</b:City>
    <b:RefOrder>27</b:RefOrder>
  </b:Source>
  <b:Source>
    <b:Tag>Rav17</b:Tag>
    <b:SourceType>InternetSite</b:SourceType>
    <b:Guid>{A1F48C30-DDC6-4696-9B0F-8B2EA621B7B3}</b:Guid>
    <b:Title>Police surveillance &amp; human rights</b:Title>
    <b:Year>2017</b:Year>
    <b:Author>
      <b:Author>
        <b:NameList>
          <b:Person>
            <b:Last>Ravelli</b:Last>
            <b:First>Rahman</b:First>
          </b:Person>
        </b:NameList>
      </b:Author>
    </b:Author>
    <b:YearAccessed>2022</b:YearAccessed>
    <b:MonthAccessed>June</b:MonthAccessed>
    <b:DayAccessed>2</b:DayAccessed>
    <b:URL>https://www.rahmanravelli.co.uk/articles/police-surveillance-and-human-rights/#:~:text=The%20term%20%E2%80%98covert%20surveillance%E2%80%99%20means%20to%20procure%20intelligence,Human%20Intelligence%20Sources%2C%20both%20introduced%20in%20December%202014.</b:URL>
    <b:RefOrder>26</b:RefOrder>
  </b:Source>
  <b:Source>
    <b:Tag>Hom18</b:Tag>
    <b:SourceType>Report</b:SourceType>
    <b:Guid>{69C758F0-8DEF-41FA-BF30-30375247F778}</b:Guid>
    <b:Title>Covert surveillance and property interference</b:Title>
    <b:Year>2018</b:Year>
    <b:Author>
      <b:Author>
        <b:Corporate>Home Office</b:Corporate>
      </b:Author>
    </b:Author>
    <b:Publisher>Open Government Licence</b:Publisher>
    <b:City>London</b:City>
    <b:RefOrder>29</b:RefOrder>
  </b:Source>
  <b:Source>
    <b:Tag>Vic22</b:Tag>
    <b:SourceType>InternetSite</b:SourceType>
    <b:Guid>{876EBABE-BD84-4C99-AE50-6A68D95645A8}</b:Guid>
    <b:Title>Cyber crime and online fraud</b:Title>
    <b:Year>2022</b:Year>
    <b:Author>
      <b:Author>
        <b:Corporate>Victim Support</b:Corporate>
      </b:Author>
    </b:Author>
    <b:YearAccessed>2022</b:YearAccessed>
    <b:MonthAccessed>June</b:MonthAccessed>
    <b:DayAccessed>3</b:DayAccessed>
    <b:URL>https://www.victimsupport.org.uk/crime-info/types-crime/cyber-crime/</b:URL>
    <b:RefOrder>32</b:RefOrder>
  </b:Source>
  <b:Source>
    <b:Tag>Rex16</b:Tag>
    <b:SourceType>InternetSite</b:SourceType>
    <b:Guid>{669ED74A-C9D4-42F8-939E-DDB2C766E858}</b:Guid>
    <b:Author>
      <b:Author>
        <b:NameList>
          <b:Person>
            <b:Last>Rex</b:Last>
            <b:First>Henry</b:First>
          </b:Person>
        </b:NameList>
      </b:Author>
    </b:Author>
    <b:Title>How digital crime will change how we fight crime</b:Title>
    <b:Year>2016</b:Year>
    <b:YearAccessed>2022</b:YearAccessed>
    <b:MonthAccessed>June</b:MonthAccessed>
    <b:DayAccessed>3</b:DayAccessed>
    <b:URL>https://www.itproportal.com/features/how-digital-tech-will-change-how-we-fight-crime/</b:URL>
    <b:RefOrder>33</b:RefOrder>
  </b:Source>
  <b:Source>
    <b:Tag>Hom21</b:Tag>
    <b:SourceType>Report</b:SourceType>
    <b:Guid>{E376A034-D772-4684-B275-97B7A9E4C601}</b:Guid>
    <b:Author>
      <b:Author>
        <b:Corporate>Home Office</b:Corporate>
      </b:Author>
    </b:Author>
    <b:Title>Beating crime plan</b:Title>
    <b:Year>2021</b:Year>
    <b:Publisher>Home Office</b:Publisher>
    <b:City>London</b:City>
    <b:RefOrder>20</b:RefOrder>
  </b:Source>
  <b:Source>
    <b:Tag>Dod20</b:Tag>
    <b:SourceType>Book</b:SourceType>
    <b:Guid>{D6CD4682-B840-42FD-8CFE-D2852D94BD29}</b:Guid>
    <b:Title>Policing cybercrime: Responding to the growing problem and considering future solutions</b:Title>
    <b:Year>2020</b:Year>
    <b:Publisher>Routledge</b:Publisher>
    <b:City>Brighton</b:City>
    <b:Edition>1</b:Edition>
    <b:Author>
      <b:Author>
        <b:NameList>
          <b:Person>
            <b:Last>Dodge</b:Last>
            <b:First>Cassandra</b:First>
          </b:Person>
          <b:Person>
            <b:Last>Burruss</b:Last>
            <b:First>George</b:First>
          </b:Person>
          <b:Person>
            <b:Last>Holt</b:Last>
            <b:First>Thomas</b:First>
          </b:Person>
          <b:Person>
            <b:Last>Leukfeldt</b:Last>
            <b:First>Rutger</b:First>
          </b:Person>
        </b:NameList>
      </b:Author>
    </b:Author>
    <b:RefOrder>35</b:RefOrder>
  </b:Source>
  <b:Source>
    <b:Tag>Pol20</b:Tag>
    <b:SourceType>InternetSite</b:SourceType>
    <b:Guid>{31092926-1991-4DF4-9984-842F2BA5AD12}</b:Guid>
    <b:Title>National Policing Digital Strategy</b:Title>
    <b:Year>2020</b:Year>
    <b:Author>
      <b:Author>
        <b:Corporate>Police Digital Service</b:Corporate>
      </b:Author>
    </b:Author>
    <b:YearAccessed>2022</b:YearAccessed>
    <b:MonthAccessed>June</b:MonthAccessed>
    <b:DayAccessed>3</b:DayAccessed>
    <b:URL>https://pds.police.uk/national-policing-digital-strategy-2020/</b:URL>
    <b:RefOrder>36</b:RefOrder>
  </b:Source>
  <b:Source>
    <b:Tag>Col13</b:Tag>
    <b:SourceType>InternetSite</b:SourceType>
    <b:Guid>{4E7B0D24-5BA0-4682-8649-B8878E90BF76}</b:Guid>
    <b:Author>
      <b:Author>
        <b:Corporate>College of Policing</b:Corporate>
      </b:Author>
    </b:Author>
    <b:Title>Intelligence Strategy</b:Title>
    <b:Year>2013</b:Year>
    <b:YearAccessed>2022</b:YearAccessed>
    <b:MonthAccessed>June</b:MonthAccessed>
    <b:DayAccessed>4</b:DayAccessed>
    <b:URL>https://www.college.police.uk/app/investigation/investigative-strategies/intelligence-strategy</b:URL>
    <b:RefOrder>22</b:RefOrder>
  </b:Source>
  <b:Source>
    <b:Tag>Dav20</b:Tag>
    <b:SourceType>InternetSite</b:SourceType>
    <b:Guid>{EEF63492-21F0-473E-995E-D3046E9D8CBB}</b:Guid>
    <b:Author>
      <b:Author>
        <b:NameList>
          <b:Person>
            <b:Last>Davies</b:Last>
            <b:First>Elliot</b:First>
          </b:Person>
        </b:NameList>
      </b:Author>
    </b:Author>
    <b:Title>An Introduction to Digital Safeguarding</b:Title>
    <b:Year>2020</b:Year>
    <b:YearAccessed>2022</b:YearAccessed>
    <b:MonthAccessed>June</b:MonthAccessed>
    <b:DayAccessed>4</b:DayAccessed>
    <b:URL>https://www.anncrafttrust.org/an-introduction-to-digital-safeguarding/</b:URL>
    <b:RefOrder>37</b:RefOrder>
  </b:Source>
  <b:Source>
    <b:Tag>NPC21</b:Tag>
    <b:SourceType>InternetSite</b:SourceType>
    <b:Guid>{34C7E073-0A57-47D3-8D8A-D4A251446D86}</b:Guid>
    <b:Author>
      <b:Author>
        <b:Corporate>NPCC</b:Corporate>
      </b:Author>
    </b:Author>
    <b:Title>Digital policing</b:Title>
    <b:Year>2021</b:Year>
    <b:YearAccessed>2022</b:YearAccessed>
    <b:MonthAccessed>June</b:MonthAccessed>
    <b:DayAccessed>5</b:DayAccessed>
    <b:URL>https://www.npcc.police.uk/NPCCBusinessAreas/ReformandTransformation/Digitalpolicing.aspx</b:URL>
    <b:RefOrder>38</b:RefOrder>
  </b:Source>
  <b:Source>
    <b:Tag>Avo19</b:Tag>
    <b:SourceType>InternetSite</b:SourceType>
    <b:Guid>{A4EA04DA-1170-4D81-A887-656781330972}</b:Guid>
    <b:Author>
      <b:Author>
        <b:Corporate>Avon and Summerset Police</b:Corporate>
      </b:Author>
    </b:Author>
    <b:Title>National Decision Model</b:Title>
    <b:Year>2019</b:Year>
    <b:YearAccessed>2022</b:YearAccessed>
    <b:MonthAccessed>May</b:MonthAccessed>
    <b:DayAccessed>20</b:DayAccessed>
    <b:URL>https://www.bing.com/search?q=National+decision+making+model+sujmmary&amp;qs=n&amp;form=QBRE&amp;sp=-1&amp;ghc=1&amp;pq=national+decision+making+model+sujmmary&amp;sc=0-39&amp;sk=&amp;cvid=16E36C18CA464A6AB2FF213A22578AD1</b:URL>
    <b:RefOrder>7</b:RefOrder>
  </b:Source>
  <b:Source>
    <b:Tag>Placeholder1</b:Tag>
    <b:SourceType>InternetSite</b:SourceType>
    <b:Guid>{5BDF0193-63C3-4111-B76C-F0BB42161232}</b:Guid>
    <b:Author>
      <b:Author>
        <b:Corporate>Scottish Governement</b:Corporate>
      </b:Author>
    </b:Author>
    <b:Title>What Works to Reduce Reoffending: A Summary of the Evidence</b:Title>
    <b:Year>2015</b:Year>
    <b:YearAccessed>2022</b:YearAccessed>
    <b:MonthAccessed>June</b:MonthAccessed>
    <b:DayAccessed>5</b:DayAccessed>
    <b:URL>https://www.gov.scot/publications/works-reduce-reoffending-summary-evidence/pages/3/</b:URL>
    <b:RefOrder>21</b:RefOrder>
  </b:Source>
  <b:Source>
    <b:Tag>Sab18</b:Tag>
    <b:SourceType>ArticleInAPeriodical</b:SourceType>
    <b:Guid>{2AF851E7-024C-4B03-B6DB-1CAC52F19B13}</b:Guid>
    <b:Title>GUN CRIMEWAVE Serious firearm offences soar in the past twelve months – as number of police officers falls</b:Title>
    <b:Year>2018</b:Year>
    <b:Author>
      <b:Author>
        <b:NameList>
          <b:Person>
            <b:Last>Sabey</b:Last>
            <b:First>Ryan</b:First>
          </b:Person>
        </b:NameList>
      </b:Author>
    </b:Author>
    <b:PeriodicalTitle>The Sun</b:PeriodicalTitle>
    <b:Month>July</b:Month>
    <b:Day>22</b:Day>
    <b:Pages>1</b:Pages>
    <b:RefOrder>31</b:RefOrder>
  </b:Source>
  <b:Source>
    <b:Tag>Nat22</b:Tag>
    <b:SourceType>InternetSite</b:SourceType>
    <b:Guid>{DEC71B96-1C8B-4B30-8039-D794AD54E365}</b:Guid>
    <b:Title>Illegal firearms</b:Title>
    <b:Year>2022</b:Year>
    <b:Author>
      <b:Author>
        <b:Corporate>National Crime Agency</b:Corporate>
      </b:Author>
    </b:Author>
    <b:YearAccessed>2022</b:YearAccessed>
    <b:MonthAccessed>June</b:MonthAccessed>
    <b:DayAccessed>6</b:DayAccessed>
    <b:URL>https://nationalcrimeagency.gov.uk/what-we-do/crime-threats/firearms#:~:text=Pistols%2C%20revolvers%20and%20shotguns%20are%20the%20firearms%20most,that%20have%20been%20illegally%20converted%2C%20modified%20or%20reactivated.</b:URL>
    <b:RefOrder>30</b:RefOrder>
  </b:Source>
  <b:Source>
    <b:Tag>Gov22</b:Tag>
    <b:SourceType>InternetSite</b:SourceType>
    <b:Guid>{9EE8E4EC-1220-4597-8619-66BACF98F86A}</b:Guid>
    <b:Author>
      <b:Author>
        <b:Corporate>Gov.uk</b:Corporate>
      </b:Author>
    </b:Author>
    <b:Title>UK Council for Child Internet Safety (UKCCIS)</b:Title>
    <b:Year>2022</b:Year>
    <b:YearAccessed>2022</b:YearAccessed>
    <b:MonthAccessed>June</b:MonthAccessed>
    <b:DayAccessed>6</b:DayAccessed>
    <b:URL>https://www.gov.uk/government/groups/uk-council-for-child-internet-safety-ukccis</b:URL>
    <b:RefOrder>34</b:RefOrder>
  </b:Source>
  <b:Source>
    <b:Tag>UKC17</b:Tag>
    <b:SourceType>Report</b:SourceType>
    <b:Guid>{25BD378B-AF0C-448A-8DF1-7749A75A9778}</b:Guid>
    <b:Title>Children’s online activities, risks and safety</b:Title>
    <b:Year>2017</b:Year>
    <b:Author>
      <b:Author>
        <b:NameList>
          <b:Person>
            <b:Last>UKCCIS</b:Last>
          </b:Person>
        </b:NameList>
      </b:Author>
    </b:Author>
    <b:Publisher>LSE consulting</b:Publisher>
    <b:City>London</b:City>
    <b:RefOrder>39</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58904562-E55A-44D6-AEAD-F075F7278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1346</TotalTime>
  <Pages>22</Pages>
  <Words>8495</Words>
  <Characters>51237</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Bonazzi,Giada swp6787</cp:lastModifiedBy>
  <cp:revision>32</cp:revision>
  <cp:lastPrinted>2014-08-26T08:55:00Z</cp:lastPrinted>
  <dcterms:created xsi:type="dcterms:W3CDTF">2019-06-20T10:03:00Z</dcterms:created>
  <dcterms:modified xsi:type="dcterms:W3CDTF">2022-06-06T22:53:00Z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25f8a4b8-1367-47b1-89d0-2697c1d6f88b</vt:lpwstr>
  </property>
  <property fmtid="{D5CDD505-2E9C-101B-9397-08002B2CF9AE}" pid="4" name="Classification">
    <vt:lpwstr>OFFICIAL</vt:lpwstr>
  </property>
  <property fmtid="{D5CDD505-2E9C-101B-9397-08002B2CF9AE}" pid="5" name="Visibility">
    <vt:lpwstr>NOT VISIBLE</vt:lpwstr>
  </property>
</Properties>
</file>