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AD186" w14:textId="4E0E55C9" w:rsidR="00624BC1" w:rsidRPr="00390F3A" w:rsidRDefault="00CB4420">
      <w:pPr>
        <w:rPr>
          <w:rFonts w:ascii="Arial" w:hAnsi="Arial" w:cs="Arial"/>
          <w:color w:val="000000" w:themeColor="text1"/>
        </w:rPr>
      </w:pPr>
      <w:r w:rsidRPr="00390F3A">
        <w:rPr>
          <w:rFonts w:ascii="Arial" w:hAnsi="Arial" w:cs="Arial"/>
          <w:b/>
          <w:bCs/>
          <w:color w:val="000000" w:themeColor="text1"/>
        </w:rPr>
        <w:t>Name:</w:t>
      </w:r>
      <w:r w:rsidRPr="00390F3A">
        <w:rPr>
          <w:rFonts w:ascii="Arial" w:hAnsi="Arial" w:cs="Arial"/>
          <w:color w:val="000000" w:themeColor="text1"/>
        </w:rPr>
        <w:t xml:space="preserve"> Megan Barry</w:t>
      </w:r>
    </w:p>
    <w:p w14:paraId="5298D6AB" w14:textId="77777777" w:rsidR="00CB4420" w:rsidRPr="00390F3A" w:rsidRDefault="00CB4420">
      <w:pPr>
        <w:rPr>
          <w:rFonts w:ascii="Arial" w:hAnsi="Arial" w:cs="Arial"/>
          <w:color w:val="000000" w:themeColor="text1"/>
        </w:rPr>
      </w:pPr>
    </w:p>
    <w:p w14:paraId="24F1AF35" w14:textId="7F6058A7" w:rsidR="00CB4420" w:rsidRPr="00390F3A" w:rsidRDefault="00CB4420">
      <w:pPr>
        <w:rPr>
          <w:rFonts w:ascii="Arial" w:hAnsi="Arial" w:cs="Arial"/>
          <w:color w:val="000000" w:themeColor="text1"/>
        </w:rPr>
      </w:pPr>
      <w:r w:rsidRPr="00390F3A">
        <w:rPr>
          <w:rFonts w:ascii="Arial" w:hAnsi="Arial" w:cs="Arial"/>
          <w:b/>
          <w:bCs/>
          <w:color w:val="000000" w:themeColor="text1"/>
        </w:rPr>
        <w:t>Student Number</w:t>
      </w:r>
      <w:r w:rsidRPr="00390F3A">
        <w:rPr>
          <w:rFonts w:ascii="Arial" w:hAnsi="Arial" w:cs="Arial"/>
          <w:color w:val="000000" w:themeColor="text1"/>
        </w:rPr>
        <w:t>: 2117994</w:t>
      </w:r>
    </w:p>
    <w:p w14:paraId="64E94C8F" w14:textId="77777777" w:rsidR="00CB4420" w:rsidRPr="00390F3A" w:rsidRDefault="00CB4420">
      <w:pPr>
        <w:rPr>
          <w:rFonts w:ascii="Arial" w:hAnsi="Arial" w:cs="Arial"/>
          <w:color w:val="000000" w:themeColor="text1"/>
        </w:rPr>
      </w:pPr>
    </w:p>
    <w:p w14:paraId="3AFB5C56" w14:textId="77777777" w:rsidR="00CB4420" w:rsidRPr="00390F3A" w:rsidRDefault="00CB4420">
      <w:pPr>
        <w:rPr>
          <w:rFonts w:ascii="Arial" w:hAnsi="Arial" w:cs="Arial"/>
          <w:color w:val="000000" w:themeColor="text1"/>
        </w:rPr>
      </w:pPr>
    </w:p>
    <w:p w14:paraId="4D4E6A53" w14:textId="77777777" w:rsidR="00CB4420" w:rsidRPr="00390F3A" w:rsidRDefault="00CB4420">
      <w:pPr>
        <w:rPr>
          <w:rFonts w:ascii="Arial" w:hAnsi="Arial" w:cs="Arial"/>
          <w:color w:val="000000" w:themeColor="text1"/>
        </w:rPr>
      </w:pPr>
    </w:p>
    <w:p w14:paraId="615EFD31" w14:textId="77777777" w:rsidR="00CB4420" w:rsidRPr="00390F3A" w:rsidRDefault="00CB4420">
      <w:pPr>
        <w:rPr>
          <w:rFonts w:ascii="Arial" w:hAnsi="Arial" w:cs="Arial"/>
          <w:color w:val="000000" w:themeColor="text1"/>
        </w:rPr>
      </w:pPr>
    </w:p>
    <w:p w14:paraId="4D23BD71" w14:textId="77777777" w:rsidR="00CB4420" w:rsidRPr="00390F3A" w:rsidRDefault="00CB4420">
      <w:pPr>
        <w:rPr>
          <w:rFonts w:ascii="Arial" w:hAnsi="Arial" w:cs="Arial"/>
          <w:color w:val="000000" w:themeColor="text1"/>
        </w:rPr>
      </w:pPr>
    </w:p>
    <w:p w14:paraId="571DEB70" w14:textId="77777777" w:rsidR="00CB4420" w:rsidRPr="00390F3A" w:rsidRDefault="00CB4420">
      <w:pPr>
        <w:rPr>
          <w:rFonts w:ascii="Arial" w:hAnsi="Arial" w:cs="Arial"/>
          <w:color w:val="000000" w:themeColor="text1"/>
        </w:rPr>
      </w:pPr>
    </w:p>
    <w:p w14:paraId="3062C1E2" w14:textId="77777777" w:rsidR="00CB4420" w:rsidRPr="00390F3A" w:rsidRDefault="00CB4420">
      <w:pPr>
        <w:rPr>
          <w:rFonts w:ascii="Arial" w:hAnsi="Arial" w:cs="Arial"/>
          <w:color w:val="000000" w:themeColor="text1"/>
        </w:rPr>
      </w:pPr>
    </w:p>
    <w:p w14:paraId="4ECA39B0" w14:textId="77777777" w:rsidR="00CB4420" w:rsidRPr="00390F3A" w:rsidRDefault="00CB4420">
      <w:pPr>
        <w:rPr>
          <w:rFonts w:ascii="Arial" w:hAnsi="Arial" w:cs="Arial"/>
          <w:color w:val="000000" w:themeColor="text1"/>
        </w:rPr>
      </w:pPr>
    </w:p>
    <w:p w14:paraId="7CCD022A" w14:textId="77777777" w:rsidR="00CB4420" w:rsidRPr="00390F3A" w:rsidRDefault="00CB4420">
      <w:pPr>
        <w:rPr>
          <w:rFonts w:ascii="Arial" w:hAnsi="Arial" w:cs="Arial"/>
          <w:color w:val="000000" w:themeColor="text1"/>
        </w:rPr>
      </w:pPr>
    </w:p>
    <w:p w14:paraId="24FB02DF" w14:textId="77777777" w:rsidR="00CB4420" w:rsidRPr="00390F3A" w:rsidRDefault="00CB4420">
      <w:pPr>
        <w:rPr>
          <w:rFonts w:ascii="Arial" w:hAnsi="Arial" w:cs="Arial"/>
          <w:color w:val="000000" w:themeColor="text1"/>
        </w:rPr>
      </w:pPr>
    </w:p>
    <w:p w14:paraId="3032A7EA" w14:textId="77777777" w:rsidR="00CB4420" w:rsidRPr="00390F3A" w:rsidRDefault="00CB4420">
      <w:pPr>
        <w:rPr>
          <w:rFonts w:ascii="Arial" w:hAnsi="Arial" w:cs="Arial"/>
          <w:color w:val="000000" w:themeColor="text1"/>
        </w:rPr>
      </w:pPr>
    </w:p>
    <w:p w14:paraId="69A74DF3" w14:textId="77777777" w:rsidR="00CB4420" w:rsidRPr="00390F3A" w:rsidRDefault="00CB4420">
      <w:pPr>
        <w:rPr>
          <w:rFonts w:ascii="Arial" w:hAnsi="Arial" w:cs="Arial"/>
          <w:color w:val="000000" w:themeColor="text1"/>
        </w:rPr>
      </w:pPr>
    </w:p>
    <w:p w14:paraId="387CCB79" w14:textId="77777777" w:rsidR="00CB4420" w:rsidRPr="00390F3A" w:rsidRDefault="00CB4420">
      <w:pPr>
        <w:rPr>
          <w:rFonts w:ascii="Arial" w:hAnsi="Arial" w:cs="Arial"/>
          <w:color w:val="000000" w:themeColor="text1"/>
        </w:rPr>
      </w:pPr>
    </w:p>
    <w:p w14:paraId="0124034B" w14:textId="77777777" w:rsidR="00CB4420" w:rsidRPr="00390F3A" w:rsidRDefault="00CB4420">
      <w:pPr>
        <w:rPr>
          <w:rFonts w:ascii="Arial" w:hAnsi="Arial" w:cs="Arial"/>
          <w:color w:val="000000" w:themeColor="text1"/>
        </w:rPr>
      </w:pPr>
    </w:p>
    <w:p w14:paraId="36D30E95" w14:textId="77777777" w:rsidR="00CB4420" w:rsidRPr="00390F3A" w:rsidRDefault="00CB4420">
      <w:pPr>
        <w:rPr>
          <w:rFonts w:ascii="Arial" w:hAnsi="Arial" w:cs="Arial"/>
          <w:color w:val="000000" w:themeColor="text1"/>
        </w:rPr>
      </w:pPr>
    </w:p>
    <w:p w14:paraId="7D93DFB2" w14:textId="77777777" w:rsidR="00CB4420" w:rsidRPr="00390F3A" w:rsidRDefault="00CB4420">
      <w:pPr>
        <w:rPr>
          <w:rFonts w:ascii="Arial" w:hAnsi="Arial" w:cs="Arial"/>
          <w:color w:val="000000" w:themeColor="text1"/>
        </w:rPr>
      </w:pPr>
    </w:p>
    <w:p w14:paraId="004FFB3F" w14:textId="77777777" w:rsidR="00CB4420" w:rsidRPr="00390F3A" w:rsidRDefault="00CB4420">
      <w:pPr>
        <w:rPr>
          <w:rFonts w:ascii="Arial" w:hAnsi="Arial" w:cs="Arial"/>
          <w:color w:val="000000" w:themeColor="text1"/>
        </w:rPr>
      </w:pPr>
    </w:p>
    <w:p w14:paraId="4B9048D9" w14:textId="77777777" w:rsidR="00CB4420" w:rsidRPr="00390F3A" w:rsidRDefault="00CB4420">
      <w:pPr>
        <w:rPr>
          <w:rFonts w:ascii="Arial" w:hAnsi="Arial" w:cs="Arial"/>
          <w:color w:val="000000" w:themeColor="text1"/>
        </w:rPr>
      </w:pPr>
    </w:p>
    <w:p w14:paraId="4636C307" w14:textId="77777777" w:rsidR="00CB4420" w:rsidRPr="00390F3A" w:rsidRDefault="00CB4420">
      <w:pPr>
        <w:rPr>
          <w:rFonts w:ascii="Arial" w:hAnsi="Arial" w:cs="Arial"/>
          <w:color w:val="000000" w:themeColor="text1"/>
        </w:rPr>
      </w:pPr>
    </w:p>
    <w:p w14:paraId="0D53127B" w14:textId="77777777" w:rsidR="00CB4420" w:rsidRPr="00390F3A" w:rsidRDefault="00CB4420">
      <w:pPr>
        <w:rPr>
          <w:rFonts w:ascii="Arial" w:hAnsi="Arial" w:cs="Arial"/>
          <w:color w:val="000000" w:themeColor="text1"/>
        </w:rPr>
      </w:pPr>
    </w:p>
    <w:p w14:paraId="4E3923D3" w14:textId="77777777" w:rsidR="00CB4420" w:rsidRPr="00390F3A" w:rsidRDefault="00CB4420">
      <w:pPr>
        <w:rPr>
          <w:rFonts w:ascii="Arial" w:hAnsi="Arial" w:cs="Arial"/>
          <w:color w:val="000000" w:themeColor="text1"/>
        </w:rPr>
      </w:pPr>
    </w:p>
    <w:p w14:paraId="494F5784" w14:textId="77777777" w:rsidR="00CB4420" w:rsidRPr="00390F3A" w:rsidRDefault="00CB4420">
      <w:pPr>
        <w:rPr>
          <w:rFonts w:ascii="Arial" w:hAnsi="Arial" w:cs="Arial"/>
          <w:color w:val="000000" w:themeColor="text1"/>
        </w:rPr>
      </w:pPr>
    </w:p>
    <w:p w14:paraId="5A6949C2" w14:textId="77777777" w:rsidR="00CB4420" w:rsidRPr="00390F3A" w:rsidRDefault="00CB4420">
      <w:pPr>
        <w:rPr>
          <w:rFonts w:ascii="Arial" w:hAnsi="Arial" w:cs="Arial"/>
          <w:color w:val="000000" w:themeColor="text1"/>
        </w:rPr>
      </w:pPr>
    </w:p>
    <w:p w14:paraId="64073E46" w14:textId="77777777" w:rsidR="00CB4420" w:rsidRPr="00390F3A" w:rsidRDefault="00CB4420">
      <w:pPr>
        <w:rPr>
          <w:rFonts w:ascii="Arial" w:hAnsi="Arial" w:cs="Arial"/>
          <w:color w:val="000000" w:themeColor="text1"/>
        </w:rPr>
      </w:pPr>
    </w:p>
    <w:p w14:paraId="0F47825A" w14:textId="77777777" w:rsidR="00CB4420" w:rsidRPr="00390F3A" w:rsidRDefault="00CB4420">
      <w:pPr>
        <w:rPr>
          <w:rFonts w:ascii="Arial" w:hAnsi="Arial" w:cs="Arial"/>
          <w:color w:val="000000" w:themeColor="text1"/>
        </w:rPr>
      </w:pPr>
    </w:p>
    <w:p w14:paraId="2003BE14" w14:textId="77777777" w:rsidR="00CB4420" w:rsidRPr="00390F3A" w:rsidRDefault="00CB4420">
      <w:pPr>
        <w:rPr>
          <w:rFonts w:ascii="Arial" w:hAnsi="Arial" w:cs="Arial"/>
          <w:color w:val="000000" w:themeColor="text1"/>
        </w:rPr>
      </w:pPr>
    </w:p>
    <w:p w14:paraId="709293BF" w14:textId="77777777" w:rsidR="00CB4420" w:rsidRPr="00390F3A" w:rsidRDefault="00CB4420">
      <w:pPr>
        <w:rPr>
          <w:rFonts w:ascii="Arial" w:hAnsi="Arial" w:cs="Arial"/>
          <w:color w:val="000000" w:themeColor="text1"/>
        </w:rPr>
      </w:pPr>
    </w:p>
    <w:p w14:paraId="6D7000EA" w14:textId="77777777" w:rsidR="00CB4420" w:rsidRPr="00390F3A" w:rsidRDefault="00CB4420">
      <w:pPr>
        <w:rPr>
          <w:rFonts w:ascii="Arial" w:hAnsi="Arial" w:cs="Arial"/>
          <w:color w:val="000000" w:themeColor="text1"/>
        </w:rPr>
      </w:pPr>
    </w:p>
    <w:p w14:paraId="370A6417" w14:textId="77777777" w:rsidR="00CB4420" w:rsidRPr="00390F3A" w:rsidRDefault="00CB4420">
      <w:pPr>
        <w:rPr>
          <w:rFonts w:ascii="Arial" w:hAnsi="Arial" w:cs="Arial"/>
          <w:color w:val="000000" w:themeColor="text1"/>
        </w:rPr>
      </w:pPr>
    </w:p>
    <w:p w14:paraId="5BD6DDBB" w14:textId="77777777" w:rsidR="00CB4420" w:rsidRPr="00390F3A" w:rsidRDefault="00CB4420">
      <w:pPr>
        <w:rPr>
          <w:rFonts w:ascii="Arial" w:hAnsi="Arial" w:cs="Arial"/>
          <w:color w:val="000000" w:themeColor="text1"/>
        </w:rPr>
      </w:pPr>
    </w:p>
    <w:p w14:paraId="29AF48F7" w14:textId="77777777" w:rsidR="00CB4420" w:rsidRPr="00390F3A" w:rsidRDefault="00CB4420">
      <w:pPr>
        <w:rPr>
          <w:rFonts w:ascii="Arial" w:hAnsi="Arial" w:cs="Arial"/>
          <w:color w:val="000000" w:themeColor="text1"/>
        </w:rPr>
      </w:pPr>
    </w:p>
    <w:p w14:paraId="3C939232" w14:textId="77777777" w:rsidR="00CB4420" w:rsidRPr="00390F3A" w:rsidRDefault="00CB4420">
      <w:pPr>
        <w:rPr>
          <w:rFonts w:ascii="Arial" w:hAnsi="Arial" w:cs="Arial"/>
          <w:color w:val="000000" w:themeColor="text1"/>
        </w:rPr>
      </w:pPr>
    </w:p>
    <w:p w14:paraId="674550BD" w14:textId="77777777" w:rsidR="00CB4420" w:rsidRPr="00390F3A" w:rsidRDefault="00CB4420">
      <w:pPr>
        <w:rPr>
          <w:rFonts w:ascii="Arial" w:hAnsi="Arial" w:cs="Arial"/>
          <w:color w:val="000000" w:themeColor="text1"/>
        </w:rPr>
      </w:pPr>
    </w:p>
    <w:p w14:paraId="0C5A0FA7" w14:textId="77777777" w:rsidR="00CB4420" w:rsidRPr="00390F3A" w:rsidRDefault="00CB4420">
      <w:pPr>
        <w:rPr>
          <w:rFonts w:ascii="Arial" w:hAnsi="Arial" w:cs="Arial"/>
          <w:color w:val="000000" w:themeColor="text1"/>
        </w:rPr>
      </w:pPr>
    </w:p>
    <w:p w14:paraId="708808FE" w14:textId="77777777" w:rsidR="00CB4420" w:rsidRPr="00390F3A" w:rsidRDefault="00CB4420">
      <w:pPr>
        <w:rPr>
          <w:rFonts w:ascii="Arial" w:hAnsi="Arial" w:cs="Arial"/>
          <w:color w:val="000000" w:themeColor="text1"/>
        </w:rPr>
      </w:pPr>
    </w:p>
    <w:p w14:paraId="4FDF47CB" w14:textId="77777777" w:rsidR="00CB4420" w:rsidRPr="00390F3A" w:rsidRDefault="00CB4420">
      <w:pPr>
        <w:rPr>
          <w:rFonts w:ascii="Arial" w:hAnsi="Arial" w:cs="Arial"/>
          <w:color w:val="000000" w:themeColor="text1"/>
        </w:rPr>
      </w:pPr>
    </w:p>
    <w:p w14:paraId="6E122DCE" w14:textId="77777777" w:rsidR="00CB4420" w:rsidRPr="00390F3A" w:rsidRDefault="00CB4420">
      <w:pPr>
        <w:rPr>
          <w:rFonts w:ascii="Arial" w:hAnsi="Arial" w:cs="Arial"/>
          <w:color w:val="000000" w:themeColor="text1"/>
        </w:rPr>
      </w:pPr>
    </w:p>
    <w:p w14:paraId="67F58509" w14:textId="77777777" w:rsidR="00CB4420" w:rsidRPr="00390F3A" w:rsidRDefault="00CB4420">
      <w:pPr>
        <w:rPr>
          <w:rFonts w:ascii="Arial" w:hAnsi="Arial" w:cs="Arial"/>
          <w:color w:val="000000" w:themeColor="text1"/>
        </w:rPr>
      </w:pPr>
    </w:p>
    <w:p w14:paraId="2B4E7A7D" w14:textId="77777777" w:rsidR="00CB4420" w:rsidRPr="00390F3A" w:rsidRDefault="00CB4420">
      <w:pPr>
        <w:rPr>
          <w:rFonts w:ascii="Arial" w:hAnsi="Arial" w:cs="Arial"/>
          <w:color w:val="000000" w:themeColor="text1"/>
        </w:rPr>
      </w:pPr>
    </w:p>
    <w:p w14:paraId="1A15CE2D" w14:textId="77777777" w:rsidR="00CB4420" w:rsidRPr="00390F3A" w:rsidRDefault="00CB4420">
      <w:pPr>
        <w:rPr>
          <w:rFonts w:ascii="Arial" w:hAnsi="Arial" w:cs="Arial"/>
          <w:color w:val="000000" w:themeColor="text1"/>
        </w:rPr>
      </w:pPr>
    </w:p>
    <w:p w14:paraId="1ECC0690" w14:textId="77777777" w:rsidR="00CB4420" w:rsidRPr="00390F3A" w:rsidRDefault="00CB4420">
      <w:pPr>
        <w:rPr>
          <w:rFonts w:ascii="Arial" w:hAnsi="Arial" w:cs="Arial"/>
          <w:color w:val="000000" w:themeColor="text1"/>
        </w:rPr>
      </w:pPr>
    </w:p>
    <w:p w14:paraId="56B34D73" w14:textId="77777777" w:rsidR="00CB4420" w:rsidRPr="00390F3A" w:rsidRDefault="00CB4420">
      <w:pPr>
        <w:rPr>
          <w:rFonts w:ascii="Arial" w:hAnsi="Arial" w:cs="Arial"/>
          <w:color w:val="000000" w:themeColor="text1"/>
        </w:rPr>
      </w:pPr>
    </w:p>
    <w:p w14:paraId="52D9092C" w14:textId="77777777" w:rsidR="00CB4420" w:rsidRPr="00390F3A" w:rsidRDefault="00CB4420">
      <w:pPr>
        <w:rPr>
          <w:rFonts w:ascii="Arial" w:hAnsi="Arial" w:cs="Arial"/>
          <w:color w:val="000000" w:themeColor="text1"/>
        </w:rPr>
      </w:pPr>
    </w:p>
    <w:p w14:paraId="53AAC757" w14:textId="77777777" w:rsidR="00CB4420" w:rsidRPr="00390F3A" w:rsidRDefault="00CB4420">
      <w:pPr>
        <w:rPr>
          <w:rFonts w:ascii="Arial" w:hAnsi="Arial" w:cs="Arial"/>
          <w:color w:val="000000" w:themeColor="text1"/>
        </w:rPr>
      </w:pPr>
    </w:p>
    <w:p w14:paraId="4B549255" w14:textId="77777777" w:rsidR="00E818C5" w:rsidRPr="00390F3A" w:rsidRDefault="00E818C5" w:rsidP="00E818C5">
      <w:pPr>
        <w:ind w:left="567" w:right="531"/>
        <w:jc w:val="both"/>
        <w:rPr>
          <w:rFonts w:ascii="Arial" w:hAnsi="Arial" w:cs="Arial"/>
          <w:color w:val="000000" w:themeColor="text1"/>
        </w:rPr>
      </w:pPr>
    </w:p>
    <w:p w14:paraId="42952844" w14:textId="77777777" w:rsidR="00E818C5" w:rsidRPr="00390F3A" w:rsidRDefault="00E818C5" w:rsidP="00E818C5">
      <w:pPr>
        <w:ind w:left="567" w:right="531"/>
        <w:jc w:val="both"/>
        <w:rPr>
          <w:rFonts w:ascii="Arial" w:hAnsi="Arial" w:cs="Arial"/>
          <w:color w:val="000000" w:themeColor="text1"/>
        </w:rPr>
      </w:pPr>
    </w:p>
    <w:p w14:paraId="201B2AEF" w14:textId="77777777" w:rsidR="00E818C5" w:rsidRPr="00390F3A" w:rsidRDefault="00E818C5" w:rsidP="00E818C5">
      <w:pPr>
        <w:ind w:left="567" w:right="531"/>
        <w:jc w:val="both"/>
        <w:rPr>
          <w:rFonts w:ascii="Arial" w:hAnsi="Arial" w:cs="Arial"/>
          <w:color w:val="000000" w:themeColor="text1"/>
        </w:rPr>
      </w:pPr>
    </w:p>
    <w:p w14:paraId="5165610C" w14:textId="2CFD16A5" w:rsidR="00E818C5" w:rsidRPr="00390F3A" w:rsidRDefault="00E818C5" w:rsidP="00E818C5">
      <w:pPr>
        <w:spacing w:line="480" w:lineRule="auto"/>
        <w:ind w:right="531"/>
        <w:jc w:val="both"/>
        <w:rPr>
          <w:rFonts w:ascii="Arial" w:eastAsia="Calibri" w:hAnsi="Arial" w:cs="Arial"/>
          <w:b/>
          <w:bCs/>
          <w:color w:val="000000" w:themeColor="text1"/>
          <w:u w:val="single"/>
        </w:rPr>
      </w:pPr>
      <w:r w:rsidRPr="00390F3A">
        <w:rPr>
          <w:rFonts w:ascii="Arial" w:eastAsia="Calibri" w:hAnsi="Arial" w:cs="Arial"/>
          <w:b/>
          <w:bCs/>
          <w:color w:val="000000" w:themeColor="text1"/>
        </w:rPr>
        <w:lastRenderedPageBreak/>
        <w:t>Evaluate the effectiveness of crime prevention strategies (</w:t>
      </w:r>
      <w:proofErr w:type="gramStart"/>
      <w:r w:rsidRPr="00390F3A">
        <w:rPr>
          <w:rFonts w:ascii="Arial" w:eastAsia="Calibri" w:hAnsi="Arial" w:cs="Arial"/>
          <w:b/>
          <w:bCs/>
          <w:color w:val="000000" w:themeColor="text1"/>
        </w:rPr>
        <w:t>e.g.</w:t>
      </w:r>
      <w:proofErr w:type="gramEnd"/>
      <w:r w:rsidRPr="00390F3A">
        <w:rPr>
          <w:rFonts w:ascii="Arial" w:eastAsia="Calibri" w:hAnsi="Arial" w:cs="Arial"/>
          <w:b/>
          <w:bCs/>
          <w:color w:val="000000" w:themeColor="text1"/>
        </w:rPr>
        <w:t xml:space="preserve"> problem-oriented policing, predictive policing, intelligence-led policing, reactive policing) in relation to a specific type of crime of your own choosing. Your answer must be based on academic research, not personal experience.</w:t>
      </w:r>
    </w:p>
    <w:p w14:paraId="527FD620" w14:textId="77777777" w:rsidR="00E818C5" w:rsidRPr="00390F3A" w:rsidRDefault="00E818C5" w:rsidP="00E818C5">
      <w:pPr>
        <w:spacing w:line="480" w:lineRule="auto"/>
        <w:ind w:right="531"/>
        <w:jc w:val="both"/>
        <w:rPr>
          <w:rFonts w:ascii="Arial" w:eastAsia="Calibri" w:hAnsi="Arial" w:cs="Arial"/>
          <w:b/>
          <w:bCs/>
          <w:color w:val="000000" w:themeColor="text1"/>
          <w:u w:val="single"/>
        </w:rPr>
      </w:pPr>
    </w:p>
    <w:p w14:paraId="1516AB9A" w14:textId="4327F6A8" w:rsidR="00E818C5" w:rsidRPr="00390F3A" w:rsidRDefault="00E818C5" w:rsidP="00E818C5">
      <w:pPr>
        <w:spacing w:line="480" w:lineRule="auto"/>
        <w:rPr>
          <w:rStyle w:val="Strong"/>
          <w:rFonts w:ascii="Arial" w:hAnsi="Arial" w:cs="Arial"/>
          <w:b w:val="0"/>
          <w:bCs w:val="0"/>
          <w:color w:val="000000" w:themeColor="text1"/>
        </w:rPr>
      </w:pPr>
      <w:r w:rsidRPr="00390F3A">
        <w:rPr>
          <w:rFonts w:ascii="Arial" w:hAnsi="Arial" w:cs="Arial"/>
          <w:color w:val="000000" w:themeColor="text1"/>
        </w:rPr>
        <w:t>This essay will explore the effectiveness of two crime prevention strategies in connection with burglary. Sectio</w:t>
      </w:r>
      <w:r w:rsidRPr="00390F3A">
        <w:rPr>
          <w:rFonts w:ascii="Arial" w:hAnsi="Arial" w:cs="Arial"/>
          <w:color w:val="000000" w:themeColor="text1"/>
          <w:shd w:val="clear" w:color="auto" w:fill="FFFFFF"/>
        </w:rPr>
        <w:t xml:space="preserve">n 9 of the Theft Act (1968) governs and defines </w:t>
      </w:r>
      <w:r w:rsidRPr="00390F3A">
        <w:rPr>
          <w:rFonts w:ascii="Arial" w:hAnsi="Arial" w:cs="Arial"/>
          <w:color w:val="000000" w:themeColor="text1"/>
        </w:rPr>
        <w:t xml:space="preserve">burglary as entering a premises as a trespasser and stealing or entering with the intention to steal, inflict grievous bodily harm or cause damage (Crown Prosecution Service, 2022). Burglaries are prevalent in the UK, </w:t>
      </w:r>
      <w:r w:rsidRPr="00390F3A">
        <w:rPr>
          <w:rStyle w:val="Strong"/>
          <w:rFonts w:ascii="Arial" w:hAnsi="Arial" w:cs="Arial"/>
          <w:b w:val="0"/>
          <w:bCs w:val="0"/>
          <w:color w:val="000000" w:themeColor="text1"/>
          <w:bdr w:val="none" w:sz="0" w:space="0" w:color="auto" w:frame="1"/>
          <w:shd w:val="clear" w:color="auto" w:fill="FFFFFF"/>
        </w:rPr>
        <w:t>with roughly 192 thousand home burglaries being reported in Wales and England between 2021 and 2022 (Office for National Statistics, 2022). The impact of burglaries can be highly detrimental to victims and can consist of financial loss, anxiety, sleeplessness, and a distrust of others (Maguire and Bennett, 1982). Therefore, it is of great importance to adopt effective crime prevention strategies when dealing with burglaries, with the overall aims of reducing the rate of re-offending, preventing future instances of burglary, and consequently safeguarding communities.</w:t>
      </w:r>
    </w:p>
    <w:p w14:paraId="21C1E1DA" w14:textId="77777777" w:rsidR="00E818C5" w:rsidRPr="00390F3A" w:rsidRDefault="00E818C5" w:rsidP="00E818C5">
      <w:pPr>
        <w:spacing w:line="480" w:lineRule="auto"/>
        <w:rPr>
          <w:rStyle w:val="Strong"/>
          <w:rFonts w:ascii="Arial" w:hAnsi="Arial" w:cs="Arial"/>
          <w:b w:val="0"/>
          <w:bCs w:val="0"/>
          <w:color w:val="000000" w:themeColor="text1"/>
          <w:bdr w:val="none" w:sz="0" w:space="0" w:color="auto" w:frame="1"/>
          <w:shd w:val="clear" w:color="auto" w:fill="FFFFFF"/>
        </w:rPr>
      </w:pPr>
    </w:p>
    <w:p w14:paraId="3DFCF857" w14:textId="1BE18B26" w:rsidR="00E818C5" w:rsidRPr="00B04462" w:rsidRDefault="00E818C5" w:rsidP="00E818C5">
      <w:pPr>
        <w:spacing w:line="480" w:lineRule="auto"/>
        <w:rPr>
          <w:rStyle w:val="Strong"/>
          <w:rFonts w:ascii="Arial" w:hAnsi="Arial" w:cs="Arial"/>
          <w:b w:val="0"/>
          <w:bCs w:val="0"/>
          <w:color w:val="000000" w:themeColor="text1"/>
        </w:rPr>
      </w:pPr>
      <w:r w:rsidRPr="00390F3A">
        <w:rPr>
          <w:rStyle w:val="Strong"/>
          <w:rFonts w:ascii="Arial" w:hAnsi="Arial" w:cs="Arial"/>
          <w:b w:val="0"/>
          <w:bCs w:val="0"/>
          <w:color w:val="000000" w:themeColor="text1"/>
          <w:bdr w:val="none" w:sz="0" w:space="0" w:color="auto" w:frame="1"/>
          <w:shd w:val="clear" w:color="auto" w:fill="FFFFFF"/>
        </w:rPr>
        <w:tab/>
        <w:t xml:space="preserve">The first crime prevention strategy to be explored is problem orientated policing (POP). POP aims to identify a specific problem, discover effective policing responses through understanding of that problem, and then assess the effectiveness of these responses (Reisig, 2010). An example of a POP scheme is the </w:t>
      </w:r>
      <w:r w:rsidRPr="00390F3A">
        <w:rPr>
          <w:rFonts w:ascii="Arial" w:hAnsi="Arial" w:cs="Arial"/>
          <w:color w:val="000000" w:themeColor="text1"/>
        </w:rPr>
        <w:t>Crime Reduction Programme (CRP), which was established in England and Wales in 1999, and is underpinned by the principles of POP (</w:t>
      </w:r>
      <w:r w:rsidRPr="00390F3A">
        <w:rPr>
          <w:rFonts w:ascii="Arial" w:hAnsi="Arial" w:cs="Arial"/>
          <w:color w:val="000000" w:themeColor="text1"/>
          <w:shd w:val="clear" w:color="auto" w:fill="FFFFFF"/>
        </w:rPr>
        <w:t xml:space="preserve">Maguire, </w:t>
      </w:r>
      <w:r w:rsidRPr="00390F3A">
        <w:rPr>
          <w:rFonts w:ascii="Arial" w:hAnsi="Arial" w:cs="Arial"/>
          <w:color w:val="000000" w:themeColor="text1"/>
        </w:rPr>
        <w:t xml:space="preserve">2004). The CRP used an array of initiatives to reduce neighbourhood crimes, such as burglaries, including </w:t>
      </w:r>
      <w:r w:rsidRPr="00390F3A">
        <w:rPr>
          <w:rFonts w:ascii="Arial" w:hAnsi="Arial" w:cs="Arial"/>
          <w:color w:val="000000" w:themeColor="text1"/>
        </w:rPr>
        <w:lastRenderedPageBreak/>
        <w:t xml:space="preserve">implementing CCTV, making drug arrest referrals, installing locks for pensioners, and employing neighbourhood wardens (Tura, 2019). Research suggests that POP is highly effective in tackling burglaries as the second stage of POP includes gaining an understanding of the policing problem, therefore by adopting a POP approach it allows police to develop a solid knowledge base of the offence in question and why it is taking place in a particular area </w:t>
      </w:r>
      <w:r w:rsidRPr="00390F3A">
        <w:rPr>
          <w:rFonts w:ascii="Arial" w:hAnsi="Arial" w:cs="Arial"/>
          <w:color w:val="000000" w:themeColor="text1"/>
          <w:shd w:val="clear" w:color="auto" w:fill="FFFFFF"/>
        </w:rPr>
        <w:t xml:space="preserve">(Bullock </w:t>
      </w:r>
      <w:r w:rsidR="00390F3A" w:rsidRPr="00390F3A">
        <w:rPr>
          <w:rFonts w:ascii="Arial" w:hAnsi="Arial" w:cs="Arial"/>
          <w:color w:val="000000" w:themeColor="text1"/>
          <w:shd w:val="clear" w:color="auto" w:fill="FFFFFF"/>
        </w:rPr>
        <w:t>and</w:t>
      </w:r>
      <w:r w:rsidRPr="00390F3A">
        <w:rPr>
          <w:rFonts w:ascii="Arial" w:hAnsi="Arial" w:cs="Arial"/>
          <w:color w:val="000000" w:themeColor="text1"/>
          <w:shd w:val="clear" w:color="auto" w:fill="FFFFFF"/>
        </w:rPr>
        <w:t xml:space="preserve"> Tilley, 2012). Therefore, by gaining a good understanding of certain offences, such as burglaries, it allows police to discover the underlying causes of these offences. Thus, there is a greater chance of more effective police responses being employed as police </w:t>
      </w:r>
      <w:proofErr w:type="gramStart"/>
      <w:r w:rsidRPr="00390F3A">
        <w:rPr>
          <w:rFonts w:ascii="Arial" w:hAnsi="Arial" w:cs="Arial"/>
          <w:color w:val="000000" w:themeColor="text1"/>
          <w:shd w:val="clear" w:color="auto" w:fill="FFFFFF"/>
        </w:rPr>
        <w:t>are able to</w:t>
      </w:r>
      <w:proofErr w:type="gramEnd"/>
      <w:r w:rsidRPr="00390F3A">
        <w:rPr>
          <w:rFonts w:ascii="Arial" w:hAnsi="Arial" w:cs="Arial"/>
          <w:color w:val="000000" w:themeColor="text1"/>
          <w:shd w:val="clear" w:color="auto" w:fill="FFFFFF"/>
        </w:rPr>
        <w:t xml:space="preserve"> adopt a preventative and proactive stance rather than reactive, as police gain an understanding of why burglaries are carried out in the first instance. Support of this arises from statistics published by the Office </w:t>
      </w:r>
      <w:r w:rsidR="00755AAD" w:rsidRPr="00390F3A">
        <w:rPr>
          <w:rFonts w:ascii="Arial" w:hAnsi="Arial" w:cs="Arial"/>
          <w:color w:val="000000" w:themeColor="text1"/>
          <w:shd w:val="clear" w:color="auto" w:fill="FFFFFF"/>
        </w:rPr>
        <w:t>for</w:t>
      </w:r>
      <w:r w:rsidRPr="00390F3A">
        <w:rPr>
          <w:rFonts w:ascii="Arial" w:hAnsi="Arial" w:cs="Arial"/>
          <w:color w:val="000000" w:themeColor="text1"/>
          <w:shd w:val="clear" w:color="auto" w:fill="FFFFFF"/>
        </w:rPr>
        <w:t xml:space="preserve"> National Statistics (2017) which show</w:t>
      </w:r>
      <w:r w:rsidR="00ED5480">
        <w:rPr>
          <w:rFonts w:ascii="Arial" w:hAnsi="Arial" w:cs="Arial"/>
          <w:color w:val="000000" w:themeColor="text1"/>
          <w:shd w:val="clear" w:color="auto" w:fill="FFFFFF"/>
        </w:rPr>
        <w:t xml:space="preserve"> </w:t>
      </w:r>
      <w:r w:rsidRPr="00390F3A">
        <w:rPr>
          <w:rFonts w:ascii="Arial" w:hAnsi="Arial" w:cs="Arial"/>
          <w:color w:val="000000" w:themeColor="text1"/>
          <w:shd w:val="clear" w:color="auto" w:fill="FFFFFF"/>
        </w:rPr>
        <w:t xml:space="preserve">that between </w:t>
      </w:r>
      <w:r w:rsidRPr="00390F3A">
        <w:rPr>
          <w:rFonts w:ascii="Arial" w:hAnsi="Arial" w:cs="Arial"/>
          <w:color w:val="000000" w:themeColor="text1"/>
        </w:rPr>
        <w:t>1993 and 2015 the number of reported burglaries in England and Wales (excluding attempted burglaries) decreased by 68%. T</w:t>
      </w:r>
      <w:r w:rsidRPr="00390F3A">
        <w:rPr>
          <w:rFonts w:ascii="Arial" w:hAnsi="Arial" w:cs="Arial"/>
          <w:color w:val="000000" w:themeColor="text1"/>
          <w:shd w:val="clear" w:color="auto" w:fill="FFFFFF"/>
        </w:rPr>
        <w:t xml:space="preserve">herefore, it can be suggested that the reduction in burglaries can be due to advancements in research guided policing and the development of such theories such as POP, as the notion </w:t>
      </w:r>
      <w:r w:rsidR="00ED5480">
        <w:rPr>
          <w:rFonts w:ascii="Arial" w:hAnsi="Arial" w:cs="Arial"/>
          <w:color w:val="000000" w:themeColor="text1"/>
          <w:shd w:val="clear" w:color="auto" w:fill="FFFFFF"/>
        </w:rPr>
        <w:t>of</w:t>
      </w:r>
      <w:r w:rsidRPr="00390F3A">
        <w:rPr>
          <w:rFonts w:ascii="Arial" w:hAnsi="Arial" w:cs="Arial"/>
          <w:color w:val="000000" w:themeColor="text1"/>
          <w:shd w:val="clear" w:color="auto" w:fill="FFFFFF"/>
        </w:rPr>
        <w:t xml:space="preserve"> POP was first introduced in 1990 (Wakefield </w:t>
      </w:r>
      <w:r w:rsidR="00390F3A" w:rsidRPr="00390F3A">
        <w:rPr>
          <w:rFonts w:ascii="Arial" w:hAnsi="Arial" w:cs="Arial"/>
          <w:color w:val="000000" w:themeColor="text1"/>
          <w:shd w:val="clear" w:color="auto" w:fill="FFFFFF"/>
        </w:rPr>
        <w:t xml:space="preserve">and </w:t>
      </w:r>
      <w:r w:rsidRPr="00390F3A">
        <w:rPr>
          <w:rFonts w:ascii="Arial" w:hAnsi="Arial" w:cs="Arial"/>
          <w:color w:val="000000" w:themeColor="text1"/>
          <w:shd w:val="clear" w:color="auto" w:fill="FFFFFF"/>
        </w:rPr>
        <w:t>Fleming, 2009). Therefore, as research and evidence-based crime prevention strategies have developed the number of burglaries has significantly decreased. However, it is important to note that although a relationship exists between reduction in burglaries and the emergence of theories such as POP, causation should not be drawn between the two. This is because there are other variables which exist which may have also influenced the decrease in burglaries overtime, such as economic factors including an increase in employment rates</w:t>
      </w:r>
      <w:r w:rsidR="00ED5480">
        <w:rPr>
          <w:rFonts w:ascii="Arial" w:hAnsi="Arial" w:cs="Arial"/>
          <w:color w:val="000000" w:themeColor="text1"/>
          <w:shd w:val="clear" w:color="auto" w:fill="FFFFFF"/>
        </w:rPr>
        <w:t xml:space="preserve"> and advancements in technology such as CCTV and other home security systems</w:t>
      </w:r>
      <w:r w:rsidRPr="00390F3A">
        <w:rPr>
          <w:rFonts w:ascii="Arial" w:hAnsi="Arial" w:cs="Arial"/>
          <w:color w:val="000000" w:themeColor="text1"/>
          <w:shd w:val="clear" w:color="auto" w:fill="FFFFFF"/>
        </w:rPr>
        <w:t xml:space="preserve"> (Chang, 2011).  </w:t>
      </w:r>
    </w:p>
    <w:p w14:paraId="2CCFFF58" w14:textId="481D73F7" w:rsidR="00E818C5" w:rsidRPr="00390F3A" w:rsidRDefault="00E818C5" w:rsidP="00E818C5">
      <w:pPr>
        <w:spacing w:line="480" w:lineRule="auto"/>
        <w:rPr>
          <w:rFonts w:ascii="Arial" w:hAnsi="Arial" w:cs="Arial"/>
          <w:color w:val="000000" w:themeColor="text1"/>
          <w:shd w:val="clear" w:color="auto" w:fill="FCFCFC"/>
        </w:rPr>
      </w:pPr>
      <w:r w:rsidRPr="00390F3A">
        <w:rPr>
          <w:rStyle w:val="Strong"/>
          <w:rFonts w:ascii="Arial" w:hAnsi="Arial" w:cs="Arial"/>
          <w:b w:val="0"/>
          <w:bCs w:val="0"/>
          <w:color w:val="000000" w:themeColor="text1"/>
          <w:bdr w:val="none" w:sz="0" w:space="0" w:color="auto" w:frame="1"/>
          <w:shd w:val="clear" w:color="auto" w:fill="FFFFFF"/>
        </w:rPr>
        <w:lastRenderedPageBreak/>
        <w:t xml:space="preserve"> </w:t>
      </w:r>
      <w:r w:rsidRPr="00390F3A">
        <w:rPr>
          <w:rStyle w:val="Strong"/>
          <w:rFonts w:ascii="Arial" w:hAnsi="Arial" w:cs="Arial"/>
          <w:b w:val="0"/>
          <w:bCs w:val="0"/>
          <w:color w:val="000000" w:themeColor="text1"/>
          <w:bdr w:val="none" w:sz="0" w:space="0" w:color="auto" w:frame="1"/>
          <w:shd w:val="clear" w:color="auto" w:fill="FFFFFF"/>
        </w:rPr>
        <w:tab/>
        <w:t xml:space="preserve">An additional crime prevention strategy employed to address burglaries is hot spots policing. Hot spots policing is a crime prevention strategy whereby areas known as ‘hot spots’, which are areas with high crime rates are targeted (College of Policing, 2018). An example of the use of hot spots policing comes from a study by Bennett (1995); this study looked at burglaries in Cambridge and was able to identify that residential burglaries were not evenly distributed and were more prevalent in the </w:t>
      </w:r>
      <w:r w:rsidRPr="00390F3A">
        <w:rPr>
          <w:rFonts w:ascii="Arial" w:hAnsi="Arial" w:cs="Arial"/>
          <w:color w:val="000000" w:themeColor="text1"/>
          <w:shd w:val="clear" w:color="auto" w:fill="FCFCFC"/>
        </w:rPr>
        <w:t xml:space="preserve">Northwest of the city. Cambridge police were then able to use these findings to inform crime prevention strategy as the Northwest became the hot spot for police intervention. Therefore, by reducing burglary rates in this </w:t>
      </w:r>
      <w:proofErr w:type="gramStart"/>
      <w:r w:rsidRPr="00390F3A">
        <w:rPr>
          <w:rFonts w:ascii="Arial" w:hAnsi="Arial" w:cs="Arial"/>
          <w:color w:val="000000" w:themeColor="text1"/>
          <w:shd w:val="clear" w:color="auto" w:fill="FCFCFC"/>
        </w:rPr>
        <w:t>particular area</w:t>
      </w:r>
      <w:proofErr w:type="gramEnd"/>
      <w:r w:rsidRPr="00390F3A">
        <w:rPr>
          <w:rFonts w:ascii="Arial" w:hAnsi="Arial" w:cs="Arial"/>
          <w:color w:val="000000" w:themeColor="text1"/>
          <w:shd w:val="clear" w:color="auto" w:fill="FCFCFC"/>
        </w:rPr>
        <w:t xml:space="preserve">, the overall burglary rates for Cambridge would subsequently decline. When evaluating the effectiveness of hot spots policing as a crime prevention technique for burglaries, it is important to note that a critique of hot spots policing is that some research suggests that it can lead to crime displacement, whereby offenders simply move to a different area which is not a police target (Braga, Papachristos </w:t>
      </w:r>
      <w:r w:rsidR="00390F3A" w:rsidRPr="00390F3A">
        <w:rPr>
          <w:rFonts w:ascii="Arial" w:hAnsi="Arial" w:cs="Arial"/>
          <w:color w:val="000000" w:themeColor="text1"/>
          <w:shd w:val="clear" w:color="auto" w:fill="FCFCFC"/>
        </w:rPr>
        <w:t xml:space="preserve">and </w:t>
      </w:r>
      <w:r w:rsidRPr="00390F3A">
        <w:rPr>
          <w:rFonts w:ascii="Arial" w:hAnsi="Arial" w:cs="Arial"/>
          <w:color w:val="000000" w:themeColor="text1"/>
          <w:shd w:val="clear" w:color="auto" w:fill="FCFCFC"/>
        </w:rPr>
        <w:t xml:space="preserve">Hureau, 2012). Alternatively, other research suggests that directing police interventions such as directed patrols and proactive arrests to hot spot areas is an effective tool (Braga </w:t>
      </w:r>
      <w:r w:rsidR="00390F3A" w:rsidRPr="00390F3A">
        <w:rPr>
          <w:rFonts w:ascii="Arial" w:hAnsi="Arial" w:cs="Arial"/>
          <w:color w:val="000000" w:themeColor="text1"/>
          <w:shd w:val="clear" w:color="auto" w:fill="FCFCFC"/>
        </w:rPr>
        <w:t>and</w:t>
      </w:r>
      <w:r w:rsidRPr="00390F3A">
        <w:rPr>
          <w:rFonts w:ascii="Arial" w:hAnsi="Arial" w:cs="Arial"/>
          <w:color w:val="000000" w:themeColor="text1"/>
          <w:shd w:val="clear" w:color="auto" w:fill="FCFCFC"/>
        </w:rPr>
        <w:t xml:space="preserve"> Bond, 2008). Fielding and Jones (2012) used predictive risk mapping to target domestic burglary in Trafford. Predictive risk mapping is </w:t>
      </w:r>
      <w:r w:rsidR="00B04462">
        <w:rPr>
          <w:rFonts w:ascii="Arial" w:hAnsi="Arial" w:cs="Arial"/>
          <w:color w:val="000000" w:themeColor="text1"/>
          <w:shd w:val="clear" w:color="auto" w:fill="FCFCFC"/>
        </w:rPr>
        <w:t xml:space="preserve">a </w:t>
      </w:r>
      <w:r w:rsidRPr="00390F3A">
        <w:rPr>
          <w:rFonts w:ascii="Arial" w:hAnsi="Arial" w:cs="Arial"/>
          <w:color w:val="000000" w:themeColor="text1"/>
          <w:shd w:val="clear" w:color="auto" w:fill="FCFCFC"/>
        </w:rPr>
        <w:t xml:space="preserve">police system which uses previous crime data to identify future crime hot spots (Johnson </w:t>
      </w:r>
      <w:r w:rsidRPr="00390F3A">
        <w:rPr>
          <w:rFonts w:ascii="Arial" w:hAnsi="Arial" w:cs="Arial"/>
          <w:i/>
          <w:iCs/>
          <w:color w:val="000000" w:themeColor="text1"/>
          <w:shd w:val="clear" w:color="auto" w:fill="FCFCFC"/>
        </w:rPr>
        <w:t>et al</w:t>
      </w:r>
      <w:r w:rsidRPr="00390F3A">
        <w:rPr>
          <w:rFonts w:ascii="Arial" w:hAnsi="Arial" w:cs="Arial"/>
          <w:color w:val="000000" w:themeColor="text1"/>
          <w:shd w:val="clear" w:color="auto" w:fill="FCFCFC"/>
        </w:rPr>
        <w:t>., 2009) This study concluded that by identifying hot spots and targeting these areas, there was a significant decline in the number of reported burglaries and therefore Greater Manchester Police were able to more effectively and efficiently deploy resources.</w:t>
      </w:r>
    </w:p>
    <w:p w14:paraId="42838F5C" w14:textId="77777777" w:rsidR="00E818C5" w:rsidRPr="00390F3A" w:rsidRDefault="00E818C5" w:rsidP="00E818C5">
      <w:pPr>
        <w:spacing w:line="480" w:lineRule="auto"/>
        <w:rPr>
          <w:rFonts w:ascii="Arial" w:hAnsi="Arial" w:cs="Arial"/>
          <w:color w:val="000000" w:themeColor="text1"/>
          <w:shd w:val="clear" w:color="auto" w:fill="FCFCFC"/>
        </w:rPr>
      </w:pPr>
    </w:p>
    <w:p w14:paraId="4C1FA5B2" w14:textId="0870E5B6" w:rsidR="00E818C5" w:rsidRPr="00390F3A" w:rsidRDefault="00E818C5" w:rsidP="00E818C5">
      <w:pPr>
        <w:spacing w:line="480" w:lineRule="auto"/>
        <w:rPr>
          <w:rFonts w:ascii="Arial" w:hAnsi="Arial" w:cs="Arial"/>
          <w:color w:val="000000" w:themeColor="text1"/>
          <w:shd w:val="clear" w:color="auto" w:fill="FCFCFC"/>
        </w:rPr>
      </w:pPr>
      <w:r w:rsidRPr="00390F3A">
        <w:rPr>
          <w:rFonts w:ascii="Arial" w:hAnsi="Arial" w:cs="Arial"/>
          <w:color w:val="000000" w:themeColor="text1"/>
          <w:shd w:val="clear" w:color="auto" w:fill="FCFCFC"/>
        </w:rPr>
        <w:tab/>
        <w:t xml:space="preserve">Overall, burglaries are a frequently reported crime and due the effects of burglaries on victims, it is a crime that police are continuously working to reduce. </w:t>
      </w:r>
      <w:r w:rsidRPr="00390F3A">
        <w:rPr>
          <w:rFonts w:ascii="Arial" w:hAnsi="Arial" w:cs="Arial"/>
          <w:color w:val="000000" w:themeColor="text1"/>
          <w:shd w:val="clear" w:color="auto" w:fill="FCFCFC"/>
        </w:rPr>
        <w:lastRenderedPageBreak/>
        <w:t xml:space="preserve">There are several crime prevention strategies that have been developed, whereby their findings are applicable to targeting and reducing the number of burglaries in a particular area. However, as this essay demonstrates, there are studies which support the effectiveness of certain crime prevention techniques, but nevertheless research also exists which draws upon the limitations of such crime prevention strategies. Consequently, it is useful to acknowledge that no single crime prevention strategy is without </w:t>
      </w:r>
      <w:r w:rsidR="00B04462">
        <w:rPr>
          <w:rFonts w:ascii="Arial" w:hAnsi="Arial" w:cs="Arial"/>
          <w:color w:val="000000" w:themeColor="text1"/>
          <w:shd w:val="clear" w:color="auto" w:fill="FCFCFC"/>
        </w:rPr>
        <w:t>limitations</w:t>
      </w:r>
      <w:r w:rsidRPr="00390F3A">
        <w:rPr>
          <w:rFonts w:ascii="Arial" w:hAnsi="Arial" w:cs="Arial"/>
          <w:color w:val="000000" w:themeColor="text1"/>
          <w:shd w:val="clear" w:color="auto" w:fill="FCFCFC"/>
        </w:rPr>
        <w:t xml:space="preserve">, and instead a combination of crime prevention strategies could be utilised together which </w:t>
      </w:r>
      <w:r w:rsidR="00B04462">
        <w:rPr>
          <w:rFonts w:ascii="Arial" w:hAnsi="Arial" w:cs="Arial"/>
          <w:color w:val="000000" w:themeColor="text1"/>
          <w:shd w:val="clear" w:color="auto" w:fill="FCFCFC"/>
        </w:rPr>
        <w:t xml:space="preserve">could </w:t>
      </w:r>
      <w:r w:rsidRPr="00390F3A">
        <w:rPr>
          <w:rFonts w:ascii="Arial" w:hAnsi="Arial" w:cs="Arial"/>
          <w:color w:val="000000" w:themeColor="text1"/>
          <w:shd w:val="clear" w:color="auto" w:fill="FCFCFC"/>
        </w:rPr>
        <w:t xml:space="preserve">achieve </w:t>
      </w:r>
      <w:r w:rsidR="00B04462">
        <w:rPr>
          <w:rFonts w:ascii="Arial" w:hAnsi="Arial" w:cs="Arial"/>
          <w:color w:val="000000" w:themeColor="text1"/>
          <w:shd w:val="clear" w:color="auto" w:fill="FCFCFC"/>
        </w:rPr>
        <w:t>a more successful</w:t>
      </w:r>
      <w:r w:rsidRPr="00390F3A">
        <w:rPr>
          <w:rFonts w:ascii="Arial" w:hAnsi="Arial" w:cs="Arial"/>
          <w:color w:val="000000" w:themeColor="text1"/>
          <w:shd w:val="clear" w:color="auto" w:fill="FCFCFC"/>
        </w:rPr>
        <w:t xml:space="preserve"> outcome when targeting burglaries and other related crimes. </w:t>
      </w:r>
    </w:p>
    <w:p w14:paraId="75247F5E" w14:textId="77777777" w:rsidR="00E818C5" w:rsidRPr="00390F3A" w:rsidRDefault="00E818C5" w:rsidP="00E818C5">
      <w:pPr>
        <w:spacing w:line="480" w:lineRule="auto"/>
        <w:rPr>
          <w:rFonts w:ascii="Arial" w:hAnsi="Arial" w:cs="Arial"/>
          <w:color w:val="000000" w:themeColor="text1"/>
          <w:shd w:val="clear" w:color="auto" w:fill="FCFCFC"/>
        </w:rPr>
      </w:pPr>
    </w:p>
    <w:p w14:paraId="143733F5" w14:textId="47F59F63" w:rsidR="00E818C5" w:rsidRPr="00390F3A" w:rsidRDefault="00E818C5" w:rsidP="00E818C5">
      <w:pPr>
        <w:spacing w:line="480" w:lineRule="auto"/>
        <w:rPr>
          <w:rFonts w:ascii="Arial" w:hAnsi="Arial" w:cs="Arial"/>
          <w:b/>
          <w:bCs/>
          <w:color w:val="000000" w:themeColor="text1"/>
          <w:bdr w:val="none" w:sz="0" w:space="0" w:color="auto" w:frame="1"/>
          <w:shd w:val="clear" w:color="auto" w:fill="FFFFFF"/>
        </w:rPr>
      </w:pPr>
      <w:r w:rsidRPr="00390F3A">
        <w:rPr>
          <w:rFonts w:ascii="Arial" w:hAnsi="Arial" w:cs="Arial"/>
          <w:b/>
          <w:bCs/>
          <w:color w:val="000000" w:themeColor="text1"/>
          <w:shd w:val="clear" w:color="auto" w:fill="FCFCFC"/>
        </w:rPr>
        <w:t>WORD COUNT: 9</w:t>
      </w:r>
      <w:r w:rsidR="00B04462">
        <w:rPr>
          <w:rFonts w:ascii="Arial" w:hAnsi="Arial" w:cs="Arial"/>
          <w:b/>
          <w:bCs/>
          <w:color w:val="000000" w:themeColor="text1"/>
          <w:shd w:val="clear" w:color="auto" w:fill="FCFCFC"/>
        </w:rPr>
        <w:t>46</w:t>
      </w:r>
    </w:p>
    <w:p w14:paraId="16700374" w14:textId="1ED9657A" w:rsidR="00CB4420" w:rsidRPr="00390F3A" w:rsidRDefault="00CB4420">
      <w:pPr>
        <w:rPr>
          <w:rFonts w:ascii="Arial" w:hAnsi="Arial" w:cs="Arial"/>
          <w:color w:val="000000" w:themeColor="text1"/>
        </w:rPr>
      </w:pPr>
    </w:p>
    <w:p w14:paraId="7881FCFE" w14:textId="77777777" w:rsidR="00E818C5" w:rsidRPr="00390F3A" w:rsidRDefault="00E818C5">
      <w:pPr>
        <w:rPr>
          <w:rFonts w:ascii="Arial" w:hAnsi="Arial" w:cs="Arial"/>
          <w:color w:val="000000" w:themeColor="text1"/>
        </w:rPr>
      </w:pPr>
    </w:p>
    <w:p w14:paraId="2A7A223E" w14:textId="77777777" w:rsidR="00E818C5" w:rsidRPr="00390F3A" w:rsidRDefault="00E818C5">
      <w:pPr>
        <w:rPr>
          <w:rFonts w:ascii="Arial" w:hAnsi="Arial" w:cs="Arial"/>
          <w:color w:val="000000" w:themeColor="text1"/>
        </w:rPr>
      </w:pPr>
    </w:p>
    <w:p w14:paraId="1DC1AFDE" w14:textId="77777777" w:rsidR="00E818C5" w:rsidRPr="00390F3A" w:rsidRDefault="00E818C5">
      <w:pPr>
        <w:rPr>
          <w:rFonts w:ascii="Arial" w:hAnsi="Arial" w:cs="Arial"/>
          <w:color w:val="000000" w:themeColor="text1"/>
        </w:rPr>
      </w:pPr>
    </w:p>
    <w:p w14:paraId="39AEFE3D" w14:textId="77777777" w:rsidR="00E818C5" w:rsidRPr="00390F3A" w:rsidRDefault="00E818C5">
      <w:pPr>
        <w:rPr>
          <w:rFonts w:ascii="Arial" w:hAnsi="Arial" w:cs="Arial"/>
          <w:color w:val="000000" w:themeColor="text1"/>
        </w:rPr>
      </w:pPr>
    </w:p>
    <w:p w14:paraId="315C402F" w14:textId="77777777" w:rsidR="00E818C5" w:rsidRPr="00390F3A" w:rsidRDefault="00E818C5">
      <w:pPr>
        <w:rPr>
          <w:rFonts w:ascii="Arial" w:hAnsi="Arial" w:cs="Arial"/>
          <w:color w:val="000000" w:themeColor="text1"/>
        </w:rPr>
      </w:pPr>
    </w:p>
    <w:p w14:paraId="01FE560A" w14:textId="77777777" w:rsidR="00E818C5" w:rsidRPr="00390F3A" w:rsidRDefault="00E818C5">
      <w:pPr>
        <w:rPr>
          <w:rFonts w:ascii="Arial" w:hAnsi="Arial" w:cs="Arial"/>
          <w:color w:val="000000" w:themeColor="text1"/>
        </w:rPr>
      </w:pPr>
    </w:p>
    <w:p w14:paraId="07D35531" w14:textId="77777777" w:rsidR="00E818C5" w:rsidRPr="00390F3A" w:rsidRDefault="00E818C5">
      <w:pPr>
        <w:rPr>
          <w:rFonts w:ascii="Arial" w:hAnsi="Arial" w:cs="Arial"/>
          <w:color w:val="000000" w:themeColor="text1"/>
        </w:rPr>
      </w:pPr>
    </w:p>
    <w:p w14:paraId="7F62C077" w14:textId="77777777" w:rsidR="00E818C5" w:rsidRPr="00390F3A" w:rsidRDefault="00E818C5">
      <w:pPr>
        <w:rPr>
          <w:rFonts w:ascii="Arial" w:hAnsi="Arial" w:cs="Arial"/>
          <w:color w:val="000000" w:themeColor="text1"/>
        </w:rPr>
      </w:pPr>
    </w:p>
    <w:p w14:paraId="320CF98B" w14:textId="77777777" w:rsidR="00E818C5" w:rsidRPr="00390F3A" w:rsidRDefault="00E818C5">
      <w:pPr>
        <w:rPr>
          <w:rFonts w:ascii="Arial" w:hAnsi="Arial" w:cs="Arial"/>
          <w:color w:val="000000" w:themeColor="text1"/>
        </w:rPr>
      </w:pPr>
    </w:p>
    <w:p w14:paraId="1A17EF7B" w14:textId="77777777" w:rsidR="00E818C5" w:rsidRPr="00390F3A" w:rsidRDefault="00E818C5">
      <w:pPr>
        <w:rPr>
          <w:rFonts w:ascii="Arial" w:hAnsi="Arial" w:cs="Arial"/>
          <w:color w:val="000000" w:themeColor="text1"/>
        </w:rPr>
      </w:pPr>
    </w:p>
    <w:p w14:paraId="10B6F486" w14:textId="77777777" w:rsidR="00E818C5" w:rsidRPr="00390F3A" w:rsidRDefault="00E818C5">
      <w:pPr>
        <w:rPr>
          <w:rFonts w:ascii="Arial" w:hAnsi="Arial" w:cs="Arial"/>
          <w:color w:val="000000" w:themeColor="text1"/>
        </w:rPr>
      </w:pPr>
    </w:p>
    <w:p w14:paraId="10BFF45B" w14:textId="77777777" w:rsidR="00E818C5" w:rsidRPr="00390F3A" w:rsidRDefault="00E818C5">
      <w:pPr>
        <w:rPr>
          <w:rFonts w:ascii="Arial" w:hAnsi="Arial" w:cs="Arial"/>
          <w:color w:val="000000" w:themeColor="text1"/>
        </w:rPr>
      </w:pPr>
    </w:p>
    <w:p w14:paraId="44E9DB9B" w14:textId="77777777" w:rsidR="00E818C5" w:rsidRPr="00390F3A" w:rsidRDefault="00E818C5">
      <w:pPr>
        <w:rPr>
          <w:rFonts w:ascii="Arial" w:hAnsi="Arial" w:cs="Arial"/>
          <w:color w:val="000000" w:themeColor="text1"/>
        </w:rPr>
      </w:pPr>
    </w:p>
    <w:p w14:paraId="7BD5FEED" w14:textId="77777777" w:rsidR="00E818C5" w:rsidRPr="00390F3A" w:rsidRDefault="00E818C5">
      <w:pPr>
        <w:rPr>
          <w:rFonts w:ascii="Arial" w:hAnsi="Arial" w:cs="Arial"/>
          <w:color w:val="000000" w:themeColor="text1"/>
        </w:rPr>
      </w:pPr>
    </w:p>
    <w:p w14:paraId="6978D6AE" w14:textId="77777777" w:rsidR="00E818C5" w:rsidRPr="00390F3A" w:rsidRDefault="00E818C5">
      <w:pPr>
        <w:rPr>
          <w:rFonts w:ascii="Arial" w:hAnsi="Arial" w:cs="Arial"/>
          <w:color w:val="000000" w:themeColor="text1"/>
        </w:rPr>
      </w:pPr>
    </w:p>
    <w:p w14:paraId="71CB6609" w14:textId="77777777" w:rsidR="00E818C5" w:rsidRPr="00390F3A" w:rsidRDefault="00E818C5">
      <w:pPr>
        <w:rPr>
          <w:rFonts w:ascii="Arial" w:hAnsi="Arial" w:cs="Arial"/>
          <w:color w:val="000000" w:themeColor="text1"/>
        </w:rPr>
      </w:pPr>
    </w:p>
    <w:p w14:paraId="2B44D8E2" w14:textId="77777777" w:rsidR="00E818C5" w:rsidRPr="00390F3A" w:rsidRDefault="00E818C5">
      <w:pPr>
        <w:rPr>
          <w:rFonts w:ascii="Arial" w:hAnsi="Arial" w:cs="Arial"/>
          <w:color w:val="000000" w:themeColor="text1"/>
        </w:rPr>
      </w:pPr>
    </w:p>
    <w:p w14:paraId="5DAB2FCD" w14:textId="77777777" w:rsidR="00E818C5" w:rsidRPr="00390F3A" w:rsidRDefault="00E818C5">
      <w:pPr>
        <w:rPr>
          <w:rFonts w:ascii="Arial" w:hAnsi="Arial" w:cs="Arial"/>
          <w:color w:val="000000" w:themeColor="text1"/>
        </w:rPr>
      </w:pPr>
    </w:p>
    <w:p w14:paraId="713D8E04" w14:textId="77777777" w:rsidR="00E818C5" w:rsidRPr="00390F3A" w:rsidRDefault="00E818C5">
      <w:pPr>
        <w:rPr>
          <w:rFonts w:ascii="Arial" w:hAnsi="Arial" w:cs="Arial"/>
          <w:color w:val="000000" w:themeColor="text1"/>
        </w:rPr>
      </w:pPr>
    </w:p>
    <w:p w14:paraId="3CC6E218" w14:textId="77777777" w:rsidR="00E818C5" w:rsidRPr="00390F3A" w:rsidRDefault="00E818C5">
      <w:pPr>
        <w:rPr>
          <w:rFonts w:ascii="Arial" w:hAnsi="Arial" w:cs="Arial"/>
          <w:color w:val="000000" w:themeColor="text1"/>
        </w:rPr>
      </w:pPr>
    </w:p>
    <w:p w14:paraId="08B36209" w14:textId="77777777" w:rsidR="00E818C5" w:rsidRPr="00390F3A" w:rsidRDefault="00E818C5">
      <w:pPr>
        <w:rPr>
          <w:rFonts w:ascii="Arial" w:hAnsi="Arial" w:cs="Arial"/>
          <w:color w:val="000000" w:themeColor="text1"/>
        </w:rPr>
      </w:pPr>
    </w:p>
    <w:p w14:paraId="669FA62B" w14:textId="77777777" w:rsidR="00E818C5" w:rsidRPr="00390F3A" w:rsidRDefault="00E818C5">
      <w:pPr>
        <w:rPr>
          <w:rFonts w:ascii="Arial" w:hAnsi="Arial" w:cs="Arial"/>
          <w:color w:val="000000" w:themeColor="text1"/>
        </w:rPr>
      </w:pPr>
    </w:p>
    <w:p w14:paraId="1E517A2E" w14:textId="77777777" w:rsidR="00E818C5" w:rsidRPr="00390F3A" w:rsidRDefault="00E818C5">
      <w:pPr>
        <w:rPr>
          <w:rFonts w:ascii="Arial" w:hAnsi="Arial" w:cs="Arial"/>
          <w:color w:val="000000" w:themeColor="text1"/>
        </w:rPr>
      </w:pPr>
    </w:p>
    <w:p w14:paraId="4558B5D2" w14:textId="4C2E72F6" w:rsidR="00E818C5" w:rsidRPr="00390F3A" w:rsidRDefault="00E818C5" w:rsidP="00E818C5">
      <w:pPr>
        <w:spacing w:line="480" w:lineRule="auto"/>
        <w:rPr>
          <w:rFonts w:ascii="Arial" w:hAnsi="Arial" w:cs="Arial"/>
          <w:b/>
          <w:bCs/>
          <w:color w:val="000000" w:themeColor="text1"/>
        </w:rPr>
      </w:pPr>
      <w:r w:rsidRPr="00390F3A">
        <w:rPr>
          <w:rFonts w:ascii="Arial" w:hAnsi="Arial" w:cs="Arial"/>
          <w:b/>
          <w:bCs/>
          <w:color w:val="000000" w:themeColor="text1"/>
        </w:rPr>
        <w:lastRenderedPageBreak/>
        <w:t xml:space="preserve">Community policing – to what extent do police have a role in creating and maintaining community cohesion? Your answer must be based on academic </w:t>
      </w:r>
      <w:r w:rsidRPr="00390F3A">
        <w:rPr>
          <w:rFonts w:ascii="Arial" w:hAnsi="Arial" w:cs="Arial"/>
          <w:b/>
          <w:bCs/>
          <w:color w:val="000000" w:themeColor="text1"/>
        </w:rPr>
        <w:t>research.</w:t>
      </w:r>
    </w:p>
    <w:p w14:paraId="7988051E" w14:textId="77777777" w:rsidR="00E818C5" w:rsidRPr="00390F3A" w:rsidRDefault="00E818C5" w:rsidP="00E818C5">
      <w:pPr>
        <w:spacing w:line="480" w:lineRule="auto"/>
        <w:rPr>
          <w:rFonts w:ascii="Arial" w:hAnsi="Arial" w:cs="Arial"/>
          <w:b/>
          <w:bCs/>
          <w:color w:val="000000" w:themeColor="text1"/>
        </w:rPr>
      </w:pPr>
    </w:p>
    <w:p w14:paraId="5B9BAF8D" w14:textId="77777777" w:rsidR="00E818C5" w:rsidRPr="00390F3A" w:rsidRDefault="00E818C5" w:rsidP="00E818C5">
      <w:pPr>
        <w:spacing w:line="480" w:lineRule="auto"/>
        <w:rPr>
          <w:rFonts w:ascii="Arial" w:hAnsi="Arial" w:cs="Arial"/>
          <w:color w:val="000000" w:themeColor="text1"/>
        </w:rPr>
      </w:pPr>
      <w:r w:rsidRPr="00390F3A">
        <w:rPr>
          <w:rFonts w:ascii="Arial" w:hAnsi="Arial" w:cs="Arial"/>
          <w:color w:val="000000" w:themeColor="text1"/>
        </w:rPr>
        <w:t>This essay will explore the concept of community cohesion and discuss why this concept is an important construct for individuals living within society. The role of neighbourhood policing teams will also be discussed and how the police service has a responsibility to promote and maintain community cohesion will be addressed. This essay will also draw upon other agencies that have a responsibility in promoting community cohesion and other factors which effect the overall cohesion of a community.</w:t>
      </w:r>
    </w:p>
    <w:p w14:paraId="7EAA8BF6" w14:textId="77777777" w:rsidR="00E818C5" w:rsidRPr="00390F3A" w:rsidRDefault="00E818C5" w:rsidP="00E818C5">
      <w:pPr>
        <w:spacing w:line="480" w:lineRule="auto"/>
        <w:rPr>
          <w:rFonts w:ascii="Arial" w:hAnsi="Arial" w:cs="Arial"/>
          <w:color w:val="000000" w:themeColor="text1"/>
        </w:rPr>
      </w:pPr>
    </w:p>
    <w:p w14:paraId="6FC8511A" w14:textId="66950DE8" w:rsidR="00E818C5" w:rsidRPr="00390F3A" w:rsidRDefault="00E818C5" w:rsidP="00E818C5">
      <w:pPr>
        <w:spacing w:line="480" w:lineRule="auto"/>
        <w:rPr>
          <w:rFonts w:ascii="Arial" w:hAnsi="Arial" w:cs="Arial"/>
          <w:color w:val="000000" w:themeColor="text1"/>
          <w:shd w:val="clear" w:color="auto" w:fill="FFFFFF"/>
        </w:rPr>
      </w:pPr>
      <w:r w:rsidRPr="00390F3A">
        <w:rPr>
          <w:rFonts w:ascii="Arial" w:hAnsi="Arial" w:cs="Arial"/>
          <w:color w:val="000000" w:themeColor="text1"/>
        </w:rPr>
        <w:tab/>
        <w:t xml:space="preserve">Community cohesion is a term used to describe well connected communities whereby individuals living within these communities have respectable relationships with one another despite factors such as age, race and religion (Wales Safer Communities Network, 2021). Therefore, in a cohesion community, the community functions in harmony rather than in conflict. Community cohesion is an important construct as without cohesion the stability of communities is threatened which can lead to community tension and an increase in crime and disorder (Cantle, 2018). Research by Shechory-Bitton and Soen (2016) measured levels of distress in African refugees within a chosen community and it was concluded that those who reported reduced community cohesion also reported greater levels of fear, perceived risk and overall distress. This research highlights the importance of community cohesion and how it plays a role in ensuring individuals living within communities feel safe and secure, which ultimately affects their overall feelings of happiness. Additional </w:t>
      </w:r>
      <w:r w:rsidRPr="00390F3A">
        <w:rPr>
          <w:rFonts w:ascii="Arial" w:hAnsi="Arial" w:cs="Arial"/>
          <w:color w:val="000000" w:themeColor="text1"/>
        </w:rPr>
        <w:lastRenderedPageBreak/>
        <w:t xml:space="preserve">research has also suggested that greater levels of community cohesion </w:t>
      </w:r>
      <w:r w:rsidR="003C3DEA">
        <w:rPr>
          <w:rFonts w:ascii="Arial" w:hAnsi="Arial" w:cs="Arial"/>
          <w:color w:val="000000" w:themeColor="text1"/>
        </w:rPr>
        <w:t>are</w:t>
      </w:r>
      <w:r w:rsidRPr="00390F3A">
        <w:rPr>
          <w:rFonts w:ascii="Arial" w:hAnsi="Arial" w:cs="Arial"/>
          <w:color w:val="000000" w:themeColor="text1"/>
        </w:rPr>
        <w:t xml:space="preserve"> associated with a greater sense of belonging amongst individuals (Lev</w:t>
      </w:r>
      <w:r w:rsidRPr="00390F3A">
        <w:rPr>
          <w:rFonts w:ascii="Cambria Math" w:hAnsi="Cambria Math" w:cs="Cambria Math"/>
          <w:color w:val="000000" w:themeColor="text1"/>
        </w:rPr>
        <w:t>‐</w:t>
      </w:r>
      <w:r w:rsidRPr="00390F3A">
        <w:rPr>
          <w:rFonts w:ascii="Arial" w:hAnsi="Arial" w:cs="Arial"/>
          <w:color w:val="000000" w:themeColor="text1"/>
        </w:rPr>
        <w:t>Wiesel, 2003) in addition to this, greater reported levels of community cohesion has been associated with reduced levels of fear and reduced levels of crime (</w:t>
      </w:r>
      <w:r w:rsidRPr="00390F3A">
        <w:rPr>
          <w:rFonts w:ascii="Arial" w:hAnsi="Arial" w:cs="Arial"/>
          <w:color w:val="000000" w:themeColor="text1"/>
          <w:shd w:val="clear" w:color="auto" w:fill="FFFFFF"/>
        </w:rPr>
        <w:t>Lee and Earnest, 2003).</w:t>
      </w:r>
    </w:p>
    <w:p w14:paraId="72DC52A5" w14:textId="77777777" w:rsidR="00E818C5" w:rsidRPr="00390F3A" w:rsidRDefault="00E818C5" w:rsidP="00E818C5">
      <w:pPr>
        <w:spacing w:line="480" w:lineRule="auto"/>
        <w:rPr>
          <w:rFonts w:ascii="Arial" w:hAnsi="Arial" w:cs="Arial"/>
          <w:color w:val="000000" w:themeColor="text1"/>
          <w:shd w:val="clear" w:color="auto" w:fill="FFFFFF"/>
        </w:rPr>
      </w:pPr>
    </w:p>
    <w:p w14:paraId="095B7C0E" w14:textId="77777777" w:rsidR="00E818C5" w:rsidRPr="00390F3A" w:rsidRDefault="00E818C5" w:rsidP="00E818C5">
      <w:pPr>
        <w:spacing w:line="480" w:lineRule="auto"/>
        <w:rPr>
          <w:rFonts w:ascii="Arial" w:hAnsi="Arial" w:cs="Arial"/>
          <w:color w:val="000000" w:themeColor="text1"/>
        </w:rPr>
      </w:pPr>
      <w:r w:rsidRPr="00390F3A">
        <w:rPr>
          <w:rFonts w:ascii="Arial" w:hAnsi="Arial" w:cs="Arial"/>
          <w:color w:val="000000" w:themeColor="text1"/>
          <w:shd w:val="clear" w:color="auto" w:fill="FFFFFF"/>
        </w:rPr>
        <w:tab/>
        <w:t xml:space="preserve">The role of police, specifically Neighbourhood Policing Teams (NPT) in creating and maintaining community cohesion is vital. In order for police to be aware of issues within communities that may threaten community cohesion, it is important that officers effectively engage with members of these communities, which is known as community engagement (College of Policing, 2013). This offers the opportunity for individuals to speak with officers about issues in a particular area and this awareness and understanding of community issues that neighbourhood policing teams possess is fundamental to these issues then being addressed and targeted by police. Research has suggested that effective community engagement leads to an increase in public confidence and trust of the police service (Jackson and Bradford, 2010) and with an increased trust of police there is greater likelihood that members of the public will confide in police and discuss any divides and tensions that exist within communities, therefore police can then work with other agencies to target these divides to ultimately improve community cohesion. </w:t>
      </w:r>
    </w:p>
    <w:p w14:paraId="15B2DF29" w14:textId="77777777" w:rsidR="00E818C5" w:rsidRPr="00390F3A" w:rsidRDefault="00E818C5" w:rsidP="00E818C5">
      <w:pPr>
        <w:spacing w:line="480" w:lineRule="auto"/>
        <w:rPr>
          <w:rFonts w:ascii="Arial" w:hAnsi="Arial" w:cs="Arial"/>
          <w:color w:val="000000" w:themeColor="text1"/>
          <w:shd w:val="clear" w:color="auto" w:fill="FFFFFF"/>
        </w:rPr>
      </w:pPr>
    </w:p>
    <w:p w14:paraId="0A27D29B" w14:textId="302208C1" w:rsidR="00E818C5" w:rsidRPr="00390F3A" w:rsidRDefault="00E818C5" w:rsidP="00E818C5">
      <w:pPr>
        <w:spacing w:line="480" w:lineRule="auto"/>
        <w:ind w:firstLine="720"/>
        <w:rPr>
          <w:rFonts w:ascii="Arial" w:hAnsi="Arial" w:cs="Arial"/>
          <w:color w:val="000000" w:themeColor="text1"/>
          <w:shd w:val="clear" w:color="auto" w:fill="FFFFFF"/>
        </w:rPr>
      </w:pPr>
      <w:r w:rsidRPr="00390F3A">
        <w:rPr>
          <w:rFonts w:ascii="Arial" w:hAnsi="Arial" w:cs="Arial"/>
          <w:color w:val="000000" w:themeColor="text1"/>
          <w:shd w:val="clear" w:color="auto" w:fill="FFFFFF"/>
        </w:rPr>
        <w:t xml:space="preserve">Furthermore, in order for community cohesion to be achieved, problems which create tension within communities, such as anti-social behaviour (ASB), need to be addressed. Police have a role in addressing ASB and other crimes, and if police do so successfully, this will lead to a reduction in issues such as ASB and other crime </w:t>
      </w:r>
      <w:r w:rsidRPr="00390F3A">
        <w:rPr>
          <w:rFonts w:ascii="Arial" w:hAnsi="Arial" w:cs="Arial"/>
          <w:color w:val="000000" w:themeColor="text1"/>
          <w:shd w:val="clear" w:color="auto" w:fill="FFFFFF"/>
        </w:rPr>
        <w:lastRenderedPageBreak/>
        <w:t xml:space="preserve">within communities, which should lead to greater community satisfaction and cohesion. Support of this notion comes from Wickes </w:t>
      </w:r>
      <w:r w:rsidR="003C3DEA" w:rsidRPr="003C3DEA">
        <w:rPr>
          <w:rFonts w:ascii="Arial" w:hAnsi="Arial" w:cs="Arial"/>
          <w:i/>
          <w:iCs/>
          <w:color w:val="000000" w:themeColor="text1"/>
          <w:shd w:val="clear" w:color="auto" w:fill="FFFFFF"/>
        </w:rPr>
        <w:t>et al.,</w:t>
      </w:r>
      <w:r w:rsidR="003C3DEA" w:rsidRPr="003C3DEA">
        <w:rPr>
          <w:rFonts w:ascii="Arial" w:hAnsi="Arial" w:cs="Arial"/>
          <w:color w:val="000000" w:themeColor="text1"/>
          <w:shd w:val="clear" w:color="auto" w:fill="FFFFFF"/>
        </w:rPr>
        <w:t xml:space="preserve"> (2012) </w:t>
      </w:r>
      <w:r w:rsidRPr="00390F3A">
        <w:rPr>
          <w:rFonts w:ascii="Arial" w:hAnsi="Arial" w:cs="Arial"/>
          <w:color w:val="000000" w:themeColor="text1"/>
          <w:shd w:val="clear" w:color="auto" w:fill="FFFFFF"/>
        </w:rPr>
        <w:t xml:space="preserve">who found that higher levels of ASB are associated with lower reports of social cohesion, which suggests that if police can effectively target issues such as ASB, reported levels of community cohesion should subsequently improve as communities will experience fewer problems. </w:t>
      </w:r>
    </w:p>
    <w:p w14:paraId="34C74C51" w14:textId="77777777" w:rsidR="00E818C5" w:rsidRPr="00390F3A" w:rsidRDefault="00E818C5" w:rsidP="00E818C5">
      <w:pPr>
        <w:spacing w:line="480" w:lineRule="auto"/>
        <w:ind w:firstLine="720"/>
        <w:rPr>
          <w:rFonts w:ascii="Arial" w:hAnsi="Arial" w:cs="Arial"/>
          <w:color w:val="000000" w:themeColor="text1"/>
          <w:shd w:val="clear" w:color="auto" w:fill="FFFFFF"/>
        </w:rPr>
      </w:pPr>
    </w:p>
    <w:p w14:paraId="5CC78841" w14:textId="1FFDCABB" w:rsidR="00E818C5" w:rsidRPr="00390F3A" w:rsidRDefault="00E818C5" w:rsidP="00E818C5">
      <w:pPr>
        <w:spacing w:line="480" w:lineRule="auto"/>
        <w:ind w:firstLine="720"/>
        <w:rPr>
          <w:rFonts w:ascii="Arial" w:hAnsi="Arial" w:cs="Arial"/>
          <w:color w:val="000000" w:themeColor="text1"/>
        </w:rPr>
      </w:pPr>
      <w:r w:rsidRPr="00390F3A">
        <w:rPr>
          <w:rFonts w:ascii="Arial" w:hAnsi="Arial" w:cs="Arial"/>
          <w:color w:val="000000" w:themeColor="text1"/>
          <w:shd w:val="clear" w:color="auto" w:fill="FFFFFF"/>
        </w:rPr>
        <w:t>Although police have a key role in promoting community cohesion, creating and maintain community cohesion should be viewed as a collective responsibility with other agencies such as the local authority. Gendrot (2001) looked at two factors which impact community cohesion</w:t>
      </w:r>
      <w:r w:rsidR="003C3DEA">
        <w:rPr>
          <w:rFonts w:ascii="Arial" w:hAnsi="Arial" w:cs="Arial"/>
          <w:color w:val="000000" w:themeColor="text1"/>
          <w:shd w:val="clear" w:color="auto" w:fill="FFFFFF"/>
        </w:rPr>
        <w:t>;</w:t>
      </w:r>
      <w:r w:rsidRPr="00390F3A">
        <w:rPr>
          <w:rFonts w:ascii="Arial" w:hAnsi="Arial" w:cs="Arial"/>
          <w:color w:val="000000" w:themeColor="text1"/>
          <w:shd w:val="clear" w:color="auto" w:fill="FFFFFF"/>
        </w:rPr>
        <w:t xml:space="preserve"> actual crime and fear of </w:t>
      </w:r>
      <w:r w:rsidR="003C3DEA" w:rsidRPr="00390F3A">
        <w:rPr>
          <w:rFonts w:ascii="Arial" w:hAnsi="Arial" w:cs="Arial"/>
          <w:color w:val="000000" w:themeColor="text1"/>
          <w:shd w:val="clear" w:color="auto" w:fill="FFFFFF"/>
        </w:rPr>
        <w:t>crime and</w:t>
      </w:r>
      <w:r w:rsidRPr="00390F3A">
        <w:rPr>
          <w:rFonts w:ascii="Arial" w:hAnsi="Arial" w:cs="Arial"/>
          <w:color w:val="000000" w:themeColor="text1"/>
          <w:shd w:val="clear" w:color="auto" w:fill="FFFFFF"/>
        </w:rPr>
        <w:t xml:space="preserve"> found that in order to reduce these variables there needs to be partnership between local authorises, educators, police and participation from communities. This suggests that although police can aim to improve cohesion within the communities, it is also important to have engagement and involvement from partner agencies that can assist such as schools, the health service, the local authority and housing associations. Therefore, there should be a joint approach to achieving and upholding community cohesion. Additionally, it is important for individuals living within communities to have positive attitudes towards achieving community cohesion and at the individual level there should be an absence of racist or extreme views (Thomas, 2007), especially if these views are targeted towards minority groups which may reside within the community. As an important factor to achieving community cohesion is for individuals living in diverse communities to feel safe and respected (McGhee, 2003). If individuals living within a community voice racist or stereotypical views to other individuals living within the same community, this can </w:t>
      </w:r>
      <w:r w:rsidRPr="00390F3A">
        <w:rPr>
          <w:rFonts w:ascii="Arial" w:hAnsi="Arial" w:cs="Arial"/>
          <w:color w:val="000000" w:themeColor="text1"/>
          <w:shd w:val="clear" w:color="auto" w:fill="FFFFFF"/>
        </w:rPr>
        <w:lastRenderedPageBreak/>
        <w:t xml:space="preserve">have the opposite effect of cohesion and can result in community tensions and divides. Consequently, </w:t>
      </w:r>
      <w:r w:rsidRPr="00390F3A">
        <w:rPr>
          <w:rFonts w:ascii="Arial" w:hAnsi="Arial" w:cs="Arial"/>
          <w:color w:val="000000" w:themeColor="text1"/>
        </w:rPr>
        <w:t>there is responsibility upon individuals living in communities to engage in positive and respectful manner with other members of their community.</w:t>
      </w:r>
    </w:p>
    <w:p w14:paraId="6DC314BB" w14:textId="77777777" w:rsidR="00E818C5" w:rsidRPr="00390F3A" w:rsidRDefault="00E818C5" w:rsidP="00E818C5">
      <w:pPr>
        <w:spacing w:line="480" w:lineRule="auto"/>
        <w:rPr>
          <w:rFonts w:ascii="Arial" w:hAnsi="Arial" w:cs="Arial"/>
          <w:color w:val="000000" w:themeColor="text1"/>
        </w:rPr>
      </w:pPr>
    </w:p>
    <w:p w14:paraId="6FFF3215" w14:textId="447AA523" w:rsidR="00E818C5" w:rsidRPr="00390F3A" w:rsidRDefault="00E818C5" w:rsidP="00E818C5">
      <w:pPr>
        <w:spacing w:line="480" w:lineRule="auto"/>
        <w:rPr>
          <w:rFonts w:ascii="Arial" w:hAnsi="Arial" w:cs="Arial"/>
          <w:color w:val="000000" w:themeColor="text1"/>
        </w:rPr>
      </w:pPr>
      <w:r w:rsidRPr="00390F3A">
        <w:rPr>
          <w:rFonts w:ascii="Arial" w:hAnsi="Arial" w:cs="Arial"/>
          <w:color w:val="000000" w:themeColor="text1"/>
        </w:rPr>
        <w:tab/>
        <w:t xml:space="preserve">Overall, the police play a vital role in creating and maintaining community cohesion, </w:t>
      </w:r>
      <w:r w:rsidR="003C3DEA">
        <w:rPr>
          <w:rFonts w:ascii="Arial" w:hAnsi="Arial" w:cs="Arial"/>
          <w:color w:val="000000" w:themeColor="text1"/>
        </w:rPr>
        <w:t xml:space="preserve">and </w:t>
      </w:r>
      <w:r w:rsidRPr="00390F3A">
        <w:rPr>
          <w:rFonts w:ascii="Arial" w:hAnsi="Arial" w:cs="Arial"/>
          <w:color w:val="000000" w:themeColor="text1"/>
        </w:rPr>
        <w:t>it is central to the role of a neighbourhood policing officer</w:t>
      </w:r>
      <w:r w:rsidR="003C3DEA">
        <w:rPr>
          <w:rFonts w:ascii="Arial" w:hAnsi="Arial" w:cs="Arial"/>
          <w:color w:val="000000" w:themeColor="text1"/>
        </w:rPr>
        <w:t>s</w:t>
      </w:r>
      <w:r w:rsidRPr="00390F3A">
        <w:rPr>
          <w:rFonts w:ascii="Arial" w:hAnsi="Arial" w:cs="Arial"/>
          <w:color w:val="000000" w:themeColor="text1"/>
        </w:rPr>
        <w:t>. These officers aim to tackle neighbour issues, even seemingly minor neighbour disputes, as if these issues are left unresolved, this can create tensions which ultimately disrupt community cohesion. However, other agencies are also responsible for upholding principles of community cohesion, these include housing agencies, the local authority and schools. Additionally, although the role of police is important, there is also reasonability at the individual level for those living within communities to be open minded, respectful and empathic towards others that they share their community with.</w:t>
      </w:r>
    </w:p>
    <w:p w14:paraId="2C313C0D" w14:textId="77777777" w:rsidR="00E818C5" w:rsidRPr="00390F3A" w:rsidRDefault="00E818C5" w:rsidP="00E818C5">
      <w:pPr>
        <w:spacing w:line="480" w:lineRule="auto"/>
        <w:rPr>
          <w:rFonts w:ascii="Arial" w:hAnsi="Arial" w:cs="Arial"/>
          <w:color w:val="000000" w:themeColor="text1"/>
        </w:rPr>
      </w:pPr>
    </w:p>
    <w:p w14:paraId="77D99244" w14:textId="17648FB1" w:rsidR="00E818C5" w:rsidRPr="00390F3A" w:rsidRDefault="00E818C5" w:rsidP="00E818C5">
      <w:pPr>
        <w:spacing w:line="480" w:lineRule="auto"/>
        <w:rPr>
          <w:rFonts w:ascii="Arial" w:hAnsi="Arial" w:cs="Arial"/>
          <w:b/>
          <w:bCs/>
          <w:color w:val="000000" w:themeColor="text1"/>
        </w:rPr>
      </w:pPr>
      <w:r w:rsidRPr="00390F3A">
        <w:rPr>
          <w:rFonts w:ascii="Arial" w:hAnsi="Arial" w:cs="Arial"/>
          <w:b/>
          <w:bCs/>
          <w:color w:val="000000" w:themeColor="text1"/>
        </w:rPr>
        <w:t>WORD COUNT: 92</w:t>
      </w:r>
      <w:r w:rsidR="00466E64">
        <w:rPr>
          <w:rFonts w:ascii="Arial" w:hAnsi="Arial" w:cs="Arial"/>
          <w:b/>
          <w:bCs/>
          <w:color w:val="000000" w:themeColor="text1"/>
        </w:rPr>
        <w:t>1</w:t>
      </w:r>
    </w:p>
    <w:p w14:paraId="1A333919" w14:textId="77777777" w:rsidR="00E818C5" w:rsidRPr="00390F3A" w:rsidRDefault="00E818C5" w:rsidP="00E818C5">
      <w:pPr>
        <w:spacing w:line="480" w:lineRule="auto"/>
        <w:rPr>
          <w:rFonts w:ascii="Arial" w:hAnsi="Arial" w:cs="Arial"/>
          <w:b/>
          <w:bCs/>
          <w:color w:val="000000" w:themeColor="text1"/>
          <w:u w:val="single"/>
        </w:rPr>
      </w:pPr>
    </w:p>
    <w:p w14:paraId="7AD7C9DE" w14:textId="77777777" w:rsidR="00CB4420" w:rsidRPr="00390F3A" w:rsidRDefault="00CB4420">
      <w:pPr>
        <w:rPr>
          <w:rFonts w:ascii="Arial" w:hAnsi="Arial" w:cs="Arial"/>
          <w:color w:val="000000" w:themeColor="text1"/>
        </w:rPr>
      </w:pPr>
    </w:p>
    <w:p w14:paraId="112E35CF" w14:textId="77777777" w:rsidR="00CB4420" w:rsidRPr="00390F3A" w:rsidRDefault="00CB4420">
      <w:pPr>
        <w:rPr>
          <w:rFonts w:ascii="Arial" w:hAnsi="Arial" w:cs="Arial"/>
          <w:color w:val="000000" w:themeColor="text1"/>
        </w:rPr>
      </w:pPr>
    </w:p>
    <w:p w14:paraId="1B87E19E" w14:textId="77777777" w:rsidR="00CB4420" w:rsidRPr="00390F3A" w:rsidRDefault="00CB4420">
      <w:pPr>
        <w:rPr>
          <w:rFonts w:ascii="Arial" w:hAnsi="Arial" w:cs="Arial"/>
          <w:color w:val="000000" w:themeColor="text1"/>
        </w:rPr>
      </w:pPr>
    </w:p>
    <w:p w14:paraId="2F741DE1" w14:textId="77777777" w:rsidR="00CB4420" w:rsidRPr="00390F3A" w:rsidRDefault="00CB4420">
      <w:pPr>
        <w:rPr>
          <w:rFonts w:ascii="Arial" w:hAnsi="Arial" w:cs="Arial"/>
          <w:color w:val="000000" w:themeColor="text1"/>
        </w:rPr>
      </w:pPr>
    </w:p>
    <w:p w14:paraId="6601F739" w14:textId="77777777" w:rsidR="00E818C5" w:rsidRPr="00390F3A" w:rsidRDefault="00E818C5">
      <w:pPr>
        <w:rPr>
          <w:rFonts w:ascii="Arial" w:hAnsi="Arial" w:cs="Arial"/>
          <w:color w:val="000000" w:themeColor="text1"/>
        </w:rPr>
      </w:pPr>
    </w:p>
    <w:p w14:paraId="73740638" w14:textId="77777777" w:rsidR="00E818C5" w:rsidRPr="00390F3A" w:rsidRDefault="00E818C5">
      <w:pPr>
        <w:rPr>
          <w:rFonts w:ascii="Arial" w:hAnsi="Arial" w:cs="Arial"/>
          <w:color w:val="000000" w:themeColor="text1"/>
        </w:rPr>
      </w:pPr>
    </w:p>
    <w:p w14:paraId="630187C0" w14:textId="77777777" w:rsidR="00E818C5" w:rsidRPr="00390F3A" w:rsidRDefault="00E818C5">
      <w:pPr>
        <w:rPr>
          <w:rFonts w:ascii="Arial" w:hAnsi="Arial" w:cs="Arial"/>
          <w:color w:val="000000" w:themeColor="text1"/>
        </w:rPr>
      </w:pPr>
    </w:p>
    <w:p w14:paraId="3CABD52D" w14:textId="77777777" w:rsidR="00E818C5" w:rsidRPr="00390F3A" w:rsidRDefault="00E818C5">
      <w:pPr>
        <w:rPr>
          <w:rFonts w:ascii="Arial" w:hAnsi="Arial" w:cs="Arial"/>
          <w:color w:val="000000" w:themeColor="text1"/>
        </w:rPr>
      </w:pPr>
    </w:p>
    <w:p w14:paraId="4132F789" w14:textId="77777777" w:rsidR="00E818C5" w:rsidRPr="00390F3A" w:rsidRDefault="00E818C5">
      <w:pPr>
        <w:rPr>
          <w:rFonts w:ascii="Arial" w:hAnsi="Arial" w:cs="Arial"/>
          <w:color w:val="000000" w:themeColor="text1"/>
        </w:rPr>
      </w:pPr>
    </w:p>
    <w:p w14:paraId="05907845" w14:textId="77777777" w:rsidR="00E818C5" w:rsidRPr="00390F3A" w:rsidRDefault="00E818C5">
      <w:pPr>
        <w:rPr>
          <w:rFonts w:ascii="Arial" w:hAnsi="Arial" w:cs="Arial"/>
          <w:color w:val="000000" w:themeColor="text1"/>
        </w:rPr>
      </w:pPr>
    </w:p>
    <w:p w14:paraId="6CA9642D" w14:textId="77777777" w:rsidR="00E818C5" w:rsidRPr="00390F3A" w:rsidRDefault="00E818C5">
      <w:pPr>
        <w:rPr>
          <w:rFonts w:ascii="Arial" w:hAnsi="Arial" w:cs="Arial"/>
          <w:color w:val="000000" w:themeColor="text1"/>
        </w:rPr>
      </w:pPr>
    </w:p>
    <w:p w14:paraId="576A4A2E" w14:textId="77777777" w:rsidR="00E818C5" w:rsidRPr="00390F3A" w:rsidRDefault="00E818C5">
      <w:pPr>
        <w:rPr>
          <w:rFonts w:ascii="Arial" w:hAnsi="Arial" w:cs="Arial"/>
          <w:color w:val="000000" w:themeColor="text1"/>
        </w:rPr>
      </w:pPr>
    </w:p>
    <w:p w14:paraId="2FAF3D5F" w14:textId="77777777" w:rsidR="00E818C5" w:rsidRPr="00390F3A" w:rsidRDefault="00E818C5">
      <w:pPr>
        <w:rPr>
          <w:rFonts w:ascii="Arial" w:hAnsi="Arial" w:cs="Arial"/>
          <w:color w:val="000000" w:themeColor="text1"/>
        </w:rPr>
      </w:pPr>
    </w:p>
    <w:p w14:paraId="4B0C25EE" w14:textId="77777777" w:rsidR="00E818C5" w:rsidRPr="00390F3A" w:rsidRDefault="00E818C5">
      <w:pPr>
        <w:rPr>
          <w:rFonts w:ascii="Arial" w:hAnsi="Arial" w:cs="Arial"/>
          <w:color w:val="000000" w:themeColor="text1"/>
        </w:rPr>
      </w:pPr>
    </w:p>
    <w:p w14:paraId="374B168C" w14:textId="42582FCC" w:rsidR="00E818C5" w:rsidRPr="00390F3A" w:rsidRDefault="00E818C5" w:rsidP="00E818C5">
      <w:pPr>
        <w:spacing w:line="480" w:lineRule="auto"/>
        <w:rPr>
          <w:rFonts w:ascii="Arial" w:hAnsi="Arial" w:cs="Arial"/>
          <w:b/>
          <w:bCs/>
          <w:color w:val="000000" w:themeColor="text1"/>
        </w:rPr>
      </w:pPr>
      <w:r w:rsidRPr="00390F3A">
        <w:rPr>
          <w:rFonts w:ascii="Arial" w:hAnsi="Arial" w:cs="Arial"/>
          <w:b/>
          <w:bCs/>
          <w:color w:val="000000" w:themeColor="text1"/>
        </w:rPr>
        <w:lastRenderedPageBreak/>
        <w:t>What impact can personal bias have on investigations, and how effective are the measures in place to prevent this? Your answer must be based on academic research rather than personal experience.</w:t>
      </w:r>
    </w:p>
    <w:p w14:paraId="3426006A" w14:textId="77777777" w:rsidR="00E818C5" w:rsidRPr="00390F3A" w:rsidRDefault="00E818C5" w:rsidP="00E818C5">
      <w:pPr>
        <w:spacing w:line="480" w:lineRule="auto"/>
        <w:rPr>
          <w:rFonts w:ascii="Arial" w:hAnsi="Arial" w:cs="Arial"/>
          <w:b/>
          <w:bCs/>
          <w:color w:val="000000" w:themeColor="text1"/>
        </w:rPr>
      </w:pPr>
    </w:p>
    <w:p w14:paraId="6C3686AC" w14:textId="77777777" w:rsidR="00E818C5" w:rsidRPr="00390F3A" w:rsidRDefault="00E818C5" w:rsidP="00E818C5">
      <w:pPr>
        <w:spacing w:line="480" w:lineRule="auto"/>
        <w:rPr>
          <w:rFonts w:ascii="Arial" w:hAnsi="Arial" w:cs="Arial"/>
          <w:color w:val="000000" w:themeColor="text1"/>
        </w:rPr>
      </w:pPr>
      <w:r w:rsidRPr="00390F3A">
        <w:rPr>
          <w:rFonts w:ascii="Arial" w:hAnsi="Arial" w:cs="Arial"/>
          <w:color w:val="000000" w:themeColor="text1"/>
        </w:rPr>
        <w:t>This essay will focus upon the role and impacts of personal bias in police investigations. Firstly, this essay will draw upon what personal biases exist in the field of policing and how these biases can unconsciously influence decision making. Additionally, this essay will then look at what measures are put in place to prevent personal biases affecting police investigations, and research which aims to evaluate if these measures are effective will also be discussed.</w:t>
      </w:r>
    </w:p>
    <w:p w14:paraId="02D95838" w14:textId="77777777" w:rsidR="00E818C5" w:rsidRPr="00390F3A" w:rsidRDefault="00E818C5" w:rsidP="00E818C5">
      <w:pPr>
        <w:spacing w:line="480" w:lineRule="auto"/>
        <w:rPr>
          <w:rFonts w:ascii="Arial" w:hAnsi="Arial" w:cs="Arial"/>
          <w:color w:val="000000" w:themeColor="text1"/>
        </w:rPr>
      </w:pPr>
    </w:p>
    <w:p w14:paraId="671A06D3" w14:textId="693D0DDA" w:rsidR="00E818C5" w:rsidRPr="00390F3A" w:rsidRDefault="00E818C5" w:rsidP="00E818C5">
      <w:pPr>
        <w:spacing w:line="480" w:lineRule="auto"/>
        <w:ind w:firstLine="720"/>
        <w:rPr>
          <w:rFonts w:ascii="Arial" w:hAnsi="Arial" w:cs="Arial"/>
          <w:color w:val="000000" w:themeColor="text1"/>
          <w:shd w:val="clear" w:color="auto" w:fill="FFFFFF"/>
        </w:rPr>
      </w:pPr>
      <w:r w:rsidRPr="00390F3A">
        <w:rPr>
          <w:rFonts w:ascii="Arial" w:hAnsi="Arial" w:cs="Arial"/>
          <w:color w:val="000000" w:themeColor="text1"/>
        </w:rPr>
        <w:t>Personal biases in policing can be described as a prejudice that has been formed about a person or situation, and this prejudice usually reflects an individual’s own personal experiences, beliefs or background (BBC, 2020). Personal biases can be conscious/explicit, which are prejudices that individuals have and are aware of, or biases can be unconscious/implicit, which are prejudices that individuals are unaware of, but these prejudices can still influence an individual’s behaviour (College of Policing, 2016). There is an array of research which looks at how and why personal biases influence police investigations. For example, Elaad (2022) proposed that during police investigations there is a tendency for officers to have a belief that a certain suspect is guilty of an offence and then use ‘tunnel vision’ when evaluating evidence, wh</w:t>
      </w:r>
      <w:r w:rsidR="00466E64">
        <w:rPr>
          <w:rFonts w:ascii="Arial" w:hAnsi="Arial" w:cs="Arial"/>
          <w:color w:val="000000" w:themeColor="text1"/>
        </w:rPr>
        <w:t>ich</w:t>
      </w:r>
      <w:r w:rsidRPr="00390F3A">
        <w:rPr>
          <w:rFonts w:ascii="Arial" w:hAnsi="Arial" w:cs="Arial"/>
          <w:color w:val="000000" w:themeColor="text1"/>
        </w:rPr>
        <w:t xml:space="preserve"> is where officers ultimately filter evidence selectively in order to build a case to support the suspect’s conviction. Research by </w:t>
      </w:r>
      <w:r w:rsidRPr="00390F3A">
        <w:rPr>
          <w:rFonts w:ascii="Arial" w:hAnsi="Arial" w:cs="Arial"/>
          <w:color w:val="000000" w:themeColor="text1"/>
          <w:shd w:val="clear" w:color="auto" w:fill="FFFFFF"/>
        </w:rPr>
        <w:t xml:space="preserve">Maynard and Schelly (2017) suggests that if officers work in accordance with their own personal biases this can be detrimental, as if only evidence in line with </w:t>
      </w:r>
      <w:r w:rsidR="00466E64">
        <w:rPr>
          <w:rFonts w:ascii="Arial" w:hAnsi="Arial" w:cs="Arial"/>
          <w:color w:val="000000" w:themeColor="text1"/>
          <w:shd w:val="clear" w:color="auto" w:fill="FFFFFF"/>
        </w:rPr>
        <w:t xml:space="preserve">the </w:t>
      </w:r>
      <w:r w:rsidRPr="00390F3A">
        <w:rPr>
          <w:rFonts w:ascii="Arial" w:hAnsi="Arial" w:cs="Arial"/>
          <w:color w:val="000000" w:themeColor="text1"/>
          <w:shd w:val="clear" w:color="auto" w:fill="FFFFFF"/>
        </w:rPr>
        <w:t xml:space="preserve">officer’s own personal </w:t>
      </w:r>
      <w:r w:rsidRPr="00390F3A">
        <w:rPr>
          <w:rFonts w:ascii="Arial" w:hAnsi="Arial" w:cs="Arial"/>
          <w:color w:val="000000" w:themeColor="text1"/>
          <w:shd w:val="clear" w:color="auto" w:fill="FFFFFF"/>
        </w:rPr>
        <w:lastRenderedPageBreak/>
        <w:t>biases is considered, this means that evidence pointing to the suspect’s innocence is disregarded, which can ultimately lead to wrongful convictions. There is also research which looks at other biases which exists within the field of policing, these include a gender bias with exists whereby research suggests that it is assumed that in a domestic abuse relationship, it is more likely to be assumed that the victim will be female and the perpetrator male (Dutton and White, 2013). Other biases include racial biases</w:t>
      </w:r>
      <w:r w:rsidR="00466E64">
        <w:rPr>
          <w:rFonts w:ascii="Arial" w:hAnsi="Arial" w:cs="Arial"/>
          <w:color w:val="000000" w:themeColor="text1"/>
          <w:shd w:val="clear" w:color="auto" w:fill="FFFFFF"/>
        </w:rPr>
        <w:t xml:space="preserve">; </w:t>
      </w:r>
      <w:r w:rsidRPr="00390F3A">
        <w:rPr>
          <w:rFonts w:ascii="Arial" w:hAnsi="Arial" w:cs="Arial"/>
          <w:color w:val="000000" w:themeColor="text1"/>
          <w:shd w:val="clear" w:color="auto" w:fill="FFFFFF"/>
        </w:rPr>
        <w:t xml:space="preserve">research suggests that race was used as a factor which influenced when officers used certain police powers such as stop searches (Goff and Barsamian, 2012). </w:t>
      </w:r>
    </w:p>
    <w:p w14:paraId="6C84CC7B" w14:textId="77777777" w:rsidR="00E818C5" w:rsidRPr="00390F3A" w:rsidRDefault="00E818C5" w:rsidP="00E818C5">
      <w:pPr>
        <w:spacing w:line="480" w:lineRule="auto"/>
        <w:ind w:firstLine="720"/>
        <w:rPr>
          <w:rFonts w:ascii="Arial" w:hAnsi="Arial" w:cs="Arial"/>
          <w:color w:val="000000" w:themeColor="text1"/>
          <w:shd w:val="clear" w:color="auto" w:fill="FFFFFF"/>
        </w:rPr>
      </w:pPr>
    </w:p>
    <w:p w14:paraId="3DA576E1" w14:textId="77777777" w:rsidR="00E818C5" w:rsidRPr="00390F3A" w:rsidRDefault="00E818C5" w:rsidP="00E818C5">
      <w:pPr>
        <w:spacing w:line="480" w:lineRule="auto"/>
        <w:ind w:firstLine="720"/>
        <w:rPr>
          <w:rFonts w:ascii="Arial" w:hAnsi="Arial" w:cs="Arial"/>
          <w:color w:val="000000" w:themeColor="text1"/>
          <w:shd w:val="clear" w:color="auto" w:fill="FFFFFF"/>
        </w:rPr>
      </w:pPr>
      <w:r w:rsidRPr="00390F3A">
        <w:rPr>
          <w:rFonts w:ascii="Arial" w:hAnsi="Arial" w:cs="Arial"/>
          <w:color w:val="000000" w:themeColor="text1"/>
          <w:shd w:val="clear" w:color="auto" w:fill="FFFFFF"/>
        </w:rPr>
        <w:t xml:space="preserve">Therefore, there is a need for measures to be put in place in order to try and reduce the impact of personal biases in police investigations </w:t>
      </w:r>
      <w:proofErr w:type="gramStart"/>
      <w:r w:rsidRPr="00390F3A">
        <w:rPr>
          <w:rFonts w:ascii="Arial" w:hAnsi="Arial" w:cs="Arial"/>
          <w:color w:val="000000" w:themeColor="text1"/>
          <w:shd w:val="clear" w:color="auto" w:fill="FFFFFF"/>
        </w:rPr>
        <w:t>in order for</w:t>
      </w:r>
      <w:proofErr w:type="gramEnd"/>
      <w:r w:rsidRPr="00390F3A">
        <w:rPr>
          <w:rFonts w:ascii="Arial" w:hAnsi="Arial" w:cs="Arial"/>
          <w:color w:val="000000" w:themeColor="text1"/>
          <w:shd w:val="clear" w:color="auto" w:fill="FFFFFF"/>
        </w:rPr>
        <w:t xml:space="preserve"> investigations to be more impartial and objective. The first measure put in place is officer training. In a study by Miller </w:t>
      </w:r>
      <w:r w:rsidRPr="00390F3A">
        <w:rPr>
          <w:rFonts w:ascii="Arial" w:hAnsi="Arial" w:cs="Arial"/>
          <w:i/>
          <w:iCs/>
          <w:color w:val="000000" w:themeColor="text1"/>
          <w:shd w:val="clear" w:color="auto" w:fill="FFFFFF"/>
        </w:rPr>
        <w:t>et al.,</w:t>
      </w:r>
      <w:r w:rsidRPr="00390F3A">
        <w:rPr>
          <w:rFonts w:ascii="Arial" w:hAnsi="Arial" w:cs="Arial"/>
          <w:color w:val="000000" w:themeColor="text1"/>
          <w:shd w:val="clear" w:color="auto" w:fill="FFFFFF"/>
        </w:rPr>
        <w:t xml:space="preserve"> (2020) researchers examined the effects of a racial and ethical bias training programme to determine if this had any effects on officer’s subsequent use of stop and search powers. The study found that training was associated with a reduction in officer bias as training reduced officer’s reliance on ethical and racial stereotypes when deciding to stop and search individuals, resulting in decisions to stop search being based on legitimate reasonable grounds. Further research which supports to the use of officer training to reduce personal bias comes from Glaser (2015) who conducted a review of implicit biases in the criminal justice system and concluded that police training reduces personal biases as it exposes officers to information that challenges common stereotypes and shows officers the process by which stereotypes can unconsciously guide behaviour. However, it should be noted that although there is research to suggest that officer </w:t>
      </w:r>
      <w:r w:rsidRPr="00390F3A">
        <w:rPr>
          <w:rFonts w:ascii="Arial" w:hAnsi="Arial" w:cs="Arial"/>
          <w:color w:val="000000" w:themeColor="text1"/>
          <w:shd w:val="clear" w:color="auto" w:fill="FFFFFF"/>
        </w:rPr>
        <w:lastRenderedPageBreak/>
        <w:t xml:space="preserve">training is an effective tool in reducing personal biases, much of this research takes place within a training setting which is a controlled environment, and for training to be successful officers need to continue to apply the principles of training to real world scenarios once training is complete. </w:t>
      </w:r>
    </w:p>
    <w:p w14:paraId="0FCE7AAC" w14:textId="77777777" w:rsidR="00E818C5" w:rsidRPr="00390F3A" w:rsidRDefault="00E818C5" w:rsidP="00E818C5">
      <w:pPr>
        <w:spacing w:line="480" w:lineRule="auto"/>
        <w:ind w:firstLine="720"/>
        <w:rPr>
          <w:rFonts w:ascii="Arial" w:hAnsi="Arial" w:cs="Arial"/>
          <w:color w:val="000000" w:themeColor="text1"/>
          <w:shd w:val="clear" w:color="auto" w:fill="FFFFFF"/>
        </w:rPr>
      </w:pPr>
    </w:p>
    <w:p w14:paraId="0B6BA3E6" w14:textId="664963B9" w:rsidR="00E818C5" w:rsidRPr="00466E64" w:rsidRDefault="00E818C5" w:rsidP="00466E64">
      <w:pPr>
        <w:spacing w:line="480" w:lineRule="auto"/>
        <w:ind w:firstLine="720"/>
        <w:rPr>
          <w:rFonts w:ascii="Arial" w:hAnsi="Arial" w:cs="Arial"/>
          <w:color w:val="000000" w:themeColor="text1"/>
          <w:shd w:val="clear" w:color="auto" w:fill="FFFFFF"/>
        </w:rPr>
      </w:pPr>
      <w:r w:rsidRPr="00390F3A">
        <w:rPr>
          <w:rFonts w:ascii="Arial" w:hAnsi="Arial" w:cs="Arial"/>
          <w:color w:val="000000" w:themeColor="text1"/>
          <w:shd w:val="clear" w:color="auto" w:fill="FFFFFF"/>
        </w:rPr>
        <w:t xml:space="preserve">Another measure put in place to reduce the impact of personal bias in investigations is community policing. Research suggests that an effective way to reduce biases against certain groups of individuals is to engage in positive contact with these groups (Spencer, Charbonneau, and Glaser, 2016). </w:t>
      </w:r>
      <w:r w:rsidRPr="00390F3A">
        <w:rPr>
          <w:rFonts w:ascii="Arial" w:hAnsi="Arial" w:cs="Arial"/>
          <w:color w:val="000000" w:themeColor="text1"/>
        </w:rPr>
        <w:t xml:space="preserve">Community/neighbourhood policing </w:t>
      </w:r>
      <w:r w:rsidRPr="00390F3A">
        <w:rPr>
          <w:rFonts w:ascii="Arial" w:hAnsi="Arial" w:cs="Arial"/>
          <w:color w:val="000000" w:themeColor="text1"/>
          <w:shd w:val="clear" w:color="auto" w:fill="FFFFFF"/>
        </w:rPr>
        <w:t>is a method that encourages officers to interact and build positive relationships with the people in the neighbourhood in which they police (College of Policing, 2021). Support of this measure comes from Dhont, Cornelis and Van (2010) who conducted a study to examine the association between police officers contact with minority groups and officers’ future levels of bias, prejudice attitudes and self-reported behaviour. The study concluded that positive contact between officers and minority groups, such as immigrants, was associated with reduced findings of bias and prejudice towards members of these groups and positive contact was also correlated with a greater finding of procedural fairness. Therefore, this research supports the notion that officer’s personal biases can be challenged and therefore reduced by positive interactions with groups of individuals. However, although there is an array of research examining associations between intergroup contact and personal biases, there is limited research between these variables in the policing domain, which is a limitation of this measure as further exploration is needed.</w:t>
      </w:r>
    </w:p>
    <w:p w14:paraId="3B7B6793" w14:textId="77777777" w:rsidR="00E818C5" w:rsidRPr="00390F3A" w:rsidRDefault="00E818C5" w:rsidP="00E818C5">
      <w:pPr>
        <w:spacing w:line="480" w:lineRule="auto"/>
        <w:ind w:firstLine="720"/>
        <w:rPr>
          <w:rFonts w:ascii="Arial" w:hAnsi="Arial" w:cs="Arial"/>
          <w:color w:val="000000" w:themeColor="text1"/>
        </w:rPr>
      </w:pPr>
      <w:r w:rsidRPr="00390F3A">
        <w:rPr>
          <w:rFonts w:ascii="Arial" w:hAnsi="Arial" w:cs="Arial"/>
          <w:color w:val="000000" w:themeColor="text1"/>
        </w:rPr>
        <w:lastRenderedPageBreak/>
        <w:t xml:space="preserve">In conclusion, whether implicit or explicit, personal biases can impact upon police investigations which ultimately affects how objectively officers can conduct investigations. As discussed in this essay they are measures put in place to reduce the impact of biases in police investigations such as officer training and community policing. If officers gain a better awareness of biases and an understanding of how these biases affect their own behaviour, this knowledge can subsequently improve officers’ attitudes and actions, which helps ensure decision making is fair and justified. However, there is no measure to completely eradicate personal biases as they exist to a degree in all humans in all professional domains. </w:t>
      </w:r>
    </w:p>
    <w:p w14:paraId="08415503" w14:textId="77777777" w:rsidR="00E818C5" w:rsidRPr="00390F3A" w:rsidRDefault="00E818C5" w:rsidP="00E818C5">
      <w:pPr>
        <w:spacing w:line="480" w:lineRule="auto"/>
        <w:ind w:firstLine="720"/>
        <w:rPr>
          <w:rFonts w:ascii="Arial" w:hAnsi="Arial" w:cs="Arial"/>
          <w:b/>
          <w:bCs/>
          <w:color w:val="000000" w:themeColor="text1"/>
        </w:rPr>
      </w:pPr>
    </w:p>
    <w:p w14:paraId="4D670910" w14:textId="5A33F5F1" w:rsidR="00E818C5" w:rsidRPr="00390F3A" w:rsidRDefault="00E818C5" w:rsidP="00E818C5">
      <w:pPr>
        <w:spacing w:line="480" w:lineRule="auto"/>
        <w:rPr>
          <w:rFonts w:ascii="Arial" w:hAnsi="Arial" w:cs="Arial"/>
          <w:b/>
          <w:bCs/>
          <w:color w:val="000000" w:themeColor="text1"/>
        </w:rPr>
      </w:pPr>
      <w:r w:rsidRPr="00390F3A">
        <w:rPr>
          <w:rFonts w:ascii="Arial" w:hAnsi="Arial" w:cs="Arial"/>
          <w:b/>
          <w:bCs/>
          <w:color w:val="000000" w:themeColor="text1"/>
        </w:rPr>
        <w:t>WORD COUNT: 92</w:t>
      </w:r>
      <w:r w:rsidR="00466E64">
        <w:rPr>
          <w:rFonts w:ascii="Arial" w:hAnsi="Arial" w:cs="Arial"/>
          <w:b/>
          <w:bCs/>
          <w:color w:val="000000" w:themeColor="text1"/>
        </w:rPr>
        <w:t>9</w:t>
      </w:r>
    </w:p>
    <w:p w14:paraId="21E3D293" w14:textId="77777777" w:rsidR="00E818C5" w:rsidRPr="00390F3A" w:rsidRDefault="00E818C5" w:rsidP="00E818C5">
      <w:pPr>
        <w:spacing w:line="480" w:lineRule="auto"/>
        <w:rPr>
          <w:rFonts w:ascii="Arial" w:hAnsi="Arial" w:cs="Arial"/>
          <w:b/>
          <w:bCs/>
          <w:color w:val="000000" w:themeColor="text1"/>
        </w:rPr>
      </w:pPr>
    </w:p>
    <w:p w14:paraId="1D2EFC6F" w14:textId="77777777" w:rsidR="00E818C5" w:rsidRPr="00390F3A" w:rsidRDefault="00E818C5" w:rsidP="00E818C5">
      <w:pPr>
        <w:spacing w:line="480" w:lineRule="auto"/>
        <w:rPr>
          <w:rFonts w:ascii="Arial" w:hAnsi="Arial" w:cs="Arial"/>
          <w:b/>
          <w:bCs/>
          <w:color w:val="000000" w:themeColor="text1"/>
        </w:rPr>
      </w:pPr>
    </w:p>
    <w:p w14:paraId="70CDFFB3" w14:textId="77777777" w:rsidR="00E818C5" w:rsidRPr="00390F3A" w:rsidRDefault="00E818C5" w:rsidP="00E818C5">
      <w:pPr>
        <w:spacing w:line="480" w:lineRule="auto"/>
        <w:rPr>
          <w:rFonts w:ascii="Arial" w:hAnsi="Arial" w:cs="Arial"/>
          <w:b/>
          <w:bCs/>
          <w:color w:val="000000" w:themeColor="text1"/>
        </w:rPr>
      </w:pPr>
    </w:p>
    <w:p w14:paraId="456A5A99" w14:textId="77777777" w:rsidR="00E818C5" w:rsidRPr="00390F3A" w:rsidRDefault="00E818C5" w:rsidP="00E818C5">
      <w:pPr>
        <w:spacing w:line="480" w:lineRule="auto"/>
        <w:rPr>
          <w:rFonts w:ascii="Arial" w:hAnsi="Arial" w:cs="Arial"/>
          <w:b/>
          <w:bCs/>
          <w:color w:val="000000" w:themeColor="text1"/>
        </w:rPr>
      </w:pPr>
    </w:p>
    <w:p w14:paraId="71961608" w14:textId="77777777" w:rsidR="00E818C5" w:rsidRPr="00390F3A" w:rsidRDefault="00E818C5" w:rsidP="00E818C5">
      <w:pPr>
        <w:spacing w:line="480" w:lineRule="auto"/>
        <w:rPr>
          <w:rFonts w:ascii="Arial" w:hAnsi="Arial" w:cs="Arial"/>
          <w:b/>
          <w:bCs/>
          <w:color w:val="000000" w:themeColor="text1"/>
        </w:rPr>
      </w:pPr>
    </w:p>
    <w:p w14:paraId="726DAA81" w14:textId="77777777" w:rsidR="00E818C5" w:rsidRPr="00390F3A" w:rsidRDefault="00E818C5" w:rsidP="00E818C5">
      <w:pPr>
        <w:spacing w:line="480" w:lineRule="auto"/>
        <w:rPr>
          <w:rFonts w:ascii="Arial" w:hAnsi="Arial" w:cs="Arial"/>
          <w:b/>
          <w:bCs/>
          <w:color w:val="000000" w:themeColor="text1"/>
        </w:rPr>
      </w:pPr>
    </w:p>
    <w:p w14:paraId="65736B3B" w14:textId="77777777" w:rsidR="00E818C5" w:rsidRPr="00390F3A" w:rsidRDefault="00E818C5" w:rsidP="00E818C5">
      <w:pPr>
        <w:spacing w:line="480" w:lineRule="auto"/>
        <w:rPr>
          <w:rFonts w:ascii="Arial" w:hAnsi="Arial" w:cs="Arial"/>
          <w:b/>
          <w:bCs/>
          <w:color w:val="000000" w:themeColor="text1"/>
        </w:rPr>
      </w:pPr>
    </w:p>
    <w:p w14:paraId="5FBC7DFE" w14:textId="77777777" w:rsidR="00E818C5" w:rsidRPr="00390F3A" w:rsidRDefault="00E818C5" w:rsidP="00E818C5">
      <w:pPr>
        <w:spacing w:line="480" w:lineRule="auto"/>
        <w:rPr>
          <w:rFonts w:ascii="Arial" w:hAnsi="Arial" w:cs="Arial"/>
          <w:b/>
          <w:bCs/>
          <w:color w:val="000000" w:themeColor="text1"/>
        </w:rPr>
      </w:pPr>
    </w:p>
    <w:p w14:paraId="2461F0E1" w14:textId="77777777" w:rsidR="00E818C5" w:rsidRPr="00390F3A" w:rsidRDefault="00E818C5" w:rsidP="00E818C5">
      <w:pPr>
        <w:spacing w:line="480" w:lineRule="auto"/>
        <w:rPr>
          <w:rFonts w:ascii="Arial" w:hAnsi="Arial" w:cs="Arial"/>
          <w:b/>
          <w:bCs/>
          <w:color w:val="000000" w:themeColor="text1"/>
        </w:rPr>
      </w:pPr>
    </w:p>
    <w:p w14:paraId="4EACD5DC" w14:textId="77777777" w:rsidR="00E818C5" w:rsidRPr="00390F3A" w:rsidRDefault="00E818C5" w:rsidP="00E818C5">
      <w:pPr>
        <w:spacing w:line="480" w:lineRule="auto"/>
        <w:rPr>
          <w:rFonts w:ascii="Arial" w:hAnsi="Arial" w:cs="Arial"/>
          <w:b/>
          <w:bCs/>
          <w:color w:val="000000" w:themeColor="text1"/>
        </w:rPr>
      </w:pPr>
    </w:p>
    <w:p w14:paraId="0FF78977" w14:textId="77777777" w:rsidR="00E818C5" w:rsidRPr="00390F3A" w:rsidRDefault="00E818C5" w:rsidP="00E818C5">
      <w:pPr>
        <w:spacing w:line="480" w:lineRule="auto"/>
        <w:rPr>
          <w:rFonts w:ascii="Arial" w:hAnsi="Arial" w:cs="Arial"/>
          <w:b/>
          <w:bCs/>
          <w:color w:val="000000" w:themeColor="text1"/>
        </w:rPr>
      </w:pPr>
    </w:p>
    <w:p w14:paraId="002DD091" w14:textId="77777777" w:rsidR="00E818C5" w:rsidRPr="00390F3A" w:rsidRDefault="00E818C5" w:rsidP="00E818C5">
      <w:pPr>
        <w:spacing w:line="480" w:lineRule="auto"/>
        <w:rPr>
          <w:rFonts w:ascii="Arial" w:hAnsi="Arial" w:cs="Arial"/>
          <w:b/>
          <w:bCs/>
          <w:color w:val="000000" w:themeColor="text1"/>
        </w:rPr>
      </w:pPr>
    </w:p>
    <w:p w14:paraId="3696D0B1" w14:textId="77777777" w:rsidR="00E818C5" w:rsidRPr="00390F3A" w:rsidRDefault="00E818C5" w:rsidP="00E818C5">
      <w:pPr>
        <w:spacing w:line="480" w:lineRule="auto"/>
        <w:rPr>
          <w:rFonts w:ascii="Arial" w:hAnsi="Arial" w:cs="Arial"/>
          <w:b/>
          <w:bCs/>
          <w:color w:val="000000" w:themeColor="text1"/>
        </w:rPr>
      </w:pPr>
    </w:p>
    <w:p w14:paraId="7B5E868A" w14:textId="77777777" w:rsidR="00E818C5" w:rsidRPr="00390F3A" w:rsidRDefault="00E818C5" w:rsidP="00E818C5">
      <w:pPr>
        <w:spacing w:line="480" w:lineRule="auto"/>
        <w:rPr>
          <w:rFonts w:ascii="Arial" w:hAnsi="Arial" w:cs="Arial"/>
          <w:b/>
          <w:bCs/>
          <w:color w:val="000000" w:themeColor="text1"/>
        </w:rPr>
      </w:pPr>
    </w:p>
    <w:p w14:paraId="12FC4746" w14:textId="3D2441F4" w:rsidR="00E818C5" w:rsidRPr="00390F3A" w:rsidRDefault="00E818C5" w:rsidP="00E818C5">
      <w:pPr>
        <w:spacing w:line="480" w:lineRule="auto"/>
        <w:rPr>
          <w:rFonts w:ascii="Arial" w:eastAsia="Calibri" w:hAnsi="Arial" w:cs="Arial"/>
          <w:b/>
          <w:bCs/>
          <w:color w:val="000000" w:themeColor="text1"/>
        </w:rPr>
      </w:pPr>
      <w:r w:rsidRPr="00390F3A">
        <w:rPr>
          <w:rFonts w:ascii="Arial" w:eastAsia="Calibri" w:hAnsi="Arial" w:cs="Arial"/>
          <w:b/>
          <w:bCs/>
          <w:color w:val="000000" w:themeColor="text1"/>
        </w:rPr>
        <w:lastRenderedPageBreak/>
        <w:t xml:space="preserve">What characteristics or factors increase the risk of exploitation by Serious or Organised Crime Gangs? Your answer should </w:t>
      </w:r>
      <w:r w:rsidRPr="00390F3A">
        <w:rPr>
          <w:rFonts w:ascii="Arial" w:eastAsia="Calibri" w:hAnsi="Arial" w:cs="Arial"/>
          <w:b/>
          <w:bCs/>
          <w:color w:val="000000" w:themeColor="text1"/>
          <w:u w:val="single"/>
        </w:rPr>
        <w:t>examine</w:t>
      </w:r>
      <w:r w:rsidRPr="00390F3A">
        <w:rPr>
          <w:rFonts w:ascii="Arial" w:eastAsia="Calibri" w:hAnsi="Arial" w:cs="Arial"/>
          <w:b/>
          <w:bCs/>
          <w:color w:val="000000" w:themeColor="text1"/>
        </w:rPr>
        <w:t xml:space="preserve"> both the psychological and socio-economic characteristics of victims of </w:t>
      </w:r>
      <w:r w:rsidRPr="00390F3A">
        <w:rPr>
          <w:rFonts w:ascii="Arial" w:eastAsia="Calibri" w:hAnsi="Arial" w:cs="Arial"/>
          <w:b/>
          <w:bCs/>
          <w:color w:val="000000" w:themeColor="text1"/>
        </w:rPr>
        <w:t>exploitation.</w:t>
      </w:r>
    </w:p>
    <w:p w14:paraId="15FAEE97" w14:textId="77777777" w:rsidR="00E818C5" w:rsidRPr="00390F3A" w:rsidRDefault="00E818C5" w:rsidP="00E818C5">
      <w:pPr>
        <w:spacing w:line="480" w:lineRule="auto"/>
        <w:rPr>
          <w:rFonts w:ascii="Arial" w:eastAsia="Calibri" w:hAnsi="Arial" w:cs="Arial"/>
          <w:b/>
          <w:bCs/>
          <w:color w:val="000000" w:themeColor="text1"/>
        </w:rPr>
      </w:pPr>
    </w:p>
    <w:p w14:paraId="30762FD5" w14:textId="7451A5ED" w:rsidR="007761B5" w:rsidRPr="00390F3A" w:rsidRDefault="007761B5" w:rsidP="007761B5">
      <w:pPr>
        <w:spacing w:line="480" w:lineRule="auto"/>
        <w:rPr>
          <w:rFonts w:ascii="Arial" w:hAnsi="Arial" w:cs="Arial"/>
          <w:color w:val="000000" w:themeColor="text1"/>
        </w:rPr>
      </w:pPr>
      <w:r w:rsidRPr="00390F3A">
        <w:rPr>
          <w:rFonts w:ascii="Arial" w:hAnsi="Arial" w:cs="Arial"/>
          <w:color w:val="000000" w:themeColor="text1"/>
        </w:rPr>
        <w:t>This essay will explore the factors which are associated with an increased risk of victim exploitation, specially within organised crime gangs.  Organised crime gangs or organised crime groups are groups of three or more individuals whose purpose is to carry out criminal activities, typically the trafficking of illegal drugs (C</w:t>
      </w:r>
      <w:r w:rsidR="00AA0E4B" w:rsidRPr="00390F3A">
        <w:rPr>
          <w:rFonts w:ascii="Arial" w:hAnsi="Arial" w:cs="Arial"/>
          <w:color w:val="000000" w:themeColor="text1"/>
        </w:rPr>
        <w:t xml:space="preserve">rown </w:t>
      </w:r>
      <w:r w:rsidRPr="00390F3A">
        <w:rPr>
          <w:rFonts w:ascii="Arial" w:hAnsi="Arial" w:cs="Arial"/>
          <w:color w:val="000000" w:themeColor="text1"/>
        </w:rPr>
        <w:t>P</w:t>
      </w:r>
      <w:r w:rsidR="00AA0E4B" w:rsidRPr="00390F3A">
        <w:rPr>
          <w:rFonts w:ascii="Arial" w:hAnsi="Arial" w:cs="Arial"/>
          <w:color w:val="000000" w:themeColor="text1"/>
        </w:rPr>
        <w:t xml:space="preserve">rosecution </w:t>
      </w:r>
      <w:r w:rsidRPr="00390F3A">
        <w:rPr>
          <w:rFonts w:ascii="Arial" w:hAnsi="Arial" w:cs="Arial"/>
          <w:color w:val="000000" w:themeColor="text1"/>
        </w:rPr>
        <w:t>S</w:t>
      </w:r>
      <w:r w:rsidR="00AA0E4B" w:rsidRPr="00390F3A">
        <w:rPr>
          <w:rFonts w:ascii="Arial" w:hAnsi="Arial" w:cs="Arial"/>
          <w:color w:val="000000" w:themeColor="text1"/>
        </w:rPr>
        <w:t>ervice</w:t>
      </w:r>
      <w:r w:rsidRPr="00390F3A">
        <w:rPr>
          <w:rFonts w:ascii="Arial" w:hAnsi="Arial" w:cs="Arial"/>
          <w:color w:val="000000" w:themeColor="text1"/>
        </w:rPr>
        <w:t xml:space="preserve">, 2019). Organised crime gangs are a serious problem within the UK, police forces across the UK aim to tackle </w:t>
      </w:r>
      <w:r w:rsidRPr="00390F3A">
        <w:rPr>
          <w:rFonts w:ascii="Arial" w:hAnsi="Arial" w:cs="Arial"/>
          <w:color w:val="000000" w:themeColor="text1"/>
          <w:shd w:val="clear" w:color="auto" w:fill="FFFFFF"/>
        </w:rPr>
        <w:t xml:space="preserve">organised crime gangs, mainly the transportation of illegal drugs and violent crime that is associated with such gangs (GOV, 2023). Therefore, in order to do so it is important to gain a better understanding of the factors which increase the likelihood of individuals becoming exposed to and exploited by these gangs in the first instance. </w:t>
      </w:r>
    </w:p>
    <w:p w14:paraId="4115C855" w14:textId="77777777" w:rsidR="007761B5" w:rsidRPr="00390F3A" w:rsidRDefault="007761B5" w:rsidP="007761B5">
      <w:pPr>
        <w:spacing w:line="480" w:lineRule="auto"/>
        <w:rPr>
          <w:rFonts w:ascii="Arial" w:hAnsi="Arial" w:cs="Arial"/>
          <w:color w:val="000000" w:themeColor="text1"/>
        </w:rPr>
      </w:pPr>
    </w:p>
    <w:p w14:paraId="7BB3496E" w14:textId="099A19CE" w:rsidR="007761B5" w:rsidRPr="00390F3A" w:rsidRDefault="007761B5" w:rsidP="007761B5">
      <w:pPr>
        <w:spacing w:line="480" w:lineRule="auto"/>
        <w:ind w:firstLine="720"/>
        <w:rPr>
          <w:rFonts w:ascii="Arial" w:hAnsi="Arial" w:cs="Arial"/>
          <w:color w:val="000000" w:themeColor="text1"/>
        </w:rPr>
      </w:pPr>
      <w:r w:rsidRPr="00390F3A">
        <w:rPr>
          <w:rFonts w:ascii="Arial" w:hAnsi="Arial" w:cs="Arial"/>
          <w:color w:val="000000" w:themeColor="text1"/>
        </w:rPr>
        <w:t xml:space="preserve">There is an array of research which examines how both psychological and socio-economic factors influence gang involvement (Alleyne and Wood 2013). A psychological factor which has been associated with gang involvement is childhood adversity. Reports suggest that in the UK around 6% for individuals aged between ten and nineteen years old report that they belong to a gang (Sharp </w:t>
      </w:r>
      <w:r w:rsidRPr="00390F3A">
        <w:rPr>
          <w:rFonts w:ascii="Arial" w:hAnsi="Arial" w:cs="Arial"/>
          <w:i/>
          <w:iCs/>
          <w:color w:val="000000" w:themeColor="text1"/>
        </w:rPr>
        <w:t>et al</w:t>
      </w:r>
      <w:r w:rsidRPr="00390F3A">
        <w:rPr>
          <w:rFonts w:ascii="Arial" w:hAnsi="Arial" w:cs="Arial"/>
          <w:color w:val="000000" w:themeColor="text1"/>
        </w:rPr>
        <w:t>., 2006), therefore suggesting that participant in gang activities and exposure to serious organised crime gangs can beg</w:t>
      </w:r>
      <w:r w:rsidR="007A13A9">
        <w:rPr>
          <w:rFonts w:ascii="Arial" w:hAnsi="Arial" w:cs="Arial"/>
          <w:color w:val="000000" w:themeColor="text1"/>
        </w:rPr>
        <w:t>i</w:t>
      </w:r>
      <w:r w:rsidRPr="00390F3A">
        <w:rPr>
          <w:rFonts w:ascii="Arial" w:hAnsi="Arial" w:cs="Arial"/>
          <w:color w:val="000000" w:themeColor="text1"/>
        </w:rPr>
        <w:t xml:space="preserve">n at a young age. It has been put forward that adversity and trauma in childhood may be associated with a greater likelihood of individuals belonging to organised crime gangs in later life (Wolff </w:t>
      </w:r>
      <w:r w:rsidRPr="00390F3A">
        <w:rPr>
          <w:rFonts w:ascii="Arial" w:hAnsi="Arial" w:cs="Arial"/>
          <w:i/>
          <w:iCs/>
          <w:color w:val="000000" w:themeColor="text1"/>
        </w:rPr>
        <w:t>et al.,</w:t>
      </w:r>
      <w:r w:rsidRPr="00390F3A">
        <w:rPr>
          <w:rFonts w:ascii="Arial" w:hAnsi="Arial" w:cs="Arial"/>
          <w:color w:val="000000" w:themeColor="text1"/>
        </w:rPr>
        <w:t xml:space="preserve"> 2019). A study by Quinn </w:t>
      </w:r>
      <w:r w:rsidRPr="00390F3A">
        <w:rPr>
          <w:rFonts w:ascii="Arial" w:hAnsi="Arial" w:cs="Arial"/>
          <w:i/>
          <w:iCs/>
          <w:color w:val="000000" w:themeColor="text1"/>
        </w:rPr>
        <w:t>et al.,</w:t>
      </w:r>
      <w:r w:rsidRPr="00390F3A">
        <w:rPr>
          <w:rFonts w:ascii="Arial" w:hAnsi="Arial" w:cs="Arial"/>
          <w:color w:val="000000" w:themeColor="text1"/>
        </w:rPr>
        <w:t xml:space="preserve"> (2017) conducted interviews with members of six different </w:t>
      </w:r>
      <w:r w:rsidRPr="00390F3A">
        <w:rPr>
          <w:rFonts w:ascii="Arial" w:hAnsi="Arial" w:cs="Arial"/>
          <w:color w:val="000000" w:themeColor="text1"/>
        </w:rPr>
        <w:lastRenderedPageBreak/>
        <w:t xml:space="preserve">organised crime gangs and found that childhood aversity, including experiencing personal trauma and experiencing childhood violence, was associated with gang membership. One explanation for this finding is that individuals who have experienced adversity or violence in childhood are likely to be psychologically desensitised to the violence that exists amongst gangs (Quinn </w:t>
      </w:r>
      <w:r w:rsidRPr="00390F3A">
        <w:rPr>
          <w:rFonts w:ascii="Arial" w:hAnsi="Arial" w:cs="Arial"/>
          <w:i/>
          <w:iCs/>
          <w:color w:val="000000" w:themeColor="text1"/>
        </w:rPr>
        <w:t>et al.,</w:t>
      </w:r>
      <w:r w:rsidRPr="00390F3A">
        <w:rPr>
          <w:rFonts w:ascii="Arial" w:hAnsi="Arial" w:cs="Arial"/>
          <w:color w:val="000000" w:themeColor="text1"/>
        </w:rPr>
        <w:t xml:space="preserve"> (2017), additional research also suggests that youths that have experienced childhood aversity may join gangs for a sense of security and protection (Garbarino, 2001). Furthermore, research suggests that childhood aversity is associated with later drug and alcohol misuse (McDaniel, 2012) therefore, individuals may participate in organised crime gangs to sustain and fuel their drug and alcohol habits. It is also well accepted that childhood aversity is linked to individuals experiencing mental health challenges in later life (</w:t>
      </w:r>
      <w:r w:rsidRPr="00390F3A">
        <w:rPr>
          <w:rFonts w:ascii="Arial" w:hAnsi="Arial" w:cs="Arial"/>
          <w:color w:val="000000" w:themeColor="text1"/>
          <w:shd w:val="clear" w:color="auto" w:fill="FFFFFF"/>
        </w:rPr>
        <w:t xml:space="preserve">Merrick, et </w:t>
      </w:r>
      <w:r w:rsidRPr="00390F3A">
        <w:rPr>
          <w:rFonts w:ascii="Arial" w:hAnsi="Arial" w:cs="Arial"/>
          <w:i/>
          <w:iCs/>
          <w:color w:val="000000" w:themeColor="text1"/>
          <w:shd w:val="clear" w:color="auto" w:fill="FFFFFF"/>
        </w:rPr>
        <w:t>al.,</w:t>
      </w:r>
      <w:r w:rsidRPr="00390F3A">
        <w:rPr>
          <w:rFonts w:ascii="Arial" w:hAnsi="Arial" w:cs="Arial"/>
          <w:color w:val="000000" w:themeColor="text1"/>
          <w:shd w:val="clear" w:color="auto" w:fill="FFFFFF"/>
        </w:rPr>
        <w:t xml:space="preserve"> 2017</w:t>
      </w:r>
      <w:r w:rsidRPr="00390F3A">
        <w:rPr>
          <w:rFonts w:ascii="Arial" w:hAnsi="Arial" w:cs="Arial"/>
          <w:color w:val="000000" w:themeColor="text1"/>
        </w:rPr>
        <w:t xml:space="preserve">), and research has found </w:t>
      </w:r>
      <w:r w:rsidR="00990457">
        <w:rPr>
          <w:rFonts w:ascii="Arial" w:hAnsi="Arial" w:cs="Arial"/>
          <w:color w:val="000000" w:themeColor="text1"/>
        </w:rPr>
        <w:t xml:space="preserve">that </w:t>
      </w:r>
      <w:r w:rsidRPr="00390F3A">
        <w:rPr>
          <w:rFonts w:ascii="Arial" w:hAnsi="Arial" w:cs="Arial"/>
          <w:color w:val="000000" w:themeColor="text1"/>
        </w:rPr>
        <w:t xml:space="preserve">the number of reported mental health conditions such as psychosis, anxiety and post-traumatic stress disorder are significantly higher in gang members compared with individuals that are not members of a gang (Coid </w:t>
      </w:r>
      <w:r w:rsidRPr="00390F3A">
        <w:rPr>
          <w:rFonts w:ascii="Arial" w:hAnsi="Arial" w:cs="Arial"/>
          <w:i/>
          <w:iCs/>
          <w:color w:val="000000" w:themeColor="text1"/>
        </w:rPr>
        <w:t>et al,</w:t>
      </w:r>
      <w:r w:rsidRPr="00390F3A">
        <w:rPr>
          <w:rFonts w:ascii="Arial" w:hAnsi="Arial" w:cs="Arial"/>
          <w:color w:val="000000" w:themeColor="text1"/>
        </w:rPr>
        <w:t xml:space="preserve"> 2013).</w:t>
      </w:r>
    </w:p>
    <w:p w14:paraId="2814F806" w14:textId="77777777" w:rsidR="007761B5" w:rsidRPr="00390F3A" w:rsidRDefault="007761B5" w:rsidP="007761B5">
      <w:pPr>
        <w:spacing w:line="480" w:lineRule="auto"/>
        <w:ind w:firstLine="720"/>
        <w:rPr>
          <w:rFonts w:ascii="Arial" w:hAnsi="Arial" w:cs="Arial"/>
          <w:color w:val="000000" w:themeColor="text1"/>
        </w:rPr>
      </w:pPr>
    </w:p>
    <w:p w14:paraId="477BC9C8" w14:textId="77777777" w:rsidR="007761B5" w:rsidRPr="00390F3A" w:rsidRDefault="007761B5" w:rsidP="007761B5">
      <w:pPr>
        <w:spacing w:line="480" w:lineRule="auto"/>
        <w:ind w:firstLine="720"/>
        <w:rPr>
          <w:rFonts w:ascii="Arial" w:hAnsi="Arial" w:cs="Arial"/>
          <w:color w:val="000000" w:themeColor="text1"/>
        </w:rPr>
      </w:pPr>
      <w:r w:rsidRPr="00390F3A">
        <w:rPr>
          <w:rFonts w:ascii="Arial" w:hAnsi="Arial" w:cs="Arial"/>
          <w:color w:val="000000" w:themeColor="text1"/>
        </w:rPr>
        <w:t xml:space="preserve">In addition to psychological factors, there are also socio-economic factors which influence victim exploitation in relation to gangs, one of these factors is individuals living in poverty. Research suggests that living below the poverty line is a risk factor for gang involvement (Bliss-Holtz, 2011) and that those individuals in low-income households are more likely to be targeted and motivated to join gangs (Lahey </w:t>
      </w:r>
      <w:r w:rsidRPr="00390F3A">
        <w:rPr>
          <w:rFonts w:ascii="Arial" w:hAnsi="Arial" w:cs="Arial"/>
          <w:i/>
          <w:iCs/>
          <w:color w:val="000000" w:themeColor="text1"/>
        </w:rPr>
        <w:t>et al</w:t>
      </w:r>
      <w:r w:rsidRPr="00390F3A">
        <w:rPr>
          <w:rFonts w:ascii="Arial" w:hAnsi="Arial" w:cs="Arial"/>
          <w:color w:val="000000" w:themeColor="text1"/>
        </w:rPr>
        <w:t xml:space="preserve">., 1999). One explanation for this finding is that in geographical areas that are more poverty stricken, more gangs may exist (Pyrooz and Sweeten, 2015), therefore with gangs being more normalised and prevalent in these areas, there is a greater likelihood of individuals associating with such gangs. Additionally, individuals </w:t>
      </w:r>
      <w:r w:rsidRPr="00390F3A">
        <w:rPr>
          <w:rFonts w:ascii="Arial" w:hAnsi="Arial" w:cs="Arial"/>
          <w:color w:val="000000" w:themeColor="text1"/>
        </w:rPr>
        <w:lastRenderedPageBreak/>
        <w:t>living in poverty may become exploited by gangs as these individuals are motivated by the potential monetary gain (</w:t>
      </w:r>
      <w:r w:rsidRPr="00390F3A">
        <w:rPr>
          <w:rFonts w:ascii="Arial" w:hAnsi="Arial" w:cs="Arial"/>
          <w:color w:val="000000" w:themeColor="text1"/>
          <w:shd w:val="clear" w:color="auto" w:fill="FFFFFF"/>
        </w:rPr>
        <w:t>Owen and Greeff, 2015),</w:t>
      </w:r>
      <w:r w:rsidRPr="00390F3A">
        <w:rPr>
          <w:rFonts w:ascii="Arial" w:hAnsi="Arial" w:cs="Arial"/>
          <w:color w:val="000000" w:themeColor="text1"/>
        </w:rPr>
        <w:t xml:space="preserve"> these individuals may believe that there is a lack of employment opportunities in their area and therefore undertaking criminal activity within gangs is an opportunity for gaining money. Support of the notion that environmental factors influence victim exploitation into gangs comes from Heimer (1997) who suggested that violence at home, parental drug and alcohol use and parental gang membership are all factors associated with low socioeconomic status and these factors are also predictive of gang involvement. </w:t>
      </w:r>
    </w:p>
    <w:p w14:paraId="72F8E20F" w14:textId="77777777" w:rsidR="007761B5" w:rsidRPr="00390F3A" w:rsidRDefault="007761B5" w:rsidP="007761B5">
      <w:pPr>
        <w:spacing w:line="480" w:lineRule="auto"/>
        <w:rPr>
          <w:rFonts w:ascii="Arial" w:hAnsi="Arial" w:cs="Arial"/>
          <w:color w:val="000000" w:themeColor="text1"/>
        </w:rPr>
      </w:pPr>
    </w:p>
    <w:p w14:paraId="51054293" w14:textId="12C0A60E" w:rsidR="007761B5" w:rsidRPr="00390F3A" w:rsidRDefault="007761B5" w:rsidP="007761B5">
      <w:pPr>
        <w:spacing w:line="480" w:lineRule="auto"/>
        <w:ind w:firstLine="720"/>
        <w:rPr>
          <w:rFonts w:ascii="Arial" w:hAnsi="Arial" w:cs="Arial"/>
          <w:color w:val="000000" w:themeColor="text1"/>
        </w:rPr>
      </w:pPr>
      <w:r w:rsidRPr="00390F3A">
        <w:rPr>
          <w:rFonts w:ascii="Arial" w:hAnsi="Arial" w:cs="Arial"/>
          <w:color w:val="000000" w:themeColor="text1"/>
        </w:rPr>
        <w:t xml:space="preserve">However, a study by Eitle, Gunkel and Van Gundy (2004) looked the risk factors predicting gang memberships using longitudinal data, their sample consisted of a multi-ethnic cohort of young adult males, and their findings concluded that exposure to stressful life events and family financial problems were both found to predict involvement with gangs. This research suggests that both psychological and socio-economic factors have a combined effect on an individual’s likelihood to become involved in organised crime gangs and it is a combination of both psychological and socio-economic factors which untimely influences gang involvement. Further support of this comes from </w:t>
      </w:r>
      <w:r w:rsidRPr="00390F3A">
        <w:rPr>
          <w:rFonts w:ascii="Arial" w:hAnsi="Arial" w:cs="Arial"/>
          <w:color w:val="000000" w:themeColor="text1"/>
          <w:shd w:val="clear" w:color="auto" w:fill="FFFFFF"/>
        </w:rPr>
        <w:t xml:space="preserve">Wyrick and </w:t>
      </w:r>
      <w:r w:rsidRPr="00390F3A">
        <w:rPr>
          <w:rFonts w:ascii="Arial" w:hAnsi="Arial" w:cs="Arial"/>
          <w:color w:val="000000" w:themeColor="text1"/>
        </w:rPr>
        <w:t xml:space="preserve">Howell (2004) who found that the presence of multiple risk factors from multiple categories such as family, personal, peer and environmental factors predicted an increased risk for gang involvement, </w:t>
      </w:r>
      <w:r w:rsidR="00990457">
        <w:rPr>
          <w:rFonts w:ascii="Arial" w:hAnsi="Arial" w:cs="Arial"/>
          <w:color w:val="000000" w:themeColor="text1"/>
        </w:rPr>
        <w:t xml:space="preserve">more </w:t>
      </w:r>
      <w:r w:rsidRPr="00390F3A">
        <w:rPr>
          <w:rFonts w:ascii="Arial" w:hAnsi="Arial" w:cs="Arial"/>
          <w:color w:val="000000" w:themeColor="text1"/>
        </w:rPr>
        <w:t xml:space="preserve">than multiple risk factors in one category. Therefore, suggesting that an array of factors both physiological and socio-economical are likely to work together to drive participation into gang activity. </w:t>
      </w:r>
    </w:p>
    <w:p w14:paraId="51D7D53F" w14:textId="77777777" w:rsidR="007761B5" w:rsidRPr="00390F3A" w:rsidRDefault="007761B5" w:rsidP="007761B5">
      <w:pPr>
        <w:spacing w:line="480" w:lineRule="auto"/>
        <w:ind w:firstLine="720"/>
        <w:rPr>
          <w:rFonts w:ascii="Arial" w:hAnsi="Arial" w:cs="Arial"/>
          <w:color w:val="000000" w:themeColor="text1"/>
        </w:rPr>
      </w:pPr>
    </w:p>
    <w:p w14:paraId="601CB58A" w14:textId="1B4B99E5" w:rsidR="007761B5" w:rsidRPr="00390F3A" w:rsidRDefault="007761B5" w:rsidP="007761B5">
      <w:pPr>
        <w:spacing w:line="480" w:lineRule="auto"/>
        <w:ind w:firstLine="720"/>
        <w:rPr>
          <w:rFonts w:ascii="Arial" w:hAnsi="Arial" w:cs="Arial"/>
          <w:color w:val="000000" w:themeColor="text1"/>
        </w:rPr>
      </w:pPr>
      <w:r w:rsidRPr="00390F3A">
        <w:rPr>
          <w:rFonts w:ascii="Arial" w:hAnsi="Arial" w:cs="Arial"/>
          <w:color w:val="000000" w:themeColor="text1"/>
        </w:rPr>
        <w:lastRenderedPageBreak/>
        <w:t>Overall, there are various factors associated with organise</w:t>
      </w:r>
      <w:r w:rsidR="00990457">
        <w:rPr>
          <w:rFonts w:ascii="Arial" w:hAnsi="Arial" w:cs="Arial"/>
          <w:color w:val="000000" w:themeColor="text1"/>
        </w:rPr>
        <w:t>d</w:t>
      </w:r>
      <w:r w:rsidRPr="00390F3A">
        <w:rPr>
          <w:rFonts w:ascii="Arial" w:hAnsi="Arial" w:cs="Arial"/>
          <w:color w:val="000000" w:themeColor="text1"/>
        </w:rPr>
        <w:t xml:space="preserve"> crime gang involvement, some of which have been the focus of this essay. However, there is research to suggest that several other factors exist at an individual and environmental level which influence entry into organise</w:t>
      </w:r>
      <w:r w:rsidR="00990457">
        <w:rPr>
          <w:rFonts w:ascii="Arial" w:hAnsi="Arial" w:cs="Arial"/>
          <w:color w:val="000000" w:themeColor="text1"/>
        </w:rPr>
        <w:t xml:space="preserve">d </w:t>
      </w:r>
      <w:r w:rsidRPr="00390F3A">
        <w:rPr>
          <w:rFonts w:ascii="Arial" w:hAnsi="Arial" w:cs="Arial"/>
          <w:color w:val="000000" w:themeColor="text1"/>
        </w:rPr>
        <w:t>crime gangs. Although research suggests that childhood aversity and poverty are good indicators of involvement in organised crime, not every individual who has experienced poverty and childhood aversity becomes involved in serious organised crime</w:t>
      </w:r>
      <w:r w:rsidR="00990457">
        <w:rPr>
          <w:rFonts w:ascii="Arial" w:hAnsi="Arial" w:cs="Arial"/>
          <w:color w:val="000000" w:themeColor="text1"/>
        </w:rPr>
        <w:t xml:space="preserve"> gangs</w:t>
      </w:r>
      <w:r w:rsidRPr="00390F3A">
        <w:rPr>
          <w:rFonts w:ascii="Arial" w:hAnsi="Arial" w:cs="Arial"/>
          <w:color w:val="000000" w:themeColor="text1"/>
        </w:rPr>
        <w:t xml:space="preserve">, which shows that other factors as well as protective factors such as the presence of role models, personal resilience, social support and education may be worth exploring to provide a more holistic understanding of gang participation.  </w:t>
      </w:r>
    </w:p>
    <w:p w14:paraId="486D5F4D" w14:textId="77777777" w:rsidR="007761B5" w:rsidRPr="00390F3A" w:rsidRDefault="007761B5" w:rsidP="007761B5">
      <w:pPr>
        <w:spacing w:line="480" w:lineRule="auto"/>
        <w:rPr>
          <w:rFonts w:ascii="Arial" w:hAnsi="Arial" w:cs="Arial"/>
          <w:color w:val="000000" w:themeColor="text1"/>
        </w:rPr>
      </w:pPr>
      <w:r w:rsidRPr="00390F3A">
        <w:rPr>
          <w:rFonts w:ascii="Arial" w:hAnsi="Arial" w:cs="Arial"/>
          <w:color w:val="000000" w:themeColor="text1"/>
        </w:rPr>
        <w:t xml:space="preserve"> </w:t>
      </w:r>
    </w:p>
    <w:p w14:paraId="26EDE397" w14:textId="5F6A3585" w:rsidR="007761B5" w:rsidRPr="00390F3A" w:rsidRDefault="007761B5" w:rsidP="007761B5">
      <w:pPr>
        <w:spacing w:line="480" w:lineRule="auto"/>
        <w:rPr>
          <w:rFonts w:ascii="Arial" w:hAnsi="Arial" w:cs="Arial"/>
          <w:b/>
          <w:bCs/>
          <w:color w:val="000000" w:themeColor="text1"/>
        </w:rPr>
      </w:pPr>
      <w:r w:rsidRPr="00390F3A">
        <w:rPr>
          <w:rFonts w:ascii="Arial" w:hAnsi="Arial" w:cs="Arial"/>
          <w:b/>
          <w:bCs/>
          <w:color w:val="000000" w:themeColor="text1"/>
        </w:rPr>
        <w:t>WORD COUNT: 9</w:t>
      </w:r>
      <w:r w:rsidRPr="00390F3A">
        <w:rPr>
          <w:rFonts w:ascii="Arial" w:hAnsi="Arial" w:cs="Arial"/>
          <w:b/>
          <w:bCs/>
          <w:color w:val="000000" w:themeColor="text1"/>
        </w:rPr>
        <w:t>1</w:t>
      </w:r>
      <w:r w:rsidR="00990457">
        <w:rPr>
          <w:rFonts w:ascii="Arial" w:hAnsi="Arial" w:cs="Arial"/>
          <w:b/>
          <w:bCs/>
          <w:color w:val="000000" w:themeColor="text1"/>
        </w:rPr>
        <w:t>2</w:t>
      </w:r>
    </w:p>
    <w:p w14:paraId="4F01A3EF" w14:textId="77777777" w:rsidR="00E818C5" w:rsidRPr="00390F3A" w:rsidRDefault="00E818C5" w:rsidP="00E818C5">
      <w:pPr>
        <w:spacing w:line="480" w:lineRule="auto"/>
        <w:rPr>
          <w:rFonts w:ascii="Arial" w:hAnsi="Arial" w:cs="Arial"/>
          <w:b/>
          <w:bCs/>
          <w:color w:val="000000" w:themeColor="text1"/>
        </w:rPr>
      </w:pPr>
    </w:p>
    <w:p w14:paraId="37C719D3" w14:textId="77777777" w:rsidR="00E818C5" w:rsidRPr="00390F3A" w:rsidRDefault="00E818C5" w:rsidP="00E818C5">
      <w:pPr>
        <w:spacing w:line="480" w:lineRule="auto"/>
        <w:rPr>
          <w:rFonts w:ascii="Arial" w:hAnsi="Arial" w:cs="Arial"/>
          <w:b/>
          <w:bCs/>
          <w:color w:val="000000" w:themeColor="text1"/>
        </w:rPr>
      </w:pPr>
    </w:p>
    <w:p w14:paraId="4864C990" w14:textId="77777777" w:rsidR="00EE3D28" w:rsidRPr="00390F3A" w:rsidRDefault="00EE3D28" w:rsidP="00E818C5">
      <w:pPr>
        <w:spacing w:line="480" w:lineRule="auto"/>
        <w:rPr>
          <w:rFonts w:ascii="Arial" w:hAnsi="Arial" w:cs="Arial"/>
          <w:b/>
          <w:bCs/>
          <w:color w:val="000000" w:themeColor="text1"/>
        </w:rPr>
      </w:pPr>
    </w:p>
    <w:p w14:paraId="48897B30" w14:textId="77777777" w:rsidR="00EE3D28" w:rsidRPr="00390F3A" w:rsidRDefault="00EE3D28" w:rsidP="00E818C5">
      <w:pPr>
        <w:spacing w:line="480" w:lineRule="auto"/>
        <w:rPr>
          <w:rFonts w:ascii="Arial" w:hAnsi="Arial" w:cs="Arial"/>
          <w:b/>
          <w:bCs/>
          <w:color w:val="000000" w:themeColor="text1"/>
        </w:rPr>
      </w:pPr>
    </w:p>
    <w:p w14:paraId="215AE325" w14:textId="77777777" w:rsidR="00EE3D28" w:rsidRPr="00390F3A" w:rsidRDefault="00EE3D28" w:rsidP="00E818C5">
      <w:pPr>
        <w:spacing w:line="480" w:lineRule="auto"/>
        <w:rPr>
          <w:rFonts w:ascii="Arial" w:hAnsi="Arial" w:cs="Arial"/>
          <w:b/>
          <w:bCs/>
          <w:color w:val="000000" w:themeColor="text1"/>
        </w:rPr>
      </w:pPr>
    </w:p>
    <w:p w14:paraId="4CD54B98" w14:textId="77777777" w:rsidR="00EE3D28" w:rsidRPr="00390F3A" w:rsidRDefault="00EE3D28" w:rsidP="00E818C5">
      <w:pPr>
        <w:spacing w:line="480" w:lineRule="auto"/>
        <w:rPr>
          <w:rFonts w:ascii="Arial" w:hAnsi="Arial" w:cs="Arial"/>
          <w:b/>
          <w:bCs/>
          <w:color w:val="000000" w:themeColor="text1"/>
        </w:rPr>
      </w:pPr>
    </w:p>
    <w:p w14:paraId="03559EC3" w14:textId="77777777" w:rsidR="00EE3D28" w:rsidRPr="00390F3A" w:rsidRDefault="00EE3D28" w:rsidP="00E818C5">
      <w:pPr>
        <w:spacing w:line="480" w:lineRule="auto"/>
        <w:rPr>
          <w:rFonts w:ascii="Arial" w:hAnsi="Arial" w:cs="Arial"/>
          <w:b/>
          <w:bCs/>
          <w:color w:val="000000" w:themeColor="text1"/>
        </w:rPr>
      </w:pPr>
    </w:p>
    <w:p w14:paraId="66B3D0AF" w14:textId="77777777" w:rsidR="00EE3D28" w:rsidRPr="00390F3A" w:rsidRDefault="00EE3D28" w:rsidP="00E818C5">
      <w:pPr>
        <w:spacing w:line="480" w:lineRule="auto"/>
        <w:rPr>
          <w:rFonts w:ascii="Arial" w:hAnsi="Arial" w:cs="Arial"/>
          <w:b/>
          <w:bCs/>
          <w:color w:val="000000" w:themeColor="text1"/>
        </w:rPr>
      </w:pPr>
    </w:p>
    <w:p w14:paraId="5C4E839B" w14:textId="77777777" w:rsidR="00EE3D28" w:rsidRPr="00390F3A" w:rsidRDefault="00EE3D28" w:rsidP="00E818C5">
      <w:pPr>
        <w:spacing w:line="480" w:lineRule="auto"/>
        <w:rPr>
          <w:rFonts w:ascii="Arial" w:hAnsi="Arial" w:cs="Arial"/>
          <w:b/>
          <w:bCs/>
          <w:color w:val="000000" w:themeColor="text1"/>
        </w:rPr>
      </w:pPr>
    </w:p>
    <w:p w14:paraId="002E1AB9" w14:textId="77777777" w:rsidR="00EE3D28" w:rsidRPr="00390F3A" w:rsidRDefault="00EE3D28" w:rsidP="00E818C5">
      <w:pPr>
        <w:spacing w:line="480" w:lineRule="auto"/>
        <w:rPr>
          <w:rFonts w:ascii="Arial" w:hAnsi="Arial" w:cs="Arial"/>
          <w:b/>
          <w:bCs/>
          <w:color w:val="000000" w:themeColor="text1"/>
        </w:rPr>
      </w:pPr>
    </w:p>
    <w:p w14:paraId="09A20F83" w14:textId="77777777" w:rsidR="00EE3D28" w:rsidRPr="00390F3A" w:rsidRDefault="00EE3D28" w:rsidP="00E818C5">
      <w:pPr>
        <w:spacing w:line="480" w:lineRule="auto"/>
        <w:rPr>
          <w:rFonts w:ascii="Arial" w:hAnsi="Arial" w:cs="Arial"/>
          <w:b/>
          <w:bCs/>
          <w:color w:val="000000" w:themeColor="text1"/>
        </w:rPr>
      </w:pPr>
    </w:p>
    <w:p w14:paraId="2B9C5AC3" w14:textId="77777777" w:rsidR="00EE3D28" w:rsidRPr="00390F3A" w:rsidRDefault="00EE3D28" w:rsidP="00E818C5">
      <w:pPr>
        <w:spacing w:line="480" w:lineRule="auto"/>
        <w:rPr>
          <w:rFonts w:ascii="Arial" w:hAnsi="Arial" w:cs="Arial"/>
          <w:b/>
          <w:bCs/>
          <w:color w:val="000000" w:themeColor="text1"/>
        </w:rPr>
      </w:pPr>
    </w:p>
    <w:p w14:paraId="32893132" w14:textId="77777777" w:rsidR="00990457" w:rsidRDefault="00990457" w:rsidP="00E818C5">
      <w:pPr>
        <w:spacing w:line="480" w:lineRule="auto"/>
        <w:rPr>
          <w:rFonts w:ascii="Arial" w:hAnsi="Arial" w:cs="Arial"/>
          <w:b/>
          <w:bCs/>
          <w:color w:val="000000" w:themeColor="text1"/>
        </w:rPr>
      </w:pPr>
    </w:p>
    <w:p w14:paraId="3E2C3E3B" w14:textId="08940B7B" w:rsidR="00EE3D28" w:rsidRPr="00390F3A" w:rsidRDefault="00EE3D28" w:rsidP="00E818C5">
      <w:pPr>
        <w:spacing w:line="480" w:lineRule="auto"/>
        <w:rPr>
          <w:rFonts w:ascii="Arial" w:hAnsi="Arial" w:cs="Arial"/>
          <w:b/>
          <w:bCs/>
          <w:color w:val="000000" w:themeColor="text1"/>
          <w:u w:val="single"/>
        </w:rPr>
      </w:pPr>
      <w:r w:rsidRPr="00390F3A">
        <w:rPr>
          <w:rFonts w:ascii="Arial" w:hAnsi="Arial" w:cs="Arial"/>
          <w:b/>
          <w:bCs/>
          <w:color w:val="000000" w:themeColor="text1"/>
          <w:u w:val="single"/>
        </w:rPr>
        <w:lastRenderedPageBreak/>
        <w:t xml:space="preserve">Bibliography </w:t>
      </w:r>
    </w:p>
    <w:p w14:paraId="5E0694EB" w14:textId="77777777" w:rsidR="00390F3A" w:rsidRPr="00390F3A" w:rsidRDefault="00390F3A" w:rsidP="00E818C5">
      <w:pPr>
        <w:spacing w:line="480" w:lineRule="auto"/>
        <w:rPr>
          <w:rFonts w:ascii="Arial" w:hAnsi="Arial" w:cs="Arial"/>
          <w:b/>
          <w:bCs/>
          <w:color w:val="000000" w:themeColor="text1"/>
          <w:u w:val="single"/>
        </w:rPr>
      </w:pPr>
    </w:p>
    <w:p w14:paraId="3F0E2284"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Alleyne, E. and Wood, J.L. (2013) ‘Gang-related crime: The social, psychological and behavioural correlates’, </w:t>
      </w:r>
      <w:r w:rsidRPr="00390F3A">
        <w:rPr>
          <w:rFonts w:ascii="Arial" w:hAnsi="Arial" w:cs="Arial"/>
          <w:i/>
          <w:iCs/>
          <w:color w:val="000000" w:themeColor="text1"/>
        </w:rPr>
        <w:t>Psychology, Crime &amp; Law</w:t>
      </w:r>
      <w:r w:rsidRPr="00390F3A">
        <w:rPr>
          <w:rFonts w:ascii="Arial" w:hAnsi="Arial" w:cs="Arial"/>
          <w:color w:val="000000" w:themeColor="text1"/>
        </w:rPr>
        <w:t xml:space="preserve">, 19(7), pp. 611-627. Available at: </w:t>
      </w:r>
      <w:hyperlink r:id="rId6" w:history="1">
        <w:r w:rsidRPr="00390F3A">
          <w:rPr>
            <w:rStyle w:val="Hyperlink"/>
            <w:rFonts w:ascii="Arial" w:hAnsi="Arial" w:cs="Arial"/>
            <w:color w:val="000000" w:themeColor="text1"/>
            <w:u w:val="none"/>
          </w:rPr>
          <w:t>https://doi.org/10.1080/1068316X.2012.658050</w:t>
        </w:r>
      </w:hyperlink>
    </w:p>
    <w:p w14:paraId="1C4EEE02" w14:textId="77777777" w:rsidR="00390F3A" w:rsidRPr="00390F3A" w:rsidRDefault="00390F3A" w:rsidP="00390F3A">
      <w:pPr>
        <w:spacing w:line="480" w:lineRule="auto"/>
        <w:rPr>
          <w:rFonts w:ascii="Arial" w:hAnsi="Arial" w:cs="Arial"/>
          <w:color w:val="000000" w:themeColor="text1"/>
        </w:rPr>
      </w:pPr>
    </w:p>
    <w:p w14:paraId="1B0D8437" w14:textId="77777777" w:rsidR="00390F3A" w:rsidRPr="00390F3A" w:rsidRDefault="00390F3A" w:rsidP="00390F3A">
      <w:pPr>
        <w:spacing w:line="480" w:lineRule="auto"/>
        <w:rPr>
          <w:rFonts w:ascii="Arial" w:hAnsi="Arial" w:cs="Arial"/>
          <w:color w:val="000000" w:themeColor="text1"/>
        </w:rPr>
      </w:pPr>
      <w:proofErr w:type="spellStart"/>
      <w:r w:rsidRPr="00390F3A">
        <w:rPr>
          <w:rFonts w:ascii="Arial" w:hAnsi="Arial" w:cs="Arial"/>
          <w:color w:val="000000" w:themeColor="text1"/>
        </w:rPr>
        <w:t>Atiba</w:t>
      </w:r>
      <w:proofErr w:type="spellEnd"/>
      <w:r w:rsidRPr="00390F3A">
        <w:rPr>
          <w:rFonts w:ascii="Arial" w:hAnsi="Arial" w:cs="Arial"/>
          <w:color w:val="000000" w:themeColor="text1"/>
        </w:rPr>
        <w:t xml:space="preserve"> Goff, P. and Barsamian Kahn, K. (2012) ‘Racial bias in policing: Why we know less than we should’, </w:t>
      </w:r>
      <w:r w:rsidRPr="00390F3A">
        <w:rPr>
          <w:rFonts w:ascii="Arial" w:hAnsi="Arial" w:cs="Arial"/>
          <w:i/>
          <w:iCs/>
          <w:color w:val="000000" w:themeColor="text1"/>
        </w:rPr>
        <w:t>Social Issues and Policy Review</w:t>
      </w:r>
      <w:r w:rsidRPr="00390F3A">
        <w:rPr>
          <w:rFonts w:ascii="Arial" w:hAnsi="Arial" w:cs="Arial"/>
          <w:color w:val="000000" w:themeColor="text1"/>
        </w:rPr>
        <w:t xml:space="preserve">, 6(1), pp. 177–210. </w:t>
      </w:r>
      <w:hyperlink r:id="rId7" w:history="1">
        <w:r w:rsidRPr="00390F3A">
          <w:rPr>
            <w:rStyle w:val="Hyperlink"/>
            <w:rFonts w:ascii="Arial" w:hAnsi="Arial" w:cs="Arial"/>
            <w:color w:val="000000" w:themeColor="text1"/>
            <w:u w:val="none"/>
          </w:rPr>
          <w:t>https://doi.org/10.1111/j.1751-2409.2011.01039.x</w:t>
        </w:r>
      </w:hyperlink>
    </w:p>
    <w:p w14:paraId="70960260" w14:textId="77777777" w:rsidR="00390F3A" w:rsidRPr="00390F3A" w:rsidRDefault="00390F3A" w:rsidP="00390F3A">
      <w:pPr>
        <w:spacing w:line="480" w:lineRule="auto"/>
        <w:rPr>
          <w:rFonts w:ascii="Arial" w:hAnsi="Arial" w:cs="Arial"/>
          <w:color w:val="000000" w:themeColor="text1"/>
        </w:rPr>
      </w:pPr>
    </w:p>
    <w:p w14:paraId="45E61942"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BBC (2020) </w:t>
      </w:r>
      <w:r w:rsidRPr="00390F3A">
        <w:rPr>
          <w:rFonts w:ascii="Arial" w:hAnsi="Arial" w:cs="Arial"/>
          <w:i/>
          <w:iCs/>
          <w:color w:val="000000" w:themeColor="text1"/>
        </w:rPr>
        <w:t>Is it possible to rid police officers of bias?</w:t>
      </w:r>
      <w:r w:rsidRPr="00390F3A">
        <w:rPr>
          <w:rFonts w:ascii="Arial" w:hAnsi="Arial" w:cs="Arial"/>
          <w:color w:val="000000" w:themeColor="text1"/>
        </w:rPr>
        <w:t xml:space="preserve"> Available at: https://www.bbc.com/future/article/20200827-is-it-possible-to-rid-police-officers-of-bias (Accessed: 18 May 2023).</w:t>
      </w:r>
    </w:p>
    <w:p w14:paraId="2763C089" w14:textId="77777777" w:rsidR="00390F3A" w:rsidRPr="00390F3A" w:rsidRDefault="00390F3A" w:rsidP="00390F3A">
      <w:pPr>
        <w:spacing w:line="480" w:lineRule="auto"/>
        <w:rPr>
          <w:rFonts w:ascii="Arial" w:hAnsi="Arial" w:cs="Arial"/>
          <w:color w:val="000000" w:themeColor="text1"/>
        </w:rPr>
      </w:pPr>
    </w:p>
    <w:p w14:paraId="38DE0D2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Bennett, T. (1995) ‘Identifying, explaining, and targeting burglary hot spots’, </w:t>
      </w:r>
      <w:r w:rsidRPr="00390F3A">
        <w:rPr>
          <w:rFonts w:ascii="Arial" w:hAnsi="Arial" w:cs="Arial"/>
          <w:i/>
          <w:iCs/>
          <w:color w:val="000000" w:themeColor="text1"/>
        </w:rPr>
        <w:t>European Journal on Criminal Policy and Research</w:t>
      </w:r>
      <w:r w:rsidRPr="00390F3A">
        <w:rPr>
          <w:rFonts w:ascii="Arial" w:hAnsi="Arial" w:cs="Arial"/>
          <w:color w:val="000000" w:themeColor="text1"/>
        </w:rPr>
        <w:t xml:space="preserve">, 3(3), pp. 113-123. Available at: </w:t>
      </w:r>
      <w:hyperlink r:id="rId8" w:history="1">
        <w:r w:rsidRPr="00390F3A">
          <w:rPr>
            <w:rStyle w:val="Hyperlink"/>
            <w:rFonts w:ascii="Arial" w:hAnsi="Arial" w:cs="Arial"/>
            <w:color w:val="000000" w:themeColor="text1"/>
            <w:u w:val="none"/>
          </w:rPr>
          <w:t>https://doi.org/10.1007/BF02242932</w:t>
        </w:r>
      </w:hyperlink>
    </w:p>
    <w:p w14:paraId="39AB72A6" w14:textId="77777777" w:rsidR="00390F3A" w:rsidRPr="00390F3A" w:rsidRDefault="00390F3A" w:rsidP="00390F3A">
      <w:pPr>
        <w:spacing w:line="480" w:lineRule="auto"/>
        <w:rPr>
          <w:rFonts w:ascii="Arial" w:hAnsi="Arial" w:cs="Arial"/>
          <w:color w:val="000000" w:themeColor="text1"/>
        </w:rPr>
      </w:pPr>
    </w:p>
    <w:p w14:paraId="015A3036"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Bliss-Holtz, J. (2011) ‘Broken schools plus broken homes plus broken neighbourhoods equals street gangs?’ </w:t>
      </w:r>
      <w:r w:rsidRPr="00390F3A">
        <w:rPr>
          <w:rFonts w:ascii="Arial" w:hAnsi="Arial" w:cs="Arial"/>
          <w:i/>
          <w:iCs/>
          <w:color w:val="000000" w:themeColor="text1"/>
        </w:rPr>
        <w:t>Issues in Comprehensive Paediatric Nursing</w:t>
      </w:r>
      <w:r w:rsidRPr="00390F3A">
        <w:rPr>
          <w:rFonts w:ascii="Arial" w:hAnsi="Arial" w:cs="Arial"/>
          <w:color w:val="000000" w:themeColor="text1"/>
        </w:rPr>
        <w:t xml:space="preserve">, 34(1), pp. 1-3. Available at: </w:t>
      </w:r>
      <w:hyperlink r:id="rId9" w:history="1">
        <w:r w:rsidRPr="00390F3A">
          <w:rPr>
            <w:rStyle w:val="Hyperlink"/>
            <w:rFonts w:ascii="Arial" w:hAnsi="Arial" w:cs="Arial"/>
            <w:color w:val="000000" w:themeColor="text1"/>
            <w:u w:val="none"/>
          </w:rPr>
          <w:t>https://doi.org/10.3109/01460862.2011.559768</w:t>
        </w:r>
      </w:hyperlink>
    </w:p>
    <w:p w14:paraId="7BF83C4A" w14:textId="77777777" w:rsidR="00390F3A" w:rsidRPr="00390F3A" w:rsidRDefault="00390F3A" w:rsidP="00390F3A">
      <w:pPr>
        <w:spacing w:line="480" w:lineRule="auto"/>
        <w:rPr>
          <w:rFonts w:ascii="Arial" w:hAnsi="Arial" w:cs="Arial"/>
          <w:color w:val="000000" w:themeColor="text1"/>
        </w:rPr>
      </w:pPr>
    </w:p>
    <w:p w14:paraId="7D2DD752"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Braga, A. and Bond, B.J. (2008) ‘Policing crime and disorder hot spots: A randomized controlled trial’, </w:t>
      </w:r>
      <w:r w:rsidRPr="00390F3A">
        <w:rPr>
          <w:rFonts w:ascii="Arial" w:hAnsi="Arial" w:cs="Arial"/>
          <w:i/>
          <w:iCs/>
          <w:color w:val="000000" w:themeColor="text1"/>
        </w:rPr>
        <w:t>Criminology,</w:t>
      </w:r>
      <w:r w:rsidRPr="00390F3A">
        <w:rPr>
          <w:rFonts w:ascii="Arial" w:hAnsi="Arial" w:cs="Arial"/>
          <w:color w:val="000000" w:themeColor="text1"/>
        </w:rPr>
        <w:t xml:space="preserve"> 46(3), pp. 577-607. Available at: </w:t>
      </w:r>
      <w:hyperlink r:id="rId10" w:history="1">
        <w:r w:rsidRPr="00390F3A">
          <w:rPr>
            <w:rStyle w:val="Hyperlink"/>
            <w:rFonts w:ascii="Arial" w:hAnsi="Arial" w:cs="Arial"/>
            <w:color w:val="000000" w:themeColor="text1"/>
            <w:u w:val="none"/>
          </w:rPr>
          <w:t>https://doi.org/10.1111/j.1745-9125.2008.00124.x</w:t>
        </w:r>
      </w:hyperlink>
    </w:p>
    <w:p w14:paraId="62AA5481" w14:textId="77777777" w:rsidR="00390F3A" w:rsidRPr="00390F3A" w:rsidRDefault="00390F3A" w:rsidP="00390F3A">
      <w:pPr>
        <w:spacing w:line="480" w:lineRule="auto"/>
        <w:rPr>
          <w:rFonts w:ascii="Arial" w:hAnsi="Arial" w:cs="Arial"/>
          <w:color w:val="000000" w:themeColor="text1"/>
        </w:rPr>
      </w:pPr>
    </w:p>
    <w:p w14:paraId="3B78D279"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Braga, A., Papachristos, A. and Hureau, D. (2012) ‘Hot spots policing effects on crime’, </w:t>
      </w:r>
      <w:r w:rsidRPr="00390F3A">
        <w:rPr>
          <w:rFonts w:ascii="Arial" w:hAnsi="Arial" w:cs="Arial"/>
          <w:i/>
          <w:iCs/>
          <w:color w:val="000000" w:themeColor="text1"/>
        </w:rPr>
        <w:t>Campbell Systematic Reviews</w:t>
      </w:r>
      <w:r w:rsidRPr="00390F3A">
        <w:rPr>
          <w:rFonts w:ascii="Arial" w:hAnsi="Arial" w:cs="Arial"/>
          <w:color w:val="000000" w:themeColor="text1"/>
        </w:rPr>
        <w:t xml:space="preserve">, 8(1), pp. 1-96. Available at: </w:t>
      </w:r>
      <w:hyperlink r:id="rId11" w:history="1">
        <w:r w:rsidRPr="00390F3A">
          <w:rPr>
            <w:rStyle w:val="Hyperlink"/>
            <w:rFonts w:ascii="Arial" w:hAnsi="Arial" w:cs="Arial"/>
            <w:color w:val="000000" w:themeColor="text1"/>
            <w:u w:val="none"/>
          </w:rPr>
          <w:t>https://doi.org/10.4073/csr.2012.8</w:t>
        </w:r>
      </w:hyperlink>
    </w:p>
    <w:p w14:paraId="252F3E3B" w14:textId="77777777" w:rsidR="00390F3A" w:rsidRPr="00390F3A" w:rsidRDefault="00390F3A" w:rsidP="00390F3A">
      <w:pPr>
        <w:spacing w:line="480" w:lineRule="auto"/>
        <w:rPr>
          <w:rFonts w:ascii="Arial" w:hAnsi="Arial" w:cs="Arial"/>
          <w:color w:val="000000" w:themeColor="text1"/>
        </w:rPr>
      </w:pPr>
    </w:p>
    <w:p w14:paraId="207321D8"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Bullock, K. and Tilley, N. (2012) </w:t>
      </w:r>
      <w:r w:rsidRPr="00390F3A">
        <w:rPr>
          <w:rFonts w:ascii="Arial" w:hAnsi="Arial" w:cs="Arial"/>
          <w:i/>
          <w:iCs/>
          <w:color w:val="000000" w:themeColor="text1"/>
        </w:rPr>
        <w:t>Crime Reduction and Problem-oriented Policing.</w:t>
      </w:r>
      <w:r w:rsidRPr="00390F3A">
        <w:rPr>
          <w:rFonts w:ascii="Arial" w:hAnsi="Arial" w:cs="Arial"/>
          <w:color w:val="000000" w:themeColor="text1"/>
        </w:rPr>
        <w:t xml:space="preserve"> London: Routledge.</w:t>
      </w:r>
    </w:p>
    <w:p w14:paraId="7BE62F16" w14:textId="77777777" w:rsidR="00390F3A" w:rsidRPr="00390F3A" w:rsidRDefault="00390F3A" w:rsidP="00390F3A">
      <w:pPr>
        <w:spacing w:line="480" w:lineRule="auto"/>
        <w:rPr>
          <w:rFonts w:ascii="Arial" w:hAnsi="Arial" w:cs="Arial"/>
          <w:color w:val="000000" w:themeColor="text1"/>
        </w:rPr>
      </w:pPr>
    </w:p>
    <w:p w14:paraId="48A9541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Cantle, T. (2018) </w:t>
      </w:r>
      <w:r w:rsidRPr="00390F3A">
        <w:rPr>
          <w:rFonts w:ascii="Arial" w:hAnsi="Arial" w:cs="Arial"/>
          <w:i/>
          <w:iCs/>
          <w:color w:val="000000" w:themeColor="text1"/>
        </w:rPr>
        <w:t>Community cohesion: A new framework for race and diversity.</w:t>
      </w:r>
      <w:r w:rsidRPr="00390F3A">
        <w:rPr>
          <w:rFonts w:ascii="Arial" w:hAnsi="Arial" w:cs="Arial"/>
          <w:color w:val="000000" w:themeColor="text1"/>
        </w:rPr>
        <w:t xml:space="preserve"> London: Palgrave Macmillan</w:t>
      </w:r>
    </w:p>
    <w:p w14:paraId="230C660E" w14:textId="77777777" w:rsidR="00390F3A" w:rsidRPr="00390F3A" w:rsidRDefault="00390F3A" w:rsidP="00390F3A">
      <w:pPr>
        <w:spacing w:line="480" w:lineRule="auto"/>
        <w:rPr>
          <w:rFonts w:ascii="Arial" w:hAnsi="Arial" w:cs="Arial"/>
          <w:color w:val="000000" w:themeColor="text1"/>
        </w:rPr>
      </w:pPr>
    </w:p>
    <w:p w14:paraId="2DB3DD30"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Chang, D. (2011) ‘Social Crime or Spatial Crime? Exploring the Effects of Social, </w:t>
      </w:r>
      <w:proofErr w:type="spellStart"/>
      <w:r w:rsidRPr="00390F3A">
        <w:rPr>
          <w:rFonts w:ascii="Arial" w:hAnsi="Arial" w:cs="Arial"/>
          <w:color w:val="000000" w:themeColor="text1"/>
        </w:rPr>
        <w:t>Economical</w:t>
      </w:r>
      <w:proofErr w:type="spellEnd"/>
      <w:r w:rsidRPr="00390F3A">
        <w:rPr>
          <w:rFonts w:ascii="Arial" w:hAnsi="Arial" w:cs="Arial"/>
          <w:color w:val="000000" w:themeColor="text1"/>
        </w:rPr>
        <w:t xml:space="preserve">, and Spatial Factors on Burglary Rates’, </w:t>
      </w:r>
      <w:r w:rsidRPr="00390F3A">
        <w:rPr>
          <w:rFonts w:ascii="Arial" w:hAnsi="Arial" w:cs="Arial"/>
          <w:i/>
          <w:iCs/>
          <w:color w:val="000000" w:themeColor="text1"/>
        </w:rPr>
        <w:t>Environment and Behaviour</w:t>
      </w:r>
      <w:r w:rsidRPr="00390F3A">
        <w:rPr>
          <w:rFonts w:ascii="Arial" w:hAnsi="Arial" w:cs="Arial"/>
          <w:color w:val="000000" w:themeColor="text1"/>
        </w:rPr>
        <w:t xml:space="preserve">, 43(1), pp. 26–52. Available at: </w:t>
      </w:r>
      <w:hyperlink r:id="rId12" w:history="1">
        <w:r w:rsidRPr="00390F3A">
          <w:rPr>
            <w:rStyle w:val="Hyperlink"/>
            <w:rFonts w:ascii="Arial" w:hAnsi="Arial" w:cs="Arial"/>
            <w:color w:val="000000" w:themeColor="text1"/>
            <w:u w:val="none"/>
          </w:rPr>
          <w:t>https://doi.org/10.1177/0013916509347728</w:t>
        </w:r>
      </w:hyperlink>
    </w:p>
    <w:p w14:paraId="68393375" w14:textId="77777777" w:rsidR="00390F3A" w:rsidRPr="00390F3A" w:rsidRDefault="00390F3A" w:rsidP="00390F3A">
      <w:pPr>
        <w:spacing w:line="480" w:lineRule="auto"/>
        <w:rPr>
          <w:rFonts w:ascii="Arial" w:hAnsi="Arial" w:cs="Arial"/>
          <w:color w:val="000000" w:themeColor="text1"/>
        </w:rPr>
      </w:pPr>
    </w:p>
    <w:p w14:paraId="7577F21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Coid, J.W. </w:t>
      </w:r>
      <w:r w:rsidRPr="00390F3A">
        <w:rPr>
          <w:rFonts w:ascii="Arial" w:hAnsi="Arial" w:cs="Arial"/>
          <w:i/>
          <w:iCs/>
          <w:color w:val="000000" w:themeColor="text1"/>
        </w:rPr>
        <w:t>et al.</w:t>
      </w:r>
      <w:r w:rsidRPr="00390F3A">
        <w:rPr>
          <w:rFonts w:ascii="Arial" w:hAnsi="Arial" w:cs="Arial"/>
          <w:color w:val="000000" w:themeColor="text1"/>
        </w:rPr>
        <w:t xml:space="preserve"> (2013) ‘Gang membership, violence, and psychiatric morbidity’, </w:t>
      </w:r>
      <w:r w:rsidRPr="00390F3A">
        <w:rPr>
          <w:rFonts w:ascii="Arial" w:hAnsi="Arial" w:cs="Arial"/>
          <w:i/>
          <w:iCs/>
          <w:color w:val="000000" w:themeColor="text1"/>
        </w:rPr>
        <w:t>American Journal of Psychiatry</w:t>
      </w:r>
      <w:r w:rsidRPr="00390F3A">
        <w:rPr>
          <w:rFonts w:ascii="Arial" w:hAnsi="Arial" w:cs="Arial"/>
          <w:color w:val="000000" w:themeColor="text1"/>
        </w:rPr>
        <w:t xml:space="preserve">, 170(9), pp. 985-993. Available at: </w:t>
      </w:r>
      <w:hyperlink r:id="rId13" w:history="1">
        <w:r w:rsidRPr="00390F3A">
          <w:rPr>
            <w:rStyle w:val="Hyperlink"/>
            <w:rFonts w:ascii="Arial" w:hAnsi="Arial" w:cs="Arial"/>
            <w:color w:val="000000" w:themeColor="text1"/>
            <w:u w:val="none"/>
          </w:rPr>
          <w:t>https://doi.org/10.1176/appi.ajp.2013.12091188</w:t>
        </w:r>
      </w:hyperlink>
    </w:p>
    <w:p w14:paraId="158FF783" w14:textId="77777777" w:rsidR="00390F3A" w:rsidRPr="00390F3A" w:rsidRDefault="00390F3A" w:rsidP="00390F3A">
      <w:pPr>
        <w:spacing w:line="480" w:lineRule="auto"/>
        <w:rPr>
          <w:rFonts w:ascii="Arial" w:hAnsi="Arial" w:cs="Arial"/>
          <w:color w:val="000000" w:themeColor="text1"/>
        </w:rPr>
      </w:pPr>
    </w:p>
    <w:p w14:paraId="4F172040"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College of Policing (2013) </w:t>
      </w:r>
      <w:r w:rsidRPr="00390F3A">
        <w:rPr>
          <w:rFonts w:ascii="Arial" w:hAnsi="Arial" w:cs="Arial"/>
          <w:i/>
          <w:iCs/>
          <w:color w:val="000000" w:themeColor="text1"/>
        </w:rPr>
        <w:t>Engagement</w:t>
      </w:r>
      <w:r w:rsidRPr="00390F3A">
        <w:rPr>
          <w:rFonts w:ascii="Arial" w:hAnsi="Arial" w:cs="Arial"/>
          <w:color w:val="000000" w:themeColor="text1"/>
        </w:rPr>
        <w:t>. Available at: https://www.college.police.uk/app/engagement-and-communication/engagement (Accessed: 28 April 2023).</w:t>
      </w:r>
    </w:p>
    <w:p w14:paraId="453D11EA" w14:textId="77777777" w:rsidR="00390F3A" w:rsidRPr="00390F3A" w:rsidRDefault="00390F3A" w:rsidP="00390F3A">
      <w:pPr>
        <w:spacing w:line="480" w:lineRule="auto"/>
        <w:rPr>
          <w:rFonts w:ascii="Arial" w:hAnsi="Arial" w:cs="Arial"/>
          <w:color w:val="000000" w:themeColor="text1"/>
        </w:rPr>
      </w:pPr>
    </w:p>
    <w:p w14:paraId="52E50F9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College of Policing (2016)</w:t>
      </w:r>
      <w:r w:rsidRPr="00390F3A">
        <w:rPr>
          <w:rFonts w:ascii="Arial" w:hAnsi="Arial" w:cs="Arial"/>
          <w:i/>
          <w:iCs/>
          <w:color w:val="000000" w:themeColor="text1"/>
        </w:rPr>
        <w:t xml:space="preserve"> Fair</w:t>
      </w:r>
      <w:r w:rsidRPr="00390F3A">
        <w:rPr>
          <w:rFonts w:ascii="Arial" w:hAnsi="Arial" w:cs="Arial"/>
          <w:color w:val="000000" w:themeColor="text1"/>
        </w:rPr>
        <w:t>. Available at: https://www.college.police.uk/app/stop-and-search/fair (Accessed: 18 May 2023).</w:t>
      </w:r>
    </w:p>
    <w:p w14:paraId="38947FBB" w14:textId="77777777" w:rsidR="00390F3A" w:rsidRPr="00390F3A" w:rsidRDefault="00390F3A" w:rsidP="00390F3A">
      <w:pPr>
        <w:spacing w:line="480" w:lineRule="auto"/>
        <w:rPr>
          <w:rFonts w:ascii="Arial" w:hAnsi="Arial" w:cs="Arial"/>
          <w:color w:val="000000" w:themeColor="text1"/>
        </w:rPr>
      </w:pPr>
    </w:p>
    <w:p w14:paraId="33F4FB48"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College of Policing (2018) </w:t>
      </w:r>
      <w:r w:rsidRPr="00390F3A">
        <w:rPr>
          <w:rFonts w:ascii="Arial" w:hAnsi="Arial" w:cs="Arial"/>
          <w:i/>
          <w:iCs/>
          <w:color w:val="000000" w:themeColor="text1"/>
        </w:rPr>
        <w:t>Hot spots policing</w:t>
      </w:r>
      <w:r w:rsidRPr="00390F3A">
        <w:rPr>
          <w:rFonts w:ascii="Arial" w:hAnsi="Arial" w:cs="Arial"/>
          <w:color w:val="000000" w:themeColor="text1"/>
        </w:rPr>
        <w:t>. Available at: https://www.college.police.uk/research/crime-reduction-toolkit/hot-spots-policing?InterventionID=46 (Accessed: 18 January 2023).</w:t>
      </w:r>
    </w:p>
    <w:p w14:paraId="5858C488" w14:textId="77777777" w:rsidR="00390F3A" w:rsidRPr="00390F3A" w:rsidRDefault="00390F3A" w:rsidP="00390F3A">
      <w:pPr>
        <w:spacing w:line="480" w:lineRule="auto"/>
        <w:rPr>
          <w:rFonts w:ascii="Arial" w:hAnsi="Arial" w:cs="Arial"/>
          <w:color w:val="000000" w:themeColor="text1"/>
        </w:rPr>
      </w:pPr>
    </w:p>
    <w:p w14:paraId="60788B44"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College of Policing (2021) </w:t>
      </w:r>
      <w:r w:rsidRPr="00390F3A">
        <w:rPr>
          <w:rFonts w:ascii="Arial" w:hAnsi="Arial" w:cs="Arial"/>
          <w:i/>
          <w:iCs/>
          <w:color w:val="000000" w:themeColor="text1"/>
        </w:rPr>
        <w:t>Engaging Communities.</w:t>
      </w:r>
      <w:r w:rsidRPr="00390F3A">
        <w:rPr>
          <w:rFonts w:ascii="Arial" w:hAnsi="Arial" w:cs="Arial"/>
          <w:color w:val="000000" w:themeColor="text1"/>
        </w:rPr>
        <w:t xml:space="preserve"> Available at: https://www.college.police.uk/guidance/neighbourhood-policing/engaging-communities (Accessed: 18 May 2023).</w:t>
      </w:r>
    </w:p>
    <w:p w14:paraId="0B83A532" w14:textId="77777777" w:rsidR="00390F3A" w:rsidRPr="00390F3A" w:rsidRDefault="00390F3A" w:rsidP="00390F3A">
      <w:pPr>
        <w:spacing w:line="480" w:lineRule="auto"/>
        <w:rPr>
          <w:rFonts w:ascii="Arial" w:hAnsi="Arial" w:cs="Arial"/>
          <w:color w:val="000000" w:themeColor="text1"/>
        </w:rPr>
      </w:pPr>
    </w:p>
    <w:p w14:paraId="54651B72"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Crown Prosecution Service (2019) </w:t>
      </w:r>
      <w:r w:rsidRPr="00390F3A">
        <w:rPr>
          <w:rFonts w:ascii="Arial" w:hAnsi="Arial" w:cs="Arial"/>
          <w:i/>
          <w:iCs/>
          <w:color w:val="000000" w:themeColor="text1"/>
        </w:rPr>
        <w:t>Organised Crime Group: Participating Activities.</w:t>
      </w:r>
      <w:r w:rsidRPr="00390F3A">
        <w:rPr>
          <w:rFonts w:ascii="Arial" w:hAnsi="Arial" w:cs="Arial"/>
          <w:color w:val="000000" w:themeColor="text1"/>
        </w:rPr>
        <w:t xml:space="preserve"> Available at: </w:t>
      </w:r>
      <w:hyperlink r:id="rId14" w:history="1">
        <w:r w:rsidRPr="00390F3A">
          <w:rPr>
            <w:rStyle w:val="Hyperlink"/>
            <w:rFonts w:ascii="Arial" w:hAnsi="Arial" w:cs="Arial"/>
            <w:color w:val="000000" w:themeColor="text1"/>
            <w:u w:val="none"/>
          </w:rPr>
          <w:t>https://www.cps.gov.uk/legal-guidance/organised-crime-group-participating-activities</w:t>
        </w:r>
      </w:hyperlink>
      <w:r w:rsidRPr="00390F3A">
        <w:rPr>
          <w:rFonts w:ascii="Arial" w:hAnsi="Arial" w:cs="Arial"/>
          <w:color w:val="000000" w:themeColor="text1"/>
        </w:rPr>
        <w:t xml:space="preserve"> (Accessed: 18 May 2023).</w:t>
      </w:r>
    </w:p>
    <w:p w14:paraId="45DACBAA" w14:textId="77777777" w:rsidR="00390F3A" w:rsidRPr="00390F3A" w:rsidRDefault="00390F3A" w:rsidP="00390F3A">
      <w:pPr>
        <w:spacing w:line="480" w:lineRule="auto"/>
        <w:rPr>
          <w:rFonts w:ascii="Arial" w:hAnsi="Arial" w:cs="Arial"/>
          <w:color w:val="000000" w:themeColor="text1"/>
        </w:rPr>
      </w:pPr>
    </w:p>
    <w:p w14:paraId="75C41E22"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Crown Prosecution Service (2022) </w:t>
      </w:r>
      <w:r w:rsidRPr="00390F3A">
        <w:rPr>
          <w:rFonts w:ascii="Arial" w:hAnsi="Arial" w:cs="Arial"/>
          <w:i/>
          <w:iCs/>
          <w:color w:val="000000" w:themeColor="text1"/>
        </w:rPr>
        <w:t>Theft Act Offences.</w:t>
      </w:r>
      <w:r w:rsidRPr="00390F3A">
        <w:rPr>
          <w:rFonts w:ascii="Arial" w:hAnsi="Arial" w:cs="Arial"/>
          <w:color w:val="000000" w:themeColor="text1"/>
        </w:rPr>
        <w:t xml:space="preserve"> Available at: https://www.cps.gov.uk/legal-guidance/theft-act-offences (Accessed: 20 December 2022).</w:t>
      </w:r>
    </w:p>
    <w:p w14:paraId="7FC4F556" w14:textId="77777777" w:rsidR="00390F3A" w:rsidRPr="00390F3A" w:rsidRDefault="00390F3A" w:rsidP="00390F3A">
      <w:pPr>
        <w:spacing w:line="480" w:lineRule="auto"/>
        <w:rPr>
          <w:rFonts w:ascii="Arial" w:hAnsi="Arial" w:cs="Arial"/>
          <w:color w:val="000000" w:themeColor="text1"/>
        </w:rPr>
      </w:pPr>
    </w:p>
    <w:p w14:paraId="4204CF2A"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Dhont, K., Cornelis, I. and Van </w:t>
      </w:r>
      <w:proofErr w:type="spellStart"/>
      <w:r w:rsidRPr="00390F3A">
        <w:rPr>
          <w:rFonts w:ascii="Arial" w:hAnsi="Arial" w:cs="Arial"/>
          <w:color w:val="000000" w:themeColor="text1"/>
        </w:rPr>
        <w:t>Hiel</w:t>
      </w:r>
      <w:proofErr w:type="spellEnd"/>
      <w:r w:rsidRPr="00390F3A">
        <w:rPr>
          <w:rFonts w:ascii="Arial" w:hAnsi="Arial" w:cs="Arial"/>
          <w:color w:val="000000" w:themeColor="text1"/>
        </w:rPr>
        <w:t xml:space="preserve">, A. (2010) ‘Interracial public–police contact: Relationships with police officers’ racial and work-related attitudes and </w:t>
      </w:r>
      <w:proofErr w:type="spellStart"/>
      <w:r w:rsidRPr="00390F3A">
        <w:rPr>
          <w:rFonts w:ascii="Arial" w:hAnsi="Arial" w:cs="Arial"/>
          <w:color w:val="000000" w:themeColor="text1"/>
        </w:rPr>
        <w:t>behavior</w:t>
      </w:r>
      <w:proofErr w:type="spellEnd"/>
      <w:r w:rsidRPr="00390F3A">
        <w:rPr>
          <w:rFonts w:ascii="Arial" w:hAnsi="Arial" w:cs="Arial"/>
          <w:color w:val="000000" w:themeColor="text1"/>
        </w:rPr>
        <w:t xml:space="preserve">’, </w:t>
      </w:r>
      <w:r w:rsidRPr="00390F3A">
        <w:rPr>
          <w:rFonts w:ascii="Arial" w:hAnsi="Arial" w:cs="Arial"/>
          <w:i/>
          <w:iCs/>
          <w:color w:val="000000" w:themeColor="text1"/>
        </w:rPr>
        <w:t>International journal of intercultural relations</w:t>
      </w:r>
      <w:r w:rsidRPr="00390F3A">
        <w:rPr>
          <w:rFonts w:ascii="Arial" w:hAnsi="Arial" w:cs="Arial"/>
          <w:color w:val="000000" w:themeColor="text1"/>
        </w:rPr>
        <w:t xml:space="preserve">, 34(6), pp. 551-560. Available at: </w:t>
      </w:r>
      <w:hyperlink r:id="rId15" w:history="1">
        <w:r w:rsidRPr="00390F3A">
          <w:rPr>
            <w:rStyle w:val="Hyperlink"/>
            <w:rFonts w:ascii="Arial" w:hAnsi="Arial" w:cs="Arial"/>
            <w:color w:val="000000" w:themeColor="text1"/>
            <w:u w:val="none"/>
          </w:rPr>
          <w:t>https://doi.org/10.1016/j.ijintrel.2010.07.004</w:t>
        </w:r>
      </w:hyperlink>
    </w:p>
    <w:p w14:paraId="4D8C5FE4" w14:textId="77777777" w:rsidR="00390F3A" w:rsidRPr="00390F3A" w:rsidRDefault="00390F3A" w:rsidP="00390F3A">
      <w:pPr>
        <w:spacing w:line="480" w:lineRule="auto"/>
        <w:rPr>
          <w:rFonts w:ascii="Arial" w:hAnsi="Arial" w:cs="Arial"/>
          <w:color w:val="000000" w:themeColor="text1"/>
        </w:rPr>
      </w:pPr>
    </w:p>
    <w:p w14:paraId="1D477B4E"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Dutton, D.G. and White, K.R. (2013) ‘Male victims of domestic violence’, </w:t>
      </w:r>
      <w:r w:rsidRPr="00390F3A">
        <w:rPr>
          <w:rFonts w:ascii="Arial" w:hAnsi="Arial" w:cs="Arial"/>
          <w:i/>
          <w:iCs/>
          <w:color w:val="000000" w:themeColor="text1"/>
        </w:rPr>
        <w:t>New Male Studies</w:t>
      </w:r>
      <w:r w:rsidRPr="00390F3A">
        <w:rPr>
          <w:rFonts w:ascii="Arial" w:hAnsi="Arial" w:cs="Arial"/>
          <w:color w:val="000000" w:themeColor="text1"/>
        </w:rPr>
        <w:t xml:space="preserve">: </w:t>
      </w:r>
      <w:r w:rsidRPr="00390F3A">
        <w:rPr>
          <w:rFonts w:ascii="Arial" w:hAnsi="Arial" w:cs="Arial"/>
          <w:i/>
          <w:iCs/>
          <w:color w:val="000000" w:themeColor="text1"/>
        </w:rPr>
        <w:t>An International Journal,</w:t>
      </w:r>
      <w:r w:rsidRPr="00390F3A">
        <w:rPr>
          <w:rFonts w:ascii="Arial" w:hAnsi="Arial" w:cs="Arial"/>
          <w:color w:val="000000" w:themeColor="text1"/>
        </w:rPr>
        <w:t xml:space="preserve"> 2(1), pp. 5-17. </w:t>
      </w:r>
    </w:p>
    <w:p w14:paraId="5A523221" w14:textId="77777777" w:rsidR="00390F3A" w:rsidRPr="00390F3A" w:rsidRDefault="00390F3A" w:rsidP="00390F3A">
      <w:pPr>
        <w:spacing w:line="480" w:lineRule="auto"/>
        <w:rPr>
          <w:rFonts w:ascii="Arial" w:hAnsi="Arial" w:cs="Arial"/>
          <w:color w:val="000000" w:themeColor="text1"/>
        </w:rPr>
      </w:pPr>
    </w:p>
    <w:p w14:paraId="1E5A112E"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lastRenderedPageBreak/>
        <w:t xml:space="preserve">Eitle, D., Gunkel, S. and Van Gundy, K. (2004) ‘Cumulative exposure to stressful life events and male gang membership’, </w:t>
      </w:r>
      <w:r w:rsidRPr="00390F3A">
        <w:rPr>
          <w:rFonts w:ascii="Arial" w:hAnsi="Arial" w:cs="Arial"/>
          <w:i/>
          <w:iCs/>
          <w:color w:val="000000" w:themeColor="text1"/>
        </w:rPr>
        <w:t>Journal of Criminal Justice,</w:t>
      </w:r>
      <w:r w:rsidRPr="00390F3A">
        <w:rPr>
          <w:rFonts w:ascii="Arial" w:hAnsi="Arial" w:cs="Arial"/>
          <w:color w:val="000000" w:themeColor="text1"/>
        </w:rPr>
        <w:t xml:space="preserve"> 32(2), pp. 95–111. Available at: </w:t>
      </w:r>
      <w:hyperlink r:id="rId16" w:history="1">
        <w:r w:rsidRPr="00390F3A">
          <w:rPr>
            <w:rStyle w:val="Hyperlink"/>
            <w:rFonts w:ascii="Arial" w:hAnsi="Arial" w:cs="Arial"/>
            <w:color w:val="000000" w:themeColor="text1"/>
            <w:u w:val="none"/>
          </w:rPr>
          <w:t>https://doi.org/10.1016/j.jcrimjus.2003.12.001</w:t>
        </w:r>
      </w:hyperlink>
    </w:p>
    <w:p w14:paraId="0051C87D" w14:textId="77777777" w:rsidR="00390F3A" w:rsidRPr="00390F3A" w:rsidRDefault="00390F3A" w:rsidP="00390F3A">
      <w:pPr>
        <w:spacing w:line="480" w:lineRule="auto"/>
        <w:rPr>
          <w:rFonts w:ascii="Arial" w:hAnsi="Arial" w:cs="Arial"/>
          <w:color w:val="000000" w:themeColor="text1"/>
        </w:rPr>
      </w:pPr>
    </w:p>
    <w:p w14:paraId="5C850E6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Elaad, E. (2022) ‘Tunnel Vision and Confirmation Bias Among Police Investigators and Laypeople in Hypothetical Criminal Contexts’, </w:t>
      </w:r>
      <w:r w:rsidRPr="00390F3A">
        <w:rPr>
          <w:rFonts w:ascii="Arial" w:hAnsi="Arial" w:cs="Arial"/>
          <w:i/>
          <w:iCs/>
          <w:color w:val="000000" w:themeColor="text1"/>
        </w:rPr>
        <w:t>SAGE Open</w:t>
      </w:r>
      <w:r w:rsidRPr="00390F3A">
        <w:rPr>
          <w:rFonts w:ascii="Arial" w:hAnsi="Arial" w:cs="Arial"/>
          <w:color w:val="000000" w:themeColor="text1"/>
        </w:rPr>
        <w:t xml:space="preserve">, 12(2). Available at:  </w:t>
      </w:r>
      <w:hyperlink r:id="rId17" w:history="1">
        <w:r w:rsidRPr="00390F3A">
          <w:rPr>
            <w:rStyle w:val="Hyperlink"/>
            <w:rFonts w:ascii="Arial" w:hAnsi="Arial" w:cs="Arial"/>
            <w:color w:val="000000" w:themeColor="text1"/>
            <w:u w:val="none"/>
          </w:rPr>
          <w:t>https://doi.org/10.1177/21582440221095022</w:t>
        </w:r>
      </w:hyperlink>
    </w:p>
    <w:p w14:paraId="778702C0" w14:textId="77777777" w:rsidR="00390F3A" w:rsidRPr="00390F3A" w:rsidRDefault="00390F3A" w:rsidP="00390F3A">
      <w:pPr>
        <w:spacing w:line="480" w:lineRule="auto"/>
        <w:rPr>
          <w:rFonts w:ascii="Arial" w:hAnsi="Arial" w:cs="Arial"/>
          <w:color w:val="000000" w:themeColor="text1"/>
        </w:rPr>
      </w:pPr>
    </w:p>
    <w:p w14:paraId="11816CD9"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Fielding, M. and Jones, V. (2012) ‘Disrupting the optimal forager’: predictive risk mapping and domestic burglary reduction in Trafford, Greater Manchester’, </w:t>
      </w:r>
      <w:r w:rsidRPr="00390F3A">
        <w:rPr>
          <w:rFonts w:ascii="Arial" w:hAnsi="Arial" w:cs="Arial"/>
          <w:i/>
          <w:iCs/>
          <w:color w:val="000000" w:themeColor="text1"/>
        </w:rPr>
        <w:t>International Journal of Police Science &amp; Management,</w:t>
      </w:r>
      <w:r w:rsidRPr="00390F3A">
        <w:rPr>
          <w:rFonts w:ascii="Arial" w:hAnsi="Arial" w:cs="Arial"/>
          <w:color w:val="000000" w:themeColor="text1"/>
        </w:rPr>
        <w:t xml:space="preserve"> 14(1), pp. 30-41. Available at: </w:t>
      </w:r>
      <w:hyperlink r:id="rId18" w:history="1">
        <w:r w:rsidRPr="00390F3A">
          <w:rPr>
            <w:rStyle w:val="Hyperlink"/>
            <w:rFonts w:ascii="Arial" w:hAnsi="Arial" w:cs="Arial"/>
            <w:color w:val="000000" w:themeColor="text1"/>
            <w:u w:val="none"/>
          </w:rPr>
          <w:t>https://doi.org/10.1350/ijps.2012.14.1.260</w:t>
        </w:r>
      </w:hyperlink>
    </w:p>
    <w:p w14:paraId="2D39864B" w14:textId="77777777" w:rsidR="00390F3A" w:rsidRPr="00390F3A" w:rsidRDefault="00390F3A" w:rsidP="00390F3A">
      <w:pPr>
        <w:spacing w:line="480" w:lineRule="auto"/>
        <w:rPr>
          <w:rFonts w:ascii="Arial" w:hAnsi="Arial" w:cs="Arial"/>
          <w:color w:val="000000" w:themeColor="text1"/>
        </w:rPr>
      </w:pPr>
    </w:p>
    <w:p w14:paraId="12E1AD56"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Garbarino, J. (2001) ‘An ecological perspective on the effects of violence on children’, </w:t>
      </w:r>
      <w:r w:rsidRPr="00390F3A">
        <w:rPr>
          <w:rFonts w:ascii="Arial" w:hAnsi="Arial" w:cs="Arial"/>
          <w:i/>
          <w:iCs/>
          <w:color w:val="000000" w:themeColor="text1"/>
        </w:rPr>
        <w:t>Journal of Community Psychology,</w:t>
      </w:r>
      <w:r w:rsidRPr="00390F3A">
        <w:rPr>
          <w:rFonts w:ascii="Arial" w:hAnsi="Arial" w:cs="Arial"/>
          <w:color w:val="000000" w:themeColor="text1"/>
        </w:rPr>
        <w:t xml:space="preserve"> 29(3), pp. 361–378. Available at: </w:t>
      </w:r>
      <w:hyperlink r:id="rId19" w:history="1">
        <w:r w:rsidRPr="00390F3A">
          <w:rPr>
            <w:rStyle w:val="Hyperlink"/>
            <w:rFonts w:ascii="Arial" w:hAnsi="Arial" w:cs="Arial"/>
            <w:color w:val="000000" w:themeColor="text1"/>
            <w:u w:val="none"/>
          </w:rPr>
          <w:t>https://doi.org/10.1002/jcop.1022</w:t>
        </w:r>
      </w:hyperlink>
    </w:p>
    <w:p w14:paraId="76C377A8" w14:textId="77777777" w:rsidR="00390F3A" w:rsidRPr="00390F3A" w:rsidRDefault="00390F3A" w:rsidP="00390F3A">
      <w:pPr>
        <w:spacing w:line="480" w:lineRule="auto"/>
        <w:rPr>
          <w:rFonts w:ascii="Arial" w:hAnsi="Arial" w:cs="Arial"/>
          <w:color w:val="000000" w:themeColor="text1"/>
        </w:rPr>
      </w:pPr>
    </w:p>
    <w:p w14:paraId="43D269CF"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Gendrot, S. B. (2001) ‘The politics of urban crime’, </w:t>
      </w:r>
      <w:r w:rsidRPr="00390F3A">
        <w:rPr>
          <w:rFonts w:ascii="Arial" w:hAnsi="Arial" w:cs="Arial"/>
          <w:i/>
          <w:iCs/>
          <w:color w:val="000000" w:themeColor="text1"/>
        </w:rPr>
        <w:t>Urban Studies</w:t>
      </w:r>
      <w:r w:rsidRPr="00390F3A">
        <w:rPr>
          <w:rFonts w:ascii="Arial" w:hAnsi="Arial" w:cs="Arial"/>
          <w:color w:val="000000" w:themeColor="text1"/>
        </w:rPr>
        <w:t xml:space="preserve">, 38(5). Available at: </w:t>
      </w:r>
      <w:hyperlink r:id="rId20" w:history="1">
        <w:r w:rsidRPr="00390F3A">
          <w:rPr>
            <w:rStyle w:val="Hyperlink"/>
            <w:rFonts w:ascii="Arial" w:hAnsi="Arial" w:cs="Arial"/>
            <w:color w:val="000000" w:themeColor="text1"/>
            <w:u w:val="none"/>
          </w:rPr>
          <w:t>https://doi.org/10.1080/00420980125533</w:t>
        </w:r>
      </w:hyperlink>
    </w:p>
    <w:p w14:paraId="7A31F4C0" w14:textId="77777777" w:rsidR="00390F3A" w:rsidRPr="00390F3A" w:rsidRDefault="00390F3A" w:rsidP="00390F3A">
      <w:pPr>
        <w:spacing w:line="480" w:lineRule="auto"/>
        <w:rPr>
          <w:rFonts w:ascii="Arial" w:hAnsi="Arial" w:cs="Arial"/>
          <w:color w:val="000000" w:themeColor="text1"/>
        </w:rPr>
      </w:pPr>
    </w:p>
    <w:p w14:paraId="69875FAF"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Glaser, J. (2015) </w:t>
      </w:r>
      <w:r w:rsidRPr="00390F3A">
        <w:rPr>
          <w:rFonts w:ascii="Arial" w:hAnsi="Arial" w:cs="Arial"/>
          <w:i/>
          <w:iCs/>
          <w:color w:val="000000" w:themeColor="text1"/>
        </w:rPr>
        <w:t>Suspect race: Causes and consequences of racial profiling.</w:t>
      </w:r>
      <w:r w:rsidRPr="00390F3A">
        <w:rPr>
          <w:rFonts w:ascii="Arial" w:hAnsi="Arial" w:cs="Arial"/>
          <w:color w:val="000000" w:themeColor="text1"/>
        </w:rPr>
        <w:t xml:space="preserve"> Oxford University Press: USA.</w:t>
      </w:r>
    </w:p>
    <w:p w14:paraId="096EB92F" w14:textId="77777777" w:rsidR="00390F3A" w:rsidRPr="00390F3A" w:rsidRDefault="00390F3A" w:rsidP="00390F3A">
      <w:pPr>
        <w:spacing w:line="480" w:lineRule="auto"/>
        <w:rPr>
          <w:rFonts w:ascii="Arial" w:hAnsi="Arial" w:cs="Arial"/>
          <w:color w:val="000000" w:themeColor="text1"/>
        </w:rPr>
      </w:pPr>
    </w:p>
    <w:p w14:paraId="77C2F62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lastRenderedPageBreak/>
        <w:t xml:space="preserve">GOV (2023) </w:t>
      </w:r>
      <w:r w:rsidRPr="00390F3A">
        <w:rPr>
          <w:rFonts w:ascii="Arial" w:hAnsi="Arial" w:cs="Arial"/>
          <w:i/>
          <w:iCs/>
          <w:color w:val="000000" w:themeColor="text1"/>
        </w:rPr>
        <w:t>Government announces crackdown against organised criminal gangs.</w:t>
      </w:r>
      <w:r w:rsidRPr="00390F3A">
        <w:rPr>
          <w:rFonts w:ascii="Arial" w:hAnsi="Arial" w:cs="Arial"/>
          <w:color w:val="000000" w:themeColor="text1"/>
        </w:rPr>
        <w:t xml:space="preserve"> Available at: https://www.gov.uk/government/news/government-announces-crackdown-against-organised-criminal-gangs (Accessed 17 May 2023).</w:t>
      </w:r>
    </w:p>
    <w:p w14:paraId="0D6AD55F" w14:textId="77777777" w:rsidR="00390F3A" w:rsidRPr="00390F3A" w:rsidRDefault="00390F3A" w:rsidP="00390F3A">
      <w:pPr>
        <w:spacing w:line="480" w:lineRule="auto"/>
        <w:rPr>
          <w:rFonts w:ascii="Arial" w:hAnsi="Arial" w:cs="Arial"/>
          <w:color w:val="000000" w:themeColor="text1"/>
        </w:rPr>
      </w:pPr>
    </w:p>
    <w:p w14:paraId="568859D4"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Heimer, K. (1997) ‘Socioeconomic status, subcultural definitions, and violent delinquency’, </w:t>
      </w:r>
      <w:r w:rsidRPr="00390F3A">
        <w:rPr>
          <w:rFonts w:ascii="Arial" w:hAnsi="Arial" w:cs="Arial"/>
          <w:i/>
          <w:iCs/>
          <w:color w:val="000000" w:themeColor="text1"/>
        </w:rPr>
        <w:t>Social Forces</w:t>
      </w:r>
      <w:r w:rsidRPr="00390F3A">
        <w:rPr>
          <w:rFonts w:ascii="Arial" w:hAnsi="Arial" w:cs="Arial"/>
          <w:color w:val="000000" w:themeColor="text1"/>
        </w:rPr>
        <w:t xml:space="preserve">, 75(3) pp. 799–833. Available at: </w:t>
      </w:r>
      <w:hyperlink r:id="rId21" w:history="1">
        <w:r w:rsidRPr="00390F3A">
          <w:rPr>
            <w:rStyle w:val="Hyperlink"/>
            <w:rFonts w:ascii="Arial" w:hAnsi="Arial" w:cs="Arial"/>
            <w:color w:val="000000" w:themeColor="text1"/>
            <w:u w:val="none"/>
          </w:rPr>
          <w:t>https://doi.org/10.2307/2580520</w:t>
        </w:r>
      </w:hyperlink>
    </w:p>
    <w:p w14:paraId="47EAFC52" w14:textId="77777777" w:rsidR="00390F3A" w:rsidRPr="00390F3A" w:rsidRDefault="00390F3A" w:rsidP="00390F3A">
      <w:pPr>
        <w:spacing w:line="480" w:lineRule="auto"/>
        <w:rPr>
          <w:rFonts w:ascii="Arial" w:hAnsi="Arial" w:cs="Arial"/>
          <w:color w:val="000000" w:themeColor="text1"/>
        </w:rPr>
      </w:pPr>
    </w:p>
    <w:p w14:paraId="1CDEBB9E"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Jackson, J. and Bradford, B. (2010) ‘What is Trust and Confidence in the Police?’, Policing: </w:t>
      </w:r>
      <w:r w:rsidRPr="00390F3A">
        <w:rPr>
          <w:rFonts w:ascii="Arial" w:hAnsi="Arial" w:cs="Arial"/>
          <w:i/>
          <w:iCs/>
          <w:color w:val="000000" w:themeColor="text1"/>
        </w:rPr>
        <w:t>A Journal of Policy and Practice</w:t>
      </w:r>
      <w:r w:rsidRPr="00390F3A">
        <w:rPr>
          <w:rFonts w:ascii="Arial" w:hAnsi="Arial" w:cs="Arial"/>
          <w:color w:val="000000" w:themeColor="text1"/>
        </w:rPr>
        <w:t xml:space="preserve">, 4(3), pp. 241-248. Available at: </w:t>
      </w:r>
      <w:hyperlink r:id="rId22" w:history="1">
        <w:r w:rsidRPr="00390F3A">
          <w:rPr>
            <w:rStyle w:val="Hyperlink"/>
            <w:rFonts w:ascii="Arial" w:hAnsi="Arial" w:cs="Arial"/>
            <w:color w:val="000000" w:themeColor="text1"/>
            <w:u w:val="none"/>
          </w:rPr>
          <w:t>https://doi.org/10.1093/police/paq020</w:t>
        </w:r>
      </w:hyperlink>
    </w:p>
    <w:p w14:paraId="27D07078" w14:textId="77777777" w:rsidR="00390F3A" w:rsidRPr="00390F3A" w:rsidRDefault="00390F3A" w:rsidP="00390F3A">
      <w:pPr>
        <w:spacing w:line="480" w:lineRule="auto"/>
        <w:rPr>
          <w:rFonts w:ascii="Arial" w:hAnsi="Arial" w:cs="Arial"/>
          <w:color w:val="000000" w:themeColor="text1"/>
        </w:rPr>
      </w:pPr>
    </w:p>
    <w:p w14:paraId="02777DC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Johnson, S.D. </w:t>
      </w:r>
      <w:r w:rsidRPr="00390F3A">
        <w:rPr>
          <w:rFonts w:ascii="Arial" w:hAnsi="Arial" w:cs="Arial"/>
          <w:i/>
          <w:iCs/>
          <w:color w:val="000000" w:themeColor="text1"/>
        </w:rPr>
        <w:t>et al</w:t>
      </w:r>
      <w:r w:rsidRPr="00390F3A">
        <w:rPr>
          <w:rFonts w:ascii="Arial" w:hAnsi="Arial" w:cs="Arial"/>
          <w:color w:val="000000" w:themeColor="text1"/>
        </w:rPr>
        <w:t xml:space="preserve">. (2009) </w:t>
      </w:r>
      <w:r w:rsidRPr="00390F3A">
        <w:rPr>
          <w:rFonts w:ascii="Arial" w:hAnsi="Arial" w:cs="Arial"/>
          <w:i/>
          <w:iCs/>
          <w:color w:val="000000" w:themeColor="text1"/>
        </w:rPr>
        <w:t xml:space="preserve">Predictive mapping of crime by </w:t>
      </w:r>
      <w:proofErr w:type="spellStart"/>
      <w:r w:rsidRPr="00390F3A">
        <w:rPr>
          <w:rFonts w:ascii="Arial" w:hAnsi="Arial" w:cs="Arial"/>
          <w:i/>
          <w:iCs/>
          <w:color w:val="000000" w:themeColor="text1"/>
        </w:rPr>
        <w:t>ProMap</w:t>
      </w:r>
      <w:proofErr w:type="spellEnd"/>
      <w:r w:rsidRPr="00390F3A">
        <w:rPr>
          <w:rFonts w:ascii="Arial" w:hAnsi="Arial" w:cs="Arial"/>
          <w:i/>
          <w:iCs/>
          <w:color w:val="000000" w:themeColor="text1"/>
        </w:rPr>
        <w:t>: accuracy, units of analysis, and the environmental backcloth</w:t>
      </w:r>
      <w:r w:rsidRPr="00390F3A">
        <w:rPr>
          <w:rFonts w:ascii="Arial" w:hAnsi="Arial" w:cs="Arial"/>
          <w:color w:val="000000" w:themeColor="text1"/>
        </w:rPr>
        <w:t>. New York, NY: Springer.</w:t>
      </w:r>
    </w:p>
    <w:p w14:paraId="3D219230" w14:textId="77777777" w:rsidR="00390F3A" w:rsidRPr="00390F3A" w:rsidRDefault="00390F3A" w:rsidP="00390F3A">
      <w:pPr>
        <w:spacing w:line="480" w:lineRule="auto"/>
        <w:rPr>
          <w:rFonts w:ascii="Arial" w:hAnsi="Arial" w:cs="Arial"/>
          <w:color w:val="000000" w:themeColor="text1"/>
        </w:rPr>
      </w:pPr>
    </w:p>
    <w:p w14:paraId="4BF2132E"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Lahey, B.B. </w:t>
      </w:r>
      <w:r w:rsidRPr="00390F3A">
        <w:rPr>
          <w:rFonts w:ascii="Arial" w:hAnsi="Arial" w:cs="Arial"/>
          <w:i/>
          <w:iCs/>
          <w:color w:val="000000" w:themeColor="text1"/>
        </w:rPr>
        <w:t>et al.</w:t>
      </w:r>
      <w:r w:rsidRPr="00390F3A">
        <w:rPr>
          <w:rFonts w:ascii="Arial" w:hAnsi="Arial" w:cs="Arial"/>
          <w:color w:val="000000" w:themeColor="text1"/>
        </w:rPr>
        <w:t xml:space="preserve"> (1999) ‘Boys Who Join Gangs: A Prospective Study of Predictors of First Gang Entry’, </w:t>
      </w:r>
      <w:r w:rsidRPr="00390F3A">
        <w:rPr>
          <w:rFonts w:ascii="Arial" w:hAnsi="Arial" w:cs="Arial"/>
          <w:i/>
          <w:iCs/>
          <w:color w:val="000000" w:themeColor="text1"/>
        </w:rPr>
        <w:t>Journal of Abnormal Child Psychology</w:t>
      </w:r>
      <w:r w:rsidRPr="00390F3A">
        <w:rPr>
          <w:rFonts w:ascii="Arial" w:hAnsi="Arial" w:cs="Arial"/>
          <w:color w:val="000000" w:themeColor="text1"/>
        </w:rPr>
        <w:t xml:space="preserve">, 27(4), pp. 261–276. Available at: </w:t>
      </w:r>
      <w:hyperlink r:id="rId23" w:history="1">
        <w:r w:rsidRPr="00390F3A">
          <w:rPr>
            <w:rStyle w:val="Hyperlink"/>
            <w:rFonts w:ascii="Arial" w:hAnsi="Arial" w:cs="Arial"/>
            <w:color w:val="000000" w:themeColor="text1"/>
            <w:u w:val="none"/>
          </w:rPr>
          <w:t>https://doi.org/10.1023/B:JACP.0000039775.83318.57</w:t>
        </w:r>
      </w:hyperlink>
    </w:p>
    <w:p w14:paraId="20D6B117" w14:textId="77777777" w:rsidR="00390F3A" w:rsidRPr="00390F3A" w:rsidRDefault="00390F3A" w:rsidP="00390F3A">
      <w:pPr>
        <w:spacing w:line="480" w:lineRule="auto"/>
        <w:rPr>
          <w:rFonts w:ascii="Arial" w:hAnsi="Arial" w:cs="Arial"/>
          <w:color w:val="000000" w:themeColor="text1"/>
        </w:rPr>
      </w:pPr>
    </w:p>
    <w:p w14:paraId="67548FFA"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Lee, M.R. and Earnest, T.L. (2003) ‘Perceived community cohesion and perceived risk of victimization: A cross-national analysis’, </w:t>
      </w:r>
      <w:r w:rsidRPr="00390F3A">
        <w:rPr>
          <w:rFonts w:ascii="Arial" w:hAnsi="Arial" w:cs="Arial"/>
          <w:i/>
          <w:iCs/>
          <w:color w:val="000000" w:themeColor="text1"/>
        </w:rPr>
        <w:t>Justice Quarterly</w:t>
      </w:r>
      <w:r w:rsidRPr="00390F3A">
        <w:rPr>
          <w:rFonts w:ascii="Arial" w:hAnsi="Arial" w:cs="Arial"/>
          <w:color w:val="000000" w:themeColor="text1"/>
        </w:rPr>
        <w:t xml:space="preserve">, 20(1), pp. 131-157. Available at: </w:t>
      </w:r>
      <w:hyperlink r:id="rId24" w:history="1">
        <w:r w:rsidRPr="00390F3A">
          <w:rPr>
            <w:rStyle w:val="Hyperlink"/>
            <w:rFonts w:ascii="Arial" w:hAnsi="Arial" w:cs="Arial"/>
            <w:color w:val="000000" w:themeColor="text1"/>
            <w:u w:val="none"/>
          </w:rPr>
          <w:t>https://doi.org/10.1080/07418820300095481</w:t>
        </w:r>
      </w:hyperlink>
    </w:p>
    <w:p w14:paraId="322454BF" w14:textId="77777777" w:rsidR="00390F3A" w:rsidRPr="00390F3A" w:rsidRDefault="00390F3A" w:rsidP="00390F3A">
      <w:pPr>
        <w:spacing w:line="480" w:lineRule="auto"/>
        <w:rPr>
          <w:rFonts w:ascii="Arial" w:hAnsi="Arial" w:cs="Arial"/>
          <w:color w:val="000000" w:themeColor="text1"/>
        </w:rPr>
      </w:pPr>
    </w:p>
    <w:p w14:paraId="36D3DE95"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lastRenderedPageBreak/>
        <w:t>Lev</w:t>
      </w:r>
      <w:r w:rsidRPr="00390F3A">
        <w:rPr>
          <w:rFonts w:ascii="Cambria Math" w:hAnsi="Cambria Math" w:cs="Cambria Math"/>
          <w:color w:val="000000" w:themeColor="text1"/>
        </w:rPr>
        <w:t>‐</w:t>
      </w:r>
      <w:r w:rsidRPr="00390F3A">
        <w:rPr>
          <w:rFonts w:ascii="Arial" w:hAnsi="Arial" w:cs="Arial"/>
          <w:color w:val="000000" w:themeColor="text1"/>
        </w:rPr>
        <w:t xml:space="preserve">Wiesel, R. (2003) ‘Indicators constituting the construct of perceived community cohesion’, </w:t>
      </w:r>
      <w:r w:rsidRPr="00390F3A">
        <w:rPr>
          <w:rFonts w:ascii="Arial" w:hAnsi="Arial" w:cs="Arial"/>
          <w:i/>
          <w:iCs/>
          <w:color w:val="000000" w:themeColor="text1"/>
        </w:rPr>
        <w:t>Community Development Journal</w:t>
      </w:r>
      <w:r w:rsidRPr="00390F3A">
        <w:rPr>
          <w:rFonts w:ascii="Arial" w:hAnsi="Arial" w:cs="Arial"/>
          <w:color w:val="000000" w:themeColor="text1"/>
        </w:rPr>
        <w:t xml:space="preserve">, 38(4), pp. 332-343. Available at: </w:t>
      </w:r>
      <w:hyperlink r:id="rId25" w:history="1">
        <w:r w:rsidRPr="00390F3A">
          <w:rPr>
            <w:rStyle w:val="Hyperlink"/>
            <w:rFonts w:ascii="Arial" w:hAnsi="Arial" w:cs="Arial"/>
            <w:color w:val="000000" w:themeColor="text1"/>
            <w:u w:val="none"/>
          </w:rPr>
          <w:t>https://doi.org/10.1093/cdj/38.4.332</w:t>
        </w:r>
      </w:hyperlink>
    </w:p>
    <w:p w14:paraId="790EC0A2" w14:textId="77777777" w:rsidR="00390F3A" w:rsidRPr="00390F3A" w:rsidRDefault="00390F3A" w:rsidP="00390F3A">
      <w:pPr>
        <w:spacing w:line="480" w:lineRule="auto"/>
        <w:rPr>
          <w:rFonts w:ascii="Arial" w:hAnsi="Arial" w:cs="Arial"/>
          <w:color w:val="000000" w:themeColor="text1"/>
        </w:rPr>
      </w:pPr>
    </w:p>
    <w:p w14:paraId="46010422"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Maguire, M. (2004) ‘The Crime Reduction Programme in England and Wales: Reflections on the vision and the reality’, </w:t>
      </w:r>
      <w:r w:rsidRPr="00390F3A">
        <w:rPr>
          <w:rFonts w:ascii="Arial" w:hAnsi="Arial" w:cs="Arial"/>
          <w:i/>
          <w:iCs/>
          <w:color w:val="000000" w:themeColor="text1"/>
        </w:rPr>
        <w:t>Criminal Justice,</w:t>
      </w:r>
      <w:r w:rsidRPr="00390F3A">
        <w:rPr>
          <w:rFonts w:ascii="Arial" w:hAnsi="Arial" w:cs="Arial"/>
          <w:color w:val="000000" w:themeColor="text1"/>
        </w:rPr>
        <w:t xml:space="preserve"> 4(3), pp. 213-237. Available at: </w:t>
      </w:r>
      <w:hyperlink r:id="rId26" w:history="1">
        <w:r w:rsidRPr="00390F3A">
          <w:rPr>
            <w:rStyle w:val="Hyperlink"/>
            <w:rFonts w:ascii="Arial" w:hAnsi="Arial" w:cs="Arial"/>
            <w:color w:val="000000" w:themeColor="text1"/>
            <w:u w:val="none"/>
          </w:rPr>
          <w:t>https://doi.org/10.1177/1466802504048463</w:t>
        </w:r>
      </w:hyperlink>
    </w:p>
    <w:p w14:paraId="30085ACE" w14:textId="77777777" w:rsidR="00390F3A" w:rsidRPr="00390F3A" w:rsidRDefault="00390F3A" w:rsidP="00390F3A">
      <w:pPr>
        <w:spacing w:line="480" w:lineRule="auto"/>
        <w:rPr>
          <w:rFonts w:ascii="Arial" w:hAnsi="Arial" w:cs="Arial"/>
          <w:color w:val="000000" w:themeColor="text1"/>
        </w:rPr>
      </w:pPr>
    </w:p>
    <w:p w14:paraId="4B904B21"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Maguire, M. and Bennett, T. (1982) </w:t>
      </w:r>
      <w:r w:rsidRPr="00390F3A">
        <w:rPr>
          <w:rFonts w:ascii="Arial" w:hAnsi="Arial" w:cs="Arial"/>
          <w:i/>
          <w:iCs/>
          <w:color w:val="000000" w:themeColor="text1"/>
        </w:rPr>
        <w:t>Burglary in a dwelling: the offence, the offender and the victim</w:t>
      </w:r>
      <w:r w:rsidRPr="00390F3A">
        <w:rPr>
          <w:rFonts w:ascii="Arial" w:hAnsi="Arial" w:cs="Arial"/>
          <w:color w:val="000000" w:themeColor="text1"/>
        </w:rPr>
        <w:t>. London: Heinemann.</w:t>
      </w:r>
    </w:p>
    <w:p w14:paraId="799F16F6" w14:textId="77777777" w:rsidR="00390F3A" w:rsidRPr="00390F3A" w:rsidRDefault="00390F3A" w:rsidP="00390F3A">
      <w:pPr>
        <w:spacing w:line="480" w:lineRule="auto"/>
        <w:rPr>
          <w:rFonts w:ascii="Arial" w:hAnsi="Arial" w:cs="Arial"/>
          <w:color w:val="000000" w:themeColor="text1"/>
        </w:rPr>
      </w:pPr>
    </w:p>
    <w:p w14:paraId="6740E3BC"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Maynard, D. W. and Schelly, D. (2017) ‘Tunnel vision in a murder case: Telephone interaction between police detectives and the prime suspect’, </w:t>
      </w:r>
      <w:r w:rsidRPr="00390F3A">
        <w:rPr>
          <w:rFonts w:ascii="Arial" w:hAnsi="Arial" w:cs="Arial"/>
          <w:i/>
          <w:iCs/>
          <w:color w:val="000000" w:themeColor="text1"/>
        </w:rPr>
        <w:t>Discourse Studies</w:t>
      </w:r>
      <w:r w:rsidRPr="00390F3A">
        <w:rPr>
          <w:rFonts w:ascii="Arial" w:hAnsi="Arial" w:cs="Arial"/>
          <w:color w:val="000000" w:themeColor="text1"/>
        </w:rPr>
        <w:t xml:space="preserve">, 19(2), pp. 169–195. Available at: </w:t>
      </w:r>
      <w:hyperlink r:id="rId27" w:history="1">
        <w:r w:rsidRPr="00390F3A">
          <w:rPr>
            <w:rStyle w:val="Hyperlink"/>
            <w:rFonts w:ascii="Arial" w:hAnsi="Arial" w:cs="Arial"/>
            <w:color w:val="000000" w:themeColor="text1"/>
            <w:u w:val="none"/>
          </w:rPr>
          <w:t>https://doi.org/10.1177/1461445617691703</w:t>
        </w:r>
      </w:hyperlink>
    </w:p>
    <w:p w14:paraId="3F6D939D" w14:textId="77777777" w:rsidR="00390F3A" w:rsidRPr="00390F3A" w:rsidRDefault="00390F3A" w:rsidP="00390F3A">
      <w:pPr>
        <w:spacing w:line="480" w:lineRule="auto"/>
        <w:rPr>
          <w:rFonts w:ascii="Arial" w:hAnsi="Arial" w:cs="Arial"/>
          <w:color w:val="000000" w:themeColor="text1"/>
        </w:rPr>
      </w:pPr>
    </w:p>
    <w:p w14:paraId="69C4D296"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McDaniel, D.D. (2012) ‘Risk and protective factors associated with gang affiliation among high-risk youth: a public health approach’, </w:t>
      </w:r>
      <w:r w:rsidRPr="00390F3A">
        <w:rPr>
          <w:rFonts w:ascii="Arial" w:hAnsi="Arial" w:cs="Arial"/>
          <w:i/>
          <w:iCs/>
          <w:color w:val="000000" w:themeColor="text1"/>
        </w:rPr>
        <w:t>Injury Prevention</w:t>
      </w:r>
      <w:r w:rsidRPr="00390F3A">
        <w:rPr>
          <w:rFonts w:ascii="Arial" w:hAnsi="Arial" w:cs="Arial"/>
          <w:color w:val="000000" w:themeColor="text1"/>
        </w:rPr>
        <w:t xml:space="preserve">, 18(4), pp. 253-258. Available at: </w:t>
      </w:r>
      <w:hyperlink r:id="rId28" w:history="1">
        <w:r w:rsidRPr="00390F3A">
          <w:rPr>
            <w:rStyle w:val="Hyperlink"/>
            <w:rFonts w:ascii="Arial" w:hAnsi="Arial" w:cs="Arial"/>
            <w:color w:val="000000" w:themeColor="text1"/>
            <w:u w:val="none"/>
          </w:rPr>
          <w:t>https://doi.org/10.1136/injuryprev-2011-040083</w:t>
        </w:r>
      </w:hyperlink>
    </w:p>
    <w:p w14:paraId="3ECFBB8E" w14:textId="77777777" w:rsidR="00390F3A" w:rsidRPr="00390F3A" w:rsidRDefault="00390F3A" w:rsidP="00390F3A">
      <w:pPr>
        <w:spacing w:line="480" w:lineRule="auto"/>
        <w:rPr>
          <w:rFonts w:ascii="Arial" w:hAnsi="Arial" w:cs="Arial"/>
          <w:color w:val="000000" w:themeColor="text1"/>
        </w:rPr>
      </w:pPr>
    </w:p>
    <w:p w14:paraId="425B021D"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McGhee, D. (2003) ‘Moving to ‘Our’ Common Ground – a Critical Examination of Community Cohesion Discourse in Twenty-First Century Britain’, </w:t>
      </w:r>
      <w:r w:rsidRPr="00390F3A">
        <w:rPr>
          <w:rFonts w:ascii="Arial" w:hAnsi="Arial" w:cs="Arial"/>
          <w:i/>
          <w:iCs/>
          <w:color w:val="000000" w:themeColor="text1"/>
        </w:rPr>
        <w:t xml:space="preserve">The Sociological Review, </w:t>
      </w:r>
      <w:r w:rsidRPr="00390F3A">
        <w:rPr>
          <w:rFonts w:ascii="Arial" w:hAnsi="Arial" w:cs="Arial"/>
          <w:color w:val="000000" w:themeColor="text1"/>
        </w:rPr>
        <w:t xml:space="preserve">51(3), pp. 376–404. Available at: </w:t>
      </w:r>
      <w:hyperlink r:id="rId29" w:history="1">
        <w:r w:rsidRPr="00390F3A">
          <w:rPr>
            <w:rStyle w:val="Hyperlink"/>
            <w:rFonts w:ascii="Arial" w:hAnsi="Arial" w:cs="Arial"/>
            <w:color w:val="000000" w:themeColor="text1"/>
            <w:u w:val="none"/>
          </w:rPr>
          <w:t>https://doi.org/10.1111/1467-954X.00426</w:t>
        </w:r>
      </w:hyperlink>
    </w:p>
    <w:p w14:paraId="386CEFF9" w14:textId="77777777" w:rsidR="00390F3A" w:rsidRPr="00390F3A" w:rsidRDefault="00390F3A" w:rsidP="00390F3A">
      <w:pPr>
        <w:spacing w:line="480" w:lineRule="auto"/>
        <w:rPr>
          <w:rFonts w:ascii="Arial" w:hAnsi="Arial" w:cs="Arial"/>
          <w:color w:val="000000" w:themeColor="text1"/>
        </w:rPr>
      </w:pPr>
    </w:p>
    <w:p w14:paraId="463EEA5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lastRenderedPageBreak/>
        <w:t xml:space="preserve">Merrick, M.T. </w:t>
      </w:r>
      <w:r w:rsidRPr="00390F3A">
        <w:rPr>
          <w:rFonts w:ascii="Arial" w:hAnsi="Arial" w:cs="Arial"/>
          <w:i/>
          <w:iCs/>
          <w:color w:val="000000" w:themeColor="text1"/>
        </w:rPr>
        <w:t>et al.</w:t>
      </w:r>
      <w:r w:rsidRPr="00390F3A">
        <w:rPr>
          <w:rFonts w:ascii="Arial" w:hAnsi="Arial" w:cs="Arial"/>
          <w:color w:val="000000" w:themeColor="text1"/>
        </w:rPr>
        <w:t xml:space="preserve"> (2017) ‘Unpacking the impact of adverse childhood experiences on adult mental health’, </w:t>
      </w:r>
      <w:r w:rsidRPr="00390F3A">
        <w:rPr>
          <w:rFonts w:ascii="Arial" w:hAnsi="Arial" w:cs="Arial"/>
          <w:i/>
          <w:iCs/>
          <w:color w:val="000000" w:themeColor="text1"/>
        </w:rPr>
        <w:t>Child Abuse and Neglect,</w:t>
      </w:r>
      <w:r w:rsidRPr="00390F3A">
        <w:rPr>
          <w:rFonts w:ascii="Arial" w:hAnsi="Arial" w:cs="Arial"/>
          <w:color w:val="000000" w:themeColor="text1"/>
        </w:rPr>
        <w:t xml:space="preserve"> 69, pp. 10-19. Available at: </w:t>
      </w:r>
      <w:hyperlink r:id="rId30" w:history="1">
        <w:r w:rsidRPr="00390F3A">
          <w:rPr>
            <w:rStyle w:val="Hyperlink"/>
            <w:rFonts w:ascii="Arial" w:hAnsi="Arial" w:cs="Arial"/>
            <w:color w:val="000000" w:themeColor="text1"/>
            <w:u w:val="none"/>
          </w:rPr>
          <w:t>https://doi.org/10.1016/j.chiabu.2017.03.016</w:t>
        </w:r>
      </w:hyperlink>
    </w:p>
    <w:p w14:paraId="76B0DEFF" w14:textId="77777777" w:rsidR="00390F3A" w:rsidRPr="00390F3A" w:rsidRDefault="00390F3A" w:rsidP="00390F3A">
      <w:pPr>
        <w:spacing w:line="480" w:lineRule="auto"/>
        <w:rPr>
          <w:rFonts w:ascii="Arial" w:hAnsi="Arial" w:cs="Arial"/>
          <w:color w:val="000000" w:themeColor="text1"/>
        </w:rPr>
      </w:pPr>
    </w:p>
    <w:p w14:paraId="7A67E334"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Miller, J. </w:t>
      </w:r>
      <w:r w:rsidRPr="00390F3A">
        <w:rPr>
          <w:rFonts w:ascii="Arial" w:hAnsi="Arial" w:cs="Arial"/>
          <w:i/>
          <w:iCs/>
          <w:color w:val="000000" w:themeColor="text1"/>
        </w:rPr>
        <w:t>et al.</w:t>
      </w:r>
      <w:r w:rsidRPr="00390F3A">
        <w:rPr>
          <w:rFonts w:ascii="Arial" w:hAnsi="Arial" w:cs="Arial"/>
          <w:color w:val="000000" w:themeColor="text1"/>
        </w:rPr>
        <w:t xml:space="preserve"> (2020) ‘Can police training reduce ethnic/racial disparities in stop and search? Evidence from a multisite UK trial’, </w:t>
      </w:r>
      <w:r w:rsidRPr="00390F3A">
        <w:rPr>
          <w:rFonts w:ascii="Arial" w:hAnsi="Arial" w:cs="Arial"/>
          <w:i/>
          <w:iCs/>
          <w:color w:val="000000" w:themeColor="text1"/>
        </w:rPr>
        <w:t>Criminology &amp; Public Policy</w:t>
      </w:r>
      <w:r w:rsidRPr="00390F3A">
        <w:rPr>
          <w:rFonts w:ascii="Arial" w:hAnsi="Arial" w:cs="Arial"/>
          <w:color w:val="000000" w:themeColor="text1"/>
        </w:rPr>
        <w:t xml:space="preserve">, 19(4), pp. 1259-1287. Available at: </w:t>
      </w:r>
      <w:hyperlink r:id="rId31" w:history="1">
        <w:r w:rsidRPr="00390F3A">
          <w:rPr>
            <w:rStyle w:val="Hyperlink"/>
            <w:rFonts w:ascii="Arial" w:hAnsi="Arial" w:cs="Arial"/>
            <w:color w:val="000000" w:themeColor="text1"/>
            <w:u w:val="none"/>
          </w:rPr>
          <w:t>https://doi.org/10.1111/1745-9133.12524</w:t>
        </w:r>
      </w:hyperlink>
    </w:p>
    <w:p w14:paraId="7E844AC8" w14:textId="77777777" w:rsidR="00390F3A" w:rsidRPr="00390F3A" w:rsidRDefault="00390F3A" w:rsidP="00390F3A">
      <w:pPr>
        <w:spacing w:line="480" w:lineRule="auto"/>
        <w:rPr>
          <w:rFonts w:ascii="Arial" w:hAnsi="Arial" w:cs="Arial"/>
          <w:color w:val="000000" w:themeColor="text1"/>
        </w:rPr>
      </w:pPr>
    </w:p>
    <w:p w14:paraId="3435D57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Office for National Statistics (2017) </w:t>
      </w:r>
      <w:r w:rsidRPr="00390F3A">
        <w:rPr>
          <w:rFonts w:ascii="Arial" w:hAnsi="Arial" w:cs="Arial"/>
          <w:i/>
          <w:iCs/>
          <w:color w:val="000000" w:themeColor="text1"/>
        </w:rPr>
        <w:t>Crime in England and Wales: year ending March 2017</w:t>
      </w:r>
      <w:r w:rsidRPr="00390F3A">
        <w:rPr>
          <w:rFonts w:ascii="Arial" w:hAnsi="Arial" w:cs="Arial"/>
          <w:color w:val="000000" w:themeColor="text1"/>
        </w:rPr>
        <w:t xml:space="preserve">. Available at: </w:t>
      </w:r>
      <w:hyperlink r:id="rId32" w:history="1">
        <w:r w:rsidRPr="00390F3A">
          <w:rPr>
            <w:rStyle w:val="Hyperlink"/>
            <w:rFonts w:ascii="Arial" w:hAnsi="Arial" w:cs="Arial"/>
            <w:color w:val="000000" w:themeColor="text1"/>
            <w:u w:val="none"/>
          </w:rPr>
          <w:t>https://www.ons.gov.uk/releases/crimeinenglandandwalesyearendingmarch2017</w:t>
        </w:r>
      </w:hyperlink>
      <w:r w:rsidRPr="00390F3A">
        <w:rPr>
          <w:rFonts w:ascii="Arial" w:hAnsi="Arial" w:cs="Arial"/>
          <w:color w:val="000000" w:themeColor="text1"/>
        </w:rPr>
        <w:t xml:space="preserve"> (Accessed: 18 December 2023).</w:t>
      </w:r>
    </w:p>
    <w:p w14:paraId="104B04FC" w14:textId="77777777" w:rsidR="00390F3A" w:rsidRPr="00390F3A" w:rsidRDefault="00390F3A" w:rsidP="00390F3A">
      <w:pPr>
        <w:spacing w:line="480" w:lineRule="auto"/>
        <w:rPr>
          <w:rFonts w:ascii="Arial" w:hAnsi="Arial" w:cs="Arial"/>
          <w:color w:val="000000" w:themeColor="text1"/>
        </w:rPr>
      </w:pPr>
    </w:p>
    <w:p w14:paraId="290AE75A"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Office for National Statistics (2022) </w:t>
      </w:r>
      <w:r w:rsidRPr="00390F3A">
        <w:rPr>
          <w:rFonts w:ascii="Arial" w:hAnsi="Arial" w:cs="Arial"/>
          <w:i/>
          <w:iCs/>
          <w:color w:val="000000" w:themeColor="text1"/>
        </w:rPr>
        <w:t xml:space="preserve">Crime in England and Wales: Police Force Area data tables. </w:t>
      </w:r>
      <w:r w:rsidRPr="00390F3A">
        <w:rPr>
          <w:rFonts w:ascii="Arial" w:hAnsi="Arial" w:cs="Arial"/>
          <w:color w:val="000000" w:themeColor="text1"/>
        </w:rPr>
        <w:t xml:space="preserve">Available at: </w:t>
      </w:r>
      <w:hyperlink r:id="rId33" w:history="1">
        <w:r w:rsidRPr="00390F3A">
          <w:rPr>
            <w:rStyle w:val="Hyperlink"/>
            <w:rFonts w:ascii="Arial" w:hAnsi="Arial" w:cs="Arial"/>
            <w:color w:val="000000" w:themeColor="text1"/>
            <w:u w:val="none"/>
          </w:rPr>
          <w:t>https://www.ons.gov.uk/peoplepopulationandcommunity/crimeandjustice/datasets/policeforceareadatatables</w:t>
        </w:r>
      </w:hyperlink>
      <w:r w:rsidRPr="00390F3A">
        <w:rPr>
          <w:rFonts w:ascii="Arial" w:hAnsi="Arial" w:cs="Arial"/>
          <w:color w:val="000000" w:themeColor="text1"/>
        </w:rPr>
        <w:t xml:space="preserve"> (Accessed: 18 December 2023).</w:t>
      </w:r>
    </w:p>
    <w:p w14:paraId="225A3D31" w14:textId="77777777" w:rsidR="00390F3A" w:rsidRPr="00390F3A" w:rsidRDefault="00390F3A" w:rsidP="00390F3A">
      <w:pPr>
        <w:spacing w:line="480" w:lineRule="auto"/>
        <w:rPr>
          <w:rFonts w:ascii="Arial" w:hAnsi="Arial" w:cs="Arial"/>
          <w:color w:val="000000" w:themeColor="text1"/>
        </w:rPr>
      </w:pPr>
    </w:p>
    <w:p w14:paraId="7AEA3DF0"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Owen, M. and Greeff, A.P. (2015) ‘Factors attracting and discouraging adolescent boys in high-prevalence communities from becoming involved in gangs’, </w:t>
      </w:r>
      <w:r w:rsidRPr="00390F3A">
        <w:rPr>
          <w:rFonts w:ascii="Arial" w:hAnsi="Arial" w:cs="Arial"/>
          <w:i/>
          <w:iCs/>
          <w:color w:val="000000" w:themeColor="text1"/>
        </w:rPr>
        <w:t>Journal of Forensic Psychology Practice</w:t>
      </w:r>
      <w:r w:rsidRPr="00390F3A">
        <w:rPr>
          <w:rFonts w:ascii="Arial" w:hAnsi="Arial" w:cs="Arial"/>
          <w:color w:val="000000" w:themeColor="text1"/>
        </w:rPr>
        <w:t xml:space="preserve">, 15(1), pp. 1-32. Available at: </w:t>
      </w:r>
      <w:hyperlink r:id="rId34" w:history="1">
        <w:r w:rsidRPr="00390F3A">
          <w:rPr>
            <w:rStyle w:val="Hyperlink"/>
            <w:rFonts w:ascii="Arial" w:hAnsi="Arial" w:cs="Arial"/>
            <w:color w:val="000000" w:themeColor="text1"/>
            <w:u w:val="none"/>
          </w:rPr>
          <w:t>https://doi.org/10.1080/15228932.2015.977137</w:t>
        </w:r>
      </w:hyperlink>
    </w:p>
    <w:p w14:paraId="075728C9" w14:textId="77777777" w:rsidR="00390F3A" w:rsidRPr="00390F3A" w:rsidRDefault="00390F3A" w:rsidP="00390F3A">
      <w:pPr>
        <w:spacing w:line="480" w:lineRule="auto"/>
        <w:rPr>
          <w:rFonts w:ascii="Arial" w:hAnsi="Arial" w:cs="Arial"/>
          <w:color w:val="000000" w:themeColor="text1"/>
        </w:rPr>
      </w:pPr>
    </w:p>
    <w:p w14:paraId="35C45F9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lastRenderedPageBreak/>
        <w:t xml:space="preserve">Pyrooz, D.C. and Sweeten, G. (2015) ‘Gang membership between ages 5 and 17 years in the United States’, </w:t>
      </w:r>
      <w:r w:rsidRPr="00390F3A">
        <w:rPr>
          <w:rFonts w:ascii="Arial" w:hAnsi="Arial" w:cs="Arial"/>
          <w:i/>
          <w:iCs/>
          <w:color w:val="000000" w:themeColor="text1"/>
        </w:rPr>
        <w:t>Journal of Adolescent Health,</w:t>
      </w:r>
      <w:r w:rsidRPr="00390F3A">
        <w:rPr>
          <w:rFonts w:ascii="Arial" w:hAnsi="Arial" w:cs="Arial"/>
          <w:color w:val="000000" w:themeColor="text1"/>
        </w:rPr>
        <w:t xml:space="preserve"> 56(4), pp. 414–419. Available at: </w:t>
      </w:r>
      <w:hyperlink r:id="rId35" w:history="1">
        <w:r w:rsidRPr="00390F3A">
          <w:rPr>
            <w:rStyle w:val="Hyperlink"/>
            <w:rFonts w:ascii="Arial" w:hAnsi="Arial" w:cs="Arial"/>
            <w:color w:val="000000" w:themeColor="text1"/>
            <w:u w:val="none"/>
          </w:rPr>
          <w:t>https://doi.org/10.1016/j.jadohealth.2014.11.018</w:t>
        </w:r>
      </w:hyperlink>
    </w:p>
    <w:p w14:paraId="49940304" w14:textId="77777777" w:rsidR="00390F3A" w:rsidRPr="00390F3A" w:rsidRDefault="00390F3A" w:rsidP="00390F3A">
      <w:pPr>
        <w:spacing w:line="480" w:lineRule="auto"/>
        <w:rPr>
          <w:rFonts w:ascii="Arial" w:hAnsi="Arial" w:cs="Arial"/>
          <w:color w:val="000000" w:themeColor="text1"/>
        </w:rPr>
      </w:pPr>
    </w:p>
    <w:p w14:paraId="4E447E2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Quinn, K. </w:t>
      </w:r>
      <w:r w:rsidRPr="00390F3A">
        <w:rPr>
          <w:rFonts w:ascii="Arial" w:hAnsi="Arial" w:cs="Arial"/>
          <w:i/>
          <w:iCs/>
          <w:color w:val="000000" w:themeColor="text1"/>
        </w:rPr>
        <w:t>et al.</w:t>
      </w:r>
      <w:r w:rsidRPr="00390F3A">
        <w:rPr>
          <w:rFonts w:ascii="Arial" w:hAnsi="Arial" w:cs="Arial"/>
          <w:color w:val="000000" w:themeColor="text1"/>
        </w:rPr>
        <w:t xml:space="preserve"> (2017) ‘Childhood adversity and the continued exposure to trauma and violence among adolescent gang members’, </w:t>
      </w:r>
      <w:r w:rsidRPr="00390F3A">
        <w:rPr>
          <w:rFonts w:ascii="Arial" w:hAnsi="Arial" w:cs="Arial"/>
          <w:i/>
          <w:iCs/>
          <w:color w:val="000000" w:themeColor="text1"/>
        </w:rPr>
        <w:t>American Journal of Community Psychology</w:t>
      </w:r>
      <w:r w:rsidRPr="00390F3A">
        <w:rPr>
          <w:rFonts w:ascii="Arial" w:hAnsi="Arial" w:cs="Arial"/>
          <w:color w:val="000000" w:themeColor="text1"/>
        </w:rPr>
        <w:t xml:space="preserve">, 59(1), pp. 36-49. Available at: </w:t>
      </w:r>
      <w:hyperlink r:id="rId36" w:history="1">
        <w:r w:rsidRPr="00390F3A">
          <w:rPr>
            <w:rStyle w:val="Hyperlink"/>
            <w:rFonts w:ascii="Arial" w:hAnsi="Arial" w:cs="Arial"/>
            <w:color w:val="000000" w:themeColor="text1"/>
            <w:u w:val="none"/>
          </w:rPr>
          <w:t>https://doi.org/10.1002/ajcp.12123</w:t>
        </w:r>
      </w:hyperlink>
    </w:p>
    <w:p w14:paraId="34A885DF" w14:textId="77777777" w:rsidR="00390F3A" w:rsidRPr="00390F3A" w:rsidRDefault="00390F3A" w:rsidP="00390F3A">
      <w:pPr>
        <w:spacing w:line="480" w:lineRule="auto"/>
        <w:rPr>
          <w:rFonts w:ascii="Arial" w:hAnsi="Arial" w:cs="Arial"/>
          <w:color w:val="000000" w:themeColor="text1"/>
        </w:rPr>
      </w:pPr>
    </w:p>
    <w:p w14:paraId="40247E79"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Reisig, M.D. (2010) ‘Community and problem-oriented policing’, </w:t>
      </w:r>
      <w:r w:rsidRPr="00390F3A">
        <w:rPr>
          <w:rFonts w:ascii="Arial" w:hAnsi="Arial" w:cs="Arial"/>
          <w:i/>
          <w:iCs/>
          <w:color w:val="000000" w:themeColor="text1"/>
        </w:rPr>
        <w:t>Crime and Justice,</w:t>
      </w:r>
      <w:r w:rsidRPr="00390F3A">
        <w:rPr>
          <w:rFonts w:ascii="Arial" w:hAnsi="Arial" w:cs="Arial"/>
          <w:color w:val="000000" w:themeColor="text1"/>
        </w:rPr>
        <w:t xml:space="preserve"> 39(1), pp. 1-53. Available at: </w:t>
      </w:r>
      <w:hyperlink r:id="rId37" w:history="1">
        <w:r w:rsidRPr="00390F3A">
          <w:rPr>
            <w:rStyle w:val="Hyperlink"/>
            <w:rFonts w:ascii="Arial" w:hAnsi="Arial" w:cs="Arial"/>
            <w:color w:val="000000" w:themeColor="text1"/>
            <w:u w:val="none"/>
          </w:rPr>
          <w:t>https://doi.org/10.1086/652384</w:t>
        </w:r>
      </w:hyperlink>
    </w:p>
    <w:p w14:paraId="5314C637" w14:textId="77777777" w:rsidR="00390F3A" w:rsidRPr="00390F3A" w:rsidRDefault="00390F3A" w:rsidP="00390F3A">
      <w:pPr>
        <w:spacing w:line="480" w:lineRule="auto"/>
        <w:rPr>
          <w:rFonts w:ascii="Arial" w:hAnsi="Arial" w:cs="Arial"/>
          <w:color w:val="000000" w:themeColor="text1"/>
        </w:rPr>
      </w:pPr>
    </w:p>
    <w:p w14:paraId="5F051926"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Sharp, C., Aldridge, J. and Medina, J. (2006) </w:t>
      </w:r>
      <w:r w:rsidRPr="00390F3A">
        <w:rPr>
          <w:rFonts w:ascii="Arial" w:hAnsi="Arial" w:cs="Arial"/>
          <w:i/>
          <w:iCs/>
          <w:color w:val="000000" w:themeColor="text1"/>
        </w:rPr>
        <w:t>Delinquent youth groups and offending behaviour: findings from the 2004 Offending, Crime and Justice Survey.</w:t>
      </w:r>
      <w:r w:rsidRPr="00390F3A">
        <w:rPr>
          <w:rFonts w:ascii="Arial" w:hAnsi="Arial" w:cs="Arial"/>
          <w:color w:val="000000" w:themeColor="text1"/>
        </w:rPr>
        <w:t xml:space="preserve"> London: Home Office.</w:t>
      </w:r>
    </w:p>
    <w:p w14:paraId="61A2B998" w14:textId="77777777" w:rsidR="00390F3A" w:rsidRPr="00390F3A" w:rsidRDefault="00390F3A" w:rsidP="00390F3A">
      <w:pPr>
        <w:spacing w:line="480" w:lineRule="auto"/>
        <w:rPr>
          <w:rFonts w:ascii="Arial" w:hAnsi="Arial" w:cs="Arial"/>
          <w:color w:val="000000" w:themeColor="text1"/>
        </w:rPr>
      </w:pPr>
    </w:p>
    <w:p w14:paraId="3AB6E08C"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Shechory-Bitton, M. and Soen, D. (2016) ‘Community cohesion, sense of threat, and fear of crime: The refugee problem as perceived by Israeli residents’, </w:t>
      </w:r>
      <w:r w:rsidRPr="00390F3A">
        <w:rPr>
          <w:rFonts w:ascii="Arial" w:hAnsi="Arial" w:cs="Arial"/>
          <w:i/>
          <w:iCs/>
          <w:color w:val="000000" w:themeColor="text1"/>
        </w:rPr>
        <w:t>Journal of Ethnicity in Criminal Justice,</w:t>
      </w:r>
      <w:r w:rsidRPr="00390F3A">
        <w:rPr>
          <w:rFonts w:ascii="Arial" w:hAnsi="Arial" w:cs="Arial"/>
          <w:color w:val="000000" w:themeColor="text1"/>
        </w:rPr>
        <w:t xml:space="preserve"> 14(4), pp. 290-306. Available at: </w:t>
      </w:r>
      <w:hyperlink r:id="rId38" w:history="1">
        <w:r w:rsidRPr="00390F3A">
          <w:rPr>
            <w:rStyle w:val="Hyperlink"/>
            <w:rFonts w:ascii="Arial" w:hAnsi="Arial" w:cs="Arial"/>
            <w:color w:val="000000" w:themeColor="text1"/>
            <w:u w:val="none"/>
          </w:rPr>
          <w:t>https://doi.org/10.1080/15377938.2016.1187237</w:t>
        </w:r>
      </w:hyperlink>
    </w:p>
    <w:p w14:paraId="14D13D05" w14:textId="77777777" w:rsidR="00390F3A" w:rsidRPr="00390F3A" w:rsidRDefault="00390F3A" w:rsidP="00390F3A">
      <w:pPr>
        <w:spacing w:line="480" w:lineRule="auto"/>
        <w:rPr>
          <w:rFonts w:ascii="Arial" w:hAnsi="Arial" w:cs="Arial"/>
          <w:color w:val="000000" w:themeColor="text1"/>
        </w:rPr>
      </w:pPr>
    </w:p>
    <w:p w14:paraId="3A1E9A58"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Spencer, K. B., Charbonneau, A. K. and Glaser, J. (2016) ‘Implicit Bias and Policing’, </w:t>
      </w:r>
      <w:r w:rsidRPr="00390F3A">
        <w:rPr>
          <w:rFonts w:ascii="Arial" w:hAnsi="Arial" w:cs="Arial"/>
          <w:i/>
          <w:iCs/>
          <w:color w:val="000000" w:themeColor="text1"/>
        </w:rPr>
        <w:t>Social and Personality Psychology Compass</w:t>
      </w:r>
      <w:r w:rsidRPr="00390F3A">
        <w:rPr>
          <w:rFonts w:ascii="Arial" w:hAnsi="Arial" w:cs="Arial"/>
          <w:color w:val="000000" w:themeColor="text1"/>
        </w:rPr>
        <w:t xml:space="preserve">, 10(1), pp. 50–63. Available at: </w:t>
      </w:r>
      <w:hyperlink r:id="rId39" w:history="1">
        <w:r w:rsidRPr="00390F3A">
          <w:rPr>
            <w:rStyle w:val="Hyperlink"/>
            <w:rFonts w:ascii="Arial" w:hAnsi="Arial" w:cs="Arial"/>
            <w:color w:val="000000" w:themeColor="text1"/>
            <w:u w:val="none"/>
          </w:rPr>
          <w:t>https://doi.org/10.1111/spc3.12210</w:t>
        </w:r>
      </w:hyperlink>
    </w:p>
    <w:p w14:paraId="4313FE48" w14:textId="77777777" w:rsidR="00390F3A" w:rsidRPr="00390F3A" w:rsidRDefault="00390F3A" w:rsidP="00390F3A">
      <w:pPr>
        <w:spacing w:line="480" w:lineRule="auto"/>
        <w:rPr>
          <w:rFonts w:ascii="Arial" w:hAnsi="Arial" w:cs="Arial"/>
          <w:color w:val="000000" w:themeColor="text1"/>
        </w:rPr>
      </w:pPr>
    </w:p>
    <w:p w14:paraId="710EE19A"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i/>
          <w:iCs/>
          <w:color w:val="000000" w:themeColor="text1"/>
        </w:rPr>
        <w:lastRenderedPageBreak/>
        <w:t>Theft Act 1968</w:t>
      </w:r>
      <w:r w:rsidRPr="00390F3A">
        <w:rPr>
          <w:rFonts w:ascii="Arial" w:hAnsi="Arial" w:cs="Arial"/>
          <w:color w:val="000000" w:themeColor="text1"/>
        </w:rPr>
        <w:t>. Available at: https://www.legislation.gov.uk/ukpga/1968/60 (Accessed: 20 December 2022).</w:t>
      </w:r>
    </w:p>
    <w:p w14:paraId="62F1BBCB" w14:textId="77777777" w:rsidR="00390F3A" w:rsidRPr="00390F3A" w:rsidRDefault="00390F3A" w:rsidP="00390F3A">
      <w:pPr>
        <w:spacing w:line="480" w:lineRule="auto"/>
        <w:rPr>
          <w:rFonts w:ascii="Arial" w:hAnsi="Arial" w:cs="Arial"/>
          <w:color w:val="000000" w:themeColor="text1"/>
        </w:rPr>
      </w:pPr>
    </w:p>
    <w:p w14:paraId="6EBE357B"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Thomas, P. (2007) ‘Moving on from ‘anti-racism’? Understandings of ‘community cohesion’ held by youth workers’, </w:t>
      </w:r>
      <w:r w:rsidRPr="00390F3A">
        <w:rPr>
          <w:rFonts w:ascii="Arial" w:hAnsi="Arial" w:cs="Arial"/>
          <w:i/>
          <w:iCs/>
          <w:color w:val="000000" w:themeColor="text1"/>
        </w:rPr>
        <w:t>Journal of Social Policy,</w:t>
      </w:r>
      <w:r w:rsidRPr="00390F3A">
        <w:rPr>
          <w:rFonts w:ascii="Arial" w:hAnsi="Arial" w:cs="Arial"/>
          <w:color w:val="000000" w:themeColor="text1"/>
        </w:rPr>
        <w:t xml:space="preserve"> 36(3), pp. 435-455. Available at: </w:t>
      </w:r>
      <w:hyperlink r:id="rId40" w:history="1">
        <w:r w:rsidRPr="00390F3A">
          <w:rPr>
            <w:rStyle w:val="Hyperlink"/>
            <w:rFonts w:ascii="Arial" w:hAnsi="Arial" w:cs="Arial"/>
            <w:color w:val="000000" w:themeColor="text1"/>
            <w:u w:val="none"/>
          </w:rPr>
          <w:t>https://doi.org/10.1017/S0047279407001080</w:t>
        </w:r>
      </w:hyperlink>
    </w:p>
    <w:p w14:paraId="1216AE9E" w14:textId="77777777" w:rsidR="00390F3A" w:rsidRPr="00390F3A" w:rsidRDefault="00390F3A" w:rsidP="00390F3A">
      <w:pPr>
        <w:spacing w:line="480" w:lineRule="auto"/>
        <w:rPr>
          <w:rFonts w:ascii="Arial" w:hAnsi="Arial" w:cs="Arial"/>
          <w:color w:val="000000" w:themeColor="text1"/>
        </w:rPr>
      </w:pPr>
    </w:p>
    <w:p w14:paraId="0B358B7D"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Tura, F. (2019) </w:t>
      </w:r>
      <w:r w:rsidRPr="00390F3A">
        <w:rPr>
          <w:rFonts w:ascii="Arial" w:hAnsi="Arial" w:cs="Arial"/>
          <w:i/>
          <w:iCs/>
          <w:color w:val="000000" w:themeColor="text1"/>
        </w:rPr>
        <w:t>Exploring the Role of Problem-oriented Policing in the Burglary Drop in England and Wales.</w:t>
      </w:r>
      <w:r w:rsidRPr="00390F3A">
        <w:rPr>
          <w:rFonts w:ascii="Arial" w:hAnsi="Arial" w:cs="Arial"/>
          <w:color w:val="000000" w:themeColor="text1"/>
        </w:rPr>
        <w:t xml:space="preserve"> Nottingham: Nottingham Trent University.</w:t>
      </w:r>
    </w:p>
    <w:p w14:paraId="2034F4B5" w14:textId="77777777" w:rsidR="00390F3A" w:rsidRPr="00390F3A" w:rsidRDefault="00390F3A" w:rsidP="00390F3A">
      <w:pPr>
        <w:spacing w:line="480" w:lineRule="auto"/>
        <w:rPr>
          <w:rFonts w:ascii="Arial" w:hAnsi="Arial" w:cs="Arial"/>
          <w:color w:val="000000" w:themeColor="text1"/>
        </w:rPr>
      </w:pPr>
    </w:p>
    <w:p w14:paraId="2A9C835F"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Wakefield, A. and Fleming, J. (2009) </w:t>
      </w:r>
      <w:r w:rsidRPr="00390F3A">
        <w:rPr>
          <w:rFonts w:ascii="Arial" w:hAnsi="Arial" w:cs="Arial"/>
          <w:i/>
          <w:iCs/>
          <w:color w:val="000000" w:themeColor="text1"/>
        </w:rPr>
        <w:t>The SAGE Dictionary of Policing</w:t>
      </w:r>
      <w:r w:rsidRPr="00390F3A">
        <w:rPr>
          <w:rFonts w:ascii="Arial" w:hAnsi="Arial" w:cs="Arial"/>
          <w:color w:val="000000" w:themeColor="text1"/>
        </w:rPr>
        <w:t>. London: SAGE Publications.</w:t>
      </w:r>
    </w:p>
    <w:p w14:paraId="51688F27" w14:textId="77777777" w:rsidR="00390F3A" w:rsidRPr="00390F3A" w:rsidRDefault="00390F3A" w:rsidP="00390F3A">
      <w:pPr>
        <w:spacing w:line="480" w:lineRule="auto"/>
        <w:rPr>
          <w:rFonts w:ascii="Arial" w:hAnsi="Arial" w:cs="Arial"/>
          <w:color w:val="000000" w:themeColor="text1"/>
        </w:rPr>
      </w:pPr>
    </w:p>
    <w:p w14:paraId="3348BB7D"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Wales Safer Communities Network (2021) </w:t>
      </w:r>
      <w:r w:rsidRPr="00390F3A">
        <w:rPr>
          <w:rFonts w:ascii="Arial" w:hAnsi="Arial" w:cs="Arial"/>
          <w:i/>
          <w:iCs/>
          <w:color w:val="000000" w:themeColor="text1"/>
        </w:rPr>
        <w:t xml:space="preserve">Community Tensions/Community Cohesion. </w:t>
      </w:r>
      <w:r w:rsidRPr="00390F3A">
        <w:rPr>
          <w:rFonts w:ascii="Arial" w:hAnsi="Arial" w:cs="Arial"/>
          <w:color w:val="000000" w:themeColor="text1"/>
        </w:rPr>
        <w:t>Available at: https://safercommunities.wales/equalities-inclusion-cohesion/community-tensions-cohesion/ (Accessed: 28 April 2023).</w:t>
      </w:r>
    </w:p>
    <w:p w14:paraId="084D689B" w14:textId="77777777" w:rsidR="00390F3A" w:rsidRPr="00390F3A" w:rsidRDefault="00390F3A" w:rsidP="00390F3A">
      <w:pPr>
        <w:spacing w:line="480" w:lineRule="auto"/>
        <w:rPr>
          <w:rFonts w:ascii="Arial" w:hAnsi="Arial" w:cs="Arial"/>
          <w:color w:val="000000" w:themeColor="text1"/>
        </w:rPr>
      </w:pPr>
    </w:p>
    <w:p w14:paraId="1CB2ACA5"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Wickes, R. </w:t>
      </w:r>
      <w:r w:rsidRPr="00390F3A">
        <w:rPr>
          <w:rFonts w:ascii="Arial" w:hAnsi="Arial" w:cs="Arial"/>
          <w:i/>
          <w:iCs/>
          <w:color w:val="000000" w:themeColor="text1"/>
        </w:rPr>
        <w:t>et al.</w:t>
      </w:r>
      <w:r w:rsidRPr="00390F3A">
        <w:rPr>
          <w:rFonts w:ascii="Arial" w:hAnsi="Arial" w:cs="Arial"/>
          <w:color w:val="000000" w:themeColor="text1"/>
        </w:rPr>
        <w:t xml:space="preserve"> (2012) ‘Neighbourhood social conduits and resident social cohesion’, </w:t>
      </w:r>
      <w:r w:rsidRPr="00390F3A">
        <w:rPr>
          <w:rFonts w:ascii="Arial" w:hAnsi="Arial" w:cs="Arial"/>
          <w:i/>
          <w:iCs/>
          <w:color w:val="000000" w:themeColor="text1"/>
        </w:rPr>
        <w:t>Urban Studies</w:t>
      </w:r>
      <w:r w:rsidRPr="00390F3A">
        <w:rPr>
          <w:rFonts w:ascii="Arial" w:hAnsi="Arial" w:cs="Arial"/>
          <w:color w:val="000000" w:themeColor="text1"/>
        </w:rPr>
        <w:t xml:space="preserve">, 56(1), pp.226-248. Available at: </w:t>
      </w:r>
      <w:hyperlink r:id="rId41" w:history="1">
        <w:r w:rsidRPr="00390F3A">
          <w:rPr>
            <w:rStyle w:val="Hyperlink"/>
            <w:rFonts w:ascii="Arial" w:hAnsi="Arial" w:cs="Arial"/>
            <w:color w:val="000000" w:themeColor="text1"/>
            <w:u w:val="none"/>
          </w:rPr>
          <w:t>https://doi.org/10.1177/0042098018780617</w:t>
        </w:r>
      </w:hyperlink>
    </w:p>
    <w:p w14:paraId="0D960179" w14:textId="77777777" w:rsidR="00390F3A" w:rsidRPr="00390F3A" w:rsidRDefault="00390F3A" w:rsidP="00390F3A">
      <w:pPr>
        <w:spacing w:line="480" w:lineRule="auto"/>
        <w:rPr>
          <w:rFonts w:ascii="Arial" w:hAnsi="Arial" w:cs="Arial"/>
          <w:color w:val="000000" w:themeColor="text1"/>
        </w:rPr>
      </w:pPr>
    </w:p>
    <w:p w14:paraId="4EC3360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Wolff, K.T. </w:t>
      </w:r>
      <w:r w:rsidRPr="00390F3A">
        <w:rPr>
          <w:rFonts w:ascii="Arial" w:hAnsi="Arial" w:cs="Arial"/>
          <w:i/>
          <w:iCs/>
          <w:color w:val="000000" w:themeColor="text1"/>
        </w:rPr>
        <w:t>et al</w:t>
      </w:r>
      <w:r w:rsidRPr="00390F3A">
        <w:rPr>
          <w:rFonts w:ascii="Arial" w:hAnsi="Arial" w:cs="Arial"/>
          <w:color w:val="000000" w:themeColor="text1"/>
        </w:rPr>
        <w:t xml:space="preserve">. (2020) ‘Adverse Childhood Experiences (ACEs) and Gang Involvement Among Juvenile Offenders: Assessing the Mediation Effects of Substance Use and Temperament Deficits’, </w:t>
      </w:r>
      <w:r w:rsidRPr="00390F3A">
        <w:rPr>
          <w:rFonts w:ascii="Arial" w:hAnsi="Arial" w:cs="Arial"/>
          <w:i/>
          <w:iCs/>
          <w:color w:val="000000" w:themeColor="text1"/>
        </w:rPr>
        <w:t>Youth Violence and Juvenile Justice,</w:t>
      </w:r>
      <w:r w:rsidRPr="00390F3A">
        <w:rPr>
          <w:rFonts w:ascii="Arial" w:hAnsi="Arial" w:cs="Arial"/>
          <w:color w:val="000000" w:themeColor="text1"/>
        </w:rPr>
        <w:t xml:space="preserve"> 18(1), pp. 24–53. Available at: </w:t>
      </w:r>
      <w:hyperlink r:id="rId42" w:history="1">
        <w:r w:rsidRPr="00390F3A">
          <w:rPr>
            <w:rStyle w:val="Hyperlink"/>
            <w:rFonts w:ascii="Arial" w:hAnsi="Arial" w:cs="Arial"/>
            <w:color w:val="000000" w:themeColor="text1"/>
            <w:u w:val="none"/>
          </w:rPr>
          <w:t>https://doi.org/10.1177/1541204019854799</w:t>
        </w:r>
      </w:hyperlink>
    </w:p>
    <w:p w14:paraId="31FC97CA" w14:textId="77777777" w:rsidR="00390F3A" w:rsidRPr="00390F3A" w:rsidRDefault="00390F3A" w:rsidP="00390F3A">
      <w:pPr>
        <w:spacing w:line="480" w:lineRule="auto"/>
        <w:rPr>
          <w:rFonts w:ascii="Arial" w:hAnsi="Arial" w:cs="Arial"/>
          <w:color w:val="000000" w:themeColor="text1"/>
        </w:rPr>
      </w:pPr>
    </w:p>
    <w:p w14:paraId="4257F3C7" w14:textId="77777777" w:rsidR="00390F3A" w:rsidRPr="00390F3A" w:rsidRDefault="00390F3A" w:rsidP="00390F3A">
      <w:pPr>
        <w:spacing w:line="480" w:lineRule="auto"/>
        <w:rPr>
          <w:rFonts w:ascii="Arial" w:hAnsi="Arial" w:cs="Arial"/>
          <w:color w:val="000000" w:themeColor="text1"/>
        </w:rPr>
      </w:pPr>
      <w:r w:rsidRPr="00390F3A">
        <w:rPr>
          <w:rFonts w:ascii="Arial" w:hAnsi="Arial" w:cs="Arial"/>
          <w:color w:val="000000" w:themeColor="text1"/>
        </w:rPr>
        <w:t xml:space="preserve">Wyrick, P.A. and Howell, J.C. (2004) ‘Strategic risk-based response to youth gangs’, </w:t>
      </w:r>
      <w:r w:rsidRPr="00390F3A">
        <w:rPr>
          <w:rFonts w:ascii="Arial" w:hAnsi="Arial" w:cs="Arial"/>
          <w:i/>
          <w:iCs/>
          <w:color w:val="000000" w:themeColor="text1"/>
        </w:rPr>
        <w:t>Juvenile Justice,</w:t>
      </w:r>
      <w:r w:rsidRPr="00390F3A">
        <w:rPr>
          <w:rFonts w:ascii="Arial" w:hAnsi="Arial" w:cs="Arial"/>
          <w:color w:val="000000" w:themeColor="text1"/>
        </w:rPr>
        <w:t xml:space="preserve"> 9(1), pp. 20-23. </w:t>
      </w:r>
    </w:p>
    <w:p w14:paraId="3ABB508E" w14:textId="77777777" w:rsidR="00390F3A" w:rsidRPr="00EE3D28" w:rsidRDefault="00390F3A" w:rsidP="00E818C5">
      <w:pPr>
        <w:spacing w:line="480" w:lineRule="auto"/>
        <w:rPr>
          <w:rFonts w:ascii="Arial" w:hAnsi="Arial" w:cs="Arial"/>
          <w:b/>
          <w:bCs/>
          <w:u w:val="single"/>
        </w:rPr>
      </w:pPr>
    </w:p>
    <w:sectPr w:rsidR="00390F3A" w:rsidRPr="00EE3D28" w:rsidSect="001D5BFC">
      <w:footerReference w:type="even" r:id="rId43"/>
      <w:foot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DAD2B" w14:textId="77777777" w:rsidR="00082C5D" w:rsidRDefault="00082C5D" w:rsidP="00CB4420">
      <w:r>
        <w:separator/>
      </w:r>
    </w:p>
  </w:endnote>
  <w:endnote w:type="continuationSeparator" w:id="0">
    <w:p w14:paraId="038826D1" w14:textId="77777777" w:rsidR="00082C5D" w:rsidRDefault="00082C5D" w:rsidP="00CB4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1052454"/>
      <w:docPartObj>
        <w:docPartGallery w:val="Page Numbers (Bottom of Page)"/>
        <w:docPartUnique/>
      </w:docPartObj>
    </w:sdtPr>
    <w:sdtContent>
      <w:p w14:paraId="2558E0EE" w14:textId="2064F902" w:rsidR="00CB4420" w:rsidRDefault="00CB4420" w:rsidP="001F4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761037" w14:textId="77777777" w:rsidR="00CB4420" w:rsidRDefault="00CB4420" w:rsidP="00CB44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9051818"/>
      <w:docPartObj>
        <w:docPartGallery w:val="Page Numbers (Bottom of Page)"/>
        <w:docPartUnique/>
      </w:docPartObj>
    </w:sdtPr>
    <w:sdtEndPr>
      <w:rPr>
        <w:rStyle w:val="PageNumber"/>
        <w:rFonts w:ascii="Arial" w:hAnsi="Arial" w:cs="Arial"/>
        <w:sz w:val="28"/>
        <w:szCs w:val="28"/>
      </w:rPr>
    </w:sdtEndPr>
    <w:sdtContent>
      <w:p w14:paraId="06289ABC" w14:textId="1620284A" w:rsidR="00CB4420" w:rsidRPr="00CB4420" w:rsidRDefault="00CB4420" w:rsidP="001F4A86">
        <w:pPr>
          <w:pStyle w:val="Footer"/>
          <w:framePr w:wrap="none" w:vAnchor="text" w:hAnchor="margin" w:xAlign="right" w:y="1"/>
          <w:rPr>
            <w:rStyle w:val="PageNumber"/>
            <w:rFonts w:ascii="Arial" w:hAnsi="Arial" w:cs="Arial"/>
            <w:sz w:val="28"/>
            <w:szCs w:val="28"/>
          </w:rPr>
        </w:pPr>
        <w:r w:rsidRPr="00CB4420">
          <w:rPr>
            <w:rStyle w:val="PageNumber"/>
            <w:rFonts w:ascii="Arial" w:hAnsi="Arial" w:cs="Arial"/>
            <w:sz w:val="28"/>
            <w:szCs w:val="28"/>
          </w:rPr>
          <w:fldChar w:fldCharType="begin"/>
        </w:r>
        <w:r w:rsidRPr="00CB4420">
          <w:rPr>
            <w:rStyle w:val="PageNumber"/>
            <w:rFonts w:ascii="Arial" w:hAnsi="Arial" w:cs="Arial"/>
            <w:sz w:val="28"/>
            <w:szCs w:val="28"/>
          </w:rPr>
          <w:instrText xml:space="preserve"> PAGE </w:instrText>
        </w:r>
        <w:r w:rsidRPr="00CB4420">
          <w:rPr>
            <w:rStyle w:val="PageNumber"/>
            <w:rFonts w:ascii="Arial" w:hAnsi="Arial" w:cs="Arial"/>
            <w:sz w:val="28"/>
            <w:szCs w:val="28"/>
          </w:rPr>
          <w:fldChar w:fldCharType="separate"/>
        </w:r>
        <w:r w:rsidRPr="00CB4420">
          <w:rPr>
            <w:rStyle w:val="PageNumber"/>
            <w:rFonts w:ascii="Arial" w:hAnsi="Arial" w:cs="Arial"/>
            <w:noProof/>
            <w:sz w:val="28"/>
            <w:szCs w:val="28"/>
          </w:rPr>
          <w:t>1</w:t>
        </w:r>
        <w:r w:rsidRPr="00CB4420">
          <w:rPr>
            <w:rStyle w:val="PageNumber"/>
            <w:rFonts w:ascii="Arial" w:hAnsi="Arial" w:cs="Arial"/>
            <w:sz w:val="28"/>
            <w:szCs w:val="28"/>
          </w:rPr>
          <w:fldChar w:fldCharType="end"/>
        </w:r>
      </w:p>
    </w:sdtContent>
  </w:sdt>
  <w:p w14:paraId="7C19D5B6" w14:textId="77777777" w:rsidR="00CB4420" w:rsidRDefault="00CB4420" w:rsidP="00CB44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5249C" w14:textId="77777777" w:rsidR="00082C5D" w:rsidRDefault="00082C5D" w:rsidP="00CB4420">
      <w:r>
        <w:separator/>
      </w:r>
    </w:p>
  </w:footnote>
  <w:footnote w:type="continuationSeparator" w:id="0">
    <w:p w14:paraId="4471289D" w14:textId="77777777" w:rsidR="00082C5D" w:rsidRDefault="00082C5D" w:rsidP="00CB44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420"/>
    <w:rsid w:val="00021B60"/>
    <w:rsid w:val="00082C5D"/>
    <w:rsid w:val="00096635"/>
    <w:rsid w:val="001D5BFC"/>
    <w:rsid w:val="00390F3A"/>
    <w:rsid w:val="003C3DEA"/>
    <w:rsid w:val="00466E64"/>
    <w:rsid w:val="00503D11"/>
    <w:rsid w:val="00594407"/>
    <w:rsid w:val="00651153"/>
    <w:rsid w:val="007251D9"/>
    <w:rsid w:val="00755AAD"/>
    <w:rsid w:val="007761B5"/>
    <w:rsid w:val="007A13A9"/>
    <w:rsid w:val="00990457"/>
    <w:rsid w:val="00A255B4"/>
    <w:rsid w:val="00A31222"/>
    <w:rsid w:val="00AA0E4B"/>
    <w:rsid w:val="00B04462"/>
    <w:rsid w:val="00C85AE0"/>
    <w:rsid w:val="00CB4420"/>
    <w:rsid w:val="00E818C5"/>
    <w:rsid w:val="00ED5480"/>
    <w:rsid w:val="00EE3D28"/>
    <w:rsid w:val="00FB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A3206"/>
  <w14:defaultImageDpi w14:val="32767"/>
  <w15:chartTrackingRefBased/>
  <w15:docId w15:val="{180A0EC3-755C-C245-8D88-CCA50E088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B4420"/>
    <w:pPr>
      <w:tabs>
        <w:tab w:val="center" w:pos="4513"/>
        <w:tab w:val="right" w:pos="9026"/>
      </w:tabs>
    </w:pPr>
  </w:style>
  <w:style w:type="character" w:customStyle="1" w:styleId="FooterChar">
    <w:name w:val="Footer Char"/>
    <w:basedOn w:val="DefaultParagraphFont"/>
    <w:link w:val="Footer"/>
    <w:uiPriority w:val="99"/>
    <w:rsid w:val="00CB4420"/>
  </w:style>
  <w:style w:type="character" w:styleId="PageNumber">
    <w:name w:val="page number"/>
    <w:basedOn w:val="DefaultParagraphFont"/>
    <w:uiPriority w:val="99"/>
    <w:semiHidden/>
    <w:unhideWhenUsed/>
    <w:rsid w:val="00CB4420"/>
  </w:style>
  <w:style w:type="paragraph" w:styleId="Header">
    <w:name w:val="header"/>
    <w:basedOn w:val="Normal"/>
    <w:link w:val="HeaderChar"/>
    <w:uiPriority w:val="99"/>
    <w:unhideWhenUsed/>
    <w:rsid w:val="00CB4420"/>
    <w:pPr>
      <w:tabs>
        <w:tab w:val="center" w:pos="4513"/>
        <w:tab w:val="right" w:pos="9026"/>
      </w:tabs>
    </w:pPr>
  </w:style>
  <w:style w:type="character" w:customStyle="1" w:styleId="HeaderChar">
    <w:name w:val="Header Char"/>
    <w:basedOn w:val="DefaultParagraphFont"/>
    <w:link w:val="Header"/>
    <w:uiPriority w:val="99"/>
    <w:rsid w:val="00CB4420"/>
  </w:style>
  <w:style w:type="character" w:styleId="Strong">
    <w:name w:val="Strong"/>
    <w:basedOn w:val="DefaultParagraphFont"/>
    <w:uiPriority w:val="22"/>
    <w:qFormat/>
    <w:rsid w:val="00E818C5"/>
    <w:rPr>
      <w:b/>
      <w:bCs/>
    </w:rPr>
  </w:style>
  <w:style w:type="character" w:styleId="Hyperlink">
    <w:name w:val="Hyperlink"/>
    <w:basedOn w:val="DefaultParagraphFont"/>
    <w:uiPriority w:val="99"/>
    <w:unhideWhenUsed/>
    <w:rsid w:val="00390F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6/appi.ajp.2013.12091188" TargetMode="External"/><Relationship Id="rId18" Type="http://schemas.openxmlformats.org/officeDocument/2006/relationships/hyperlink" Target="https://doi.org/10.1350/ijps.2012.14.1.260" TargetMode="External"/><Relationship Id="rId26" Type="http://schemas.openxmlformats.org/officeDocument/2006/relationships/hyperlink" Target="https://doi.org/10.1177/1466802504048463" TargetMode="External"/><Relationship Id="rId39" Type="http://schemas.openxmlformats.org/officeDocument/2006/relationships/hyperlink" Target="https://doi.org/10.1111/spc3.12210" TargetMode="External"/><Relationship Id="rId21" Type="http://schemas.openxmlformats.org/officeDocument/2006/relationships/hyperlink" Target="https://doi.org/10.2307/2580520" TargetMode="External"/><Relationship Id="rId34" Type="http://schemas.openxmlformats.org/officeDocument/2006/relationships/hyperlink" Target="https://doi.org/10.1080/15228932.2015.977137" TargetMode="External"/><Relationship Id="rId42" Type="http://schemas.openxmlformats.org/officeDocument/2006/relationships/hyperlink" Target="https://doi.org/10.1177/1541204019854799" TargetMode="External"/><Relationship Id="rId7" Type="http://schemas.openxmlformats.org/officeDocument/2006/relationships/hyperlink" Target="https://doi.org/10.1111/j.1751-2409.2011.01039.x" TargetMode="External"/><Relationship Id="rId2" Type="http://schemas.openxmlformats.org/officeDocument/2006/relationships/settings" Target="settings.xml"/><Relationship Id="rId16" Type="http://schemas.openxmlformats.org/officeDocument/2006/relationships/hyperlink" Target="https://doi.org/10.1016/j.jcrimjus.2003.12.001" TargetMode="External"/><Relationship Id="rId29" Type="http://schemas.openxmlformats.org/officeDocument/2006/relationships/hyperlink" Target="https://doi.org/10.1111/1467-954X.00426" TargetMode="External"/><Relationship Id="rId1" Type="http://schemas.openxmlformats.org/officeDocument/2006/relationships/styles" Target="styles.xml"/><Relationship Id="rId6" Type="http://schemas.openxmlformats.org/officeDocument/2006/relationships/hyperlink" Target="https://doi.org/10.1080/1068316X.2012.658050" TargetMode="External"/><Relationship Id="rId11" Type="http://schemas.openxmlformats.org/officeDocument/2006/relationships/hyperlink" Target="https://doi.org/10.4073/csr.2012.8" TargetMode="External"/><Relationship Id="rId24" Type="http://schemas.openxmlformats.org/officeDocument/2006/relationships/hyperlink" Target="https://doi.org/10.1080/07418820300095481" TargetMode="External"/><Relationship Id="rId32" Type="http://schemas.openxmlformats.org/officeDocument/2006/relationships/hyperlink" Target="https://www.ons.gov.uk/releases/crimeinenglandandwalesyearendingmarch2017" TargetMode="External"/><Relationship Id="rId37" Type="http://schemas.openxmlformats.org/officeDocument/2006/relationships/hyperlink" Target="https://doi.org/10.1086/652384" TargetMode="External"/><Relationship Id="rId40" Type="http://schemas.openxmlformats.org/officeDocument/2006/relationships/hyperlink" Target="https://doi.org/10.1017/S0047279407001080"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16/j.ijintrel.2010.07.004" TargetMode="External"/><Relationship Id="rId23" Type="http://schemas.openxmlformats.org/officeDocument/2006/relationships/hyperlink" Target="https://doi.org/10.1023/B:JACP.0000039775.83318.57" TargetMode="External"/><Relationship Id="rId28" Type="http://schemas.openxmlformats.org/officeDocument/2006/relationships/hyperlink" Target="https://doi.org/10.1136/injuryprev-2011-040083" TargetMode="External"/><Relationship Id="rId36" Type="http://schemas.openxmlformats.org/officeDocument/2006/relationships/hyperlink" Target="https://doi.org/10.1002/ajcp.12123" TargetMode="External"/><Relationship Id="rId10" Type="http://schemas.openxmlformats.org/officeDocument/2006/relationships/hyperlink" Target="https://doi.org/10.1111/j.1745-9125.2008.00124.x" TargetMode="External"/><Relationship Id="rId19" Type="http://schemas.openxmlformats.org/officeDocument/2006/relationships/hyperlink" Target="https://doi.org/10.1002/jcop.1022" TargetMode="External"/><Relationship Id="rId31" Type="http://schemas.openxmlformats.org/officeDocument/2006/relationships/hyperlink" Target="https://doi.org/10.1111/1745-9133.12524"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doi.org/10.3109/01460862.2011.559768" TargetMode="External"/><Relationship Id="rId14" Type="http://schemas.openxmlformats.org/officeDocument/2006/relationships/hyperlink" Target="https://www.cps.gov.uk/legal-guidance/organised-crime-group-participating-activities" TargetMode="External"/><Relationship Id="rId22" Type="http://schemas.openxmlformats.org/officeDocument/2006/relationships/hyperlink" Target="https://doi.org/10.1093/police/paq020" TargetMode="External"/><Relationship Id="rId27" Type="http://schemas.openxmlformats.org/officeDocument/2006/relationships/hyperlink" Target="https://doi.org/10.1177/1461445617691703" TargetMode="External"/><Relationship Id="rId30" Type="http://schemas.openxmlformats.org/officeDocument/2006/relationships/hyperlink" Target="https://doi.org/10.1016/j.chiabu.2017.03.016" TargetMode="External"/><Relationship Id="rId35" Type="http://schemas.openxmlformats.org/officeDocument/2006/relationships/hyperlink" Target="https://doi.org/10.1016/j.jadohealth.2014.11.018" TargetMode="External"/><Relationship Id="rId43" Type="http://schemas.openxmlformats.org/officeDocument/2006/relationships/footer" Target="footer1.xml"/><Relationship Id="rId8" Type="http://schemas.openxmlformats.org/officeDocument/2006/relationships/hyperlink" Target="https://doi.org/10.1007/BF02242932" TargetMode="External"/><Relationship Id="rId3" Type="http://schemas.openxmlformats.org/officeDocument/2006/relationships/webSettings" Target="webSettings.xml"/><Relationship Id="rId12" Type="http://schemas.openxmlformats.org/officeDocument/2006/relationships/hyperlink" Target="https://doi.org/10.1177/0013916509347728" TargetMode="External"/><Relationship Id="rId17" Type="http://schemas.openxmlformats.org/officeDocument/2006/relationships/hyperlink" Target="https://doi.org/10.1177/21582440221095022" TargetMode="External"/><Relationship Id="rId25" Type="http://schemas.openxmlformats.org/officeDocument/2006/relationships/hyperlink" Target="https://doi.org/10.1093/cdj/38.4.332" TargetMode="External"/><Relationship Id="rId33" Type="http://schemas.openxmlformats.org/officeDocument/2006/relationships/hyperlink" Target="https://www.ons.gov.uk/peoplepopulationandcommunity/crimeandjustice/datasets/policeforceareadatatables" TargetMode="External"/><Relationship Id="rId38" Type="http://schemas.openxmlformats.org/officeDocument/2006/relationships/hyperlink" Target="https://doi.org/10.1080/15377938.2016.1187237" TargetMode="External"/><Relationship Id="rId46" Type="http://schemas.openxmlformats.org/officeDocument/2006/relationships/theme" Target="theme/theme1.xml"/><Relationship Id="rId20" Type="http://schemas.openxmlformats.org/officeDocument/2006/relationships/hyperlink" Target="https://doi.org/10.1080/00420980125533" TargetMode="External"/><Relationship Id="rId41" Type="http://schemas.openxmlformats.org/officeDocument/2006/relationships/hyperlink" Target="https://doi.org/10.1177/00420980187806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27</Pages>
  <Words>5773</Words>
  <Characters>32912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M. (826913)</dc:creator>
  <cp:keywords/>
  <dc:description/>
  <cp:lastModifiedBy>BARRY M. (826913)</cp:lastModifiedBy>
  <cp:revision>13</cp:revision>
  <dcterms:created xsi:type="dcterms:W3CDTF">2023-06-04T13:34:00Z</dcterms:created>
  <dcterms:modified xsi:type="dcterms:W3CDTF">2023-06-04T14:50:00Z</dcterms:modified>
</cp:coreProperties>
</file>