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9D318" w14:textId="77777777" w:rsidR="00F31FA2" w:rsidRPr="00F31FA2" w:rsidRDefault="00EF22A8" w:rsidP="00F31FA2">
      <w:pPr>
        <w:keepNext/>
        <w:keepLines/>
        <w:pBdr>
          <w:top w:val="nil"/>
          <w:left w:val="nil"/>
          <w:bottom w:val="nil"/>
          <w:right w:val="nil"/>
          <w:between w:val="nil"/>
        </w:pBdr>
        <w:spacing w:before="240" w:after="0" w:line="259" w:lineRule="auto"/>
        <w:rPr>
          <w:b/>
          <w:bCs/>
          <w:color w:val="000000" w:themeColor="text1"/>
          <w:sz w:val="28"/>
          <w:szCs w:val="28"/>
        </w:rPr>
      </w:pPr>
      <w:r w:rsidRPr="00F31FA2">
        <w:rPr>
          <w:noProof/>
        </w:rPr>
        <w:drawing>
          <wp:anchor distT="0" distB="0" distL="114300" distR="114300" simplePos="0" relativeHeight="251658240" behindDoc="0" locked="0" layoutInCell="1" allowOverlap="1" wp14:anchorId="4CAF1A4E" wp14:editId="02BCCE4C">
            <wp:simplePos x="0" y="0"/>
            <wp:positionH relativeFrom="column">
              <wp:posOffset>-552450</wp:posOffset>
            </wp:positionH>
            <wp:positionV relativeFrom="paragraph">
              <wp:posOffset>228600</wp:posOffset>
            </wp:positionV>
            <wp:extent cx="2486025" cy="1638300"/>
            <wp:effectExtent l="0" t="0" r="9525" b="0"/>
            <wp:wrapTopAndBottom/>
            <wp:docPr id="4" name="Picture 4"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University of Wales Trinity Saint David (UWTSD) | 4theReg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6025" cy="1638300"/>
                    </a:xfrm>
                    <a:prstGeom prst="rect">
                      <a:avLst/>
                    </a:prstGeom>
                    <a:noFill/>
                    <a:ln>
                      <a:noFill/>
                    </a:ln>
                  </pic:spPr>
                </pic:pic>
              </a:graphicData>
            </a:graphic>
          </wp:anchor>
        </w:drawing>
      </w:r>
      <w:proofErr w:type="gramStart"/>
      <w:r w:rsidR="004C3469" w:rsidRPr="00F31FA2">
        <w:rPr>
          <w:b/>
          <w:bCs/>
          <w:color w:val="000000" w:themeColor="text1"/>
          <w:sz w:val="28"/>
          <w:szCs w:val="28"/>
        </w:rPr>
        <w:t>NAME :</w:t>
      </w:r>
      <w:proofErr w:type="gramEnd"/>
      <w:r w:rsidR="004C3469" w:rsidRPr="00F31FA2">
        <w:rPr>
          <w:b/>
          <w:bCs/>
          <w:color w:val="000000" w:themeColor="text1"/>
          <w:sz w:val="28"/>
          <w:szCs w:val="28"/>
        </w:rPr>
        <w:t xml:space="preserve"> </w:t>
      </w:r>
      <w:r w:rsidR="00F31FA2" w:rsidRPr="00F31FA2">
        <w:rPr>
          <w:b/>
          <w:bCs/>
          <w:color w:val="000000" w:themeColor="text1"/>
          <w:sz w:val="28"/>
          <w:szCs w:val="28"/>
        </w:rPr>
        <w:t>MUHAMMED RASHAD THARAMANNIL</w:t>
      </w:r>
    </w:p>
    <w:p w14:paraId="70325D38" w14:textId="77777777" w:rsidR="00F31FA2" w:rsidRPr="00F31FA2" w:rsidRDefault="00F31FA2" w:rsidP="00F31FA2">
      <w:pPr>
        <w:keepNext/>
        <w:keepLines/>
        <w:pBdr>
          <w:top w:val="nil"/>
          <w:left w:val="nil"/>
          <w:bottom w:val="nil"/>
          <w:right w:val="nil"/>
          <w:between w:val="nil"/>
        </w:pBdr>
        <w:spacing w:before="240" w:after="0" w:line="259" w:lineRule="auto"/>
        <w:rPr>
          <w:b/>
          <w:bCs/>
          <w:color w:val="000000" w:themeColor="text1"/>
          <w:sz w:val="28"/>
          <w:szCs w:val="28"/>
        </w:rPr>
      </w:pPr>
      <w:r w:rsidRPr="00F31FA2">
        <w:rPr>
          <w:b/>
          <w:bCs/>
          <w:color w:val="000000" w:themeColor="text1"/>
          <w:sz w:val="28"/>
          <w:szCs w:val="28"/>
        </w:rPr>
        <w:t xml:space="preserve">STUDENT </w:t>
      </w:r>
      <w:proofErr w:type="gramStart"/>
      <w:r w:rsidRPr="00F31FA2">
        <w:rPr>
          <w:b/>
          <w:bCs/>
          <w:color w:val="000000" w:themeColor="text1"/>
          <w:sz w:val="28"/>
          <w:szCs w:val="28"/>
        </w:rPr>
        <w:t>NUMBER :</w:t>
      </w:r>
      <w:proofErr w:type="gramEnd"/>
      <w:r w:rsidRPr="00F31FA2">
        <w:rPr>
          <w:b/>
          <w:bCs/>
          <w:color w:val="000000" w:themeColor="text1"/>
          <w:sz w:val="28"/>
          <w:szCs w:val="28"/>
        </w:rPr>
        <w:t xml:space="preserve"> 2132190</w:t>
      </w:r>
    </w:p>
    <w:p w14:paraId="4020DD9E" w14:textId="77777777" w:rsidR="00F31FA2" w:rsidRPr="00F31FA2" w:rsidRDefault="00F31FA2" w:rsidP="00F31FA2">
      <w:pPr>
        <w:keepNext/>
        <w:keepLines/>
        <w:pBdr>
          <w:top w:val="nil"/>
          <w:left w:val="nil"/>
          <w:bottom w:val="nil"/>
          <w:right w:val="nil"/>
          <w:between w:val="nil"/>
        </w:pBdr>
        <w:spacing w:before="240" w:after="0" w:line="259" w:lineRule="auto"/>
        <w:rPr>
          <w:b/>
          <w:bCs/>
          <w:color w:val="000000" w:themeColor="text1"/>
          <w:sz w:val="28"/>
          <w:szCs w:val="28"/>
        </w:rPr>
      </w:pPr>
      <w:proofErr w:type="gramStart"/>
      <w:r w:rsidRPr="00F31FA2">
        <w:rPr>
          <w:b/>
          <w:bCs/>
          <w:color w:val="000000" w:themeColor="text1"/>
          <w:sz w:val="28"/>
          <w:szCs w:val="28"/>
        </w:rPr>
        <w:t>MODULE :</w:t>
      </w:r>
      <w:proofErr w:type="gramEnd"/>
      <w:r w:rsidRPr="00F31FA2">
        <w:rPr>
          <w:b/>
          <w:bCs/>
          <w:color w:val="000000" w:themeColor="text1"/>
          <w:sz w:val="28"/>
          <w:szCs w:val="28"/>
        </w:rPr>
        <w:t xml:space="preserve"> LCMB7000</w:t>
      </w:r>
    </w:p>
    <w:p w14:paraId="23D5BCCF" w14:textId="3B97B689" w:rsidR="00F31FA2" w:rsidRPr="00F31FA2" w:rsidRDefault="00F31FA2" w:rsidP="00F31FA2">
      <w:pPr>
        <w:keepNext/>
        <w:keepLines/>
        <w:pBdr>
          <w:top w:val="nil"/>
          <w:left w:val="nil"/>
          <w:bottom w:val="nil"/>
          <w:right w:val="nil"/>
          <w:between w:val="nil"/>
        </w:pBdr>
        <w:spacing w:before="240" w:after="0" w:line="259" w:lineRule="auto"/>
        <w:rPr>
          <w:b/>
          <w:bCs/>
          <w:color w:val="000000" w:themeColor="text1"/>
          <w:sz w:val="28"/>
          <w:szCs w:val="28"/>
        </w:rPr>
      </w:pPr>
      <w:proofErr w:type="gramStart"/>
      <w:r w:rsidRPr="00F31FA2">
        <w:rPr>
          <w:b/>
          <w:bCs/>
          <w:color w:val="000000" w:themeColor="text1"/>
          <w:sz w:val="28"/>
          <w:szCs w:val="28"/>
        </w:rPr>
        <w:t>LECTURER :GLADIUS</w:t>
      </w:r>
      <w:proofErr w:type="gramEnd"/>
      <w:r w:rsidRPr="00F31FA2">
        <w:rPr>
          <w:b/>
          <w:bCs/>
          <w:color w:val="000000" w:themeColor="text1"/>
          <w:sz w:val="28"/>
          <w:szCs w:val="28"/>
        </w:rPr>
        <w:t xml:space="preserve"> DAVID KULOTHUNGAN</w:t>
      </w:r>
    </w:p>
    <w:p w14:paraId="67E56007" w14:textId="77777777" w:rsidR="00F31FA2" w:rsidRPr="00F31FA2" w:rsidRDefault="00F31FA2" w:rsidP="00F31FA2">
      <w:pPr>
        <w:keepNext/>
        <w:keepLines/>
        <w:pBdr>
          <w:top w:val="nil"/>
          <w:left w:val="nil"/>
          <w:bottom w:val="nil"/>
          <w:right w:val="nil"/>
          <w:between w:val="nil"/>
        </w:pBdr>
        <w:spacing w:before="240" w:after="0" w:line="259" w:lineRule="auto"/>
        <w:rPr>
          <w:b/>
          <w:bCs/>
          <w:color w:val="000000" w:themeColor="text1"/>
          <w:sz w:val="28"/>
          <w:szCs w:val="28"/>
        </w:rPr>
      </w:pPr>
      <w:proofErr w:type="gramStart"/>
      <w:r w:rsidRPr="00F31FA2">
        <w:rPr>
          <w:b/>
          <w:bCs/>
          <w:color w:val="000000" w:themeColor="text1"/>
          <w:sz w:val="28"/>
          <w:szCs w:val="28"/>
        </w:rPr>
        <w:t>COURSE :</w:t>
      </w:r>
      <w:proofErr w:type="gramEnd"/>
      <w:r w:rsidRPr="00F31FA2">
        <w:rPr>
          <w:b/>
          <w:bCs/>
          <w:color w:val="000000" w:themeColor="text1"/>
          <w:sz w:val="28"/>
          <w:szCs w:val="28"/>
        </w:rPr>
        <w:t xml:space="preserve"> MBA HUMAN RESOURCE MANAGEMENT</w:t>
      </w:r>
    </w:p>
    <w:p w14:paraId="7A2159A4" w14:textId="77777777" w:rsidR="00F31FA2" w:rsidRPr="00F31FA2" w:rsidRDefault="00F31FA2" w:rsidP="00F31FA2">
      <w:pPr>
        <w:keepNext/>
        <w:keepLines/>
        <w:pBdr>
          <w:top w:val="nil"/>
          <w:left w:val="nil"/>
          <w:bottom w:val="nil"/>
          <w:right w:val="nil"/>
          <w:between w:val="nil"/>
        </w:pBdr>
        <w:spacing w:before="240" w:after="0" w:line="259" w:lineRule="auto"/>
        <w:rPr>
          <w:b/>
          <w:bCs/>
          <w:color w:val="000000" w:themeColor="text1"/>
          <w:sz w:val="28"/>
          <w:szCs w:val="28"/>
        </w:rPr>
      </w:pPr>
      <w:r w:rsidRPr="00F31FA2">
        <w:rPr>
          <w:b/>
          <w:bCs/>
          <w:color w:val="000000" w:themeColor="text1"/>
          <w:sz w:val="28"/>
          <w:szCs w:val="28"/>
        </w:rPr>
        <w:t xml:space="preserve">SUBMISSION </w:t>
      </w:r>
      <w:proofErr w:type="gramStart"/>
      <w:r w:rsidRPr="00F31FA2">
        <w:rPr>
          <w:b/>
          <w:bCs/>
          <w:color w:val="000000" w:themeColor="text1"/>
          <w:sz w:val="28"/>
          <w:szCs w:val="28"/>
        </w:rPr>
        <w:t>DATE :</w:t>
      </w:r>
      <w:proofErr w:type="gramEnd"/>
      <w:r w:rsidRPr="00F31FA2">
        <w:rPr>
          <w:b/>
          <w:bCs/>
          <w:color w:val="000000" w:themeColor="text1"/>
          <w:sz w:val="28"/>
          <w:szCs w:val="28"/>
        </w:rPr>
        <w:t xml:space="preserve"> 10/09/2022</w:t>
      </w:r>
    </w:p>
    <w:p w14:paraId="1EA4B7B6" w14:textId="491608B1" w:rsidR="00EF22A8" w:rsidRPr="00F31FA2" w:rsidRDefault="00F31FA2" w:rsidP="00F31FA2">
      <w:pPr>
        <w:keepNext/>
        <w:keepLines/>
        <w:pBdr>
          <w:top w:val="nil"/>
          <w:left w:val="nil"/>
          <w:bottom w:val="nil"/>
          <w:right w:val="nil"/>
          <w:between w:val="nil"/>
        </w:pBdr>
        <w:spacing w:before="240" w:after="0" w:line="259" w:lineRule="auto"/>
        <w:rPr>
          <w:b/>
          <w:bCs/>
          <w:color w:val="000000" w:themeColor="text1"/>
          <w:sz w:val="28"/>
          <w:szCs w:val="28"/>
        </w:rPr>
      </w:pPr>
      <w:proofErr w:type="gramStart"/>
      <w:r w:rsidRPr="00F31FA2">
        <w:rPr>
          <w:b/>
          <w:bCs/>
          <w:color w:val="000000" w:themeColor="text1"/>
          <w:sz w:val="28"/>
          <w:szCs w:val="28"/>
        </w:rPr>
        <w:t>TITLE :HUMAN</w:t>
      </w:r>
      <w:proofErr w:type="gramEnd"/>
      <w:r w:rsidRPr="00F31FA2">
        <w:rPr>
          <w:b/>
          <w:bCs/>
          <w:color w:val="000000" w:themeColor="text1"/>
          <w:sz w:val="28"/>
          <w:szCs w:val="28"/>
        </w:rPr>
        <w:t xml:space="preserve"> RESOURCE MANAGEMENT ASSESSMENT 1</w:t>
      </w:r>
      <w:r w:rsidR="00EF22A8" w:rsidRPr="00F31FA2">
        <w:rPr>
          <w:b/>
          <w:bCs/>
          <w:color w:val="000000" w:themeColor="text1"/>
          <w:sz w:val="28"/>
          <w:szCs w:val="28"/>
        </w:rPr>
        <w:br w:type="page"/>
      </w:r>
    </w:p>
    <w:p w14:paraId="773E4A1A" w14:textId="77777777" w:rsidR="00EF22A8" w:rsidRDefault="00EF22A8" w:rsidP="00F31FA2">
      <w:pPr>
        <w:keepNext/>
        <w:keepLines/>
        <w:pBdr>
          <w:top w:val="nil"/>
          <w:left w:val="nil"/>
          <w:bottom w:val="nil"/>
          <w:right w:val="nil"/>
          <w:between w:val="nil"/>
        </w:pBdr>
        <w:spacing w:before="240" w:after="0" w:line="259" w:lineRule="auto"/>
        <w:jc w:val="left"/>
        <w:rPr>
          <w:color w:val="2E75B5"/>
          <w:sz w:val="28"/>
          <w:szCs w:val="28"/>
        </w:rPr>
      </w:pPr>
    </w:p>
    <w:p w14:paraId="00000001" w14:textId="224726B5" w:rsidR="00A357C9" w:rsidRDefault="00931EAE" w:rsidP="00F31FA2">
      <w:pPr>
        <w:keepNext/>
        <w:keepLines/>
        <w:pBdr>
          <w:top w:val="nil"/>
          <w:left w:val="nil"/>
          <w:bottom w:val="nil"/>
          <w:right w:val="nil"/>
          <w:between w:val="nil"/>
        </w:pBdr>
        <w:spacing w:before="240" w:after="0" w:line="259" w:lineRule="auto"/>
        <w:jc w:val="left"/>
        <w:rPr>
          <w:color w:val="2E75B5"/>
          <w:sz w:val="28"/>
          <w:szCs w:val="28"/>
        </w:rPr>
      </w:pPr>
      <w:r>
        <w:rPr>
          <w:color w:val="2E75B5"/>
          <w:sz w:val="28"/>
          <w:szCs w:val="28"/>
        </w:rPr>
        <w:t>TABLE OF CONTENTS</w:t>
      </w:r>
    </w:p>
    <w:p w14:paraId="00000002" w14:textId="77777777" w:rsidR="00A357C9" w:rsidRDefault="00A357C9"/>
    <w:sdt>
      <w:sdtPr>
        <w:id w:val="1335035381"/>
        <w:docPartObj>
          <w:docPartGallery w:val="Table of Contents"/>
          <w:docPartUnique/>
        </w:docPartObj>
      </w:sdtPr>
      <w:sdtEndPr/>
      <w:sdtContent>
        <w:p w14:paraId="00000003" w14:textId="12697696" w:rsidR="00A357C9" w:rsidRDefault="00931EAE">
          <w:pPr>
            <w:pBdr>
              <w:top w:val="nil"/>
              <w:left w:val="nil"/>
              <w:bottom w:val="nil"/>
              <w:right w:val="nil"/>
              <w:between w:val="nil"/>
            </w:pBdr>
            <w:tabs>
              <w:tab w:val="left" w:pos="440"/>
              <w:tab w:val="right" w:pos="9350"/>
            </w:tabs>
            <w:spacing w:after="100"/>
            <w:rPr>
              <w:color w:val="000000"/>
            </w:rPr>
          </w:pPr>
          <w:r>
            <w:fldChar w:fldCharType="begin"/>
          </w:r>
          <w:r>
            <w:instrText xml:space="preserve"> TOC \h \u \z </w:instrText>
          </w:r>
          <w:r>
            <w:fldChar w:fldCharType="separate"/>
          </w:r>
          <w:hyperlink w:anchor="_gjdgxs">
            <w:r>
              <w:rPr>
                <w:color w:val="000000"/>
              </w:rPr>
              <w:t>1.</w:t>
            </w:r>
            <w:r>
              <w:rPr>
                <w:color w:val="000000"/>
              </w:rPr>
              <w:tab/>
              <w:t>INTRODUCTION</w:t>
            </w:r>
            <w:r>
              <w:rPr>
                <w:color w:val="000000"/>
              </w:rPr>
              <w:tab/>
            </w:r>
            <w:r w:rsidR="00EF22A8">
              <w:rPr>
                <w:color w:val="000000"/>
              </w:rPr>
              <w:t>3</w:t>
            </w:r>
          </w:hyperlink>
        </w:p>
        <w:p w14:paraId="00000004" w14:textId="0B1CF490" w:rsidR="00A357C9" w:rsidRDefault="00931EAE">
          <w:pPr>
            <w:pBdr>
              <w:top w:val="nil"/>
              <w:left w:val="nil"/>
              <w:bottom w:val="nil"/>
              <w:right w:val="nil"/>
              <w:between w:val="nil"/>
            </w:pBdr>
            <w:tabs>
              <w:tab w:val="left" w:pos="440"/>
              <w:tab w:val="right" w:pos="9350"/>
            </w:tabs>
            <w:spacing w:after="100"/>
            <w:rPr>
              <w:color w:val="000000"/>
            </w:rPr>
          </w:pPr>
          <w:hyperlink w:anchor="_30j0zll">
            <w:r>
              <w:rPr>
                <w:color w:val="000000"/>
              </w:rPr>
              <w:t>2.</w:t>
            </w:r>
            <w:r>
              <w:rPr>
                <w:color w:val="000000"/>
              </w:rPr>
              <w:tab/>
              <w:t>CURRENT STATE OF LABOR MARKET IN THE UK</w:t>
            </w:r>
            <w:r>
              <w:rPr>
                <w:color w:val="000000"/>
              </w:rPr>
              <w:tab/>
            </w:r>
            <w:r w:rsidR="00EF22A8">
              <w:rPr>
                <w:color w:val="000000"/>
              </w:rPr>
              <w:t>3</w:t>
            </w:r>
          </w:hyperlink>
        </w:p>
        <w:p w14:paraId="00000005" w14:textId="321700EB" w:rsidR="00A357C9" w:rsidRDefault="00931EAE">
          <w:pPr>
            <w:pBdr>
              <w:top w:val="nil"/>
              <w:left w:val="nil"/>
              <w:bottom w:val="nil"/>
              <w:right w:val="nil"/>
              <w:between w:val="nil"/>
            </w:pBdr>
            <w:tabs>
              <w:tab w:val="left" w:pos="440"/>
              <w:tab w:val="right" w:pos="9350"/>
            </w:tabs>
            <w:spacing w:after="100"/>
            <w:rPr>
              <w:color w:val="000000"/>
            </w:rPr>
          </w:pPr>
          <w:hyperlink w:anchor="_1fob9te">
            <w:r>
              <w:rPr>
                <w:color w:val="000000"/>
              </w:rPr>
              <w:t>3.</w:t>
            </w:r>
            <w:r>
              <w:rPr>
                <w:color w:val="000000"/>
              </w:rPr>
              <w:tab/>
            </w:r>
            <w:r>
              <w:rPr>
                <w:color w:val="000000"/>
              </w:rPr>
              <w:t>THE EMERGING CHANGES IN THE HUMAN RESOURCING STRATEGIES IN THE POST-COVID, POST-BREXIT EXTERNAL ENVIRONMENT</w:t>
            </w:r>
            <w:r>
              <w:rPr>
                <w:color w:val="000000"/>
              </w:rPr>
              <w:tab/>
            </w:r>
            <w:r w:rsidR="00EF22A8">
              <w:rPr>
                <w:color w:val="000000"/>
              </w:rPr>
              <w:t>6</w:t>
            </w:r>
          </w:hyperlink>
        </w:p>
        <w:p w14:paraId="00000006" w14:textId="75373D65" w:rsidR="00A357C9" w:rsidRDefault="00931EAE">
          <w:pPr>
            <w:pBdr>
              <w:top w:val="nil"/>
              <w:left w:val="nil"/>
              <w:bottom w:val="nil"/>
              <w:right w:val="nil"/>
              <w:between w:val="nil"/>
            </w:pBdr>
            <w:tabs>
              <w:tab w:val="left" w:pos="440"/>
              <w:tab w:val="right" w:pos="9350"/>
            </w:tabs>
            <w:spacing w:after="100"/>
            <w:rPr>
              <w:color w:val="000000"/>
            </w:rPr>
          </w:pPr>
          <w:hyperlink w:anchor="_3znysh7">
            <w:r>
              <w:rPr>
                <w:color w:val="000000"/>
              </w:rPr>
              <w:t>4.</w:t>
            </w:r>
            <w:r>
              <w:rPr>
                <w:color w:val="000000"/>
              </w:rPr>
              <w:tab/>
              <w:t>CONCLUSION</w:t>
            </w:r>
            <w:r>
              <w:rPr>
                <w:color w:val="000000"/>
              </w:rPr>
              <w:tab/>
            </w:r>
            <w:r w:rsidR="00EF22A8">
              <w:rPr>
                <w:color w:val="000000"/>
              </w:rPr>
              <w:t>10</w:t>
            </w:r>
          </w:hyperlink>
        </w:p>
        <w:p w14:paraId="00000007" w14:textId="03EDED04" w:rsidR="00A357C9" w:rsidRDefault="00931EAE">
          <w:pPr>
            <w:pBdr>
              <w:top w:val="nil"/>
              <w:left w:val="nil"/>
              <w:bottom w:val="nil"/>
              <w:right w:val="nil"/>
              <w:between w:val="nil"/>
            </w:pBdr>
            <w:tabs>
              <w:tab w:val="left" w:pos="440"/>
              <w:tab w:val="right" w:pos="9350"/>
            </w:tabs>
            <w:spacing w:after="100"/>
            <w:rPr>
              <w:color w:val="000000"/>
            </w:rPr>
          </w:pPr>
          <w:hyperlink w:anchor="_2et92p0">
            <w:r>
              <w:rPr>
                <w:color w:val="000000"/>
              </w:rPr>
              <w:t>5.</w:t>
            </w:r>
            <w:r>
              <w:rPr>
                <w:color w:val="000000"/>
              </w:rPr>
              <w:tab/>
              <w:t>REFERENCES</w:t>
            </w:r>
            <w:r>
              <w:rPr>
                <w:color w:val="000000"/>
              </w:rPr>
              <w:tab/>
            </w:r>
            <w:r w:rsidR="00EF22A8">
              <w:rPr>
                <w:color w:val="000000"/>
              </w:rPr>
              <w:t>10</w:t>
            </w:r>
          </w:hyperlink>
        </w:p>
        <w:p w14:paraId="00000008" w14:textId="77777777" w:rsidR="00A357C9" w:rsidRDefault="00931EAE">
          <w:r>
            <w:fldChar w:fldCharType="end"/>
          </w:r>
        </w:p>
      </w:sdtContent>
    </w:sdt>
    <w:p w14:paraId="00000009" w14:textId="77777777" w:rsidR="00A357C9" w:rsidRDefault="00A357C9">
      <w:pPr>
        <w:pStyle w:val="Heading1"/>
      </w:pPr>
    </w:p>
    <w:p w14:paraId="0000000A" w14:textId="77777777" w:rsidR="00A357C9" w:rsidRDefault="00A357C9"/>
    <w:p w14:paraId="0000000B" w14:textId="77777777" w:rsidR="00A357C9" w:rsidRDefault="00A357C9"/>
    <w:p w14:paraId="0000000C" w14:textId="77777777" w:rsidR="00A357C9" w:rsidRDefault="00A357C9"/>
    <w:p w14:paraId="0000000D" w14:textId="77777777" w:rsidR="00A357C9" w:rsidRDefault="00A357C9"/>
    <w:p w14:paraId="0000000E" w14:textId="77777777" w:rsidR="00A357C9" w:rsidRDefault="00A357C9"/>
    <w:p w14:paraId="0000000F" w14:textId="77777777" w:rsidR="00A357C9" w:rsidRDefault="00A357C9"/>
    <w:p w14:paraId="00000010" w14:textId="77777777" w:rsidR="00A357C9" w:rsidRDefault="00A357C9"/>
    <w:p w14:paraId="00000011" w14:textId="77777777" w:rsidR="00A357C9" w:rsidRDefault="00A357C9"/>
    <w:p w14:paraId="00000012" w14:textId="77777777" w:rsidR="00A357C9" w:rsidRDefault="00A357C9"/>
    <w:p w14:paraId="00000013" w14:textId="77777777" w:rsidR="00A357C9" w:rsidRDefault="00A357C9"/>
    <w:p w14:paraId="00000014" w14:textId="77777777" w:rsidR="00A357C9" w:rsidRDefault="00A357C9"/>
    <w:p w14:paraId="00000015" w14:textId="77777777" w:rsidR="00A357C9" w:rsidRDefault="00A357C9"/>
    <w:p w14:paraId="00000016" w14:textId="77777777" w:rsidR="00A357C9" w:rsidRDefault="00A357C9"/>
    <w:p w14:paraId="00000017" w14:textId="77777777" w:rsidR="00A357C9" w:rsidRDefault="00931EAE">
      <w:pPr>
        <w:pStyle w:val="Heading1"/>
        <w:numPr>
          <w:ilvl w:val="0"/>
          <w:numId w:val="1"/>
        </w:numPr>
      </w:pPr>
      <w:bookmarkStart w:id="0" w:name="_gjdgxs" w:colFirst="0" w:colLast="0"/>
      <w:bookmarkEnd w:id="0"/>
      <w:r>
        <w:lastRenderedPageBreak/>
        <w:t>INTRODUCTION</w:t>
      </w:r>
    </w:p>
    <w:p w14:paraId="00000018" w14:textId="77777777" w:rsidR="00A357C9" w:rsidRDefault="00931EAE">
      <w:r>
        <w:t xml:space="preserve">The report carefully describes the UK </w:t>
      </w:r>
      <w:proofErr w:type="spellStart"/>
      <w:r>
        <w:t>labour</w:t>
      </w:r>
      <w:proofErr w:type="spellEnd"/>
      <w:r>
        <w:t xml:space="preserve"> market's existing situation as well as the impending changes to human resource management strategies in the post-Covid, post-Brexit external climate. The COVID-19 difficulty and the post-Brexit affect working li</w:t>
      </w:r>
      <w:r>
        <w:t>ves. The emergency situation fills in as an indication of the employment relations field's constant importance and relevance for both strategy and exploration (</w:t>
      </w:r>
      <w:proofErr w:type="spellStart"/>
      <w:r>
        <w:t>Su</w:t>
      </w:r>
      <w:proofErr w:type="spellEnd"/>
      <w:r>
        <w:t xml:space="preserve"> et al., 2021).</w:t>
      </w:r>
    </w:p>
    <w:p w14:paraId="00000019" w14:textId="77777777" w:rsidR="00A357C9" w:rsidRDefault="00A357C9"/>
    <w:p w14:paraId="0000001A" w14:textId="77777777" w:rsidR="00A357C9" w:rsidRDefault="00931EAE">
      <w:pPr>
        <w:pStyle w:val="Heading1"/>
        <w:numPr>
          <w:ilvl w:val="0"/>
          <w:numId w:val="1"/>
        </w:numPr>
      </w:pPr>
      <w:bookmarkStart w:id="1" w:name="_30j0zll" w:colFirst="0" w:colLast="0"/>
      <w:bookmarkEnd w:id="1"/>
      <w:r>
        <w:t>CURRENT STATE OF LABOR MARKET IN THE UK</w:t>
      </w:r>
    </w:p>
    <w:p w14:paraId="0000001B" w14:textId="77777777" w:rsidR="00A357C9" w:rsidRDefault="00931EAE">
      <w:r>
        <w:t>As per the Recruitment and Employment</w:t>
      </w:r>
      <w:r>
        <w:t xml:space="preserve"> Confederation, the number of open situations in the UK arrived at a record high. This is confirmation that the </w:t>
      </w:r>
      <w:proofErr w:type="spellStart"/>
      <w:r>
        <w:t>labour</w:t>
      </w:r>
      <w:proofErr w:type="spellEnd"/>
      <w:r>
        <w:t xml:space="preserve"> market is still verifiably tight. In the week completing June 12, organizations posted 1.69 million work potential open doors — a record </w:t>
      </w:r>
      <w:r>
        <w:t>for 2022 (</w:t>
      </w:r>
      <w:proofErr w:type="spellStart"/>
      <w:r>
        <w:t>Romanko</w:t>
      </w:r>
      <w:proofErr w:type="spellEnd"/>
      <w:r>
        <w:t xml:space="preserve"> and </w:t>
      </w:r>
      <w:proofErr w:type="spellStart"/>
      <w:r>
        <w:t>O'mahony</w:t>
      </w:r>
      <w:proofErr w:type="spellEnd"/>
      <w:r>
        <w:t xml:space="preserve">, 2022). For all intents and purposes, all occupations itemized gains. Late years have experienced the impact of a colossal position in the UK </w:t>
      </w:r>
      <w:proofErr w:type="spellStart"/>
      <w:r>
        <w:t>labour</w:t>
      </w:r>
      <w:proofErr w:type="spellEnd"/>
      <w:r>
        <w:t xml:space="preserve"> market, as seen by record-high business rates. The </w:t>
      </w:r>
      <w:proofErr w:type="spellStart"/>
      <w:r>
        <w:t>labour</w:t>
      </w:r>
      <w:proofErr w:type="spellEnd"/>
      <w:r>
        <w:t xml:space="preserve"> market was depicte</w:t>
      </w:r>
      <w:r>
        <w:t>d as "tight" in these circumstances (</w:t>
      </w:r>
      <w:proofErr w:type="spellStart"/>
      <w:r>
        <w:t>Romanko</w:t>
      </w:r>
      <w:proofErr w:type="spellEnd"/>
      <w:r>
        <w:t xml:space="preserve"> and </w:t>
      </w:r>
      <w:proofErr w:type="spellStart"/>
      <w:r>
        <w:t>O'mahony</w:t>
      </w:r>
      <w:proofErr w:type="spellEnd"/>
      <w:r>
        <w:t>, 2022).</w:t>
      </w:r>
    </w:p>
    <w:p w14:paraId="0000001C" w14:textId="77777777" w:rsidR="00A357C9" w:rsidRDefault="00931EAE">
      <w:proofErr w:type="spellStart"/>
      <w:r>
        <w:t>Schomberg</w:t>
      </w:r>
      <w:proofErr w:type="spellEnd"/>
      <w:r>
        <w:t xml:space="preserve"> and Milliken (2022) check that the joblessness rate in 2022 will remain at 3.8% for the three months polishing off with June, which is close to 50 years low, despite the Bank of En</w:t>
      </w:r>
      <w:r>
        <w:t>gland gauge that the economy is presumably going to enter a slump in the near future. Interestingly, with the quarter prior, 160,000 extra individuals were working during the extended lengths of April and June (</w:t>
      </w:r>
      <w:proofErr w:type="spellStart"/>
      <w:r>
        <w:t>Schomberg</w:t>
      </w:r>
      <w:proofErr w:type="spellEnd"/>
      <w:r>
        <w:t xml:space="preserve"> and Milliken, 2022). A little devel</w:t>
      </w:r>
      <w:r>
        <w:t>opment in the quantity of jobless individuals was achieved by people entering the labor force again to look for work. Strangely since mid-2020, business open doors in the three months making ready to July lessened, nonetheless, they floated around a record</w:t>
      </w:r>
      <w:r>
        <w:t xml:space="preserve"> high at 1.274 million (Rolf, O'Reilly and </w:t>
      </w:r>
      <w:proofErr w:type="spellStart"/>
      <w:r>
        <w:t>Meryon</w:t>
      </w:r>
      <w:proofErr w:type="spellEnd"/>
      <w:r>
        <w:t>, 2022).</w:t>
      </w:r>
    </w:p>
    <w:p w14:paraId="0000001D" w14:textId="77777777" w:rsidR="00A357C9" w:rsidRDefault="00931EAE">
      <w:r>
        <w:t xml:space="preserve">In 2022, McCabe anticipated that the constant absence of </w:t>
      </w:r>
      <w:proofErr w:type="spellStart"/>
      <w:r>
        <w:t>labourers</w:t>
      </w:r>
      <w:proofErr w:type="spellEnd"/>
      <w:r>
        <w:t xml:space="preserve"> who could fill openings would control the unemployment rate. Regardless of a stoppage in recruiting, McCabe predicts that the unemp</w:t>
      </w:r>
      <w:r>
        <w:t xml:space="preserve">loyment rate will remain generally consistent until the end of the year 2022. "UK organizations are more inclined to accumulate than to shed </w:t>
      </w:r>
      <w:r>
        <w:lastRenderedPageBreak/>
        <w:t>work while confronting work deficiencies." It surmises that the joblessness rate won't move until the focal point o</w:t>
      </w:r>
      <w:r>
        <w:t>f 2023 when it will then create to 6.3% in three years. The national bank declared recently that it had expanded acquiring expenses to their most significant level starting around 1995 and that it was ready to make a cruel move assuming that the strain con</w:t>
      </w:r>
      <w:r>
        <w:t>tinued (</w:t>
      </w:r>
      <w:proofErr w:type="spellStart"/>
      <w:r>
        <w:t>Galik</w:t>
      </w:r>
      <w:proofErr w:type="spellEnd"/>
      <w:r>
        <w:t xml:space="preserve"> et al., 2022).</w:t>
      </w:r>
    </w:p>
    <w:p w14:paraId="0000001E" w14:textId="77777777" w:rsidR="00A357C9" w:rsidRDefault="00931EAE">
      <w:r>
        <w:t xml:space="preserve">To a great extent because of a deficiency of both homegrown and global employees, Britain's </w:t>
      </w:r>
      <w:proofErr w:type="spellStart"/>
      <w:r>
        <w:t>labour</w:t>
      </w:r>
      <w:proofErr w:type="spellEnd"/>
      <w:r>
        <w:t xml:space="preserve"> market rose out of the Covid pandemic with unemployment at its least levels starting around 1974. Bosses have answered by raisin</w:t>
      </w:r>
      <w:r>
        <w:t>g wages to tempt and hold workers (</w:t>
      </w:r>
      <w:proofErr w:type="spellStart"/>
      <w:r>
        <w:t>Pizzinelli</w:t>
      </w:r>
      <w:proofErr w:type="spellEnd"/>
      <w:r>
        <w:t xml:space="preserve"> and Shibata, 2022). The second quarter's 4.7% increment in compensations, barring rewards, was quicker than the three months before to May, as per measurements from the Office for National Statistics, raising w</w:t>
      </w:r>
      <w:r>
        <w:t xml:space="preserve">orries at the Bank of England. Notwithstanding, regardless of the expansion in </w:t>
      </w:r>
      <w:proofErr w:type="spellStart"/>
      <w:r>
        <w:t>centre</w:t>
      </w:r>
      <w:proofErr w:type="spellEnd"/>
      <w:r>
        <w:t xml:space="preserve"> compensation, </w:t>
      </w:r>
      <w:proofErr w:type="spellStart"/>
      <w:r>
        <w:t>labourers</w:t>
      </w:r>
      <w:proofErr w:type="spellEnd"/>
      <w:r>
        <w:t xml:space="preserve"> are beginning to feel the squeeze from the inflationary spike. The biggest abatement in profit since records started in 2001 was 4.1% when profits</w:t>
      </w:r>
      <w:r>
        <w:t xml:space="preserve"> were scaled down for the consumer file index (Oulton, 2022).</w:t>
      </w:r>
    </w:p>
    <w:p w14:paraId="0000001F" w14:textId="77777777" w:rsidR="00A357C9" w:rsidRDefault="00931EAE">
      <w:proofErr w:type="spellStart"/>
      <w:r>
        <w:t>Cominetti</w:t>
      </w:r>
      <w:proofErr w:type="spellEnd"/>
      <w:r>
        <w:t xml:space="preserve"> et al. (2022) claim that since pay development gauges keep on being dishonestly expanded by the impacts of the vacation program from the earlier year, the level of this pay enduring is</w:t>
      </w:r>
      <w:r>
        <w:t xml:space="preserve"> extensively more noteworthy than true information shows. As per specialists studied by Gomez-</w:t>
      </w:r>
      <w:proofErr w:type="spellStart"/>
      <w:r>
        <w:t>Baggethun</w:t>
      </w:r>
      <w:proofErr w:type="spellEnd"/>
      <w:r>
        <w:t xml:space="preserve"> in 2022, purchaser costs moved by 9.8% in the year that finished in July. The Bank of England surmises that the augmentation would show up at 13.3% in O</w:t>
      </w:r>
      <w:r>
        <w:t xml:space="preserve">ctober, which would be a record high beginning around 1980. </w:t>
      </w:r>
    </w:p>
    <w:p w14:paraId="00000020" w14:textId="77777777" w:rsidR="00A357C9" w:rsidRDefault="00931EAE">
      <w:r>
        <w:t xml:space="preserve">According to the most recent, Labor Force Survey (LFS) figures for the time February to April 2022, the </w:t>
      </w:r>
      <w:proofErr w:type="spellStart"/>
      <w:r>
        <w:t>labour</w:t>
      </w:r>
      <w:proofErr w:type="spellEnd"/>
      <w:r>
        <w:t xml:space="preserve"> rate extended while the speeds of joblessness and money-related idleness declined. T</w:t>
      </w:r>
      <w:r>
        <w:t xml:space="preserve">he </w:t>
      </w:r>
      <w:proofErr w:type="spellStart"/>
      <w:r>
        <w:t>labour</w:t>
      </w:r>
      <w:proofErr w:type="spellEnd"/>
      <w:r>
        <w:t xml:space="preserve"> rate in the UK filled in the quarter by 0.2 rate </w:t>
      </w:r>
      <w:proofErr w:type="spellStart"/>
      <w:r>
        <w:t>centres</w:t>
      </w:r>
      <w:proofErr w:type="spellEnd"/>
      <w:r>
        <w:t xml:space="preserve"> to 75.6%, be that as it may, it is still under pre-Covid (COVID-19) pandemic levels. Over the quarter, there were more full-time workers than some other time, though this was by and large o</w:t>
      </w:r>
      <w:r>
        <w:t xml:space="preserve">ffset by a drop in the number of temporary </w:t>
      </w:r>
      <w:proofErr w:type="spellStart"/>
      <w:r>
        <w:t>labourers</w:t>
      </w:r>
      <w:proofErr w:type="spellEnd"/>
      <w:r>
        <w:t xml:space="preserve">. Even though it has expanded over the past quarter, the quantity of independently employed individuals has stayed low since the Covid pandemic (Bowyer and Dorsett, 2022). </w:t>
      </w:r>
    </w:p>
    <w:p w14:paraId="00000021" w14:textId="77777777" w:rsidR="00A357C9" w:rsidRDefault="00931EAE">
      <w:r>
        <w:lastRenderedPageBreak/>
        <w:t>The most state-of-the-art measu</w:t>
      </w:r>
      <w:r>
        <w:t xml:space="preserve">re of </w:t>
      </w:r>
      <w:proofErr w:type="spellStart"/>
      <w:r>
        <w:t>payrolled</w:t>
      </w:r>
      <w:proofErr w:type="spellEnd"/>
      <w:r>
        <w:t xml:space="preserve"> </w:t>
      </w:r>
      <w:proofErr w:type="spellStart"/>
      <w:r>
        <w:t>labourers</w:t>
      </w:r>
      <w:proofErr w:type="spellEnd"/>
      <w:r>
        <w:t xml:space="preserve"> for May 2022 shows every month-to-month addition of 90,000 over the changed April 2022 check to a record 29.6 million. In contrast with the earlier quarter, the absolute genuine week-by-week hours worked expanded by 12.2 million h</w:t>
      </w:r>
      <w:r>
        <w:t xml:space="preserve">ours to 1.04 billion hours from February to April 2022. Yet, this is as yet 7.6 million not exactly before the Covid outbreak. With part-time </w:t>
      </w:r>
      <w:proofErr w:type="spellStart"/>
      <w:r>
        <w:t>labourers</w:t>
      </w:r>
      <w:proofErr w:type="spellEnd"/>
      <w:r>
        <w:t xml:space="preserve"> averaging 0.6 hours more each week than they did precede the Covid pandemic, week after week normal hour</w:t>
      </w:r>
      <w:r>
        <w:t>s worked, have now recuperated to levels looking like those seen before the pandemic. Subsequently, the decline in business is to be faulted for the abatement in all-out hours contrasted with pre-Covid (Duval et al., 2022).</w:t>
      </w:r>
    </w:p>
    <w:p w14:paraId="00000022" w14:textId="77777777" w:rsidR="00A357C9" w:rsidRDefault="00931EAE">
      <w:r>
        <w:t xml:space="preserve"> For the quarter polishing off w</w:t>
      </w:r>
      <w:r>
        <w:t xml:space="preserve">ith April 2022, the joblessness rate dropped by 0.2 rate </w:t>
      </w:r>
      <w:proofErr w:type="spellStart"/>
      <w:r>
        <w:t>centres</w:t>
      </w:r>
      <w:proofErr w:type="spellEnd"/>
      <w:r>
        <w:t xml:space="preserve"> to 3.8%. The principal increase since late 2020 was found in the most recent three-month time span among those without an errand for up to a half year. The number of individuals without a tas</w:t>
      </w:r>
      <w:r>
        <w:t>k for over a half year diminished to balance this, and the number of individuals without a task for somewhere in the range of six and a year arrived at an extraordinary failure. Furthermore, the number of individuals without a job for over a year fell. Fro</w:t>
      </w:r>
      <w:r>
        <w:t>m February to April 2022, the pace of financial inertia dropped by 0.1 rate focuses to 21.3%. The people who were financially latent because they were understudies were generally answerable for the abatement in monetary dormancy when contrasted with the pr</w:t>
      </w:r>
      <w:r>
        <w:t xml:space="preserve">evious three months (Trinh and </w:t>
      </w:r>
      <w:proofErr w:type="spellStart"/>
      <w:r>
        <w:t>Bukodi</w:t>
      </w:r>
      <w:proofErr w:type="spellEnd"/>
      <w:r>
        <w:t xml:space="preserve">, 2021). </w:t>
      </w:r>
    </w:p>
    <w:p w14:paraId="00000023" w14:textId="77777777" w:rsidR="00A357C9" w:rsidRDefault="00931EAE">
      <w:r>
        <w:t>There were a record-breaking 1,300,000 accessible situations from March to May 2022. The pace of expansion in opportunities did, be that as it may, continue to dial back. During February and April 2022, the no</w:t>
      </w:r>
      <w:r>
        <w:t>rmal complete compensation of representatives expanded by 6.8% while the ordinary compensation, which prohibits rewards, expanded by 4.2%. Genuine absolute compensation development expanded by 0.4% (expansion changed), however customary compensation dimini</w:t>
      </w:r>
      <w:r>
        <w:t xml:space="preserve">shed by 2.2% throughout the year because of enormous extra instalments. The earlier months' high development rates were affected by the base and compositional impacts. These first transient variables have disappeared (Davies and </w:t>
      </w:r>
      <w:proofErr w:type="spellStart"/>
      <w:r>
        <w:t>Kolaczkowski</w:t>
      </w:r>
      <w:proofErr w:type="spellEnd"/>
      <w:r>
        <w:t>, 2022).</w:t>
      </w:r>
    </w:p>
    <w:p w14:paraId="00000024" w14:textId="77777777" w:rsidR="00A357C9" w:rsidRDefault="00931EAE">
      <w:pPr>
        <w:pStyle w:val="Heading1"/>
        <w:numPr>
          <w:ilvl w:val="0"/>
          <w:numId w:val="1"/>
        </w:numPr>
      </w:pPr>
      <w:bookmarkStart w:id="2" w:name="_1fob9te" w:colFirst="0" w:colLast="0"/>
      <w:bookmarkEnd w:id="2"/>
      <w:r>
        <w:lastRenderedPageBreak/>
        <w:t>THE EM</w:t>
      </w:r>
      <w:r>
        <w:t>ERGING CHANGES IN THE HUMAN RESOURCING STRATEGIES IN THE POST-COVID, POST-BREXIT EXTERNAL ENVIRONMENT</w:t>
      </w:r>
    </w:p>
    <w:p w14:paraId="00000025" w14:textId="77777777" w:rsidR="00A357C9" w:rsidRDefault="00931EAE">
      <w:r>
        <w:t>Organizational reforms were commanded by the COVID-19 emergency to keep up with the reasonability of the organization's activities. Because of its effect on the presentation of the whole organization, work execution has all the impact of being a key determ</w:t>
      </w:r>
      <w:r>
        <w:t>inant deciding such continuation. Associations found it trying to shape and stay aware of work execution during the COVID-19 pandemic due to its unfortunate results for delegates, which provoked their tension or nonattendance of wellbeing (Hou et al., 2021</w:t>
      </w:r>
      <w:r>
        <w:t>). Inappropriately spreading out Human Resource Management (HRM) systems that can unequivocally impact business-related viewpoints and lead to additional created work execution in such testing times is turning out to be more normal among HRM professionals.</w:t>
      </w:r>
      <w:r>
        <w:t xml:space="preserve"> Through work-related perspectives including work inspiration, work fulfilment, and hierarchical responsibility, HRM strategies assist with </w:t>
      </w:r>
      <w:proofErr w:type="spellStart"/>
      <w:r>
        <w:t>moulding</w:t>
      </w:r>
      <w:proofErr w:type="spellEnd"/>
      <w:r>
        <w:t xml:space="preserve"> working environment execution (He and Harris, 2020).</w:t>
      </w:r>
    </w:p>
    <w:p w14:paraId="00000026" w14:textId="77777777" w:rsidR="00A357C9" w:rsidRDefault="00931EAE">
      <w:r>
        <w:t>A combination of "hard" HRM methodologies connecting w</w:t>
      </w:r>
      <w:r>
        <w:t xml:space="preserve">ith the monetary perspectives and "soft" HRM techniques connecting with keeping up with workers' prosperity during the crisis, according to de Lucas </w:t>
      </w:r>
      <w:proofErr w:type="spellStart"/>
      <w:r>
        <w:t>Ancillo</w:t>
      </w:r>
      <w:proofErr w:type="spellEnd"/>
      <w:r>
        <w:t xml:space="preserve">, del Val Nez, and </w:t>
      </w:r>
      <w:proofErr w:type="spellStart"/>
      <w:r>
        <w:t>Gavrila</w:t>
      </w:r>
      <w:proofErr w:type="spellEnd"/>
      <w:r>
        <w:t xml:space="preserve"> (2020), yields the best results in affecting position execution through b</w:t>
      </w:r>
      <w:r>
        <w:t>usiness related attitudes and hence supporting hierarchical execution. This work progresses on how we might interpret how COVID-19-centered HRM methodologies can be created and possibly has true ramifications. Unexpected crises on an overall scale can affe</w:t>
      </w:r>
      <w:r>
        <w:t xml:space="preserve">ct </w:t>
      </w:r>
      <w:proofErr w:type="spellStart"/>
      <w:r>
        <w:t>labourers'</w:t>
      </w:r>
      <w:proofErr w:type="spellEnd"/>
      <w:r>
        <w:t xml:space="preserve"> prosperity (</w:t>
      </w:r>
      <w:proofErr w:type="spellStart"/>
      <w:r>
        <w:t>Ererdi</w:t>
      </w:r>
      <w:proofErr w:type="spellEnd"/>
      <w:r>
        <w:t xml:space="preserve"> et al., 2021). </w:t>
      </w:r>
    </w:p>
    <w:p w14:paraId="00000027" w14:textId="77777777" w:rsidR="00A357C9" w:rsidRDefault="00931EAE">
      <w:r>
        <w:t>The COVID-19 pandemic emergency will in actuality influence the psychological strength of agents, provoking absolute strain for by far most of them and thus impacting execution, a vital variable for ventures</w:t>
      </w:r>
      <w:r>
        <w:t xml:space="preserve">.  Any organization's most important resource is its </w:t>
      </w:r>
      <w:proofErr w:type="spellStart"/>
      <w:r>
        <w:t>labour</w:t>
      </w:r>
      <w:proofErr w:type="spellEnd"/>
      <w:r>
        <w:t xml:space="preserve"> force, subsequently, it is pivotal to focus on their prosperity also (</w:t>
      </w:r>
      <w:proofErr w:type="spellStart"/>
      <w:r>
        <w:t>Vösa</w:t>
      </w:r>
      <w:proofErr w:type="spellEnd"/>
      <w:r>
        <w:t xml:space="preserve">, 2010). Subsequently, the HRM department will confront extraordinary trouble in </w:t>
      </w:r>
      <w:proofErr w:type="spellStart"/>
      <w:r>
        <w:t>endeavouring</w:t>
      </w:r>
      <w:proofErr w:type="spellEnd"/>
      <w:r>
        <w:t xml:space="preserve"> to reduce the COVID-19 pande</w:t>
      </w:r>
      <w:r>
        <w:t xml:space="preserve">mic's hindering impacts on representatives (Merlot and De </w:t>
      </w:r>
      <w:proofErr w:type="spellStart"/>
      <w:r>
        <w:t>Cieri</w:t>
      </w:r>
      <w:proofErr w:type="spellEnd"/>
      <w:r>
        <w:t xml:space="preserve">, 2012). </w:t>
      </w:r>
    </w:p>
    <w:p w14:paraId="00000028" w14:textId="77777777" w:rsidR="00A357C9" w:rsidRDefault="00931EAE">
      <w:r>
        <w:lastRenderedPageBreak/>
        <w:t>Agents frequently experience issues during the COVID-19 pandemic at fill-in as well as at home. HR specialists should be prepared to manage any troubles and issues invited by the COVI</w:t>
      </w:r>
      <w:r>
        <w:t>D-19 scourge subsequently. Right when a pandemic strikes, the HR division ends up being more basic inside the association, and its fundamental commitment is to diminish the disagreeable ramifications for staff people (</w:t>
      </w:r>
      <w:proofErr w:type="spellStart"/>
      <w:r>
        <w:t>Ererdi</w:t>
      </w:r>
      <w:proofErr w:type="spellEnd"/>
      <w:r>
        <w:t xml:space="preserve"> et al., 2021).</w:t>
      </w:r>
    </w:p>
    <w:p w14:paraId="00000029" w14:textId="77777777" w:rsidR="00A357C9" w:rsidRDefault="00931EAE">
      <w:r>
        <w:t>As the essential</w:t>
      </w:r>
      <w:r>
        <w:t xml:space="preserve"> representative of an organization's most noteworthy capital, the HR division should in this way be remembered for the preparation and execution of crisis management (</w:t>
      </w:r>
      <w:proofErr w:type="spellStart"/>
      <w:r>
        <w:t>Vosa</w:t>
      </w:r>
      <w:proofErr w:type="spellEnd"/>
      <w:r>
        <w:t xml:space="preserve">, 2010). Scientists have observed that contemporary HRM strategies are more fruitful </w:t>
      </w:r>
      <w:r>
        <w:t>in turbulent times than ordinary techniques that are considered to be forefront and strange (</w:t>
      </w:r>
      <w:proofErr w:type="spellStart"/>
      <w:r>
        <w:t>Clibborn</w:t>
      </w:r>
      <w:proofErr w:type="spellEnd"/>
      <w:r>
        <w:t>, 2018). Accordingly, it's basic to comprehend which HRM systems will best decrease the COVID-19 pandemic's adverse results while at the same time empoweri</w:t>
      </w:r>
      <w:r>
        <w:t>ng the use of new open doors (</w:t>
      </w:r>
      <w:proofErr w:type="spellStart"/>
      <w:r>
        <w:t>Vösa</w:t>
      </w:r>
      <w:proofErr w:type="spellEnd"/>
      <w:r>
        <w:t xml:space="preserve">, 2010). Two HRM systems are characterized by troublesome times: "soft" — in which individuals are seen as an esteemed asset to the organization (Maher, Hoang, and Hindery, 2020) — and "hard." </w:t>
      </w:r>
    </w:p>
    <w:p w14:paraId="0000002A" w14:textId="77777777" w:rsidR="00A357C9" w:rsidRDefault="00931EAE">
      <w:r>
        <w:t>With regards to "soft" HRM t</w:t>
      </w:r>
      <w:r>
        <w:t>echniques, they primarily focus on accommodating the prosperity of the employee during an emergency to guarantee excellent performance. Organizations focus on showing staff the new abilities they need to work in evolving conditions (</w:t>
      </w:r>
      <w:proofErr w:type="spellStart"/>
      <w:r>
        <w:t>Nijssen</w:t>
      </w:r>
      <w:proofErr w:type="spellEnd"/>
      <w:r>
        <w:t xml:space="preserve"> and Paauwe, 201</w:t>
      </w:r>
      <w:r>
        <w:t>2). They likewise put a great deal of accentuation on data stream and trade, as well as viable correspondence processes. They additionally try to give staff programs like instructing and tutoring that could be useful to them feel better in any event, durin</w:t>
      </w:r>
      <w:r>
        <w:t>g troublesome times (Wood et al., 2011). The most common "hard" HRM procedures are those that influence funds, for example, pay freezes and reductions, decreases in staff size or enlisting changes to prepare spending plans, and decreases in individual exec</w:t>
      </w:r>
      <w:r>
        <w:t>ution targets and advantages (Maher, Hoang and Hindery, 2020).</w:t>
      </w:r>
    </w:p>
    <w:p w14:paraId="0000002B" w14:textId="77777777" w:rsidR="00A357C9" w:rsidRDefault="00931EAE">
      <w:r>
        <w:t>As per (Gibson et al., 2020), joining "soft" and "hard" HRM approaches is the most productive procedure to decrease the COVID-19 pandemic's destructive impacts on the organization's staff. Util</w:t>
      </w:r>
      <w:r>
        <w:t xml:space="preserve">izing "soft" HRM procedures to address representative inspiration and commitment empowers a firm to expand worker work execution and productivity. Then again, it guarantees the organization's high effectiveness by lessening functional </w:t>
      </w:r>
      <w:r>
        <w:lastRenderedPageBreak/>
        <w:t>expenses related to r</w:t>
      </w:r>
      <w:r>
        <w:t xml:space="preserve">ecruiting or staff development and advancements. This engages the association to keep </w:t>
      </w:r>
      <w:proofErr w:type="spellStart"/>
      <w:r>
        <w:t>endeavouring</w:t>
      </w:r>
      <w:proofErr w:type="spellEnd"/>
      <w:r>
        <w:t xml:space="preserve"> in times of emergency (Gibson et al., 2020).</w:t>
      </w:r>
    </w:p>
    <w:p w14:paraId="0000002C" w14:textId="77777777" w:rsidR="00A357C9" w:rsidRDefault="00931EAE">
      <w:r>
        <w:t>It is vital to consider the need to progress to virtual reality (digitalization), modify how work is presently c</w:t>
      </w:r>
      <w:r>
        <w:t>oordinated (work overhaul), and give representatives the devices they need to conform to these changes. It ought to be certain that tending to the previously mentioned issues will not be possible without guaranteeing a powerful data stream (correspondence)</w:t>
      </w:r>
      <w:r>
        <w:t>. Furthermore, in such challenging conditions, it is vital to think about the difficulties of supporting gatherings both inside and beyond the firm (representative prosperity and corporate social obligation) (</w:t>
      </w:r>
      <w:proofErr w:type="spellStart"/>
      <w:r>
        <w:t>Campello</w:t>
      </w:r>
      <w:proofErr w:type="spellEnd"/>
      <w:r>
        <w:t xml:space="preserve">, </w:t>
      </w:r>
      <w:proofErr w:type="spellStart"/>
      <w:r>
        <w:t>Kankanhalli</w:t>
      </w:r>
      <w:proofErr w:type="spellEnd"/>
      <w:r>
        <w:t xml:space="preserve"> and </w:t>
      </w:r>
      <w:proofErr w:type="spellStart"/>
      <w:r>
        <w:t>Muthukrishnan</w:t>
      </w:r>
      <w:proofErr w:type="spellEnd"/>
      <w:r>
        <w:t>, 2020).</w:t>
      </w:r>
      <w:r>
        <w:t xml:space="preserve"> </w:t>
      </w:r>
    </w:p>
    <w:p w14:paraId="0000002D" w14:textId="77777777" w:rsidR="00A357C9" w:rsidRDefault="00931EAE">
      <w:r>
        <w:t xml:space="preserve">Methodologies for HR can't be adequately prepared for the impacts of Brexit. To draw in, hold, and move faculty in the more aggressive post-Brexit environment, HR chiefs ought to have proactively asked their staff to obtain suitable information, take part </w:t>
      </w:r>
      <w:r>
        <w:t xml:space="preserve">in situation arranging, and give the important assets. The </w:t>
      </w:r>
      <w:proofErr w:type="gramStart"/>
      <w:r>
        <w:t>amount</w:t>
      </w:r>
      <w:proofErr w:type="gramEnd"/>
      <w:r>
        <w:t xml:space="preserve"> of promising newcomers on the block from EU nations has recently decreased, and capacity is apparently significantly more enthusiasm to come by (Ridgway, 2019). The essential effect of Brexi</w:t>
      </w:r>
      <w:r>
        <w:t>t is projected to be on hierarchical resourcing. Brexit will fundamentally affect an enormous number of individuals from Europe, and this will be exacerbated by cost rises and different changes that will influence functional expenses. Since January 2021, w</w:t>
      </w:r>
      <w:r>
        <w:t>orkers should have the option to practice and offer administrations to clients in the UK. Various firms have supported and helped their staff individuals as they applied for settled status (</w:t>
      </w:r>
      <w:proofErr w:type="spellStart"/>
      <w:r>
        <w:t>Moradlou</w:t>
      </w:r>
      <w:proofErr w:type="spellEnd"/>
      <w:r>
        <w:t xml:space="preserve"> et al., 2021). </w:t>
      </w:r>
    </w:p>
    <w:p w14:paraId="0000002E" w14:textId="77777777" w:rsidR="00A357C9" w:rsidRDefault="00931EAE">
      <w:r>
        <w:t>Smith (2019) claims that to alter human r</w:t>
      </w:r>
      <w:r>
        <w:t>esource practices, it is important to understand what Britain's EU participation at first meant for HR. In three essential regions, the European Union significantly affects HR and beyond inside organizations:</w:t>
      </w:r>
    </w:p>
    <w:p w14:paraId="0000002F" w14:textId="77777777" w:rsidR="00A357C9" w:rsidRDefault="00931EAE">
      <w:pPr>
        <w:numPr>
          <w:ilvl w:val="0"/>
          <w:numId w:val="2"/>
        </w:numPr>
        <w:pBdr>
          <w:top w:val="nil"/>
          <w:left w:val="nil"/>
          <w:bottom w:val="nil"/>
          <w:right w:val="nil"/>
          <w:between w:val="nil"/>
        </w:pBdr>
        <w:spacing w:after="0"/>
      </w:pPr>
      <w:r>
        <w:rPr>
          <w:color w:val="000000"/>
        </w:rPr>
        <w:t>Market power: The UK is situated as a beneficia</w:t>
      </w:r>
      <w:r>
        <w:rPr>
          <w:color w:val="000000"/>
        </w:rPr>
        <w:t>l base for admittance to ability because of the free development of ability across borders from a focal area.</w:t>
      </w:r>
    </w:p>
    <w:p w14:paraId="00000030" w14:textId="77777777" w:rsidR="00A357C9" w:rsidRDefault="00931EAE">
      <w:pPr>
        <w:numPr>
          <w:ilvl w:val="0"/>
          <w:numId w:val="2"/>
        </w:numPr>
        <w:pBdr>
          <w:top w:val="nil"/>
          <w:left w:val="nil"/>
          <w:bottom w:val="nil"/>
          <w:right w:val="nil"/>
          <w:between w:val="nil"/>
        </w:pBdr>
        <w:spacing w:after="0"/>
      </w:pPr>
      <w:r>
        <w:rPr>
          <w:color w:val="000000"/>
        </w:rPr>
        <w:t>Free development of capable people: The UK work market might work with the development of both gifted and untalented individuals between countries</w:t>
      </w:r>
      <w:r>
        <w:rPr>
          <w:color w:val="000000"/>
        </w:rPr>
        <w:t>, permitting businesses admittance to a worldwide ability pool.</w:t>
      </w:r>
    </w:p>
    <w:p w14:paraId="00000031" w14:textId="77777777" w:rsidR="00A357C9" w:rsidRDefault="00931EAE">
      <w:pPr>
        <w:numPr>
          <w:ilvl w:val="0"/>
          <w:numId w:val="2"/>
        </w:numPr>
        <w:pBdr>
          <w:top w:val="nil"/>
          <w:left w:val="nil"/>
          <w:bottom w:val="nil"/>
          <w:right w:val="nil"/>
          <w:between w:val="nil"/>
        </w:pBdr>
      </w:pPr>
      <w:bookmarkStart w:id="3" w:name="_tyjcwt" w:colFirst="0" w:colLast="0"/>
      <w:bookmarkEnd w:id="3"/>
      <w:r>
        <w:rPr>
          <w:color w:val="000000"/>
        </w:rPr>
        <w:lastRenderedPageBreak/>
        <w:t>Representative privileges: Businesses that utilize individuals in the UK are dependent upon severe worker freedoms regulations, which cover things like maternity leave benefits, TUPE prerequis</w:t>
      </w:r>
      <w:r>
        <w:rPr>
          <w:color w:val="000000"/>
        </w:rPr>
        <w:t>ites, hostile to segregation security, office specialist freedoms, and get-away compensation.</w:t>
      </w:r>
    </w:p>
    <w:p w14:paraId="00000032" w14:textId="77777777" w:rsidR="00A357C9" w:rsidRDefault="00931EAE">
      <w:r>
        <w:t xml:space="preserve">The UK's talent pool is as of now being affected by Brexit, and this impacts associations' </w:t>
      </w:r>
      <w:proofErr w:type="spellStart"/>
      <w:r>
        <w:t>labour</w:t>
      </w:r>
      <w:proofErr w:type="spellEnd"/>
      <w:r>
        <w:t xml:space="preserve"> force arranging systems - drawing in and staying with individual</w:t>
      </w:r>
      <w:r>
        <w:t xml:space="preserve">s your necessities to succeed despite more prominent contest for a more modest pool of ability. An agreement to stay aware of free improvement between the UK and the EU would simplify it to move capacity, but showing up at comprehension isn't ensured, and </w:t>
      </w:r>
      <w:r>
        <w:t>applying current UK migration rules (non-EU) to EU development might end up being considerably more prohibitive than UK-based organizations are utilized to. The seriousness of this effect will rely on how dealings push ahead from here (Cumming, Wood and Za</w:t>
      </w:r>
      <w:r>
        <w:t xml:space="preserve">hra, 2020). </w:t>
      </w:r>
    </w:p>
    <w:p w14:paraId="00000033" w14:textId="77777777" w:rsidR="00A357C9" w:rsidRDefault="00931EAE">
      <w:r>
        <w:t>Following Brexit, the UK could lose a portion of its allure as an objective since it will not be as open to gifted people from across the EU. Considering that the numbers are as of now declining, it is without a doubt plausible that the UK wil</w:t>
      </w:r>
      <w:r>
        <w:t>l see a fall in the quantity of EU individuals coming here to work. HR should foster a resourcing technique that frames answers for managing this (</w:t>
      </w:r>
      <w:proofErr w:type="spellStart"/>
      <w:r>
        <w:t>Hadjimichalis</w:t>
      </w:r>
      <w:proofErr w:type="spellEnd"/>
      <w:r>
        <w:t xml:space="preserve">, 2020). There are a few businesses in the UK </w:t>
      </w:r>
      <w:proofErr w:type="gramStart"/>
      <w:r>
        <w:t>where</w:t>
      </w:r>
      <w:proofErr w:type="gramEnd"/>
      <w:r>
        <w:t xml:space="preserve"> pushing tasks along requires recruiting EU </w:t>
      </w:r>
      <w:proofErr w:type="spellStart"/>
      <w:r>
        <w:t>l</w:t>
      </w:r>
      <w:r>
        <w:t>abourers</w:t>
      </w:r>
      <w:proofErr w:type="spellEnd"/>
      <w:r>
        <w:t>. Organizations that depend on occasional or EU work ought to without a doubt have an emergency course of action, with HR (HR) underlining and planning for such conditions (Richardson, 2018).</w:t>
      </w:r>
    </w:p>
    <w:p w14:paraId="00000034" w14:textId="77777777" w:rsidR="00A357C9" w:rsidRDefault="00931EAE">
      <w:r>
        <w:t>HR should intently screen how migration regulations chan</w:t>
      </w:r>
      <w:r>
        <w:t xml:space="preserve">ge following Brexit. Plausible present EU </w:t>
      </w:r>
      <w:proofErr w:type="spellStart"/>
      <w:r>
        <w:t>labourers</w:t>
      </w:r>
      <w:proofErr w:type="spellEnd"/>
      <w:r>
        <w:t xml:space="preserve"> in the UK will unexpectedly be dependent upon worldwide movement regulations and the nation's current "Focuses Based System," which is intended to draw qualified settlers with a particular degree of Engli</w:t>
      </w:r>
      <w:r>
        <w:t xml:space="preserve">sh language capability. There may likewise be a requirement for visas and work licenses, which would mean more regulatory commitments. To decide if or whether a post-Brexit UK </w:t>
      </w:r>
      <w:proofErr w:type="spellStart"/>
      <w:r>
        <w:t>labour</w:t>
      </w:r>
      <w:proofErr w:type="spellEnd"/>
      <w:r>
        <w:t xml:space="preserve"> force would have the option to meet their association's resourcing needs,</w:t>
      </w:r>
      <w:r>
        <w:t xml:space="preserve"> HR Directors might need to consider leading a </w:t>
      </w:r>
      <w:proofErr w:type="spellStart"/>
      <w:r>
        <w:t>labour</w:t>
      </w:r>
      <w:proofErr w:type="spellEnd"/>
      <w:r>
        <w:t xml:space="preserve"> force review inside the UK (</w:t>
      </w:r>
      <w:proofErr w:type="spellStart"/>
      <w:r>
        <w:t>Gürdür</w:t>
      </w:r>
      <w:proofErr w:type="spellEnd"/>
      <w:r>
        <w:t xml:space="preserve"> Broo et al., 2020).</w:t>
      </w:r>
    </w:p>
    <w:p w14:paraId="00000035" w14:textId="77777777" w:rsidR="00A357C9" w:rsidRDefault="00A357C9"/>
    <w:p w14:paraId="00000036" w14:textId="77777777" w:rsidR="00A357C9" w:rsidRDefault="00931EAE">
      <w:pPr>
        <w:pStyle w:val="Heading1"/>
        <w:numPr>
          <w:ilvl w:val="0"/>
          <w:numId w:val="1"/>
        </w:numPr>
      </w:pPr>
      <w:bookmarkStart w:id="4" w:name="_3znysh7" w:colFirst="0" w:colLast="0"/>
      <w:bookmarkEnd w:id="4"/>
      <w:r>
        <w:lastRenderedPageBreak/>
        <w:t>CONCLUSION</w:t>
      </w:r>
    </w:p>
    <w:p w14:paraId="00000037" w14:textId="77777777" w:rsidR="00A357C9" w:rsidRDefault="00931EAE">
      <w:r>
        <w:t>Late years have seen an extension in discussions about the impact of crises and the possible future of work (</w:t>
      </w:r>
      <w:proofErr w:type="spellStart"/>
      <w:r>
        <w:t>Hadjimichalis</w:t>
      </w:r>
      <w:proofErr w:type="spellEnd"/>
      <w:r>
        <w:t>, 2020). Dire</w:t>
      </w:r>
      <w:r>
        <w:t>ctly following the COVID-19 emergency and post-Brexit, there is a chance to reexamine the idea of work and to concentrate on expertise, the value of work, and primary imbalance. A sensational reevaluation of the social and monetary worth of work is expecte</w:t>
      </w:r>
      <w:r>
        <w:t xml:space="preserve">d considering the ongoing emergency, prompting strategies that guarantee that significant </w:t>
      </w:r>
      <w:proofErr w:type="spellStart"/>
      <w:r>
        <w:t>labourers</w:t>
      </w:r>
      <w:proofErr w:type="spellEnd"/>
      <w:r>
        <w:t xml:space="preserve"> are redressed and protected in a manner that precisely reflects their imperative commitment to society (McCann et al., 2021).</w:t>
      </w:r>
    </w:p>
    <w:p w14:paraId="00000038" w14:textId="77777777" w:rsidR="00A357C9" w:rsidRDefault="00A357C9"/>
    <w:p w14:paraId="00000039" w14:textId="77777777" w:rsidR="00A357C9" w:rsidRDefault="00931EAE">
      <w:pPr>
        <w:pStyle w:val="Heading1"/>
        <w:numPr>
          <w:ilvl w:val="0"/>
          <w:numId w:val="1"/>
        </w:numPr>
      </w:pPr>
      <w:bookmarkStart w:id="5" w:name="_2et92p0" w:colFirst="0" w:colLast="0"/>
      <w:bookmarkEnd w:id="5"/>
      <w:r>
        <w:t>REFERENCES</w:t>
      </w:r>
    </w:p>
    <w:p w14:paraId="0000003A" w14:textId="77777777" w:rsidR="00A357C9" w:rsidRDefault="00A357C9"/>
    <w:p w14:paraId="0000003B"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Bowyer, A. and Do</w:t>
      </w:r>
      <w:r>
        <w:rPr>
          <w:rFonts w:ascii="Times New Roman" w:eastAsia="Times New Roman" w:hAnsi="Times New Roman" w:cs="Times New Roman"/>
        </w:rPr>
        <w:t xml:space="preserve">rsett, R. (2022). </w:t>
      </w:r>
      <w:r>
        <w:rPr>
          <w:rFonts w:ascii="Times New Roman" w:eastAsia="Times New Roman" w:hAnsi="Times New Roman" w:cs="Times New Roman"/>
          <w:i/>
        </w:rPr>
        <w:t>Relative to Paid Employment in the UK</w:t>
      </w:r>
      <w:r>
        <w:rPr>
          <w:rFonts w:ascii="Times New Roman" w:eastAsia="Times New Roman" w:hAnsi="Times New Roman" w:cs="Times New Roman"/>
        </w:rPr>
        <w:t xml:space="preserve">. [online] Available at: </w:t>
      </w:r>
      <w:hyperlink r:id="rId8">
        <w:r>
          <w:rPr>
            <w:rFonts w:ascii="Times New Roman" w:eastAsia="Times New Roman" w:hAnsi="Times New Roman" w:cs="Times New Roman"/>
          </w:rPr>
          <w:t>https://escoe-website.s3.amazonaws.com/wp-content/uploads/202</w:t>
        </w:r>
        <w:r>
          <w:rPr>
            <w:rFonts w:ascii="Times New Roman" w:eastAsia="Times New Roman" w:hAnsi="Times New Roman" w:cs="Times New Roman"/>
          </w:rPr>
          <w:t>2/07/29085644/ESCoE-DP-2022-19.pdf</w:t>
        </w:r>
      </w:hyperlink>
      <w:r>
        <w:rPr>
          <w:rFonts w:ascii="Times New Roman" w:eastAsia="Times New Roman" w:hAnsi="Times New Roman" w:cs="Times New Roman"/>
        </w:rPr>
        <w:t xml:space="preserve"> [Accessed 3 Sep. 2022].</w:t>
      </w:r>
    </w:p>
    <w:p w14:paraId="0000003C"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Campello</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Kankanhalli</w:t>
      </w:r>
      <w:proofErr w:type="spellEnd"/>
      <w:r>
        <w:rPr>
          <w:rFonts w:ascii="Times New Roman" w:eastAsia="Times New Roman" w:hAnsi="Times New Roman" w:cs="Times New Roman"/>
        </w:rPr>
        <w:t xml:space="preserve">, G. and </w:t>
      </w:r>
      <w:proofErr w:type="spellStart"/>
      <w:r>
        <w:rPr>
          <w:rFonts w:ascii="Times New Roman" w:eastAsia="Times New Roman" w:hAnsi="Times New Roman" w:cs="Times New Roman"/>
        </w:rPr>
        <w:t>Muthukrishnan</w:t>
      </w:r>
      <w:proofErr w:type="spellEnd"/>
      <w:r>
        <w:rPr>
          <w:rFonts w:ascii="Times New Roman" w:eastAsia="Times New Roman" w:hAnsi="Times New Roman" w:cs="Times New Roman"/>
        </w:rPr>
        <w:t xml:space="preserve">, P. (2020). </w:t>
      </w:r>
      <w:r>
        <w:rPr>
          <w:rFonts w:ascii="Times New Roman" w:eastAsia="Times New Roman" w:hAnsi="Times New Roman" w:cs="Times New Roman"/>
          <w:i/>
        </w:rPr>
        <w:t xml:space="preserve">Corporate Hiring under COVID-19: Labor Market Concentration, </w:t>
      </w:r>
      <w:proofErr w:type="spellStart"/>
      <w:r>
        <w:rPr>
          <w:rFonts w:ascii="Times New Roman" w:eastAsia="Times New Roman" w:hAnsi="Times New Roman" w:cs="Times New Roman"/>
          <w:i/>
        </w:rPr>
        <w:t>Downskilling</w:t>
      </w:r>
      <w:proofErr w:type="spellEnd"/>
      <w:r>
        <w:rPr>
          <w:rFonts w:ascii="Times New Roman" w:eastAsia="Times New Roman" w:hAnsi="Times New Roman" w:cs="Times New Roman"/>
          <w:i/>
        </w:rPr>
        <w:t>, and Income Inequality</w:t>
      </w:r>
      <w:r>
        <w:rPr>
          <w:rFonts w:ascii="Times New Roman" w:eastAsia="Times New Roman" w:hAnsi="Times New Roman" w:cs="Times New Roman"/>
        </w:rPr>
        <w:t>. [online] ideas.repec.org. Available at:</w:t>
      </w:r>
      <w:r>
        <w:rPr>
          <w:rFonts w:ascii="Times New Roman" w:eastAsia="Times New Roman" w:hAnsi="Times New Roman" w:cs="Times New Roman"/>
        </w:rPr>
        <w:t xml:space="preserve"> </w:t>
      </w:r>
      <w:hyperlink r:id="rId9">
        <w:r>
          <w:rPr>
            <w:rFonts w:ascii="Times New Roman" w:eastAsia="Times New Roman" w:hAnsi="Times New Roman" w:cs="Times New Roman"/>
          </w:rPr>
          <w:t>https://ideas.repec.org/p/nbr/nberwo/27208.html</w:t>
        </w:r>
      </w:hyperlink>
      <w:r>
        <w:rPr>
          <w:rFonts w:ascii="Times New Roman" w:eastAsia="Times New Roman" w:hAnsi="Times New Roman" w:cs="Times New Roman"/>
        </w:rPr>
        <w:t>.</w:t>
      </w:r>
    </w:p>
    <w:p w14:paraId="0000003D"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Clibborn</w:t>
      </w:r>
      <w:proofErr w:type="spellEnd"/>
      <w:r>
        <w:rPr>
          <w:rFonts w:ascii="Times New Roman" w:eastAsia="Times New Roman" w:hAnsi="Times New Roman" w:cs="Times New Roman"/>
        </w:rPr>
        <w:t xml:space="preserve">, S. (2018). The Politics of Employment Relations in a Multinational Corporation during Crisis. </w:t>
      </w:r>
      <w:r>
        <w:rPr>
          <w:rFonts w:ascii="Times New Roman" w:eastAsia="Times New Roman" w:hAnsi="Times New Roman" w:cs="Times New Roman"/>
          <w:i/>
        </w:rPr>
        <w:t>Economic and Industrial Democracy</w:t>
      </w:r>
      <w:r>
        <w:rPr>
          <w:rFonts w:ascii="Times New Roman" w:eastAsia="Times New Roman" w:hAnsi="Times New Roman" w:cs="Times New Roman"/>
        </w:rPr>
        <w:t>, 40(3), pp.560–582. doi:</w:t>
      </w:r>
      <w:hyperlink r:id="rId10">
        <w:r>
          <w:rPr>
            <w:rFonts w:ascii="Times New Roman" w:eastAsia="Times New Roman" w:hAnsi="Times New Roman" w:cs="Times New Roman"/>
          </w:rPr>
          <w:t>10.1177/0143831x17748198</w:t>
        </w:r>
      </w:hyperlink>
      <w:r>
        <w:rPr>
          <w:rFonts w:ascii="Times New Roman" w:eastAsia="Times New Roman" w:hAnsi="Times New Roman" w:cs="Times New Roman"/>
        </w:rPr>
        <w:t>.</w:t>
      </w:r>
    </w:p>
    <w:p w14:paraId="0000003E"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Cominetti</w:t>
      </w:r>
      <w:proofErr w:type="spellEnd"/>
      <w:r>
        <w:rPr>
          <w:rFonts w:ascii="Times New Roman" w:eastAsia="Times New Roman" w:hAnsi="Times New Roman" w:cs="Times New Roman"/>
        </w:rPr>
        <w:t>, N., Vieira Marques Da Cost</w:t>
      </w:r>
      <w:r>
        <w:rPr>
          <w:rFonts w:ascii="Times New Roman" w:eastAsia="Times New Roman" w:hAnsi="Times New Roman" w:cs="Times New Roman"/>
        </w:rPr>
        <w:t xml:space="preserve">a, R., Datta, N. and </w:t>
      </w:r>
      <w:proofErr w:type="spellStart"/>
      <w:r>
        <w:rPr>
          <w:rFonts w:ascii="Times New Roman" w:eastAsia="Times New Roman" w:hAnsi="Times New Roman" w:cs="Times New Roman"/>
        </w:rPr>
        <w:t>Odamtten</w:t>
      </w:r>
      <w:proofErr w:type="spellEnd"/>
      <w:r>
        <w:rPr>
          <w:rFonts w:ascii="Times New Roman" w:eastAsia="Times New Roman" w:hAnsi="Times New Roman" w:cs="Times New Roman"/>
        </w:rPr>
        <w:t xml:space="preserve">, F. (2022). </w:t>
      </w:r>
      <w:r>
        <w:rPr>
          <w:rFonts w:ascii="Times New Roman" w:eastAsia="Times New Roman" w:hAnsi="Times New Roman" w:cs="Times New Roman"/>
          <w:i/>
        </w:rPr>
        <w:t xml:space="preserve">Low Pay and Insecurity in the UK </w:t>
      </w:r>
      <w:proofErr w:type="spellStart"/>
      <w:r>
        <w:rPr>
          <w:rFonts w:ascii="Times New Roman" w:eastAsia="Times New Roman" w:hAnsi="Times New Roman" w:cs="Times New Roman"/>
          <w:i/>
        </w:rPr>
        <w:t>Labour</w:t>
      </w:r>
      <w:proofErr w:type="spellEnd"/>
      <w:r>
        <w:rPr>
          <w:rFonts w:ascii="Times New Roman" w:eastAsia="Times New Roman" w:hAnsi="Times New Roman" w:cs="Times New Roman"/>
          <w:i/>
        </w:rPr>
        <w:t xml:space="preserve"> Market</w:t>
      </w:r>
      <w:r>
        <w:rPr>
          <w:rFonts w:ascii="Times New Roman" w:eastAsia="Times New Roman" w:hAnsi="Times New Roman" w:cs="Times New Roman"/>
        </w:rPr>
        <w:t xml:space="preserve">. [online] LSE Business Review. Available at: </w:t>
      </w:r>
      <w:hyperlink r:id="rId11">
        <w:r>
          <w:rPr>
            <w:rFonts w:ascii="Times New Roman" w:eastAsia="Times New Roman" w:hAnsi="Times New Roman" w:cs="Times New Roman"/>
          </w:rPr>
          <w:t>http://eprints.lse.ac.uk/116065/</w:t>
        </w:r>
      </w:hyperlink>
      <w:r>
        <w:rPr>
          <w:rFonts w:ascii="Times New Roman" w:eastAsia="Times New Roman" w:hAnsi="Times New Roman" w:cs="Times New Roman"/>
        </w:rPr>
        <w:t xml:space="preserve"> [Accessed 3 Sep. 2022].</w:t>
      </w:r>
    </w:p>
    <w:p w14:paraId="0000003F"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Cumming, D.J., Wood, G. and Zahra, S.A. (2020). Human Resource Management Practices in the Context of Rising Right‐wing Populism. </w:t>
      </w:r>
      <w:r>
        <w:rPr>
          <w:rFonts w:ascii="Times New Roman" w:eastAsia="Times New Roman" w:hAnsi="Times New Roman" w:cs="Times New Roman"/>
          <w:i/>
        </w:rPr>
        <w:t>Human Resource Management Journal</w:t>
      </w:r>
      <w:r>
        <w:rPr>
          <w:rFonts w:ascii="Times New Roman" w:eastAsia="Times New Roman" w:hAnsi="Times New Roman" w:cs="Times New Roman"/>
        </w:rPr>
        <w:t>, 30(4), pp.525–536. doi:</w:t>
      </w:r>
      <w:hyperlink r:id="rId12">
        <w:r>
          <w:rPr>
            <w:rFonts w:ascii="Times New Roman" w:eastAsia="Times New Roman" w:hAnsi="Times New Roman" w:cs="Times New Roman"/>
          </w:rPr>
          <w:t>10.1111/1748-8583.12269</w:t>
        </w:r>
      </w:hyperlink>
      <w:r>
        <w:rPr>
          <w:rFonts w:ascii="Times New Roman" w:eastAsia="Times New Roman" w:hAnsi="Times New Roman" w:cs="Times New Roman"/>
        </w:rPr>
        <w:t>.</w:t>
      </w:r>
    </w:p>
    <w:p w14:paraId="00000040"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Davies, B. a</w:t>
      </w:r>
      <w:r>
        <w:rPr>
          <w:rFonts w:ascii="Times New Roman" w:eastAsia="Times New Roman" w:hAnsi="Times New Roman" w:cs="Times New Roman"/>
        </w:rPr>
        <w:t xml:space="preserve">nd </w:t>
      </w:r>
      <w:proofErr w:type="spellStart"/>
      <w:r>
        <w:rPr>
          <w:rFonts w:ascii="Times New Roman" w:eastAsia="Times New Roman" w:hAnsi="Times New Roman" w:cs="Times New Roman"/>
        </w:rPr>
        <w:t>Kolaczkowski</w:t>
      </w:r>
      <w:proofErr w:type="spellEnd"/>
      <w:r>
        <w:rPr>
          <w:rFonts w:ascii="Times New Roman" w:eastAsia="Times New Roman" w:hAnsi="Times New Roman" w:cs="Times New Roman"/>
        </w:rPr>
        <w:t xml:space="preserve">, J. (2022). The United Kingdom: Political and </w:t>
      </w:r>
      <w:proofErr w:type="spellStart"/>
      <w:r>
        <w:rPr>
          <w:rFonts w:ascii="Times New Roman" w:eastAsia="Times New Roman" w:hAnsi="Times New Roman" w:cs="Times New Roman"/>
        </w:rPr>
        <w:t>Labour</w:t>
      </w:r>
      <w:proofErr w:type="spellEnd"/>
      <w:r>
        <w:rPr>
          <w:rFonts w:ascii="Times New Roman" w:eastAsia="Times New Roman" w:hAnsi="Times New Roman" w:cs="Times New Roman"/>
        </w:rPr>
        <w:t xml:space="preserve"> Market </w:t>
      </w:r>
      <w:r>
        <w:rPr>
          <w:rFonts w:ascii="Times New Roman" w:eastAsia="Times New Roman" w:hAnsi="Times New Roman" w:cs="Times New Roman"/>
        </w:rPr>
        <w:lastRenderedPageBreak/>
        <w:t xml:space="preserve">Influences. </w:t>
      </w:r>
      <w:r>
        <w:rPr>
          <w:rFonts w:ascii="Times New Roman" w:eastAsia="Times New Roman" w:hAnsi="Times New Roman" w:cs="Times New Roman"/>
          <w:i/>
        </w:rPr>
        <w:t>The Evolution of Supplementary Pensions</w:t>
      </w:r>
      <w:r>
        <w:rPr>
          <w:rFonts w:ascii="Times New Roman" w:eastAsia="Times New Roman" w:hAnsi="Times New Roman" w:cs="Times New Roman"/>
        </w:rPr>
        <w:t xml:space="preserve">, [online] pp.348–369. Available at: </w:t>
      </w:r>
      <w:hyperlink r:id="rId13">
        <w:r>
          <w:rPr>
            <w:rFonts w:ascii="Times New Roman" w:eastAsia="Times New Roman" w:hAnsi="Times New Roman" w:cs="Times New Roman"/>
          </w:rPr>
          <w:t>https://www.elgaronline.com/view/edcoll/9781800372979/9781800372979.00022.xml</w:t>
        </w:r>
      </w:hyperlink>
      <w:r>
        <w:rPr>
          <w:rFonts w:ascii="Times New Roman" w:eastAsia="Times New Roman" w:hAnsi="Times New Roman" w:cs="Times New Roman"/>
        </w:rPr>
        <w:t xml:space="preserve"> [Accessed 4 Sep. 2022].</w:t>
      </w:r>
    </w:p>
    <w:p w14:paraId="00000041"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de Lucas </w:t>
      </w:r>
      <w:proofErr w:type="spellStart"/>
      <w:r>
        <w:rPr>
          <w:rFonts w:ascii="Times New Roman" w:eastAsia="Times New Roman" w:hAnsi="Times New Roman" w:cs="Times New Roman"/>
        </w:rPr>
        <w:t>Ancillo</w:t>
      </w:r>
      <w:proofErr w:type="spellEnd"/>
      <w:r>
        <w:rPr>
          <w:rFonts w:ascii="Times New Roman" w:eastAsia="Times New Roman" w:hAnsi="Times New Roman" w:cs="Times New Roman"/>
        </w:rPr>
        <w:t xml:space="preserve">, A., del Val </w:t>
      </w:r>
      <w:proofErr w:type="spellStart"/>
      <w:r>
        <w:rPr>
          <w:rFonts w:ascii="Times New Roman" w:eastAsia="Times New Roman" w:hAnsi="Times New Roman" w:cs="Times New Roman"/>
        </w:rPr>
        <w:t>Núñez</w:t>
      </w:r>
      <w:proofErr w:type="spellEnd"/>
      <w:r>
        <w:rPr>
          <w:rFonts w:ascii="Times New Roman" w:eastAsia="Times New Roman" w:hAnsi="Times New Roman" w:cs="Times New Roman"/>
        </w:rPr>
        <w:t xml:space="preserve">, M.T. and </w:t>
      </w:r>
      <w:proofErr w:type="spellStart"/>
      <w:r>
        <w:rPr>
          <w:rFonts w:ascii="Times New Roman" w:eastAsia="Times New Roman" w:hAnsi="Times New Roman" w:cs="Times New Roman"/>
        </w:rPr>
        <w:t>Gavrila</w:t>
      </w:r>
      <w:proofErr w:type="spellEnd"/>
      <w:r>
        <w:rPr>
          <w:rFonts w:ascii="Times New Roman" w:eastAsia="Times New Roman" w:hAnsi="Times New Roman" w:cs="Times New Roman"/>
        </w:rPr>
        <w:t xml:space="preserve">, S.G. (2020). Workplace Change within the COVID-19 context: a Grounded Theory Approach. </w:t>
      </w:r>
      <w:r>
        <w:rPr>
          <w:rFonts w:ascii="Times New Roman" w:eastAsia="Times New Roman" w:hAnsi="Times New Roman" w:cs="Times New Roman"/>
          <w:i/>
        </w:rPr>
        <w:t>Economi</w:t>
      </w:r>
      <w:r>
        <w:rPr>
          <w:rFonts w:ascii="Times New Roman" w:eastAsia="Times New Roman" w:hAnsi="Times New Roman" w:cs="Times New Roman"/>
          <w:i/>
        </w:rPr>
        <w:t>c Research-</w:t>
      </w:r>
      <w:proofErr w:type="spellStart"/>
      <w:r>
        <w:rPr>
          <w:rFonts w:ascii="Times New Roman" w:eastAsia="Times New Roman" w:hAnsi="Times New Roman" w:cs="Times New Roman"/>
          <w:i/>
        </w:rPr>
        <w:t>Ekonomska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Istraživanja</w:t>
      </w:r>
      <w:proofErr w:type="spellEnd"/>
      <w:r>
        <w:rPr>
          <w:rFonts w:ascii="Times New Roman" w:eastAsia="Times New Roman" w:hAnsi="Times New Roman" w:cs="Times New Roman"/>
        </w:rPr>
        <w:t>, 34(1), pp.1–20. doi:</w:t>
      </w:r>
      <w:hyperlink r:id="rId14">
        <w:r>
          <w:rPr>
            <w:rFonts w:ascii="Times New Roman" w:eastAsia="Times New Roman" w:hAnsi="Times New Roman" w:cs="Times New Roman"/>
          </w:rPr>
          <w:t>10.1080/1331677x.2020.1862689</w:t>
        </w:r>
      </w:hyperlink>
      <w:r>
        <w:rPr>
          <w:rFonts w:ascii="Times New Roman" w:eastAsia="Times New Roman" w:hAnsi="Times New Roman" w:cs="Times New Roman"/>
        </w:rPr>
        <w:t>.</w:t>
      </w:r>
    </w:p>
    <w:p w14:paraId="00000042"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Duval, R.A., Ji, Y., Li, L., </w:t>
      </w:r>
      <w:proofErr w:type="spellStart"/>
      <w:r>
        <w:rPr>
          <w:rFonts w:ascii="Times New Roman" w:eastAsia="Times New Roman" w:hAnsi="Times New Roman" w:cs="Times New Roman"/>
        </w:rPr>
        <w:t>Oikonomou</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Pizzinelli</w:t>
      </w:r>
      <w:proofErr w:type="spellEnd"/>
      <w:r>
        <w:rPr>
          <w:rFonts w:ascii="Times New Roman" w:eastAsia="Times New Roman" w:hAnsi="Times New Roman" w:cs="Times New Roman"/>
        </w:rPr>
        <w:t xml:space="preserve">, C., Shibata, I., </w:t>
      </w:r>
      <w:proofErr w:type="spellStart"/>
      <w:r>
        <w:rPr>
          <w:rFonts w:ascii="Times New Roman" w:eastAsia="Times New Roman" w:hAnsi="Times New Roman" w:cs="Times New Roman"/>
        </w:rPr>
        <w:t>Sozzi</w:t>
      </w:r>
      <w:proofErr w:type="spellEnd"/>
      <w:r>
        <w:rPr>
          <w:rFonts w:ascii="Times New Roman" w:eastAsia="Times New Roman" w:hAnsi="Times New Roman" w:cs="Times New Roman"/>
        </w:rPr>
        <w:t>, A. and Tavares, M.M. (2022). Labor Market Tightness in Adva</w:t>
      </w:r>
      <w:r>
        <w:rPr>
          <w:rFonts w:ascii="Times New Roman" w:eastAsia="Times New Roman" w:hAnsi="Times New Roman" w:cs="Times New Roman"/>
        </w:rPr>
        <w:t xml:space="preserve">nced Economies. </w:t>
      </w:r>
      <w:r>
        <w:rPr>
          <w:rFonts w:ascii="Times New Roman" w:eastAsia="Times New Roman" w:hAnsi="Times New Roman" w:cs="Times New Roman"/>
          <w:i/>
        </w:rPr>
        <w:t>Staff Discussion Notes</w:t>
      </w:r>
      <w:r>
        <w:rPr>
          <w:rFonts w:ascii="Times New Roman" w:eastAsia="Times New Roman" w:hAnsi="Times New Roman" w:cs="Times New Roman"/>
        </w:rPr>
        <w:t>, [online] 2022(001). doi:</w:t>
      </w:r>
      <w:hyperlink r:id="rId15">
        <w:r>
          <w:rPr>
            <w:rFonts w:ascii="Times New Roman" w:eastAsia="Times New Roman" w:hAnsi="Times New Roman" w:cs="Times New Roman"/>
          </w:rPr>
          <w:t>10.5089/</w:t>
        </w:r>
        <w:proofErr w:type="gramStart"/>
        <w:r>
          <w:rPr>
            <w:rFonts w:ascii="Times New Roman" w:eastAsia="Times New Roman" w:hAnsi="Times New Roman" w:cs="Times New Roman"/>
          </w:rPr>
          <w:t>9798400204340.006.A</w:t>
        </w:r>
        <w:proofErr w:type="gramEnd"/>
        <w:r>
          <w:rPr>
            <w:rFonts w:ascii="Times New Roman" w:eastAsia="Times New Roman" w:hAnsi="Times New Roman" w:cs="Times New Roman"/>
          </w:rPr>
          <w:t>001</w:t>
        </w:r>
      </w:hyperlink>
      <w:r>
        <w:rPr>
          <w:rFonts w:ascii="Times New Roman" w:eastAsia="Times New Roman" w:hAnsi="Times New Roman" w:cs="Times New Roman"/>
        </w:rPr>
        <w:t>.</w:t>
      </w:r>
    </w:p>
    <w:p w14:paraId="00000043"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Ererdi</w:t>
      </w:r>
      <w:proofErr w:type="spellEnd"/>
      <w:r>
        <w:rPr>
          <w:rFonts w:ascii="Times New Roman" w:eastAsia="Times New Roman" w:hAnsi="Times New Roman" w:cs="Times New Roman"/>
        </w:rPr>
        <w:t xml:space="preserve">, C., </w:t>
      </w:r>
      <w:proofErr w:type="spellStart"/>
      <w:r>
        <w:rPr>
          <w:rFonts w:ascii="Times New Roman" w:eastAsia="Times New Roman" w:hAnsi="Times New Roman" w:cs="Times New Roman"/>
        </w:rPr>
        <w:t>Nurgabdeshov</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Kozhakhmet</w:t>
      </w:r>
      <w:proofErr w:type="spellEnd"/>
      <w:r>
        <w:rPr>
          <w:rFonts w:ascii="Times New Roman" w:eastAsia="Times New Roman" w:hAnsi="Times New Roman" w:cs="Times New Roman"/>
        </w:rPr>
        <w:t xml:space="preserve">, S., </w:t>
      </w:r>
      <w:proofErr w:type="spellStart"/>
      <w:r>
        <w:rPr>
          <w:rFonts w:ascii="Times New Roman" w:eastAsia="Times New Roman" w:hAnsi="Times New Roman" w:cs="Times New Roman"/>
        </w:rPr>
        <w:t>Rofcanin</w:t>
      </w:r>
      <w:proofErr w:type="spellEnd"/>
      <w:r>
        <w:rPr>
          <w:rFonts w:ascii="Times New Roman" w:eastAsia="Times New Roman" w:hAnsi="Times New Roman" w:cs="Times New Roman"/>
        </w:rPr>
        <w:t xml:space="preserve">, Y. and </w:t>
      </w:r>
      <w:proofErr w:type="spellStart"/>
      <w:r>
        <w:rPr>
          <w:rFonts w:ascii="Times New Roman" w:eastAsia="Times New Roman" w:hAnsi="Times New Roman" w:cs="Times New Roman"/>
        </w:rPr>
        <w:t>Demirbag</w:t>
      </w:r>
      <w:proofErr w:type="spellEnd"/>
      <w:r>
        <w:rPr>
          <w:rFonts w:ascii="Times New Roman" w:eastAsia="Times New Roman" w:hAnsi="Times New Roman" w:cs="Times New Roman"/>
        </w:rPr>
        <w:t>, M. (2021). International HRM in the Context of Uncertain</w:t>
      </w:r>
      <w:r>
        <w:rPr>
          <w:rFonts w:ascii="Times New Roman" w:eastAsia="Times New Roman" w:hAnsi="Times New Roman" w:cs="Times New Roman"/>
        </w:rPr>
        <w:t xml:space="preserve">ty and crisis: a Systematic Review of Literature (2000–2018). </w:t>
      </w:r>
      <w:r>
        <w:rPr>
          <w:rFonts w:ascii="Times New Roman" w:eastAsia="Times New Roman" w:hAnsi="Times New Roman" w:cs="Times New Roman"/>
          <w:i/>
        </w:rPr>
        <w:t>The International Journal of Human Resource Management</w:t>
      </w:r>
      <w:r>
        <w:rPr>
          <w:rFonts w:ascii="Times New Roman" w:eastAsia="Times New Roman" w:hAnsi="Times New Roman" w:cs="Times New Roman"/>
        </w:rPr>
        <w:t>, pp.1–39. doi:</w:t>
      </w:r>
      <w:hyperlink r:id="rId16">
        <w:r>
          <w:rPr>
            <w:rFonts w:ascii="Times New Roman" w:eastAsia="Times New Roman" w:hAnsi="Times New Roman" w:cs="Times New Roman"/>
          </w:rPr>
          <w:t>10.1080/09585192.2020.1863247</w:t>
        </w:r>
      </w:hyperlink>
      <w:r>
        <w:rPr>
          <w:rFonts w:ascii="Times New Roman" w:eastAsia="Times New Roman" w:hAnsi="Times New Roman" w:cs="Times New Roman"/>
        </w:rPr>
        <w:t>.</w:t>
      </w:r>
    </w:p>
    <w:p w14:paraId="00000044"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Galik</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Bąk</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Bałandynowicz</w:t>
      </w:r>
      <w:proofErr w:type="spellEnd"/>
      <w:r>
        <w:rPr>
          <w:rFonts w:ascii="Times New Roman" w:eastAsia="Times New Roman" w:hAnsi="Times New Roman" w:cs="Times New Roman"/>
        </w:rPr>
        <w:t xml:space="preserve">-Panfil, K. and </w:t>
      </w:r>
      <w:proofErr w:type="spellStart"/>
      <w:r>
        <w:rPr>
          <w:rFonts w:ascii="Times New Roman" w:eastAsia="Times New Roman" w:hAnsi="Times New Roman" w:cs="Times New Roman"/>
        </w:rPr>
        <w:t>Cirella</w:t>
      </w:r>
      <w:proofErr w:type="spellEnd"/>
      <w:r>
        <w:rPr>
          <w:rFonts w:ascii="Times New Roman" w:eastAsia="Times New Roman" w:hAnsi="Times New Roman" w:cs="Times New Roman"/>
        </w:rPr>
        <w:t xml:space="preserve">, G.T. </w:t>
      </w:r>
      <w:r>
        <w:rPr>
          <w:rFonts w:ascii="Times New Roman" w:eastAsia="Times New Roman" w:hAnsi="Times New Roman" w:cs="Times New Roman"/>
        </w:rPr>
        <w:t xml:space="preserve">(2022). Evaluating </w:t>
      </w:r>
      <w:proofErr w:type="spellStart"/>
      <w:r>
        <w:rPr>
          <w:rFonts w:ascii="Times New Roman" w:eastAsia="Times New Roman" w:hAnsi="Times New Roman" w:cs="Times New Roman"/>
        </w:rPr>
        <w:t>Labour</w:t>
      </w:r>
      <w:proofErr w:type="spellEnd"/>
      <w:r>
        <w:rPr>
          <w:rFonts w:ascii="Times New Roman" w:eastAsia="Times New Roman" w:hAnsi="Times New Roman" w:cs="Times New Roman"/>
        </w:rPr>
        <w:t xml:space="preserve"> Market Flexibility Using the TOPSIS Method: Sustainable Industrial Relations. </w:t>
      </w:r>
      <w:r>
        <w:rPr>
          <w:rFonts w:ascii="Times New Roman" w:eastAsia="Times New Roman" w:hAnsi="Times New Roman" w:cs="Times New Roman"/>
          <w:i/>
        </w:rPr>
        <w:t>Sustainability</w:t>
      </w:r>
      <w:r>
        <w:rPr>
          <w:rFonts w:ascii="Times New Roman" w:eastAsia="Times New Roman" w:hAnsi="Times New Roman" w:cs="Times New Roman"/>
        </w:rPr>
        <w:t>, 14(1), p.526. doi:</w:t>
      </w:r>
      <w:hyperlink r:id="rId17">
        <w:r>
          <w:rPr>
            <w:rFonts w:ascii="Times New Roman" w:eastAsia="Times New Roman" w:hAnsi="Times New Roman" w:cs="Times New Roman"/>
          </w:rPr>
          <w:t>10.3390/su14010526</w:t>
        </w:r>
      </w:hyperlink>
      <w:r>
        <w:rPr>
          <w:rFonts w:ascii="Times New Roman" w:eastAsia="Times New Roman" w:hAnsi="Times New Roman" w:cs="Times New Roman"/>
        </w:rPr>
        <w:t>.</w:t>
      </w:r>
    </w:p>
    <w:p w14:paraId="00000045"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Gibson, E.M., Bennett, F.C., Gillespie, S.M., </w:t>
      </w:r>
      <w:proofErr w:type="spellStart"/>
      <w:r>
        <w:rPr>
          <w:rFonts w:ascii="Times New Roman" w:eastAsia="Times New Roman" w:hAnsi="Times New Roman" w:cs="Times New Roman"/>
        </w:rPr>
        <w:t>Güler</w:t>
      </w:r>
      <w:proofErr w:type="spellEnd"/>
      <w:r>
        <w:rPr>
          <w:rFonts w:ascii="Times New Roman" w:eastAsia="Times New Roman" w:hAnsi="Times New Roman" w:cs="Times New Roman"/>
        </w:rPr>
        <w:t>, A.D., Gutmann,</w:t>
      </w:r>
      <w:r>
        <w:rPr>
          <w:rFonts w:ascii="Times New Roman" w:eastAsia="Times New Roman" w:hAnsi="Times New Roman" w:cs="Times New Roman"/>
        </w:rPr>
        <w:t xml:space="preserve"> D.H., Halpern, C.H., </w:t>
      </w:r>
      <w:proofErr w:type="spellStart"/>
      <w:r>
        <w:rPr>
          <w:rFonts w:ascii="Times New Roman" w:eastAsia="Times New Roman" w:hAnsi="Times New Roman" w:cs="Times New Roman"/>
        </w:rPr>
        <w:t>Kucenas</w:t>
      </w:r>
      <w:proofErr w:type="spellEnd"/>
      <w:r>
        <w:rPr>
          <w:rFonts w:ascii="Times New Roman" w:eastAsia="Times New Roman" w:hAnsi="Times New Roman" w:cs="Times New Roman"/>
        </w:rPr>
        <w:t xml:space="preserve">, S.C., </w:t>
      </w:r>
      <w:proofErr w:type="spellStart"/>
      <w:r>
        <w:rPr>
          <w:rFonts w:ascii="Times New Roman" w:eastAsia="Times New Roman" w:hAnsi="Times New Roman" w:cs="Times New Roman"/>
        </w:rPr>
        <w:t>Kushida</w:t>
      </w:r>
      <w:proofErr w:type="spellEnd"/>
      <w:r>
        <w:rPr>
          <w:rFonts w:ascii="Times New Roman" w:eastAsia="Times New Roman" w:hAnsi="Times New Roman" w:cs="Times New Roman"/>
        </w:rPr>
        <w:t xml:space="preserve">, C.A., Lemieux, M., </w:t>
      </w:r>
      <w:proofErr w:type="spellStart"/>
      <w:r>
        <w:rPr>
          <w:rFonts w:ascii="Times New Roman" w:eastAsia="Times New Roman" w:hAnsi="Times New Roman" w:cs="Times New Roman"/>
        </w:rPr>
        <w:t>Liddelow</w:t>
      </w:r>
      <w:proofErr w:type="spellEnd"/>
      <w:r>
        <w:rPr>
          <w:rFonts w:ascii="Times New Roman" w:eastAsia="Times New Roman" w:hAnsi="Times New Roman" w:cs="Times New Roman"/>
        </w:rPr>
        <w:t xml:space="preserve">, S., Macauley, S.L., Li, Q., Quinn, M.A., Roberts, L.W., </w:t>
      </w:r>
      <w:proofErr w:type="spellStart"/>
      <w:r>
        <w:rPr>
          <w:rFonts w:ascii="Times New Roman" w:eastAsia="Times New Roman" w:hAnsi="Times New Roman" w:cs="Times New Roman"/>
        </w:rPr>
        <w:t>Saligrama</w:t>
      </w:r>
      <w:proofErr w:type="spellEnd"/>
      <w:r>
        <w:rPr>
          <w:rFonts w:ascii="Times New Roman" w:eastAsia="Times New Roman" w:hAnsi="Times New Roman" w:cs="Times New Roman"/>
        </w:rPr>
        <w:t xml:space="preserve">, N., Taylor, K.R., Venkatesh, H.S., </w:t>
      </w:r>
      <w:proofErr w:type="spellStart"/>
      <w:r>
        <w:rPr>
          <w:rFonts w:ascii="Times New Roman" w:eastAsia="Times New Roman" w:hAnsi="Times New Roman" w:cs="Times New Roman"/>
        </w:rPr>
        <w:t>Yalçın</w:t>
      </w:r>
      <w:proofErr w:type="spellEnd"/>
      <w:r>
        <w:rPr>
          <w:rFonts w:ascii="Times New Roman" w:eastAsia="Times New Roman" w:hAnsi="Times New Roman" w:cs="Times New Roman"/>
        </w:rPr>
        <w:t xml:space="preserve">, B. and </w:t>
      </w:r>
      <w:proofErr w:type="spellStart"/>
      <w:r>
        <w:rPr>
          <w:rFonts w:ascii="Times New Roman" w:eastAsia="Times New Roman" w:hAnsi="Times New Roman" w:cs="Times New Roman"/>
        </w:rPr>
        <w:t>Zuchero</w:t>
      </w:r>
      <w:proofErr w:type="spellEnd"/>
      <w:r>
        <w:rPr>
          <w:rFonts w:ascii="Times New Roman" w:eastAsia="Times New Roman" w:hAnsi="Times New Roman" w:cs="Times New Roman"/>
        </w:rPr>
        <w:t>, J.B. (2020). How Support of Early Career Researchers Ca</w:t>
      </w:r>
      <w:r>
        <w:rPr>
          <w:rFonts w:ascii="Times New Roman" w:eastAsia="Times New Roman" w:hAnsi="Times New Roman" w:cs="Times New Roman"/>
        </w:rPr>
        <w:t xml:space="preserve">n Reset Science in the Post-COVID19 World. </w:t>
      </w:r>
      <w:r>
        <w:rPr>
          <w:rFonts w:ascii="Times New Roman" w:eastAsia="Times New Roman" w:hAnsi="Times New Roman" w:cs="Times New Roman"/>
          <w:i/>
        </w:rPr>
        <w:t>Cell</w:t>
      </w:r>
      <w:r>
        <w:rPr>
          <w:rFonts w:ascii="Times New Roman" w:eastAsia="Times New Roman" w:hAnsi="Times New Roman" w:cs="Times New Roman"/>
        </w:rPr>
        <w:t>, [online] 181(7), pp.1445–1449. doi:</w:t>
      </w:r>
      <w:hyperlink r:id="rId18">
        <w:r>
          <w:rPr>
            <w:rFonts w:ascii="Times New Roman" w:eastAsia="Times New Roman" w:hAnsi="Times New Roman" w:cs="Times New Roman"/>
          </w:rPr>
          <w:t>10.1016/j.cell.2020.05.045</w:t>
        </w:r>
      </w:hyperlink>
      <w:r>
        <w:rPr>
          <w:rFonts w:ascii="Times New Roman" w:eastAsia="Times New Roman" w:hAnsi="Times New Roman" w:cs="Times New Roman"/>
        </w:rPr>
        <w:t>.</w:t>
      </w:r>
    </w:p>
    <w:p w14:paraId="00000046"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Gomez-</w:t>
      </w:r>
      <w:proofErr w:type="spellStart"/>
      <w:r>
        <w:rPr>
          <w:rFonts w:ascii="Times New Roman" w:eastAsia="Times New Roman" w:hAnsi="Times New Roman" w:cs="Times New Roman"/>
        </w:rPr>
        <w:t>Baggethun</w:t>
      </w:r>
      <w:proofErr w:type="spellEnd"/>
      <w:r>
        <w:rPr>
          <w:rFonts w:ascii="Times New Roman" w:eastAsia="Times New Roman" w:hAnsi="Times New Roman" w:cs="Times New Roman"/>
        </w:rPr>
        <w:t xml:space="preserve">, E. (2022). Rethinking Work for a Just and Sustainable Future. </w:t>
      </w:r>
      <w:r>
        <w:rPr>
          <w:rFonts w:ascii="Times New Roman" w:eastAsia="Times New Roman" w:hAnsi="Times New Roman" w:cs="Times New Roman"/>
          <w:i/>
        </w:rPr>
        <w:t>Ecological Economics</w:t>
      </w:r>
      <w:r>
        <w:rPr>
          <w:rFonts w:ascii="Times New Roman" w:eastAsia="Times New Roman" w:hAnsi="Times New Roman" w:cs="Times New Roman"/>
        </w:rPr>
        <w:t>, 200, p.10750</w:t>
      </w:r>
      <w:r>
        <w:rPr>
          <w:rFonts w:ascii="Times New Roman" w:eastAsia="Times New Roman" w:hAnsi="Times New Roman" w:cs="Times New Roman"/>
        </w:rPr>
        <w:t>6. doi:</w:t>
      </w:r>
      <w:hyperlink r:id="rId19">
        <w:r>
          <w:rPr>
            <w:rFonts w:ascii="Times New Roman" w:eastAsia="Times New Roman" w:hAnsi="Times New Roman" w:cs="Times New Roman"/>
          </w:rPr>
          <w:t>10.1016/j.ecolecon.2022.107506</w:t>
        </w:r>
      </w:hyperlink>
      <w:r>
        <w:rPr>
          <w:rFonts w:ascii="Times New Roman" w:eastAsia="Times New Roman" w:hAnsi="Times New Roman" w:cs="Times New Roman"/>
        </w:rPr>
        <w:t>.</w:t>
      </w:r>
    </w:p>
    <w:p w14:paraId="00000047"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Gürdür</w:t>
      </w:r>
      <w:proofErr w:type="spellEnd"/>
      <w:r>
        <w:rPr>
          <w:rFonts w:ascii="Times New Roman" w:eastAsia="Times New Roman" w:hAnsi="Times New Roman" w:cs="Times New Roman"/>
        </w:rPr>
        <w:t xml:space="preserve"> Broo, D., Lamb, K., </w:t>
      </w:r>
      <w:proofErr w:type="spellStart"/>
      <w:r>
        <w:rPr>
          <w:rFonts w:ascii="Times New Roman" w:eastAsia="Times New Roman" w:hAnsi="Times New Roman" w:cs="Times New Roman"/>
        </w:rPr>
        <w:t>Ehwi</w:t>
      </w:r>
      <w:proofErr w:type="spellEnd"/>
      <w:r>
        <w:rPr>
          <w:rFonts w:ascii="Times New Roman" w:eastAsia="Times New Roman" w:hAnsi="Times New Roman" w:cs="Times New Roman"/>
        </w:rPr>
        <w:t xml:space="preserve">, R.J., </w:t>
      </w:r>
      <w:proofErr w:type="spellStart"/>
      <w:r>
        <w:rPr>
          <w:rFonts w:ascii="Times New Roman" w:eastAsia="Times New Roman" w:hAnsi="Times New Roman" w:cs="Times New Roman"/>
        </w:rPr>
        <w:t>Pärn</w:t>
      </w:r>
      <w:proofErr w:type="spellEnd"/>
      <w:r>
        <w:rPr>
          <w:rFonts w:ascii="Times New Roman" w:eastAsia="Times New Roman" w:hAnsi="Times New Roman" w:cs="Times New Roman"/>
        </w:rPr>
        <w:t xml:space="preserve">, E., </w:t>
      </w:r>
      <w:proofErr w:type="spellStart"/>
      <w:r>
        <w:rPr>
          <w:rFonts w:ascii="Times New Roman" w:eastAsia="Times New Roman" w:hAnsi="Times New Roman" w:cs="Times New Roman"/>
        </w:rPr>
        <w:t>Koronaki</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Makri</w:t>
      </w:r>
      <w:proofErr w:type="spellEnd"/>
      <w:r>
        <w:rPr>
          <w:rFonts w:ascii="Times New Roman" w:eastAsia="Times New Roman" w:hAnsi="Times New Roman" w:cs="Times New Roman"/>
        </w:rPr>
        <w:t xml:space="preserve">, C. and </w:t>
      </w:r>
      <w:proofErr w:type="spellStart"/>
      <w:r>
        <w:rPr>
          <w:rFonts w:ascii="Times New Roman" w:eastAsia="Times New Roman" w:hAnsi="Times New Roman" w:cs="Times New Roman"/>
        </w:rPr>
        <w:t>Zomer</w:t>
      </w:r>
      <w:proofErr w:type="spellEnd"/>
      <w:r>
        <w:rPr>
          <w:rFonts w:ascii="Times New Roman" w:eastAsia="Times New Roman" w:hAnsi="Times New Roman" w:cs="Times New Roman"/>
        </w:rPr>
        <w:t xml:space="preserve">, T. (2020). Built Environment of Britain in 2040: Scenarios and Strategies. </w:t>
      </w:r>
      <w:r>
        <w:rPr>
          <w:rFonts w:ascii="Times New Roman" w:eastAsia="Times New Roman" w:hAnsi="Times New Roman" w:cs="Times New Roman"/>
          <w:i/>
        </w:rPr>
        <w:t>Sustainable Cities and Soci</w:t>
      </w:r>
      <w:r>
        <w:rPr>
          <w:rFonts w:ascii="Times New Roman" w:eastAsia="Times New Roman" w:hAnsi="Times New Roman" w:cs="Times New Roman"/>
          <w:i/>
        </w:rPr>
        <w:t>ety</w:t>
      </w:r>
      <w:r>
        <w:rPr>
          <w:rFonts w:ascii="Times New Roman" w:eastAsia="Times New Roman" w:hAnsi="Times New Roman" w:cs="Times New Roman"/>
        </w:rPr>
        <w:t>, p.102645. doi:</w:t>
      </w:r>
      <w:hyperlink r:id="rId20">
        <w:r>
          <w:rPr>
            <w:rFonts w:ascii="Times New Roman" w:eastAsia="Times New Roman" w:hAnsi="Times New Roman" w:cs="Times New Roman"/>
          </w:rPr>
          <w:t>10.1016/j.scs.2020.102645</w:t>
        </w:r>
      </w:hyperlink>
      <w:r>
        <w:rPr>
          <w:rFonts w:ascii="Times New Roman" w:eastAsia="Times New Roman" w:hAnsi="Times New Roman" w:cs="Times New Roman"/>
        </w:rPr>
        <w:t>.</w:t>
      </w:r>
    </w:p>
    <w:p w14:paraId="00000048"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Hadjimichalis</w:t>
      </w:r>
      <w:proofErr w:type="spellEnd"/>
      <w:r>
        <w:rPr>
          <w:rFonts w:ascii="Times New Roman" w:eastAsia="Times New Roman" w:hAnsi="Times New Roman" w:cs="Times New Roman"/>
        </w:rPr>
        <w:t xml:space="preserve">, C. (2020). An Uncertain Future for the post-Brexit, post-COVID-19 European </w:t>
      </w:r>
      <w:r>
        <w:rPr>
          <w:rFonts w:ascii="Times New Roman" w:eastAsia="Times New Roman" w:hAnsi="Times New Roman" w:cs="Times New Roman"/>
        </w:rPr>
        <w:lastRenderedPageBreak/>
        <w:t xml:space="preserve">Union. </w:t>
      </w:r>
      <w:r>
        <w:rPr>
          <w:rFonts w:ascii="Times New Roman" w:eastAsia="Times New Roman" w:hAnsi="Times New Roman" w:cs="Times New Roman"/>
          <w:i/>
        </w:rPr>
        <w:t>European Urban and Regional Studies</w:t>
      </w:r>
      <w:r>
        <w:rPr>
          <w:rFonts w:ascii="Times New Roman" w:eastAsia="Times New Roman" w:hAnsi="Times New Roman" w:cs="Times New Roman"/>
        </w:rPr>
        <w:t>, 28(1), p.096977642096896. doi:</w:t>
      </w:r>
      <w:hyperlink r:id="rId21">
        <w:r>
          <w:rPr>
            <w:rFonts w:ascii="Times New Roman" w:eastAsia="Times New Roman" w:hAnsi="Times New Roman" w:cs="Times New Roman"/>
          </w:rPr>
          <w:t>10.1177/0969776420968961</w:t>
        </w:r>
      </w:hyperlink>
      <w:r>
        <w:rPr>
          <w:rFonts w:ascii="Times New Roman" w:eastAsia="Times New Roman" w:hAnsi="Times New Roman" w:cs="Times New Roman"/>
        </w:rPr>
        <w:t>.</w:t>
      </w:r>
    </w:p>
    <w:p w14:paraId="00000049"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He, H. and Harris, L. (2020). The Impact of Covid-19 Pandemic on Corporate Social Responsibility and Marketing Philosophy. </w:t>
      </w:r>
      <w:r>
        <w:rPr>
          <w:rFonts w:ascii="Times New Roman" w:eastAsia="Times New Roman" w:hAnsi="Times New Roman" w:cs="Times New Roman"/>
          <w:i/>
        </w:rPr>
        <w:t>Journal of Business Research</w:t>
      </w:r>
      <w:r>
        <w:rPr>
          <w:rFonts w:ascii="Times New Roman" w:eastAsia="Times New Roman" w:hAnsi="Times New Roman" w:cs="Times New Roman"/>
        </w:rPr>
        <w:t>, 116(1), pp.176–182.</w:t>
      </w:r>
    </w:p>
    <w:p w14:paraId="0000004A"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Hou, H. (Cynthia), </w:t>
      </w:r>
      <w:proofErr w:type="spellStart"/>
      <w:r>
        <w:rPr>
          <w:rFonts w:ascii="Times New Roman" w:eastAsia="Times New Roman" w:hAnsi="Times New Roman" w:cs="Times New Roman"/>
        </w:rPr>
        <w:t>Remøy</w:t>
      </w:r>
      <w:proofErr w:type="spellEnd"/>
      <w:r>
        <w:rPr>
          <w:rFonts w:ascii="Times New Roman" w:eastAsia="Times New Roman" w:hAnsi="Times New Roman" w:cs="Times New Roman"/>
        </w:rPr>
        <w:t xml:space="preserve">, H., </w:t>
      </w:r>
      <w:proofErr w:type="spellStart"/>
      <w:r>
        <w:rPr>
          <w:rFonts w:ascii="Times New Roman" w:eastAsia="Times New Roman" w:hAnsi="Times New Roman" w:cs="Times New Roman"/>
        </w:rPr>
        <w:t>Jylhä</w:t>
      </w:r>
      <w:proofErr w:type="spellEnd"/>
      <w:r>
        <w:rPr>
          <w:rFonts w:ascii="Times New Roman" w:eastAsia="Times New Roman" w:hAnsi="Times New Roman" w:cs="Times New Roman"/>
        </w:rPr>
        <w:t xml:space="preserve">, T. and </w:t>
      </w:r>
      <w:proofErr w:type="spellStart"/>
      <w:r>
        <w:rPr>
          <w:rFonts w:ascii="Times New Roman" w:eastAsia="Times New Roman" w:hAnsi="Times New Roman" w:cs="Times New Roman"/>
        </w:rPr>
        <w:t>Vande</w:t>
      </w:r>
      <w:proofErr w:type="spellEnd"/>
      <w:r>
        <w:rPr>
          <w:rFonts w:ascii="Times New Roman" w:eastAsia="Times New Roman" w:hAnsi="Times New Roman" w:cs="Times New Roman"/>
        </w:rPr>
        <w:t xml:space="preserve"> Putte, H. (2021). A Study on Office Workplace Modification during the COVID-19 Pandemic in the Netherlands. </w:t>
      </w:r>
      <w:r>
        <w:rPr>
          <w:rFonts w:ascii="Times New Roman" w:eastAsia="Times New Roman" w:hAnsi="Times New Roman" w:cs="Times New Roman"/>
          <w:i/>
        </w:rPr>
        <w:t>Journal of Corporate Real Estate</w:t>
      </w:r>
      <w:r>
        <w:rPr>
          <w:rFonts w:ascii="Times New Roman" w:eastAsia="Times New Roman" w:hAnsi="Times New Roman" w:cs="Times New Roman"/>
        </w:rPr>
        <w:t>, 23(3), pp.186–202. doi:</w:t>
      </w:r>
      <w:hyperlink r:id="rId22">
        <w:r>
          <w:rPr>
            <w:rFonts w:ascii="Times New Roman" w:eastAsia="Times New Roman" w:hAnsi="Times New Roman" w:cs="Times New Roman"/>
          </w:rPr>
          <w:t>10.1108/jc</w:t>
        </w:r>
        <w:r>
          <w:rPr>
            <w:rFonts w:ascii="Times New Roman" w:eastAsia="Times New Roman" w:hAnsi="Times New Roman" w:cs="Times New Roman"/>
          </w:rPr>
          <w:t>re-10-2020-0051</w:t>
        </w:r>
      </w:hyperlink>
      <w:r>
        <w:rPr>
          <w:rFonts w:ascii="Times New Roman" w:eastAsia="Times New Roman" w:hAnsi="Times New Roman" w:cs="Times New Roman"/>
        </w:rPr>
        <w:t>.</w:t>
      </w:r>
    </w:p>
    <w:p w14:paraId="0000004B"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Maher, C.S., Hoang, T. and Hindery, A. (2020). Fiscal Responses to</w:t>
      </w:r>
      <w:r>
        <w:rPr>
          <w:rFonts w:ascii="Times New Roman" w:eastAsia="Times New Roman" w:hAnsi="Times New Roman" w:cs="Times New Roman"/>
        </w:rPr>
        <w:br/>
        <w:t xml:space="preserve">            COVID</w:t>
      </w:r>
      <w:r>
        <w:rPr>
          <w:rFonts w:ascii="Times New Roman" w:eastAsia="Times New Roman" w:hAnsi="Times New Roman" w:cs="Times New Roman"/>
        </w:rPr>
        <w:br/>
        <w:t xml:space="preserve">            ‐19: Evidence from Local Governments and Nonprofits. </w:t>
      </w:r>
      <w:r>
        <w:rPr>
          <w:rFonts w:ascii="Times New Roman" w:eastAsia="Times New Roman" w:hAnsi="Times New Roman" w:cs="Times New Roman"/>
          <w:i/>
        </w:rPr>
        <w:t>Public Administration Review</w:t>
      </w:r>
      <w:r>
        <w:rPr>
          <w:rFonts w:ascii="Times New Roman" w:eastAsia="Times New Roman" w:hAnsi="Times New Roman" w:cs="Times New Roman"/>
        </w:rPr>
        <w:t>, 80(4), pp.644–650. doi:</w:t>
      </w:r>
      <w:hyperlink r:id="rId23">
        <w:r>
          <w:rPr>
            <w:rFonts w:ascii="Times New Roman" w:eastAsia="Times New Roman" w:hAnsi="Times New Roman" w:cs="Times New Roman"/>
          </w:rPr>
          <w:t>10.11</w:t>
        </w:r>
        <w:r>
          <w:rPr>
            <w:rFonts w:ascii="Times New Roman" w:eastAsia="Times New Roman" w:hAnsi="Times New Roman" w:cs="Times New Roman"/>
          </w:rPr>
          <w:t>11/puar.13238</w:t>
        </w:r>
      </w:hyperlink>
      <w:r>
        <w:rPr>
          <w:rFonts w:ascii="Times New Roman" w:eastAsia="Times New Roman" w:hAnsi="Times New Roman" w:cs="Times New Roman"/>
        </w:rPr>
        <w:t>.</w:t>
      </w:r>
    </w:p>
    <w:p w14:paraId="0000004C"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McCabe, S. (2022). </w:t>
      </w:r>
      <w:r>
        <w:rPr>
          <w:rFonts w:ascii="Times New Roman" w:eastAsia="Times New Roman" w:hAnsi="Times New Roman" w:cs="Times New Roman"/>
          <w:i/>
        </w:rPr>
        <w:t>Things Can Only Get Better…But Not Any Time Soon!</w:t>
      </w:r>
      <w:r>
        <w:rPr>
          <w:rFonts w:ascii="Times New Roman" w:eastAsia="Times New Roman" w:hAnsi="Times New Roman" w:cs="Times New Roman"/>
        </w:rPr>
        <w:t xml:space="preserve"> [online] centreforbrexitstudiesblog.wordpress.com. Available at: </w:t>
      </w:r>
      <w:hyperlink r:id="rId24">
        <w:r>
          <w:rPr>
            <w:rFonts w:ascii="Times New Roman" w:eastAsia="Times New Roman" w:hAnsi="Times New Roman" w:cs="Times New Roman"/>
          </w:rPr>
          <w:t>http://www.open-access.bcu.ac.uk/id/epr</w:t>
        </w:r>
        <w:r>
          <w:rPr>
            <w:rFonts w:ascii="Times New Roman" w:eastAsia="Times New Roman" w:hAnsi="Times New Roman" w:cs="Times New Roman"/>
          </w:rPr>
          <w:t>int/13171</w:t>
        </w:r>
      </w:hyperlink>
      <w:r>
        <w:rPr>
          <w:rFonts w:ascii="Times New Roman" w:eastAsia="Times New Roman" w:hAnsi="Times New Roman" w:cs="Times New Roman"/>
        </w:rPr>
        <w:t xml:space="preserve"> [Accessed 3 Sep. 2022].</w:t>
      </w:r>
    </w:p>
    <w:p w14:paraId="0000004D"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McCann, P., Ortega-</w:t>
      </w:r>
      <w:proofErr w:type="spellStart"/>
      <w:r>
        <w:rPr>
          <w:rFonts w:ascii="Times New Roman" w:eastAsia="Times New Roman" w:hAnsi="Times New Roman" w:cs="Times New Roman"/>
        </w:rPr>
        <w:t>Argilés</w:t>
      </w:r>
      <w:proofErr w:type="spellEnd"/>
      <w:r>
        <w:rPr>
          <w:rFonts w:ascii="Times New Roman" w:eastAsia="Times New Roman" w:hAnsi="Times New Roman" w:cs="Times New Roman"/>
        </w:rPr>
        <w:t xml:space="preserve">, R., </w:t>
      </w:r>
      <w:proofErr w:type="spellStart"/>
      <w:r>
        <w:rPr>
          <w:rFonts w:ascii="Times New Roman" w:eastAsia="Times New Roman" w:hAnsi="Times New Roman" w:cs="Times New Roman"/>
        </w:rPr>
        <w:t>Sevinc</w:t>
      </w:r>
      <w:proofErr w:type="spellEnd"/>
      <w:r>
        <w:rPr>
          <w:rFonts w:ascii="Times New Roman" w:eastAsia="Times New Roman" w:hAnsi="Times New Roman" w:cs="Times New Roman"/>
        </w:rPr>
        <w:t>, D. and Cepeda-</w:t>
      </w:r>
      <w:proofErr w:type="spellStart"/>
      <w:r>
        <w:rPr>
          <w:rFonts w:ascii="Times New Roman" w:eastAsia="Times New Roman" w:hAnsi="Times New Roman" w:cs="Times New Roman"/>
        </w:rPr>
        <w:t>Zorrilla</w:t>
      </w:r>
      <w:proofErr w:type="spellEnd"/>
      <w:r>
        <w:rPr>
          <w:rFonts w:ascii="Times New Roman" w:eastAsia="Times New Roman" w:hAnsi="Times New Roman" w:cs="Times New Roman"/>
        </w:rPr>
        <w:t xml:space="preserve">, M. (2021). Rebalancing UK Regional and Industrial Policy post-Brexit and post-Covid-19: Lessons Learned and Priorities for the Future. </w:t>
      </w:r>
      <w:r>
        <w:rPr>
          <w:rFonts w:ascii="Times New Roman" w:eastAsia="Times New Roman" w:hAnsi="Times New Roman" w:cs="Times New Roman"/>
          <w:i/>
        </w:rPr>
        <w:t>Regional Studies</w:t>
      </w:r>
      <w:r>
        <w:rPr>
          <w:rFonts w:ascii="Times New Roman" w:eastAsia="Times New Roman" w:hAnsi="Times New Roman" w:cs="Times New Roman"/>
        </w:rPr>
        <w:t>, pp.1–</w:t>
      </w:r>
      <w:r>
        <w:rPr>
          <w:rFonts w:ascii="Times New Roman" w:eastAsia="Times New Roman" w:hAnsi="Times New Roman" w:cs="Times New Roman"/>
        </w:rPr>
        <w:t>13. doi:</w:t>
      </w:r>
      <w:hyperlink r:id="rId25">
        <w:r>
          <w:rPr>
            <w:rFonts w:ascii="Times New Roman" w:eastAsia="Times New Roman" w:hAnsi="Times New Roman" w:cs="Times New Roman"/>
          </w:rPr>
          <w:t>10.1080/00343404.2021.1922663</w:t>
        </w:r>
      </w:hyperlink>
      <w:r>
        <w:rPr>
          <w:rFonts w:ascii="Times New Roman" w:eastAsia="Times New Roman" w:hAnsi="Times New Roman" w:cs="Times New Roman"/>
        </w:rPr>
        <w:t>.</w:t>
      </w:r>
    </w:p>
    <w:p w14:paraId="0000004E"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Merlot, E.S. and De </w:t>
      </w:r>
      <w:proofErr w:type="spellStart"/>
      <w:r>
        <w:rPr>
          <w:rFonts w:ascii="Times New Roman" w:eastAsia="Times New Roman" w:hAnsi="Times New Roman" w:cs="Times New Roman"/>
        </w:rPr>
        <w:t>Cieri</w:t>
      </w:r>
      <w:proofErr w:type="spellEnd"/>
      <w:r>
        <w:rPr>
          <w:rFonts w:ascii="Times New Roman" w:eastAsia="Times New Roman" w:hAnsi="Times New Roman" w:cs="Times New Roman"/>
        </w:rPr>
        <w:t xml:space="preserve">, H. (2012). The Challenges of the 2004 Indian Ocean Tsunami for Strategic International Human Resource Management in Multinational Nonprofit Enterprises. </w:t>
      </w:r>
      <w:r>
        <w:rPr>
          <w:rFonts w:ascii="Times New Roman" w:eastAsia="Times New Roman" w:hAnsi="Times New Roman" w:cs="Times New Roman"/>
          <w:i/>
        </w:rPr>
        <w:t>The In</w:t>
      </w:r>
      <w:r>
        <w:rPr>
          <w:rFonts w:ascii="Times New Roman" w:eastAsia="Times New Roman" w:hAnsi="Times New Roman" w:cs="Times New Roman"/>
          <w:i/>
        </w:rPr>
        <w:t>ternational Journal of Human Resource Management</w:t>
      </w:r>
      <w:r>
        <w:rPr>
          <w:rFonts w:ascii="Times New Roman" w:eastAsia="Times New Roman" w:hAnsi="Times New Roman" w:cs="Times New Roman"/>
        </w:rPr>
        <w:t>, 23(7), pp.1303–1319. doi:</w:t>
      </w:r>
      <w:hyperlink r:id="rId26">
        <w:r>
          <w:rPr>
            <w:rFonts w:ascii="Times New Roman" w:eastAsia="Times New Roman" w:hAnsi="Times New Roman" w:cs="Times New Roman"/>
          </w:rPr>
          <w:t>10.1080/09585192.2011.610337</w:t>
        </w:r>
      </w:hyperlink>
      <w:r>
        <w:rPr>
          <w:rFonts w:ascii="Times New Roman" w:eastAsia="Times New Roman" w:hAnsi="Times New Roman" w:cs="Times New Roman"/>
        </w:rPr>
        <w:t>.</w:t>
      </w:r>
    </w:p>
    <w:p w14:paraId="0000004F"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Moradlou</w:t>
      </w:r>
      <w:proofErr w:type="spellEnd"/>
      <w:r>
        <w:rPr>
          <w:rFonts w:ascii="Times New Roman" w:eastAsia="Times New Roman" w:hAnsi="Times New Roman" w:cs="Times New Roman"/>
        </w:rPr>
        <w:t xml:space="preserve">, H., </w:t>
      </w:r>
      <w:proofErr w:type="spellStart"/>
      <w:r>
        <w:rPr>
          <w:rFonts w:ascii="Times New Roman" w:eastAsia="Times New Roman" w:hAnsi="Times New Roman" w:cs="Times New Roman"/>
        </w:rPr>
        <w:t>Fratocchi</w:t>
      </w:r>
      <w:proofErr w:type="spellEnd"/>
      <w:r>
        <w:rPr>
          <w:rFonts w:ascii="Times New Roman" w:eastAsia="Times New Roman" w:hAnsi="Times New Roman" w:cs="Times New Roman"/>
        </w:rPr>
        <w:t xml:space="preserve">, L., </w:t>
      </w:r>
      <w:proofErr w:type="spellStart"/>
      <w:r>
        <w:rPr>
          <w:rFonts w:ascii="Times New Roman" w:eastAsia="Times New Roman" w:hAnsi="Times New Roman" w:cs="Times New Roman"/>
        </w:rPr>
        <w:t>Skipworth</w:t>
      </w:r>
      <w:proofErr w:type="spellEnd"/>
      <w:r>
        <w:rPr>
          <w:rFonts w:ascii="Times New Roman" w:eastAsia="Times New Roman" w:hAnsi="Times New Roman" w:cs="Times New Roman"/>
        </w:rPr>
        <w:t>, H. and Ghadge, A. (2021). Post-Brexit back-shoring strategies: What UK Manufactu</w:t>
      </w:r>
      <w:r>
        <w:rPr>
          <w:rFonts w:ascii="Times New Roman" w:eastAsia="Times New Roman" w:hAnsi="Times New Roman" w:cs="Times New Roman"/>
        </w:rPr>
        <w:t xml:space="preserve">ring Companies Could Learn from the past? </w:t>
      </w:r>
      <w:r>
        <w:rPr>
          <w:rFonts w:ascii="Times New Roman" w:eastAsia="Times New Roman" w:hAnsi="Times New Roman" w:cs="Times New Roman"/>
          <w:i/>
        </w:rPr>
        <w:t>Production Planning &amp; Control</w:t>
      </w:r>
      <w:r>
        <w:rPr>
          <w:rFonts w:ascii="Times New Roman" w:eastAsia="Times New Roman" w:hAnsi="Times New Roman" w:cs="Times New Roman"/>
        </w:rPr>
        <w:t>, pp.1–18. doi:</w:t>
      </w:r>
      <w:hyperlink r:id="rId27">
        <w:r>
          <w:rPr>
            <w:rFonts w:ascii="Times New Roman" w:eastAsia="Times New Roman" w:hAnsi="Times New Roman" w:cs="Times New Roman"/>
          </w:rPr>
          <w:t>10.1080/09537287.2020.1863500</w:t>
        </w:r>
      </w:hyperlink>
      <w:r>
        <w:rPr>
          <w:rFonts w:ascii="Times New Roman" w:eastAsia="Times New Roman" w:hAnsi="Times New Roman" w:cs="Times New Roman"/>
        </w:rPr>
        <w:t>.</w:t>
      </w:r>
    </w:p>
    <w:p w14:paraId="00000050"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Nijssen</w:t>
      </w:r>
      <w:proofErr w:type="spellEnd"/>
      <w:r>
        <w:rPr>
          <w:rFonts w:ascii="Times New Roman" w:eastAsia="Times New Roman" w:hAnsi="Times New Roman" w:cs="Times New Roman"/>
        </w:rPr>
        <w:t xml:space="preserve">, M. and Paauwe, J. (2012). HRM in turbulent times: how to achieve organizational agility? </w:t>
      </w:r>
      <w:r>
        <w:rPr>
          <w:rFonts w:ascii="Times New Roman" w:eastAsia="Times New Roman" w:hAnsi="Times New Roman" w:cs="Times New Roman"/>
          <w:i/>
        </w:rPr>
        <w:t>The Intern</w:t>
      </w:r>
      <w:r>
        <w:rPr>
          <w:rFonts w:ascii="Times New Roman" w:eastAsia="Times New Roman" w:hAnsi="Times New Roman" w:cs="Times New Roman"/>
          <w:i/>
        </w:rPr>
        <w:t>ational Journal of Human Resource Management</w:t>
      </w:r>
      <w:r>
        <w:rPr>
          <w:rFonts w:ascii="Times New Roman" w:eastAsia="Times New Roman" w:hAnsi="Times New Roman" w:cs="Times New Roman"/>
        </w:rPr>
        <w:t>, 23(16), pp.3315–3335. doi:</w:t>
      </w:r>
      <w:hyperlink r:id="rId28">
        <w:r>
          <w:rPr>
            <w:rFonts w:ascii="Times New Roman" w:eastAsia="Times New Roman" w:hAnsi="Times New Roman" w:cs="Times New Roman"/>
          </w:rPr>
          <w:t>10.1080/09585192.2012.689160</w:t>
        </w:r>
      </w:hyperlink>
      <w:r>
        <w:rPr>
          <w:rFonts w:ascii="Times New Roman" w:eastAsia="Times New Roman" w:hAnsi="Times New Roman" w:cs="Times New Roman"/>
        </w:rPr>
        <w:t>.</w:t>
      </w:r>
    </w:p>
    <w:p w14:paraId="00000051"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lastRenderedPageBreak/>
        <w:t xml:space="preserve">Oulton, N. (2022). </w:t>
      </w:r>
      <w:r>
        <w:rPr>
          <w:rFonts w:ascii="Times New Roman" w:eastAsia="Times New Roman" w:hAnsi="Times New Roman" w:cs="Times New Roman"/>
          <w:i/>
        </w:rPr>
        <w:t xml:space="preserve">The Productivity-Welfare Linkage: </w:t>
      </w:r>
      <w:proofErr w:type="gramStart"/>
      <w:r>
        <w:rPr>
          <w:rFonts w:ascii="Times New Roman" w:eastAsia="Times New Roman" w:hAnsi="Times New Roman" w:cs="Times New Roman"/>
          <w:i/>
        </w:rPr>
        <w:t>a</w:t>
      </w:r>
      <w:proofErr w:type="gramEnd"/>
      <w:r>
        <w:rPr>
          <w:rFonts w:ascii="Times New Roman" w:eastAsia="Times New Roman" w:hAnsi="Times New Roman" w:cs="Times New Roman"/>
          <w:i/>
        </w:rPr>
        <w:t xml:space="preserve"> Decomposition</w:t>
      </w:r>
      <w:r>
        <w:rPr>
          <w:rFonts w:ascii="Times New Roman" w:eastAsia="Times New Roman" w:hAnsi="Times New Roman" w:cs="Times New Roman"/>
        </w:rPr>
        <w:t xml:space="preserve">. [online] Available at: </w:t>
      </w:r>
      <w:hyperlink r:id="rId29">
        <w:r>
          <w:rPr>
            <w:rFonts w:ascii="Times New Roman" w:eastAsia="Times New Roman" w:hAnsi="Times New Roman" w:cs="Times New Roman"/>
          </w:rPr>
          <w:t>https://escoe-website.s3.amazonaws.com/wp-content/uploads/2022/03/25120252/ESCoE-DP-2022-07.pdf</w:t>
        </w:r>
      </w:hyperlink>
      <w:r>
        <w:rPr>
          <w:rFonts w:ascii="Times New Roman" w:eastAsia="Times New Roman" w:hAnsi="Times New Roman" w:cs="Times New Roman"/>
        </w:rPr>
        <w:t xml:space="preserve"> [Accessed 3 Sep. 2022].</w:t>
      </w:r>
    </w:p>
    <w:p w14:paraId="00000052"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Pizzinelli</w:t>
      </w:r>
      <w:proofErr w:type="spellEnd"/>
      <w:r>
        <w:rPr>
          <w:rFonts w:ascii="Times New Roman" w:eastAsia="Times New Roman" w:hAnsi="Times New Roman" w:cs="Times New Roman"/>
        </w:rPr>
        <w:t xml:space="preserve">, C. and Shibata, M.I. (2022). </w:t>
      </w:r>
      <w:r>
        <w:rPr>
          <w:rFonts w:ascii="Times New Roman" w:eastAsia="Times New Roman" w:hAnsi="Times New Roman" w:cs="Times New Roman"/>
          <w:i/>
        </w:rPr>
        <w:t>Has COVID-</w:t>
      </w:r>
      <w:r>
        <w:rPr>
          <w:rFonts w:ascii="Times New Roman" w:eastAsia="Times New Roman" w:hAnsi="Times New Roman" w:cs="Times New Roman"/>
          <w:i/>
        </w:rPr>
        <w:t>19 Induced Labor Market Mismatch? Evidence from the US and the UK</w:t>
      </w:r>
      <w:r>
        <w:rPr>
          <w:rFonts w:ascii="Times New Roman" w:eastAsia="Times New Roman" w:hAnsi="Times New Roman" w:cs="Times New Roman"/>
        </w:rPr>
        <w:t xml:space="preserve">. [online] </w:t>
      </w:r>
      <w:r>
        <w:rPr>
          <w:rFonts w:ascii="Times New Roman" w:eastAsia="Times New Roman" w:hAnsi="Times New Roman" w:cs="Times New Roman"/>
          <w:i/>
        </w:rPr>
        <w:t>Google Books</w:t>
      </w:r>
      <w:r>
        <w:rPr>
          <w:rFonts w:ascii="Times New Roman" w:eastAsia="Times New Roman" w:hAnsi="Times New Roman" w:cs="Times New Roman"/>
        </w:rPr>
        <w:t xml:space="preserve">. International Monetary Fund. Available at: </w:t>
      </w:r>
      <w:hyperlink r:id="rId30">
        <w:r>
          <w:rPr>
            <w:rFonts w:ascii="Times New Roman" w:eastAsia="Times New Roman" w:hAnsi="Times New Roman" w:cs="Times New Roman"/>
          </w:rPr>
          <w:t>https://www.google.co.in/books/edition/Has_COVID_19_Induced_Labor_Market_Mismat/IJVlEAAAQBAJ?hl=en&amp;gbpv=0</w:t>
        </w:r>
      </w:hyperlink>
      <w:r>
        <w:rPr>
          <w:rFonts w:ascii="Times New Roman" w:eastAsia="Times New Roman" w:hAnsi="Times New Roman" w:cs="Times New Roman"/>
        </w:rPr>
        <w:t xml:space="preserve"> [Accessed 4 Sep. 2022].</w:t>
      </w:r>
    </w:p>
    <w:p w14:paraId="00000053"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Richardson, J. (2018). </w:t>
      </w:r>
      <w:r>
        <w:rPr>
          <w:rFonts w:ascii="Times New Roman" w:eastAsia="Times New Roman" w:hAnsi="Times New Roman" w:cs="Times New Roman"/>
          <w:i/>
        </w:rPr>
        <w:t>British Policy-Making and the Need for a Post-Brexit Policy Style</w:t>
      </w:r>
      <w:r>
        <w:rPr>
          <w:rFonts w:ascii="Times New Roman" w:eastAsia="Times New Roman" w:hAnsi="Times New Roman" w:cs="Times New Roman"/>
        </w:rPr>
        <w:t xml:space="preserve">. [online] </w:t>
      </w:r>
      <w:r>
        <w:rPr>
          <w:rFonts w:ascii="Times New Roman" w:eastAsia="Times New Roman" w:hAnsi="Times New Roman" w:cs="Times New Roman"/>
          <w:i/>
        </w:rPr>
        <w:t>Google Books</w:t>
      </w:r>
      <w:r>
        <w:rPr>
          <w:rFonts w:ascii="Times New Roman" w:eastAsia="Times New Roman" w:hAnsi="Times New Roman" w:cs="Times New Roman"/>
        </w:rPr>
        <w:t>. Springer. A</w:t>
      </w:r>
      <w:r>
        <w:rPr>
          <w:rFonts w:ascii="Times New Roman" w:eastAsia="Times New Roman" w:hAnsi="Times New Roman" w:cs="Times New Roman"/>
        </w:rPr>
        <w:t xml:space="preserve">vailable at: </w:t>
      </w:r>
      <w:hyperlink r:id="rId31">
        <w:r>
          <w:rPr>
            <w:rFonts w:ascii="Times New Roman" w:eastAsia="Times New Roman" w:hAnsi="Times New Roman" w:cs="Times New Roman"/>
          </w:rPr>
          <w:t>https://www.google.co.in/books/edition/British_Policy_Making_and_the_Need_for_a/u0VYDwAAQBAJ?hl=en&amp;gbpv=0</w:t>
        </w:r>
      </w:hyperlink>
      <w:r>
        <w:rPr>
          <w:rFonts w:ascii="Times New Roman" w:eastAsia="Times New Roman" w:hAnsi="Times New Roman" w:cs="Times New Roman"/>
        </w:rPr>
        <w:t xml:space="preserve"> [Accessed 4 </w:t>
      </w:r>
      <w:r>
        <w:rPr>
          <w:rFonts w:ascii="Times New Roman" w:eastAsia="Times New Roman" w:hAnsi="Times New Roman" w:cs="Times New Roman"/>
        </w:rPr>
        <w:t>Sep. 2022].</w:t>
      </w:r>
    </w:p>
    <w:p w14:paraId="00000054"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Ridgway, M. (2019). Brexit: Human Resourcing Implications. </w:t>
      </w:r>
      <w:r>
        <w:rPr>
          <w:rFonts w:ascii="Times New Roman" w:eastAsia="Times New Roman" w:hAnsi="Times New Roman" w:cs="Times New Roman"/>
          <w:i/>
        </w:rPr>
        <w:t>Employee Relations: The International Journal</w:t>
      </w:r>
      <w:r>
        <w:rPr>
          <w:rFonts w:ascii="Times New Roman" w:eastAsia="Times New Roman" w:hAnsi="Times New Roman" w:cs="Times New Roman"/>
        </w:rPr>
        <w:t>, 41(5), pp.1033–1045. doi:</w:t>
      </w:r>
      <w:hyperlink r:id="rId32">
        <w:r>
          <w:rPr>
            <w:rFonts w:ascii="Times New Roman" w:eastAsia="Times New Roman" w:hAnsi="Times New Roman" w:cs="Times New Roman"/>
          </w:rPr>
          <w:t>10.1108/er-11-2018-0310</w:t>
        </w:r>
      </w:hyperlink>
      <w:r>
        <w:rPr>
          <w:rFonts w:ascii="Times New Roman" w:eastAsia="Times New Roman" w:hAnsi="Times New Roman" w:cs="Times New Roman"/>
        </w:rPr>
        <w:t>.</w:t>
      </w:r>
    </w:p>
    <w:p w14:paraId="00000055"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Rolf, S., O’Reilly, J. and </w:t>
      </w:r>
      <w:proofErr w:type="spellStart"/>
      <w:r>
        <w:rPr>
          <w:rFonts w:ascii="Times New Roman" w:eastAsia="Times New Roman" w:hAnsi="Times New Roman" w:cs="Times New Roman"/>
        </w:rPr>
        <w:t>Meryon</w:t>
      </w:r>
      <w:proofErr w:type="spellEnd"/>
      <w:r>
        <w:rPr>
          <w:rFonts w:ascii="Times New Roman" w:eastAsia="Times New Roman" w:hAnsi="Times New Roman" w:cs="Times New Roman"/>
        </w:rPr>
        <w:t xml:space="preserve">, M. (2022). Towards Privatized Social and Employment Protections in the Platform economy? Evidence from the UK. </w:t>
      </w:r>
      <w:r>
        <w:rPr>
          <w:rFonts w:ascii="Times New Roman" w:eastAsia="Times New Roman" w:hAnsi="Times New Roman" w:cs="Times New Roman"/>
          <w:i/>
        </w:rPr>
        <w:t>Research Policy</w:t>
      </w:r>
      <w:r>
        <w:rPr>
          <w:rFonts w:ascii="Times New Roman" w:eastAsia="Times New Roman" w:hAnsi="Times New Roman" w:cs="Times New Roman"/>
        </w:rPr>
        <w:t>, [online] 51(5), p.104492. doi:</w:t>
      </w:r>
      <w:hyperlink r:id="rId33">
        <w:r>
          <w:rPr>
            <w:rFonts w:ascii="Times New Roman" w:eastAsia="Times New Roman" w:hAnsi="Times New Roman" w:cs="Times New Roman"/>
          </w:rPr>
          <w:t>10.1016/j.respol.2022.104492</w:t>
        </w:r>
      </w:hyperlink>
      <w:r>
        <w:rPr>
          <w:rFonts w:ascii="Times New Roman" w:eastAsia="Times New Roman" w:hAnsi="Times New Roman" w:cs="Times New Roman"/>
        </w:rPr>
        <w:t>.</w:t>
      </w:r>
    </w:p>
    <w:p w14:paraId="00000056"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Ro</w:t>
      </w:r>
      <w:r>
        <w:rPr>
          <w:rFonts w:ascii="Times New Roman" w:eastAsia="Times New Roman" w:hAnsi="Times New Roman" w:cs="Times New Roman"/>
        </w:rPr>
        <w:t>manko</w:t>
      </w:r>
      <w:proofErr w:type="spellEnd"/>
      <w:r>
        <w:rPr>
          <w:rFonts w:ascii="Times New Roman" w:eastAsia="Times New Roman" w:hAnsi="Times New Roman" w:cs="Times New Roman"/>
        </w:rPr>
        <w:t xml:space="preserve">, O. and </w:t>
      </w:r>
      <w:proofErr w:type="spellStart"/>
      <w:r>
        <w:rPr>
          <w:rFonts w:ascii="Times New Roman" w:eastAsia="Times New Roman" w:hAnsi="Times New Roman" w:cs="Times New Roman"/>
        </w:rPr>
        <w:t>O'mahony</w:t>
      </w:r>
      <w:proofErr w:type="spellEnd"/>
      <w:r>
        <w:rPr>
          <w:rFonts w:ascii="Times New Roman" w:eastAsia="Times New Roman" w:hAnsi="Times New Roman" w:cs="Times New Roman"/>
        </w:rPr>
        <w:t xml:space="preserve">, M. (2022). </w:t>
      </w:r>
      <w:r>
        <w:rPr>
          <w:rFonts w:ascii="Times New Roman" w:eastAsia="Times New Roman" w:hAnsi="Times New Roman" w:cs="Times New Roman"/>
          <w:i/>
        </w:rPr>
        <w:t xml:space="preserve">The Use of Online Job Sites for Measuring Skills and </w:t>
      </w:r>
      <w:proofErr w:type="spellStart"/>
      <w:r>
        <w:rPr>
          <w:rFonts w:ascii="Times New Roman" w:eastAsia="Times New Roman" w:hAnsi="Times New Roman" w:cs="Times New Roman"/>
          <w:i/>
        </w:rPr>
        <w:t>Labour</w:t>
      </w:r>
      <w:proofErr w:type="spellEnd"/>
      <w:r>
        <w:rPr>
          <w:rFonts w:ascii="Times New Roman" w:eastAsia="Times New Roman" w:hAnsi="Times New Roman" w:cs="Times New Roman"/>
          <w:i/>
        </w:rPr>
        <w:t xml:space="preserve"> Market Trends: A Review</w:t>
      </w:r>
      <w:r>
        <w:rPr>
          <w:rFonts w:ascii="Times New Roman" w:eastAsia="Times New Roman" w:hAnsi="Times New Roman" w:cs="Times New Roman"/>
        </w:rPr>
        <w:t xml:space="preserve">. [online] Available at: </w:t>
      </w:r>
      <w:hyperlink r:id="rId34">
        <w:r>
          <w:rPr>
            <w:rFonts w:ascii="Times New Roman" w:eastAsia="Times New Roman" w:hAnsi="Times New Roman" w:cs="Times New Roman"/>
          </w:rPr>
          <w:t>https://e</w:t>
        </w:r>
        <w:r>
          <w:rPr>
            <w:rFonts w:ascii="Times New Roman" w:eastAsia="Times New Roman" w:hAnsi="Times New Roman" w:cs="Times New Roman"/>
          </w:rPr>
          <w:t>scoe-website.s3.amazonaws.com/wp-content/uploads/2022/05/30133155/TR-19.pdf</w:t>
        </w:r>
      </w:hyperlink>
      <w:r>
        <w:rPr>
          <w:rFonts w:ascii="Times New Roman" w:eastAsia="Times New Roman" w:hAnsi="Times New Roman" w:cs="Times New Roman"/>
        </w:rPr>
        <w:t xml:space="preserve"> [Accessed 3 Sep. 2022].</w:t>
      </w:r>
    </w:p>
    <w:p w14:paraId="00000057"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Schomberg</w:t>
      </w:r>
      <w:proofErr w:type="spellEnd"/>
      <w:r>
        <w:rPr>
          <w:rFonts w:ascii="Times New Roman" w:eastAsia="Times New Roman" w:hAnsi="Times New Roman" w:cs="Times New Roman"/>
        </w:rPr>
        <w:t xml:space="preserve">, W. and Milliken, D. (2022). UK’s Hot </w:t>
      </w:r>
      <w:proofErr w:type="spellStart"/>
      <w:r>
        <w:rPr>
          <w:rFonts w:ascii="Times New Roman" w:eastAsia="Times New Roman" w:hAnsi="Times New Roman" w:cs="Times New Roman"/>
        </w:rPr>
        <w:t>Labour</w:t>
      </w:r>
      <w:proofErr w:type="spellEnd"/>
      <w:r>
        <w:rPr>
          <w:rFonts w:ascii="Times New Roman" w:eastAsia="Times New Roman" w:hAnsi="Times New Roman" w:cs="Times New Roman"/>
        </w:rPr>
        <w:t xml:space="preserve"> Market Cools and Inflation Eats Pay. </w:t>
      </w:r>
      <w:r>
        <w:rPr>
          <w:rFonts w:ascii="Times New Roman" w:eastAsia="Times New Roman" w:hAnsi="Times New Roman" w:cs="Times New Roman"/>
          <w:i/>
        </w:rPr>
        <w:t>Reuters</w:t>
      </w:r>
      <w:r>
        <w:rPr>
          <w:rFonts w:ascii="Times New Roman" w:eastAsia="Times New Roman" w:hAnsi="Times New Roman" w:cs="Times New Roman"/>
        </w:rPr>
        <w:t xml:space="preserve">. [online] 16 Aug. Available at: </w:t>
      </w:r>
      <w:hyperlink r:id="rId35">
        <w:r>
          <w:rPr>
            <w:rFonts w:ascii="Times New Roman" w:eastAsia="Times New Roman" w:hAnsi="Times New Roman" w:cs="Times New Roman"/>
          </w:rPr>
          <w:t>https://www.reuters.com/world/uk/uk-unemployment-rate-holds-38-three-months-june-2022-08-16/</w:t>
        </w:r>
      </w:hyperlink>
      <w:r>
        <w:rPr>
          <w:rFonts w:ascii="Times New Roman" w:eastAsia="Times New Roman" w:hAnsi="Times New Roman" w:cs="Times New Roman"/>
        </w:rPr>
        <w:t>.</w:t>
      </w:r>
    </w:p>
    <w:p w14:paraId="00000058"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Smith, M. (2019). The European Union and the Global Arena: in Search of Po</w:t>
      </w:r>
      <w:r>
        <w:rPr>
          <w:rFonts w:ascii="Times New Roman" w:eastAsia="Times New Roman" w:hAnsi="Times New Roman" w:cs="Times New Roman"/>
        </w:rPr>
        <w:t xml:space="preserve">st-Brexit Roles. </w:t>
      </w:r>
      <w:r>
        <w:rPr>
          <w:rFonts w:ascii="Times New Roman" w:eastAsia="Times New Roman" w:hAnsi="Times New Roman" w:cs="Times New Roman"/>
          <w:i/>
        </w:rPr>
        <w:t>Politics and Governance</w:t>
      </w:r>
      <w:r>
        <w:rPr>
          <w:rFonts w:ascii="Times New Roman" w:eastAsia="Times New Roman" w:hAnsi="Times New Roman" w:cs="Times New Roman"/>
        </w:rPr>
        <w:t>, [online] 7(3), p.83. doi:</w:t>
      </w:r>
      <w:hyperlink r:id="rId36">
        <w:r>
          <w:rPr>
            <w:rFonts w:ascii="Times New Roman" w:eastAsia="Times New Roman" w:hAnsi="Times New Roman" w:cs="Times New Roman"/>
          </w:rPr>
          <w:t>10.17645/</w:t>
        </w:r>
        <w:proofErr w:type="gramStart"/>
        <w:r>
          <w:rPr>
            <w:rFonts w:ascii="Times New Roman" w:eastAsia="Times New Roman" w:hAnsi="Times New Roman" w:cs="Times New Roman"/>
          </w:rPr>
          <w:t>pag.v</w:t>
        </w:r>
        <w:proofErr w:type="gramEnd"/>
        <w:r>
          <w:rPr>
            <w:rFonts w:ascii="Times New Roman" w:eastAsia="Times New Roman" w:hAnsi="Times New Roman" w:cs="Times New Roman"/>
          </w:rPr>
          <w:t>7i3.2133</w:t>
        </w:r>
      </w:hyperlink>
      <w:r>
        <w:rPr>
          <w:rFonts w:ascii="Times New Roman" w:eastAsia="Times New Roman" w:hAnsi="Times New Roman" w:cs="Times New Roman"/>
        </w:rPr>
        <w:t>.</w:t>
      </w:r>
    </w:p>
    <w:p w14:paraId="00000059"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Su</w:t>
      </w:r>
      <w:proofErr w:type="spellEnd"/>
      <w:r>
        <w:rPr>
          <w:rFonts w:ascii="Times New Roman" w:eastAsia="Times New Roman" w:hAnsi="Times New Roman" w:cs="Times New Roman"/>
        </w:rPr>
        <w:t xml:space="preserve">, C.-W., Dai, K., Ullah, S. and </w:t>
      </w:r>
      <w:proofErr w:type="spellStart"/>
      <w:r>
        <w:rPr>
          <w:rFonts w:ascii="Times New Roman" w:eastAsia="Times New Roman" w:hAnsi="Times New Roman" w:cs="Times New Roman"/>
        </w:rPr>
        <w:t>Andlib</w:t>
      </w:r>
      <w:proofErr w:type="spellEnd"/>
      <w:r>
        <w:rPr>
          <w:rFonts w:ascii="Times New Roman" w:eastAsia="Times New Roman" w:hAnsi="Times New Roman" w:cs="Times New Roman"/>
        </w:rPr>
        <w:t xml:space="preserve">, Z. (2021). COVID-19 Pandemic and Unemployment </w:t>
      </w:r>
      <w:r>
        <w:rPr>
          <w:rFonts w:ascii="Times New Roman" w:eastAsia="Times New Roman" w:hAnsi="Times New Roman" w:cs="Times New Roman"/>
        </w:rPr>
        <w:lastRenderedPageBreak/>
        <w:t xml:space="preserve">Dynamics in European Economies. </w:t>
      </w:r>
      <w:r>
        <w:rPr>
          <w:rFonts w:ascii="Times New Roman" w:eastAsia="Times New Roman" w:hAnsi="Times New Roman" w:cs="Times New Roman"/>
          <w:i/>
        </w:rPr>
        <w:t>Economic Resea</w:t>
      </w:r>
      <w:r>
        <w:rPr>
          <w:rFonts w:ascii="Times New Roman" w:eastAsia="Times New Roman" w:hAnsi="Times New Roman" w:cs="Times New Roman"/>
          <w:i/>
        </w:rPr>
        <w:t>rch-</w:t>
      </w:r>
      <w:proofErr w:type="spellStart"/>
      <w:r>
        <w:rPr>
          <w:rFonts w:ascii="Times New Roman" w:eastAsia="Times New Roman" w:hAnsi="Times New Roman" w:cs="Times New Roman"/>
          <w:i/>
        </w:rPr>
        <w:t>Ekonomska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Istraživanja</w:t>
      </w:r>
      <w:proofErr w:type="spellEnd"/>
      <w:r>
        <w:rPr>
          <w:rFonts w:ascii="Times New Roman" w:eastAsia="Times New Roman" w:hAnsi="Times New Roman" w:cs="Times New Roman"/>
        </w:rPr>
        <w:t>, [online] pp.1–13. doi:</w:t>
      </w:r>
      <w:hyperlink r:id="rId37">
        <w:r>
          <w:rPr>
            <w:rFonts w:ascii="Times New Roman" w:eastAsia="Times New Roman" w:hAnsi="Times New Roman" w:cs="Times New Roman"/>
          </w:rPr>
          <w:t>10.1080/1331677x.2021.1912627</w:t>
        </w:r>
      </w:hyperlink>
      <w:r>
        <w:rPr>
          <w:rFonts w:ascii="Times New Roman" w:eastAsia="Times New Roman" w:hAnsi="Times New Roman" w:cs="Times New Roman"/>
        </w:rPr>
        <w:t>.</w:t>
      </w:r>
    </w:p>
    <w:p w14:paraId="0000005A"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 xml:space="preserve">Trinh, N.A. and </w:t>
      </w:r>
      <w:proofErr w:type="spellStart"/>
      <w:r>
        <w:rPr>
          <w:rFonts w:ascii="Times New Roman" w:eastAsia="Times New Roman" w:hAnsi="Times New Roman" w:cs="Times New Roman"/>
        </w:rPr>
        <w:t>Bukodi</w:t>
      </w:r>
      <w:proofErr w:type="spellEnd"/>
      <w:r>
        <w:rPr>
          <w:rFonts w:ascii="Times New Roman" w:eastAsia="Times New Roman" w:hAnsi="Times New Roman" w:cs="Times New Roman"/>
        </w:rPr>
        <w:t xml:space="preserve">, E. (2021). Intergenerational Class Mobility of </w:t>
      </w:r>
      <w:proofErr w:type="spellStart"/>
      <w:r>
        <w:rPr>
          <w:rFonts w:ascii="Times New Roman" w:eastAsia="Times New Roman" w:hAnsi="Times New Roman" w:cs="Times New Roman"/>
        </w:rPr>
        <w:t>Labour</w:t>
      </w:r>
      <w:proofErr w:type="spellEnd"/>
      <w:r>
        <w:rPr>
          <w:rFonts w:ascii="Times New Roman" w:eastAsia="Times New Roman" w:hAnsi="Times New Roman" w:cs="Times New Roman"/>
        </w:rPr>
        <w:t xml:space="preserve"> Market Entrants in Germany and the UK since the 1950s. </w:t>
      </w:r>
      <w:r>
        <w:rPr>
          <w:rFonts w:ascii="Times New Roman" w:eastAsia="Times New Roman" w:hAnsi="Times New Roman" w:cs="Times New Roman"/>
          <w:i/>
        </w:rPr>
        <w:t>European Sociological Review</w:t>
      </w:r>
      <w:r>
        <w:rPr>
          <w:rFonts w:ascii="Times New Roman" w:eastAsia="Times New Roman" w:hAnsi="Times New Roman" w:cs="Times New Roman"/>
        </w:rPr>
        <w:t>. doi:</w:t>
      </w:r>
      <w:hyperlink r:id="rId38">
        <w:r>
          <w:rPr>
            <w:rFonts w:ascii="Times New Roman" w:eastAsia="Times New Roman" w:hAnsi="Times New Roman" w:cs="Times New Roman"/>
          </w:rPr>
          <w:t>10.1093/</w:t>
        </w:r>
        <w:proofErr w:type="spellStart"/>
        <w:r>
          <w:rPr>
            <w:rFonts w:ascii="Times New Roman" w:eastAsia="Times New Roman" w:hAnsi="Times New Roman" w:cs="Times New Roman"/>
          </w:rPr>
          <w:t>esr</w:t>
        </w:r>
        <w:proofErr w:type="spellEnd"/>
        <w:r>
          <w:rPr>
            <w:rFonts w:ascii="Times New Roman" w:eastAsia="Times New Roman" w:hAnsi="Times New Roman" w:cs="Times New Roman"/>
          </w:rPr>
          <w:t>/jcab028</w:t>
        </w:r>
      </w:hyperlink>
      <w:r>
        <w:rPr>
          <w:rFonts w:ascii="Times New Roman" w:eastAsia="Times New Roman" w:hAnsi="Times New Roman" w:cs="Times New Roman"/>
        </w:rPr>
        <w:t>.</w:t>
      </w:r>
    </w:p>
    <w:p w14:paraId="0000005B" w14:textId="77777777" w:rsidR="00A357C9" w:rsidRDefault="00931EAE">
      <w:pPr>
        <w:widowControl w:val="0"/>
        <w:spacing w:after="240"/>
        <w:rPr>
          <w:rFonts w:ascii="Times New Roman" w:eastAsia="Times New Roman" w:hAnsi="Times New Roman" w:cs="Times New Roman"/>
        </w:rPr>
      </w:pPr>
      <w:proofErr w:type="spellStart"/>
      <w:r>
        <w:rPr>
          <w:rFonts w:ascii="Times New Roman" w:eastAsia="Times New Roman" w:hAnsi="Times New Roman" w:cs="Times New Roman"/>
        </w:rPr>
        <w:t>Vösa</w:t>
      </w:r>
      <w:proofErr w:type="spellEnd"/>
      <w:r>
        <w:rPr>
          <w:rFonts w:ascii="Times New Roman" w:eastAsia="Times New Roman" w:hAnsi="Times New Roman" w:cs="Times New Roman"/>
        </w:rPr>
        <w:t>, H. (2010). The Impact of econom</w:t>
      </w:r>
      <w:r>
        <w:rPr>
          <w:rFonts w:ascii="Times New Roman" w:eastAsia="Times New Roman" w:hAnsi="Times New Roman" w:cs="Times New Roman"/>
        </w:rPr>
        <w:t xml:space="preserve">ic crisis on HRM practices. </w:t>
      </w:r>
      <w:r>
        <w:rPr>
          <w:rFonts w:ascii="Times New Roman" w:eastAsia="Times New Roman" w:hAnsi="Times New Roman" w:cs="Times New Roman"/>
          <w:i/>
        </w:rPr>
        <w:t>aaltodoc.aalto.fi</w:t>
      </w:r>
      <w:r>
        <w:rPr>
          <w:rFonts w:ascii="Times New Roman" w:eastAsia="Times New Roman" w:hAnsi="Times New Roman" w:cs="Times New Roman"/>
        </w:rPr>
        <w:t xml:space="preserve">. [online] Available at: </w:t>
      </w:r>
      <w:hyperlink r:id="rId39">
        <w:r>
          <w:rPr>
            <w:rFonts w:ascii="Times New Roman" w:eastAsia="Times New Roman" w:hAnsi="Times New Roman" w:cs="Times New Roman"/>
          </w:rPr>
          <w:t>https://aaltodoc.aalto.fi/handle/123456789/540</w:t>
        </w:r>
      </w:hyperlink>
      <w:r>
        <w:rPr>
          <w:rFonts w:ascii="Times New Roman" w:eastAsia="Times New Roman" w:hAnsi="Times New Roman" w:cs="Times New Roman"/>
        </w:rPr>
        <w:t xml:space="preserve"> [Accessed 28 Oct. 2021].</w:t>
      </w:r>
    </w:p>
    <w:p w14:paraId="0000005C" w14:textId="77777777" w:rsidR="00A357C9" w:rsidRDefault="00931EAE">
      <w:pPr>
        <w:widowControl w:val="0"/>
        <w:spacing w:after="240"/>
        <w:rPr>
          <w:rFonts w:ascii="Times New Roman" w:eastAsia="Times New Roman" w:hAnsi="Times New Roman" w:cs="Times New Roman"/>
        </w:rPr>
      </w:pPr>
      <w:r>
        <w:rPr>
          <w:rFonts w:ascii="Times New Roman" w:eastAsia="Times New Roman" w:hAnsi="Times New Roman" w:cs="Times New Roman"/>
        </w:rPr>
        <w:t>Wood, G., Dibben, P., Stride, C. and Webster, E.</w:t>
      </w:r>
      <w:r>
        <w:rPr>
          <w:rFonts w:ascii="Times New Roman" w:eastAsia="Times New Roman" w:hAnsi="Times New Roman" w:cs="Times New Roman"/>
        </w:rPr>
        <w:t xml:space="preserve"> (2011). HRM in Mozambique: Homogenization, Path Dependence or Segmented Business system? </w:t>
      </w:r>
      <w:r>
        <w:rPr>
          <w:rFonts w:ascii="Times New Roman" w:eastAsia="Times New Roman" w:hAnsi="Times New Roman" w:cs="Times New Roman"/>
          <w:i/>
        </w:rPr>
        <w:t>Journal of World Business</w:t>
      </w:r>
      <w:r>
        <w:rPr>
          <w:rFonts w:ascii="Times New Roman" w:eastAsia="Times New Roman" w:hAnsi="Times New Roman" w:cs="Times New Roman"/>
        </w:rPr>
        <w:t xml:space="preserve">, [online] 46(1), pp.31–41. Available at: </w:t>
      </w:r>
      <w:hyperlink r:id="rId40">
        <w:r>
          <w:rPr>
            <w:rFonts w:ascii="Times New Roman" w:eastAsia="Times New Roman" w:hAnsi="Times New Roman" w:cs="Times New Roman"/>
          </w:rPr>
          <w:t>https://ideas.repec.o</w:t>
        </w:r>
        <w:r>
          <w:rPr>
            <w:rFonts w:ascii="Times New Roman" w:eastAsia="Times New Roman" w:hAnsi="Times New Roman" w:cs="Times New Roman"/>
          </w:rPr>
          <w:t>rg/a/eee/worbus/v46y2011i1p31-41.html</w:t>
        </w:r>
      </w:hyperlink>
      <w:r>
        <w:rPr>
          <w:rFonts w:ascii="Times New Roman" w:eastAsia="Times New Roman" w:hAnsi="Times New Roman" w:cs="Times New Roman"/>
        </w:rPr>
        <w:t>.</w:t>
      </w:r>
    </w:p>
    <w:p w14:paraId="0000005D" w14:textId="77777777" w:rsidR="00A357C9" w:rsidRDefault="00A357C9"/>
    <w:sectPr w:rsidR="00A357C9">
      <w:footerReference w:type="default" r:id="rId4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59DCB" w14:textId="77777777" w:rsidR="00000000" w:rsidRDefault="00931EAE">
      <w:pPr>
        <w:spacing w:after="0" w:line="240" w:lineRule="auto"/>
      </w:pPr>
      <w:r>
        <w:separator/>
      </w:r>
    </w:p>
  </w:endnote>
  <w:endnote w:type="continuationSeparator" w:id="0">
    <w:p w14:paraId="193BE050" w14:textId="77777777" w:rsidR="00000000" w:rsidRDefault="00931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E" w14:textId="31F9742D" w:rsidR="00A357C9" w:rsidRDefault="00931EA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F22A8">
      <w:rPr>
        <w:noProof/>
        <w:color w:val="000000"/>
      </w:rPr>
      <w:t>1</w:t>
    </w:r>
    <w:r>
      <w:rPr>
        <w:color w:val="000000"/>
      </w:rPr>
      <w:fldChar w:fldCharType="end"/>
    </w:r>
  </w:p>
  <w:p w14:paraId="0000005F" w14:textId="77777777" w:rsidR="00A357C9" w:rsidRDefault="00A357C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B780B" w14:textId="77777777" w:rsidR="00000000" w:rsidRDefault="00931EAE">
      <w:pPr>
        <w:spacing w:after="0" w:line="240" w:lineRule="auto"/>
      </w:pPr>
      <w:r>
        <w:separator/>
      </w:r>
    </w:p>
  </w:footnote>
  <w:footnote w:type="continuationSeparator" w:id="0">
    <w:p w14:paraId="0581D1A9" w14:textId="77777777" w:rsidR="00000000" w:rsidRDefault="00931E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67BB7"/>
    <w:multiLevelType w:val="multilevel"/>
    <w:tmpl w:val="F44832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F291094"/>
    <w:multiLevelType w:val="multilevel"/>
    <w:tmpl w:val="654A2834"/>
    <w:lvl w:ilvl="0">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7FE1807"/>
    <w:multiLevelType w:val="hybridMultilevel"/>
    <w:tmpl w:val="1974FB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DD76BCD"/>
    <w:multiLevelType w:val="hybridMultilevel"/>
    <w:tmpl w:val="D0AE2D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65896993">
    <w:abstractNumId w:val="0"/>
  </w:num>
  <w:num w:numId="2" w16cid:durableId="1349719436">
    <w:abstractNumId w:val="1"/>
  </w:num>
  <w:num w:numId="3" w16cid:durableId="1273783909">
    <w:abstractNumId w:val="2"/>
  </w:num>
  <w:num w:numId="4" w16cid:durableId="10715815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57C9"/>
    <w:rsid w:val="004C3469"/>
    <w:rsid w:val="00931EAE"/>
    <w:rsid w:val="00A357C9"/>
    <w:rsid w:val="00EF22A8"/>
    <w:rsid w:val="00F31F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87F4F"/>
  <w15:docId w15:val="{05DDB92B-602B-4AA9-8173-565CEF274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4C34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lgaronline.com/view/edcoll/9781800372979/9781800372979.00022.xml" TargetMode="External"/><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hyperlink" Target="https://aaltodoc.aalto.fi/handle/123456789/540" TargetMode="External"/><Relationship Id="rId21" Type="http://schemas.openxmlformats.org/officeDocument/2006/relationships/hyperlink" Target="about:blank" TargetMode="External"/><Relationship Id="rId34" Type="http://schemas.openxmlformats.org/officeDocument/2006/relationships/hyperlink" Target="https://escoe-website.s3.amazonaws.com/wp-content/uploads/2022/05/30133155/TR-19.pdf" TargetMode="External"/><Relationship Id="rId42"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https://escoe-website.s3.amazonaws.com/wp-content/uploads/2022/03/25120252/ESCoE-DP-2022-07.pdf"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prints.lse.ac.uk/116065/" TargetMode="External"/><Relationship Id="rId24" Type="http://schemas.openxmlformats.org/officeDocument/2006/relationships/hyperlink" Target="http://www.open-access.bcu.ac.uk/id/eprint/13171"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https://ideas.repec.org/a/eee/worbus/v46y2011i1p31-41.html" TargetMode="Externa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31" Type="http://schemas.openxmlformats.org/officeDocument/2006/relationships/hyperlink" Target="https://www.google.co.in/books/edition/British_Policy_Making_and_the_Need_for_a/u0VYDwAAQBAJ?hl=en&amp;gbpv=0" TargetMode="External"/><Relationship Id="rId4" Type="http://schemas.openxmlformats.org/officeDocument/2006/relationships/webSettings" Target="webSettings.xml"/><Relationship Id="rId9" Type="http://schemas.openxmlformats.org/officeDocument/2006/relationships/hyperlink" Target="https://ideas.repec.org/p/nbr/nberwo/27208.html"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https://www.google.co.in/books/edition/Has_COVID_19_Induced_Labor_Market_Mismat/IJVlEAAAQBAJ?hl=en&amp;gbpv=0" TargetMode="External"/><Relationship Id="rId35" Type="http://schemas.openxmlformats.org/officeDocument/2006/relationships/hyperlink" Target="https://www.reuters.com/world/uk/uk-unemployment-rate-holds-38-three-months-june-2022-08-16/" TargetMode="External"/><Relationship Id="rId43" Type="http://schemas.openxmlformats.org/officeDocument/2006/relationships/theme" Target="theme/theme1.xml"/><Relationship Id="rId8" Type="http://schemas.openxmlformats.org/officeDocument/2006/relationships/hyperlink" Target="https://escoe-website.s3.amazonaws.com/wp-content/uploads/2022/07/29085644/ESCoE-DP-2022-19.pdf" TargetMode="External"/><Relationship Id="rId3"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4073</Words>
  <Characters>23218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SHAFEEK</dc:creator>
  <cp:lastModifiedBy>mohammed shafeek s n</cp:lastModifiedBy>
  <cp:revision>2</cp:revision>
  <dcterms:created xsi:type="dcterms:W3CDTF">2022-09-10T15:35:00Z</dcterms:created>
  <dcterms:modified xsi:type="dcterms:W3CDTF">2022-09-10T15:35:00Z</dcterms:modified>
</cp:coreProperties>
</file>