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F9638" w14:textId="5DC785FF" w:rsidR="00E231AC" w:rsidRPr="007D3D6F" w:rsidRDefault="00E231AC" w:rsidP="00E231AC">
      <w:pPr>
        <w:jc w:val="center"/>
        <w:rPr>
          <w:rFonts w:ascii="Times New Roman" w:hAnsi="Times New Roman" w:cs="Times New Roman"/>
          <w:b/>
          <w:bCs/>
          <w:sz w:val="24"/>
          <w:szCs w:val="24"/>
        </w:rPr>
      </w:pPr>
      <w:r w:rsidRPr="007D3D6F">
        <w:rPr>
          <w:rFonts w:ascii="Times New Roman" w:hAnsi="Times New Roman" w:cs="Times New Roman"/>
          <w:b/>
          <w:bCs/>
          <w:sz w:val="24"/>
          <w:szCs w:val="24"/>
        </w:rPr>
        <w:t>The Nature and Direction of Ancient History and its relationship within the wider range of the Humanities</w:t>
      </w:r>
    </w:p>
    <w:p w14:paraId="3CB0424D" w14:textId="77777777" w:rsidR="00E231AC" w:rsidRDefault="00E231AC" w:rsidP="00E231AC">
      <w:pPr>
        <w:jc w:val="center"/>
        <w:rPr>
          <w:rFonts w:ascii="Times New Roman" w:hAnsi="Times New Roman" w:cs="Times New Roman"/>
          <w:b/>
          <w:bCs/>
        </w:rPr>
      </w:pPr>
    </w:p>
    <w:p w14:paraId="15B2936E" w14:textId="21F2E22F" w:rsidR="00E231AC" w:rsidRDefault="00E231AC" w:rsidP="00E231AC">
      <w:pPr>
        <w:ind w:firstLine="720"/>
        <w:rPr>
          <w:rFonts w:ascii="Times New Roman" w:hAnsi="Times New Roman" w:cs="Times New Roman"/>
        </w:rPr>
      </w:pPr>
      <w:r w:rsidRPr="007D3D6F">
        <w:rPr>
          <w:rFonts w:ascii="Times New Roman" w:hAnsi="Times New Roman" w:cs="Times New Roman"/>
        </w:rPr>
        <w:t xml:space="preserve">Ancient history occupies a foundational position within the humanities, it investigates the origins, </w:t>
      </w:r>
      <w:r w:rsidR="00916968" w:rsidRPr="007D3D6F">
        <w:rPr>
          <w:rFonts w:ascii="Times New Roman" w:hAnsi="Times New Roman" w:cs="Times New Roman"/>
        </w:rPr>
        <w:t>developments,</w:t>
      </w:r>
      <w:r w:rsidRPr="007D3D6F">
        <w:rPr>
          <w:rFonts w:ascii="Times New Roman" w:hAnsi="Times New Roman" w:cs="Times New Roman"/>
        </w:rPr>
        <w:t xml:space="preserve"> and complexities of the earliest human civilisations, exploring their political systems, economies, religious, </w:t>
      </w:r>
      <w:r w:rsidR="00916968" w:rsidRPr="007D3D6F">
        <w:rPr>
          <w:rFonts w:ascii="Times New Roman" w:hAnsi="Times New Roman" w:cs="Times New Roman"/>
        </w:rPr>
        <w:t>cultural,</w:t>
      </w:r>
      <w:r w:rsidRPr="007D3D6F">
        <w:rPr>
          <w:rFonts w:ascii="Times New Roman" w:hAnsi="Times New Roman" w:cs="Times New Roman"/>
        </w:rPr>
        <w:t xml:space="preserve"> and intellectual achievements. Unlike modern history, which benefits from abundant documentation, ancient history must navigate fragmentary and partial evidence, relying on written texts, archaeological </w:t>
      </w:r>
      <w:r w:rsidR="00916968" w:rsidRPr="007D3D6F">
        <w:rPr>
          <w:rFonts w:ascii="Times New Roman" w:hAnsi="Times New Roman" w:cs="Times New Roman"/>
        </w:rPr>
        <w:t>materials,</w:t>
      </w:r>
      <w:r w:rsidRPr="007D3D6F">
        <w:rPr>
          <w:rFonts w:ascii="Times New Roman" w:hAnsi="Times New Roman" w:cs="Times New Roman"/>
        </w:rPr>
        <w:t xml:space="preserve"> and comparative interpretation. As a discipline, it has evolved from the antiquarian traditions of the eighteenth and nineteenth centuries into a diverse, interdisciplinary field that interacts closely with archaeology, classics, anthropology, art </w:t>
      </w:r>
      <w:r w:rsidR="00916968" w:rsidRPr="007D3D6F">
        <w:rPr>
          <w:rFonts w:ascii="Times New Roman" w:hAnsi="Times New Roman" w:cs="Times New Roman"/>
        </w:rPr>
        <w:t>history,</w:t>
      </w:r>
      <w:r w:rsidRPr="007D3D6F">
        <w:rPr>
          <w:rFonts w:ascii="Times New Roman" w:hAnsi="Times New Roman" w:cs="Times New Roman"/>
        </w:rPr>
        <w:t xml:space="preserve"> and philosophy. This essay will examine the nature of ancient history as a discipline, analyse the direction in which it is moving, and discuss its relationship with the wider humanities. </w:t>
      </w:r>
      <w:proofErr w:type="gramStart"/>
      <w:r w:rsidRPr="007D3D6F">
        <w:rPr>
          <w:rFonts w:ascii="Times New Roman" w:hAnsi="Times New Roman" w:cs="Times New Roman"/>
        </w:rPr>
        <w:t>In doing so, it</w:t>
      </w:r>
      <w:proofErr w:type="gramEnd"/>
      <w:r w:rsidRPr="007D3D6F">
        <w:rPr>
          <w:rFonts w:ascii="Times New Roman" w:hAnsi="Times New Roman" w:cs="Times New Roman"/>
        </w:rPr>
        <w:t xml:space="preserve"> will argue that ancient history both shapes and </w:t>
      </w:r>
      <w:proofErr w:type="gramStart"/>
      <w:r w:rsidRPr="007D3D6F">
        <w:rPr>
          <w:rFonts w:ascii="Times New Roman" w:hAnsi="Times New Roman" w:cs="Times New Roman"/>
        </w:rPr>
        <w:t>is shaped</w:t>
      </w:r>
      <w:proofErr w:type="gramEnd"/>
      <w:r w:rsidRPr="007D3D6F">
        <w:rPr>
          <w:rFonts w:ascii="Times New Roman" w:hAnsi="Times New Roman" w:cs="Times New Roman"/>
        </w:rPr>
        <w:t xml:space="preserve"> by broader humanistic inquiry, contributing to ongoing debates about evidence, </w:t>
      </w:r>
      <w:r w:rsidR="00916968" w:rsidRPr="007D3D6F">
        <w:rPr>
          <w:rFonts w:ascii="Times New Roman" w:hAnsi="Times New Roman" w:cs="Times New Roman"/>
        </w:rPr>
        <w:t>interpretation,</w:t>
      </w:r>
      <w:r w:rsidRPr="007D3D6F">
        <w:rPr>
          <w:rFonts w:ascii="Times New Roman" w:hAnsi="Times New Roman" w:cs="Times New Roman"/>
        </w:rPr>
        <w:t xml:space="preserve"> and the human condition</w:t>
      </w:r>
      <w:proofErr w:type="gramStart"/>
      <w:r w:rsidRPr="007D3D6F">
        <w:rPr>
          <w:rFonts w:ascii="Times New Roman" w:hAnsi="Times New Roman" w:cs="Times New Roman"/>
        </w:rPr>
        <w:t xml:space="preserve">. </w:t>
      </w:r>
      <w:r w:rsidR="007D3D6F" w:rsidRPr="007D3D6F">
        <w:rPr>
          <w:rFonts w:ascii="Times New Roman" w:hAnsi="Times New Roman" w:cs="Times New Roman"/>
        </w:rPr>
        <w:t xml:space="preserve"> </w:t>
      </w:r>
      <w:proofErr w:type="gramEnd"/>
    </w:p>
    <w:p w14:paraId="1B43ADB3" w14:textId="77777777" w:rsidR="007D3D6F" w:rsidRPr="007D3D6F" w:rsidRDefault="007D3D6F" w:rsidP="00E231AC">
      <w:pPr>
        <w:ind w:firstLine="720"/>
        <w:rPr>
          <w:rFonts w:ascii="Times New Roman" w:hAnsi="Times New Roman" w:cs="Times New Roman"/>
        </w:rPr>
      </w:pPr>
    </w:p>
    <w:p w14:paraId="203FBEF9" w14:textId="2075308E" w:rsidR="007D3D6F" w:rsidRPr="007D3D6F" w:rsidRDefault="007D3D6F" w:rsidP="007D3D6F">
      <w:pPr>
        <w:ind w:firstLine="720"/>
        <w:rPr>
          <w:rFonts w:ascii="Times New Roman" w:hAnsi="Times New Roman" w:cs="Times New Roman"/>
        </w:rPr>
      </w:pPr>
      <w:r w:rsidRPr="007D3D6F">
        <w:rPr>
          <w:rFonts w:ascii="Times New Roman" w:hAnsi="Times New Roman" w:cs="Times New Roman"/>
        </w:rPr>
        <w:t>“</w:t>
      </w:r>
      <w:r w:rsidRPr="009F54E6">
        <w:rPr>
          <w:rFonts w:ascii="Times New Roman" w:hAnsi="Times New Roman" w:cs="Times New Roman"/>
        </w:rPr>
        <w:t>Ancient history may be defined as the critical study of human societies from the earliest recorded civilisations to the fall of the Western Roman Empire in the fifth century CE</w:t>
      </w:r>
      <w:r w:rsidRPr="007D3D6F">
        <w:rPr>
          <w:rFonts w:ascii="Times New Roman" w:hAnsi="Times New Roman" w:cs="Times New Roman"/>
        </w:rPr>
        <w:t>”</w:t>
      </w:r>
      <w:r w:rsidRPr="009F54E6">
        <w:rPr>
          <w:rFonts w:ascii="Times New Roman" w:hAnsi="Times New Roman" w:cs="Times New Roman"/>
        </w:rPr>
        <w:t xml:space="preserve"> (Cartledge, 1993). Its scope often includes Egypt, Mesopotamia, the Aegean world, Greece, Rome, </w:t>
      </w:r>
      <w:proofErr w:type="gramStart"/>
      <w:r w:rsidRPr="009F54E6">
        <w:rPr>
          <w:rFonts w:ascii="Times New Roman" w:hAnsi="Times New Roman" w:cs="Times New Roman"/>
        </w:rPr>
        <w:t>Persia</w:t>
      </w:r>
      <w:proofErr w:type="gramEnd"/>
      <w:r w:rsidRPr="009F54E6">
        <w:rPr>
          <w:rFonts w:ascii="Times New Roman" w:hAnsi="Times New Roman" w:cs="Times New Roman"/>
        </w:rPr>
        <w:t xml:space="preserve"> and the broader Mediterranean basin. The defining characteristic of the discipline lies in its source base. Ancient historians draw upon a limited range of surviving materials</w:t>
      </w:r>
      <w:r w:rsidRPr="007D3D6F">
        <w:rPr>
          <w:rFonts w:ascii="Times New Roman" w:hAnsi="Times New Roman" w:cs="Times New Roman"/>
        </w:rPr>
        <w:t>: “</w:t>
      </w:r>
      <w:r w:rsidRPr="009F54E6">
        <w:rPr>
          <w:rFonts w:ascii="Times New Roman" w:hAnsi="Times New Roman" w:cs="Times New Roman"/>
        </w:rPr>
        <w:t>inscriptions, papyri, coins, monuments, and literary texts</w:t>
      </w:r>
      <w:r w:rsidRPr="007D3D6F">
        <w:rPr>
          <w:rFonts w:ascii="Times New Roman" w:hAnsi="Times New Roman" w:cs="Times New Roman"/>
        </w:rPr>
        <w:t>,</w:t>
      </w:r>
      <w:r w:rsidRPr="009F54E6">
        <w:rPr>
          <w:rFonts w:ascii="Times New Roman" w:hAnsi="Times New Roman" w:cs="Times New Roman"/>
        </w:rPr>
        <w:t xml:space="preserve"> and must reconstruct coherent narratives from these fragmentary remnants</w:t>
      </w:r>
      <w:r w:rsidRPr="007D3D6F">
        <w:rPr>
          <w:rFonts w:ascii="Times New Roman" w:hAnsi="Times New Roman" w:cs="Times New Roman"/>
        </w:rPr>
        <w:t>”</w:t>
      </w:r>
      <w:r w:rsidRPr="009F54E6">
        <w:rPr>
          <w:rFonts w:ascii="Times New Roman" w:hAnsi="Times New Roman" w:cs="Times New Roman"/>
        </w:rPr>
        <w:t xml:space="preserve"> (Finley, 1985). As Beard and Henderson (2001) observe, this reliance on incomplete evidence requires both imagination and rigour: “the historian of antiquity must be both detective and interpreter.”</w:t>
      </w:r>
    </w:p>
    <w:p w14:paraId="7E779C49" w14:textId="4B33B370" w:rsidR="007D3D6F" w:rsidRPr="007D3D6F" w:rsidRDefault="007D3D6F" w:rsidP="007D3D6F">
      <w:pPr>
        <w:ind w:firstLine="720"/>
        <w:rPr>
          <w:rFonts w:ascii="Times New Roman" w:hAnsi="Times New Roman" w:cs="Times New Roman"/>
        </w:rPr>
      </w:pPr>
      <w:r w:rsidRPr="009F54E6">
        <w:rPr>
          <w:rFonts w:ascii="Times New Roman" w:hAnsi="Times New Roman" w:cs="Times New Roman"/>
        </w:rPr>
        <w:t xml:space="preserve">Methodologically, ancient history stands at the intersection of empirical and interpretive approaches. It is empirical in its emphasis on evidence and source criticism, yet interpretive in its recognition that all historical reconstruction involves selection, framing and contextualisation. The ancient historian must engage with the question of how we know what we think we know. As Finley (1975) famously argued, “ancient history is a field in which the evidence must be made to speak, for it rarely speaks by itself.” The discipline </w:t>
      </w:r>
      <w:proofErr w:type="gramStart"/>
      <w:r w:rsidRPr="009F54E6">
        <w:rPr>
          <w:rFonts w:ascii="Times New Roman" w:hAnsi="Times New Roman" w:cs="Times New Roman"/>
        </w:rPr>
        <w:t>is thus distinguished</w:t>
      </w:r>
      <w:proofErr w:type="gramEnd"/>
      <w:r w:rsidRPr="009F54E6">
        <w:rPr>
          <w:rFonts w:ascii="Times New Roman" w:hAnsi="Times New Roman" w:cs="Times New Roman"/>
        </w:rPr>
        <w:t xml:space="preserve"> by its methodological pluralism: it embraces textual analysis, archaeological interpretation, comparative </w:t>
      </w:r>
      <w:r w:rsidR="00916968" w:rsidRPr="009F54E6">
        <w:rPr>
          <w:rFonts w:ascii="Times New Roman" w:hAnsi="Times New Roman" w:cs="Times New Roman"/>
        </w:rPr>
        <w:t>sociology,</w:t>
      </w:r>
      <w:r w:rsidRPr="009F54E6">
        <w:rPr>
          <w:rFonts w:ascii="Times New Roman" w:hAnsi="Times New Roman" w:cs="Times New Roman"/>
        </w:rPr>
        <w:t xml:space="preserve"> and even literary theory, all in the service of understanding past human</w:t>
      </w:r>
      <w:r w:rsidRPr="007D3D6F">
        <w:rPr>
          <w:rFonts w:ascii="Times New Roman" w:hAnsi="Times New Roman" w:cs="Times New Roman"/>
        </w:rPr>
        <w:t xml:space="preserve"> </w:t>
      </w:r>
      <w:r w:rsidRPr="009F54E6">
        <w:rPr>
          <w:rFonts w:ascii="Times New Roman" w:hAnsi="Times New Roman" w:cs="Times New Roman"/>
        </w:rPr>
        <w:t>experience.</w:t>
      </w:r>
    </w:p>
    <w:p w14:paraId="5047A2F7" w14:textId="41D717AF"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In terms of its content, ancient history has traditionally focused on political and military events</w:t>
      </w:r>
      <w:r w:rsidRPr="007D3D6F">
        <w:rPr>
          <w:rFonts w:ascii="Times New Roman" w:hAnsi="Times New Roman" w:cs="Times New Roman"/>
        </w:rPr>
        <w:t>:</w:t>
      </w:r>
      <w:r w:rsidRPr="009F54E6">
        <w:rPr>
          <w:rFonts w:ascii="Times New Roman" w:hAnsi="Times New Roman" w:cs="Times New Roman"/>
        </w:rPr>
        <w:t xml:space="preserve"> the rise and fall of empires, the deeds of rulers, and the progression of institutions. This “great men and great events” model dominated classical scholarship well into the twentieth century. However, even within that framework, ancient historians were engaged in broader inquiries about law, citizenship, </w:t>
      </w:r>
      <w:proofErr w:type="gramStart"/>
      <w:r w:rsidRPr="009F54E6">
        <w:rPr>
          <w:rFonts w:ascii="Times New Roman" w:hAnsi="Times New Roman" w:cs="Times New Roman"/>
        </w:rPr>
        <w:t>economy</w:t>
      </w:r>
      <w:proofErr w:type="gramEnd"/>
      <w:r w:rsidRPr="009F54E6">
        <w:rPr>
          <w:rFonts w:ascii="Times New Roman" w:hAnsi="Times New Roman" w:cs="Times New Roman"/>
        </w:rPr>
        <w:t xml:space="preserve"> and social order. The works of Thucydides, </w:t>
      </w:r>
      <w:r w:rsidR="00916968" w:rsidRPr="009F54E6">
        <w:rPr>
          <w:rFonts w:ascii="Times New Roman" w:hAnsi="Times New Roman" w:cs="Times New Roman"/>
        </w:rPr>
        <w:t>Polybius,</w:t>
      </w:r>
      <w:r w:rsidRPr="009F54E6">
        <w:rPr>
          <w:rFonts w:ascii="Times New Roman" w:hAnsi="Times New Roman" w:cs="Times New Roman"/>
        </w:rPr>
        <w:t xml:space="preserve"> and Tacitus, though literary in form, already exhibit analytical ambitions akin to modern historical writing. As Beard and Crawford (1985) note, “the ancient historians were the first to conceive of history as a reasoned explanation of events rather than a mere chronicle.”</w:t>
      </w:r>
    </w:p>
    <w:p w14:paraId="353B6C4A" w14:textId="279E2038" w:rsidR="007D3D6F" w:rsidRDefault="007D3D6F" w:rsidP="007D3D6F">
      <w:pPr>
        <w:ind w:firstLine="720"/>
        <w:rPr>
          <w:rFonts w:ascii="Times New Roman" w:hAnsi="Times New Roman" w:cs="Times New Roman"/>
        </w:rPr>
      </w:pPr>
      <w:r w:rsidRPr="009F54E6">
        <w:rPr>
          <w:rFonts w:ascii="Times New Roman" w:hAnsi="Times New Roman" w:cs="Times New Roman"/>
        </w:rPr>
        <w:t xml:space="preserve">Crucially, the nature of ancient history </w:t>
      </w:r>
      <w:proofErr w:type="gramStart"/>
      <w:r w:rsidRPr="009F54E6">
        <w:rPr>
          <w:rFonts w:ascii="Times New Roman" w:hAnsi="Times New Roman" w:cs="Times New Roman"/>
        </w:rPr>
        <w:t>is also shaped</w:t>
      </w:r>
      <w:proofErr w:type="gramEnd"/>
      <w:r w:rsidRPr="009F54E6">
        <w:rPr>
          <w:rFonts w:ascii="Times New Roman" w:hAnsi="Times New Roman" w:cs="Times New Roman"/>
        </w:rPr>
        <w:t xml:space="preserve"> by the dialogue between text and material culture. The rediscovery of sites such as Pompeii, Knossos and Ur revolutionised the field by providing tangible evidence that either corroborated or challenged textual accounts. Archaeological findings have often corrected traditional narratives: for example, </w:t>
      </w:r>
      <w:r>
        <w:rPr>
          <w:rFonts w:ascii="Times New Roman" w:hAnsi="Times New Roman" w:cs="Times New Roman"/>
        </w:rPr>
        <w:t>“</w:t>
      </w:r>
      <w:r w:rsidRPr="009F54E6">
        <w:rPr>
          <w:rFonts w:ascii="Times New Roman" w:hAnsi="Times New Roman" w:cs="Times New Roman"/>
        </w:rPr>
        <w:t xml:space="preserve">Linear B tablets confirmed the administrative </w:t>
      </w:r>
      <w:r w:rsidRPr="009F54E6">
        <w:rPr>
          <w:rFonts w:ascii="Times New Roman" w:hAnsi="Times New Roman" w:cs="Times New Roman"/>
        </w:rPr>
        <w:lastRenderedPageBreak/>
        <w:t>complexity of Mycenaean Greece, while the Amarna letters illuminated the diplomatic networks of Late Bronze Age Egypt</w:t>
      </w:r>
      <w:r>
        <w:rPr>
          <w:rFonts w:ascii="Times New Roman" w:hAnsi="Times New Roman" w:cs="Times New Roman"/>
        </w:rPr>
        <w:t>”</w:t>
      </w:r>
      <w:r w:rsidRPr="009F54E6">
        <w:rPr>
          <w:rFonts w:ascii="Times New Roman" w:hAnsi="Times New Roman" w:cs="Times New Roman"/>
        </w:rPr>
        <w:t xml:space="preserve"> (Renfrew and Bahn, 2016). Ancient history, therefore, exists in a constant interplay between literary interpretation and material analysis.</w:t>
      </w:r>
    </w:p>
    <w:p w14:paraId="48B634B7" w14:textId="77777777" w:rsidR="007D3D6F" w:rsidRDefault="007D3D6F" w:rsidP="007D3D6F">
      <w:pPr>
        <w:ind w:firstLine="720"/>
        <w:rPr>
          <w:rFonts w:ascii="Times New Roman" w:hAnsi="Times New Roman" w:cs="Times New Roman"/>
        </w:rPr>
      </w:pPr>
    </w:p>
    <w:p w14:paraId="4F133308" w14:textId="3CC41E47"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 xml:space="preserve">The discipline of ancient history has undergone significant transformation over the past half-century. Where nineteenth-century historians such as Theodor Mommsen emphasised political and institutional history, contemporary scholarship has broadened to include social, economic, and cultural perspectives. </w:t>
      </w:r>
      <w:r w:rsidRPr="007D3D6F">
        <w:rPr>
          <w:rFonts w:ascii="Times New Roman" w:hAnsi="Times New Roman" w:cs="Times New Roman"/>
        </w:rPr>
        <w:t>“</w:t>
      </w:r>
      <w:r w:rsidRPr="009F54E6">
        <w:rPr>
          <w:rFonts w:ascii="Times New Roman" w:hAnsi="Times New Roman" w:cs="Times New Roman"/>
        </w:rPr>
        <w:t xml:space="preserve">This shift reflects the influence of the </w:t>
      </w:r>
      <w:r w:rsidRPr="009F54E6">
        <w:rPr>
          <w:rFonts w:ascii="Times New Roman" w:hAnsi="Times New Roman" w:cs="Times New Roman"/>
          <w:i/>
          <w:iCs/>
        </w:rPr>
        <w:t>Annales</w:t>
      </w:r>
      <w:r w:rsidRPr="009F54E6">
        <w:rPr>
          <w:rFonts w:ascii="Times New Roman" w:hAnsi="Times New Roman" w:cs="Times New Roman"/>
        </w:rPr>
        <w:t xml:space="preserve"> school and the rise of social history in the mid-twentieth century, which encouraged historians to examine structures of everyday life rather than elite narratives</w:t>
      </w:r>
      <w:r w:rsidRPr="007D3D6F">
        <w:rPr>
          <w:rFonts w:ascii="Times New Roman" w:hAnsi="Times New Roman" w:cs="Times New Roman"/>
        </w:rPr>
        <w:t>”</w:t>
      </w:r>
      <w:r w:rsidRPr="009F54E6">
        <w:rPr>
          <w:rFonts w:ascii="Times New Roman" w:hAnsi="Times New Roman" w:cs="Times New Roman"/>
        </w:rPr>
        <w:t xml:space="preserve"> (Burke, 1990).</w:t>
      </w:r>
    </w:p>
    <w:p w14:paraId="2E99A5A8" w14:textId="07F6118D"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One major direction of change has been the turn towards the margins</w:t>
      </w:r>
      <w:r w:rsidRPr="007D3D6F">
        <w:rPr>
          <w:rFonts w:ascii="Times New Roman" w:hAnsi="Times New Roman" w:cs="Times New Roman"/>
        </w:rPr>
        <w:t>:</w:t>
      </w:r>
      <w:r w:rsidRPr="009F54E6">
        <w:rPr>
          <w:rFonts w:ascii="Times New Roman" w:hAnsi="Times New Roman" w:cs="Times New Roman"/>
        </w:rPr>
        <w:t xml:space="preserve"> towards the lives of women, enslaved people, </w:t>
      </w:r>
      <w:proofErr w:type="gramStart"/>
      <w:r w:rsidRPr="009F54E6">
        <w:rPr>
          <w:rFonts w:ascii="Times New Roman" w:hAnsi="Times New Roman" w:cs="Times New Roman"/>
        </w:rPr>
        <w:t>migrants</w:t>
      </w:r>
      <w:proofErr w:type="gramEnd"/>
      <w:r w:rsidRPr="009F54E6">
        <w:rPr>
          <w:rFonts w:ascii="Times New Roman" w:hAnsi="Times New Roman" w:cs="Times New Roman"/>
        </w:rPr>
        <w:t xml:space="preserve"> and non-elite populations. Pioneering works such as Sarah Pomeroy’s </w:t>
      </w:r>
      <w:r w:rsidRPr="009F54E6">
        <w:rPr>
          <w:rFonts w:ascii="Times New Roman" w:hAnsi="Times New Roman" w:cs="Times New Roman"/>
          <w:i/>
          <w:iCs/>
        </w:rPr>
        <w:t xml:space="preserve">Goddesses, </w:t>
      </w:r>
      <w:proofErr w:type="gramStart"/>
      <w:r w:rsidRPr="009F54E6">
        <w:rPr>
          <w:rFonts w:ascii="Times New Roman" w:hAnsi="Times New Roman" w:cs="Times New Roman"/>
          <w:i/>
          <w:iCs/>
        </w:rPr>
        <w:t>Whores</w:t>
      </w:r>
      <w:proofErr w:type="gramEnd"/>
      <w:r w:rsidRPr="009F54E6">
        <w:rPr>
          <w:rFonts w:ascii="Times New Roman" w:hAnsi="Times New Roman" w:cs="Times New Roman"/>
          <w:i/>
          <w:iCs/>
        </w:rPr>
        <w:t>, Wives, and Slaves</w:t>
      </w:r>
      <w:r w:rsidRPr="009F54E6">
        <w:rPr>
          <w:rFonts w:ascii="Times New Roman" w:hAnsi="Times New Roman" w:cs="Times New Roman"/>
        </w:rPr>
        <w:t xml:space="preserve"> (1975) </w:t>
      </w:r>
      <w:proofErr w:type="gramStart"/>
      <w:r w:rsidRPr="007D3D6F">
        <w:rPr>
          <w:rFonts w:ascii="Times New Roman" w:hAnsi="Times New Roman" w:cs="Times New Roman"/>
        </w:rPr>
        <w:t>opened</w:t>
      </w:r>
      <w:r w:rsidRPr="009F54E6">
        <w:rPr>
          <w:rFonts w:ascii="Times New Roman" w:hAnsi="Times New Roman" w:cs="Times New Roman"/>
        </w:rPr>
        <w:t xml:space="preserve"> </w:t>
      </w:r>
      <w:r w:rsidRPr="007D3D6F">
        <w:rPr>
          <w:rFonts w:ascii="Times New Roman" w:hAnsi="Times New Roman" w:cs="Times New Roman"/>
        </w:rPr>
        <w:t>up</w:t>
      </w:r>
      <w:proofErr w:type="gramEnd"/>
      <w:r w:rsidRPr="007D3D6F">
        <w:rPr>
          <w:rFonts w:ascii="Times New Roman" w:hAnsi="Times New Roman" w:cs="Times New Roman"/>
        </w:rPr>
        <w:t xml:space="preserve"> </w:t>
      </w:r>
      <w:r w:rsidRPr="009F54E6">
        <w:rPr>
          <w:rFonts w:ascii="Times New Roman" w:hAnsi="Times New Roman" w:cs="Times New Roman"/>
        </w:rPr>
        <w:t xml:space="preserve">gender as a critical category of analysis. Similarly, the study of slavery and subaltern experiences in the Roman Empire (Bradley, 1994) and Greece (Fisher, 1993) has expanded our understanding of ancient societies as complex systems of inequality and negotiation. This expansion has also led to </w:t>
      </w:r>
      <w:proofErr w:type="gramStart"/>
      <w:r w:rsidRPr="009F54E6">
        <w:rPr>
          <w:rFonts w:ascii="Times New Roman" w:hAnsi="Times New Roman" w:cs="Times New Roman"/>
        </w:rPr>
        <w:t>new approaches</w:t>
      </w:r>
      <w:proofErr w:type="gramEnd"/>
      <w:r w:rsidRPr="009F54E6">
        <w:rPr>
          <w:rFonts w:ascii="Times New Roman" w:hAnsi="Times New Roman" w:cs="Times New Roman"/>
        </w:rPr>
        <w:t xml:space="preserve"> in cultural history, including the study of identity, </w:t>
      </w:r>
      <w:proofErr w:type="gramStart"/>
      <w:r w:rsidRPr="009F54E6">
        <w:rPr>
          <w:rFonts w:ascii="Times New Roman" w:hAnsi="Times New Roman" w:cs="Times New Roman"/>
        </w:rPr>
        <w:t>ethnicity</w:t>
      </w:r>
      <w:proofErr w:type="gramEnd"/>
      <w:r w:rsidRPr="009F54E6">
        <w:rPr>
          <w:rFonts w:ascii="Times New Roman" w:hAnsi="Times New Roman" w:cs="Times New Roman"/>
        </w:rPr>
        <w:t xml:space="preserve"> and representation in the ancient world (Hall, 1997).</w:t>
      </w:r>
    </w:p>
    <w:p w14:paraId="5774D926" w14:textId="17B95065"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Another defining development has been the globalisation of ancient history. Earlier scholarship often privileged the Greco-Roman world as the cradle of “Western civilisation</w:t>
      </w:r>
      <w:proofErr w:type="gramStart"/>
      <w:r w:rsidRPr="009F54E6">
        <w:rPr>
          <w:rFonts w:ascii="Times New Roman" w:hAnsi="Times New Roman" w:cs="Times New Roman"/>
        </w:rPr>
        <w:t>”,</w:t>
      </w:r>
      <w:proofErr w:type="gramEnd"/>
      <w:r w:rsidRPr="009F54E6">
        <w:rPr>
          <w:rFonts w:ascii="Times New Roman" w:hAnsi="Times New Roman" w:cs="Times New Roman"/>
        </w:rPr>
        <w:t xml:space="preserve"> a view now widely criticised for its Eurocentrism. Recent research highlights the interconnectedness of ancient regions</w:t>
      </w:r>
      <w:r w:rsidRPr="007D3D6F">
        <w:rPr>
          <w:rFonts w:ascii="Times New Roman" w:hAnsi="Times New Roman" w:cs="Times New Roman"/>
        </w:rPr>
        <w:t xml:space="preserve">: </w:t>
      </w:r>
      <w:r w:rsidRPr="009F54E6">
        <w:rPr>
          <w:rFonts w:ascii="Times New Roman" w:hAnsi="Times New Roman" w:cs="Times New Roman"/>
        </w:rPr>
        <w:t xml:space="preserve">for example, the Mediterranean’s trade links with Africa, the Near </w:t>
      </w:r>
      <w:proofErr w:type="gramStart"/>
      <w:r w:rsidRPr="009F54E6">
        <w:rPr>
          <w:rFonts w:ascii="Times New Roman" w:hAnsi="Times New Roman" w:cs="Times New Roman"/>
        </w:rPr>
        <w:t>East</w:t>
      </w:r>
      <w:proofErr w:type="gramEnd"/>
      <w:r w:rsidRPr="009F54E6">
        <w:rPr>
          <w:rFonts w:ascii="Times New Roman" w:hAnsi="Times New Roman" w:cs="Times New Roman"/>
        </w:rPr>
        <w:t xml:space="preserve"> and Central Asia. Scholars such as Pitts and Versluys (2015) argue for a “globalising Roman Empire”, one characterised by cultural hybridity and mobility rather than uniform imperial domination. Likewise, comparative historians such as Scheidel (2009) have sought to integrate the ancient Mediterranean into broader world-historical frameworks, comparing Rome and Han China, or Athens and Carthage, to explore universal patterns of social development.</w:t>
      </w:r>
    </w:p>
    <w:p w14:paraId="38BB6CB5" w14:textId="14B9CD77"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 xml:space="preserve">A third and rapidly expanding frontier is the incorporation of digital humanities into ancient historical research. </w:t>
      </w:r>
      <w:r w:rsidRPr="007D3D6F">
        <w:rPr>
          <w:rFonts w:ascii="Times New Roman" w:hAnsi="Times New Roman" w:cs="Times New Roman"/>
        </w:rPr>
        <w:t>“</w:t>
      </w:r>
      <w:r w:rsidRPr="009F54E6">
        <w:rPr>
          <w:rFonts w:ascii="Times New Roman" w:hAnsi="Times New Roman" w:cs="Times New Roman"/>
        </w:rPr>
        <w:t>Technological innovations</w:t>
      </w:r>
      <w:r w:rsidRPr="007D3D6F">
        <w:rPr>
          <w:rFonts w:ascii="Times New Roman" w:hAnsi="Times New Roman" w:cs="Times New Roman"/>
        </w:rPr>
        <w:t xml:space="preserve">: </w:t>
      </w:r>
      <w:r w:rsidRPr="009F54E6">
        <w:rPr>
          <w:rFonts w:ascii="Times New Roman" w:hAnsi="Times New Roman" w:cs="Times New Roman"/>
        </w:rPr>
        <w:t>including GIS mapping, 3D modelling, and online epigraphic databases</w:t>
      </w:r>
      <w:r w:rsidRPr="007D3D6F">
        <w:rPr>
          <w:rFonts w:ascii="Times New Roman" w:hAnsi="Times New Roman" w:cs="Times New Roman"/>
        </w:rPr>
        <w:t xml:space="preserve">, </w:t>
      </w:r>
      <w:r w:rsidRPr="009F54E6">
        <w:rPr>
          <w:rFonts w:ascii="Times New Roman" w:hAnsi="Times New Roman" w:cs="Times New Roman"/>
        </w:rPr>
        <w:t>have transformed both data access and analytical capacity</w:t>
      </w:r>
      <w:r w:rsidRPr="007D3D6F">
        <w:rPr>
          <w:rFonts w:ascii="Times New Roman" w:hAnsi="Times New Roman" w:cs="Times New Roman"/>
        </w:rPr>
        <w:t>”</w:t>
      </w:r>
      <w:r w:rsidRPr="009F54E6">
        <w:rPr>
          <w:rFonts w:ascii="Times New Roman" w:hAnsi="Times New Roman" w:cs="Times New Roman"/>
        </w:rPr>
        <w:t xml:space="preserve"> (Terras, 2011). Projects like the Perseus Digital Library and the Pleiades Gazetteer have made ancient texts and geographical information more accessible than ever before. These tools not only democratise scholarship but also allow for new forms of spatial and quantitative analysis, enhancing our ability to visualise trade routes, settlement </w:t>
      </w:r>
      <w:proofErr w:type="gramStart"/>
      <w:r w:rsidRPr="009F54E6">
        <w:rPr>
          <w:rFonts w:ascii="Times New Roman" w:hAnsi="Times New Roman" w:cs="Times New Roman"/>
        </w:rPr>
        <w:t>patterns</w:t>
      </w:r>
      <w:proofErr w:type="gramEnd"/>
      <w:r w:rsidRPr="009F54E6">
        <w:rPr>
          <w:rFonts w:ascii="Times New Roman" w:hAnsi="Times New Roman" w:cs="Times New Roman"/>
        </w:rPr>
        <w:t xml:space="preserve"> and cultural exchange.</w:t>
      </w:r>
    </w:p>
    <w:p w14:paraId="59272DC1" w14:textId="5CA5C6CB"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 xml:space="preserve">At the same time, ancient history </w:t>
      </w:r>
      <w:proofErr w:type="gramStart"/>
      <w:r w:rsidRPr="009F54E6">
        <w:rPr>
          <w:rFonts w:ascii="Times New Roman" w:hAnsi="Times New Roman" w:cs="Times New Roman"/>
        </w:rPr>
        <w:t>is increasingly informed</w:t>
      </w:r>
      <w:proofErr w:type="gramEnd"/>
      <w:r w:rsidRPr="009F54E6">
        <w:rPr>
          <w:rFonts w:ascii="Times New Roman" w:hAnsi="Times New Roman" w:cs="Times New Roman"/>
        </w:rPr>
        <w:t xml:space="preserve"> by theoretical and critical approaches drawn from other humanities disciplines. Postcolonial theory has prompted reassessment of how “classical civilisation” </w:t>
      </w:r>
      <w:proofErr w:type="gramStart"/>
      <w:r w:rsidRPr="009F54E6">
        <w:rPr>
          <w:rFonts w:ascii="Times New Roman" w:hAnsi="Times New Roman" w:cs="Times New Roman"/>
        </w:rPr>
        <w:t>was constructed</w:t>
      </w:r>
      <w:proofErr w:type="gramEnd"/>
      <w:r w:rsidRPr="009F54E6">
        <w:rPr>
          <w:rFonts w:ascii="Times New Roman" w:hAnsi="Times New Roman" w:cs="Times New Roman"/>
        </w:rPr>
        <w:t xml:space="preserve"> within the context of European imperialism (Vlassopoulos, 2013). Reception studies examine how the ancient past has </w:t>
      </w:r>
      <w:proofErr w:type="gramStart"/>
      <w:r w:rsidRPr="009F54E6">
        <w:rPr>
          <w:rFonts w:ascii="Times New Roman" w:hAnsi="Times New Roman" w:cs="Times New Roman"/>
        </w:rPr>
        <w:t>been reinterpreted</w:t>
      </w:r>
      <w:proofErr w:type="gramEnd"/>
      <w:r w:rsidRPr="009F54E6">
        <w:rPr>
          <w:rFonts w:ascii="Times New Roman" w:hAnsi="Times New Roman" w:cs="Times New Roman"/>
        </w:rPr>
        <w:t xml:space="preserve"> and appropriated in later cultures, from the Renaissance to modern cinema. Such developments illustrate the intellectual vitality of the field: rather than being a static repository of antiquarian knowledge, ancient history is an evolving conversation about evidence, identity and meaning.</w:t>
      </w:r>
    </w:p>
    <w:p w14:paraId="1239F136" w14:textId="6F7B87BF" w:rsidR="007D3D6F" w:rsidRDefault="007D3D6F" w:rsidP="007D3D6F">
      <w:pPr>
        <w:ind w:firstLine="720"/>
        <w:rPr>
          <w:rFonts w:ascii="Times New Roman" w:hAnsi="Times New Roman" w:cs="Times New Roman"/>
        </w:rPr>
      </w:pPr>
    </w:p>
    <w:p w14:paraId="35BB7C80" w14:textId="465C546E"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lastRenderedPageBreak/>
        <w:t>The relationship between ancient history and the wider humanities is both foundational and reciprocal. The humanities seek to understand human experience in its diversity</w:t>
      </w:r>
      <w:r w:rsidR="004D6225">
        <w:rPr>
          <w:rFonts w:ascii="Times New Roman" w:hAnsi="Times New Roman" w:cs="Times New Roman"/>
        </w:rPr>
        <w:t xml:space="preserve">: </w:t>
      </w:r>
      <w:r w:rsidRPr="009F54E6">
        <w:rPr>
          <w:rFonts w:ascii="Times New Roman" w:hAnsi="Times New Roman" w:cs="Times New Roman"/>
        </w:rPr>
        <w:t xml:space="preserve">through language, literature, art, philosophy, and history. Ancient history contributes uniquely to this enterprise by providing the deep temporal perspective necessary to trace the origins of social and cultural institutions. As Momigliano (1980) observed, </w:t>
      </w:r>
      <w:r w:rsidR="004D6225">
        <w:rPr>
          <w:rFonts w:ascii="Times New Roman" w:hAnsi="Times New Roman" w:cs="Times New Roman"/>
        </w:rPr>
        <w:t>“</w:t>
      </w:r>
      <w:r w:rsidRPr="009F54E6">
        <w:rPr>
          <w:rFonts w:ascii="Times New Roman" w:hAnsi="Times New Roman" w:cs="Times New Roman"/>
        </w:rPr>
        <w:t>the study of antiquity is not a retreat into the past but a way of interrogating the present through its historical foundations.</w:t>
      </w:r>
      <w:r w:rsidR="004D6225">
        <w:rPr>
          <w:rFonts w:ascii="Times New Roman" w:hAnsi="Times New Roman" w:cs="Times New Roman"/>
        </w:rPr>
        <w:t>”</w:t>
      </w:r>
    </w:p>
    <w:p w14:paraId="74A41D1A" w14:textId="3A9C0A45"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 xml:space="preserve">Ancient history is inherently interdisciplinary. It collaborates closely with archaeology, sharing both subject matter and methods. Archaeological excavation provides the physical context for historical interpretation, </w:t>
      </w:r>
      <w:r w:rsidR="004D6225">
        <w:rPr>
          <w:rFonts w:ascii="Times New Roman" w:hAnsi="Times New Roman" w:cs="Times New Roman"/>
        </w:rPr>
        <w:t>“</w:t>
      </w:r>
      <w:r w:rsidRPr="009F54E6">
        <w:rPr>
          <w:rFonts w:ascii="Times New Roman" w:hAnsi="Times New Roman" w:cs="Times New Roman"/>
        </w:rPr>
        <w:t>while historical analysis gives meaning to artefacts. The discovery of the Dead Sea Scrolls, for instance, redefined understandings of early Judaism and the textual transmission of religious ideas</w:t>
      </w:r>
      <w:r w:rsidR="004D6225">
        <w:rPr>
          <w:rFonts w:ascii="Times New Roman" w:hAnsi="Times New Roman" w:cs="Times New Roman"/>
        </w:rPr>
        <w:t>”</w:t>
      </w:r>
      <w:r w:rsidRPr="009F54E6">
        <w:rPr>
          <w:rFonts w:ascii="Times New Roman" w:hAnsi="Times New Roman" w:cs="Times New Roman"/>
        </w:rPr>
        <w:t xml:space="preserve"> (Vermes, 2012). Similarly, </w:t>
      </w:r>
      <w:r w:rsidR="004D6225">
        <w:rPr>
          <w:rFonts w:ascii="Times New Roman" w:hAnsi="Times New Roman" w:cs="Times New Roman"/>
        </w:rPr>
        <w:t>“</w:t>
      </w:r>
      <w:r w:rsidRPr="009F54E6">
        <w:rPr>
          <w:rFonts w:ascii="Times New Roman" w:hAnsi="Times New Roman" w:cs="Times New Roman"/>
        </w:rPr>
        <w:t>the integration of palaeoclimatic data and environmental archaeology has enabled historians to explore the relationship between ecological change and societal transformation</w:t>
      </w:r>
      <w:r w:rsidR="004D6225">
        <w:rPr>
          <w:rFonts w:ascii="Times New Roman" w:hAnsi="Times New Roman" w:cs="Times New Roman"/>
        </w:rPr>
        <w:t>”</w:t>
      </w:r>
      <w:r w:rsidRPr="009F54E6">
        <w:rPr>
          <w:rFonts w:ascii="Times New Roman" w:hAnsi="Times New Roman" w:cs="Times New Roman"/>
        </w:rPr>
        <w:t xml:space="preserve"> (McCormick, 2012).</w:t>
      </w:r>
    </w:p>
    <w:p w14:paraId="56FD7025" w14:textId="45BB7675"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 xml:space="preserve">The discipline also intersects with classics, especially in the study of ancient languages and literary texts. Knowledge of Greek, Latin, </w:t>
      </w:r>
      <w:proofErr w:type="gramStart"/>
      <w:r w:rsidRPr="009F54E6">
        <w:rPr>
          <w:rFonts w:ascii="Times New Roman" w:hAnsi="Times New Roman" w:cs="Times New Roman"/>
        </w:rPr>
        <w:t>Egyptian</w:t>
      </w:r>
      <w:proofErr w:type="gramEnd"/>
      <w:r w:rsidRPr="009F54E6">
        <w:rPr>
          <w:rFonts w:ascii="Times New Roman" w:hAnsi="Times New Roman" w:cs="Times New Roman"/>
        </w:rPr>
        <w:t xml:space="preserve"> or Akkadian allows historians to access primary sources directly, while literary analysis helps uncover the ideological and rhetorical dimensions of historical writing. As Fowler (1996) argues, </w:t>
      </w:r>
      <w:r w:rsidR="004D6225">
        <w:rPr>
          <w:rFonts w:ascii="Times New Roman" w:hAnsi="Times New Roman" w:cs="Times New Roman"/>
        </w:rPr>
        <w:t>“</w:t>
      </w:r>
      <w:r w:rsidRPr="009F54E6">
        <w:rPr>
          <w:rFonts w:ascii="Times New Roman" w:hAnsi="Times New Roman" w:cs="Times New Roman"/>
        </w:rPr>
        <w:t>the boundary between history and literature in antiquity was fluid: Herodotus and Thucydides combined factual inquiry with narrative artistry, shaping not only what we know about the past but how we imagine it.</w:t>
      </w:r>
      <w:r w:rsidR="004D6225">
        <w:rPr>
          <w:rFonts w:ascii="Times New Roman" w:hAnsi="Times New Roman" w:cs="Times New Roman"/>
        </w:rPr>
        <w:t>”</w:t>
      </w:r>
    </w:p>
    <w:p w14:paraId="53C42577" w14:textId="72EC3AC9" w:rsidR="007D3D6F" w:rsidRPr="009F54E6" w:rsidRDefault="007D3D6F" w:rsidP="007D3D6F">
      <w:pPr>
        <w:ind w:firstLine="720"/>
        <w:rPr>
          <w:rFonts w:ascii="Times New Roman" w:hAnsi="Times New Roman" w:cs="Times New Roman"/>
        </w:rPr>
      </w:pPr>
      <w:r w:rsidRPr="009F54E6">
        <w:rPr>
          <w:rFonts w:ascii="Times New Roman" w:hAnsi="Times New Roman" w:cs="Times New Roman"/>
        </w:rPr>
        <w:t xml:space="preserve">In dialogue with philosophy, ancient history explores the intellectual heritage of ethical and political thought. Concepts such as democracy, </w:t>
      </w:r>
      <w:proofErr w:type="gramStart"/>
      <w:r w:rsidRPr="009F54E6">
        <w:rPr>
          <w:rFonts w:ascii="Times New Roman" w:hAnsi="Times New Roman" w:cs="Times New Roman"/>
        </w:rPr>
        <w:t>citizenship</w:t>
      </w:r>
      <w:proofErr w:type="gramEnd"/>
      <w:r w:rsidRPr="009F54E6">
        <w:rPr>
          <w:rFonts w:ascii="Times New Roman" w:hAnsi="Times New Roman" w:cs="Times New Roman"/>
        </w:rPr>
        <w:t xml:space="preserve"> and virtue</w:t>
      </w:r>
      <w:r w:rsidR="004D6225">
        <w:rPr>
          <w:rFonts w:ascii="Times New Roman" w:hAnsi="Times New Roman" w:cs="Times New Roman"/>
        </w:rPr>
        <w:t xml:space="preserve">: </w:t>
      </w:r>
      <w:r w:rsidRPr="009F54E6">
        <w:rPr>
          <w:rFonts w:ascii="Times New Roman" w:hAnsi="Times New Roman" w:cs="Times New Roman"/>
        </w:rPr>
        <w:t>formulated in classical Athens or Rome</w:t>
      </w:r>
      <w:r w:rsidR="004D6225">
        <w:rPr>
          <w:rFonts w:ascii="Times New Roman" w:hAnsi="Times New Roman" w:cs="Times New Roman"/>
        </w:rPr>
        <w:t>,</w:t>
      </w:r>
      <w:r w:rsidRPr="009F54E6">
        <w:rPr>
          <w:rFonts w:ascii="Times New Roman" w:hAnsi="Times New Roman" w:cs="Times New Roman"/>
        </w:rPr>
        <w:t xml:space="preserve"> continue to inform modern political theory. </w:t>
      </w:r>
      <w:r w:rsidR="004D6225">
        <w:rPr>
          <w:rFonts w:ascii="Times New Roman" w:hAnsi="Times New Roman" w:cs="Times New Roman"/>
        </w:rPr>
        <w:t>“</w:t>
      </w:r>
      <w:r w:rsidRPr="009F54E6">
        <w:rPr>
          <w:rFonts w:ascii="Times New Roman" w:hAnsi="Times New Roman" w:cs="Times New Roman"/>
        </w:rPr>
        <w:t>The study of Plato, Aristotle and Cicero thus links ancient history to enduring philosophical questions about justice, freedom and governance</w:t>
      </w:r>
      <w:r w:rsidR="004D6225">
        <w:rPr>
          <w:rFonts w:ascii="Times New Roman" w:hAnsi="Times New Roman" w:cs="Times New Roman"/>
        </w:rPr>
        <w:t>”</w:t>
      </w:r>
      <w:r w:rsidRPr="009F54E6">
        <w:rPr>
          <w:rFonts w:ascii="Times New Roman" w:hAnsi="Times New Roman" w:cs="Times New Roman"/>
        </w:rPr>
        <w:t xml:space="preserve"> (Nussbaum, 1986). Moreover, engagement with anthropology has encouraged historians to adopt comparative frameworks and to analyse ancient societies in terms of kinship, </w:t>
      </w:r>
      <w:proofErr w:type="gramStart"/>
      <w:r w:rsidRPr="009F54E6">
        <w:rPr>
          <w:rFonts w:ascii="Times New Roman" w:hAnsi="Times New Roman" w:cs="Times New Roman"/>
        </w:rPr>
        <w:t>ritual</w:t>
      </w:r>
      <w:proofErr w:type="gramEnd"/>
      <w:r w:rsidRPr="009F54E6">
        <w:rPr>
          <w:rFonts w:ascii="Times New Roman" w:hAnsi="Times New Roman" w:cs="Times New Roman"/>
        </w:rPr>
        <w:t xml:space="preserve"> and symbolism</w:t>
      </w:r>
      <w:r w:rsidR="004D6225">
        <w:rPr>
          <w:rFonts w:ascii="Times New Roman" w:hAnsi="Times New Roman" w:cs="Times New Roman"/>
        </w:rPr>
        <w:t>.</w:t>
      </w:r>
    </w:p>
    <w:p w14:paraId="26DE20E5" w14:textId="115B8BF9" w:rsidR="007D3D6F" w:rsidRDefault="007D3D6F" w:rsidP="007D3D6F">
      <w:pPr>
        <w:ind w:firstLine="720"/>
        <w:rPr>
          <w:rFonts w:ascii="Times New Roman" w:hAnsi="Times New Roman" w:cs="Times New Roman"/>
        </w:rPr>
      </w:pPr>
      <w:r w:rsidRPr="009F54E6">
        <w:rPr>
          <w:rFonts w:ascii="Times New Roman" w:hAnsi="Times New Roman" w:cs="Times New Roman"/>
        </w:rPr>
        <w:t>Beyond methodological overlaps, ancient history contributes to the humanities by exemplifying their shared humanistic ethos: the belief that the study of the past enriches our understanding of human potential and limitation. Through the examination of ancient empires, religious systems and artistic expressions, the discipline illuminates recurring themes</w:t>
      </w:r>
      <w:r w:rsidR="004D6225">
        <w:rPr>
          <w:rFonts w:ascii="Times New Roman" w:hAnsi="Times New Roman" w:cs="Times New Roman"/>
        </w:rPr>
        <w:t xml:space="preserve">: </w:t>
      </w:r>
      <w:r w:rsidRPr="009F54E6">
        <w:rPr>
          <w:rFonts w:ascii="Times New Roman" w:hAnsi="Times New Roman" w:cs="Times New Roman"/>
        </w:rPr>
        <w:t>power, identity, mortality, and the search for meaning. As Beard (2015) writes, “to study antiquity is to study ourselves, in all our difference and continuity.” The humanities, in turn, provide ancient history with interpretive frameworks that challenge its assumptions and expand its reach.</w:t>
      </w:r>
    </w:p>
    <w:p w14:paraId="5D84E00F" w14:textId="77777777" w:rsidR="004D6225" w:rsidRDefault="004D6225" w:rsidP="007D3D6F">
      <w:pPr>
        <w:ind w:firstLine="720"/>
        <w:rPr>
          <w:rFonts w:ascii="Times New Roman" w:hAnsi="Times New Roman" w:cs="Times New Roman"/>
        </w:rPr>
      </w:pPr>
    </w:p>
    <w:p w14:paraId="3B50B6C3" w14:textId="432FED58" w:rsidR="004D6225" w:rsidRPr="009F54E6" w:rsidRDefault="004D6225" w:rsidP="004D6225">
      <w:pPr>
        <w:ind w:firstLine="720"/>
        <w:rPr>
          <w:rFonts w:ascii="Times New Roman" w:hAnsi="Times New Roman" w:cs="Times New Roman"/>
        </w:rPr>
      </w:pPr>
      <w:r w:rsidRPr="009F54E6">
        <w:rPr>
          <w:rFonts w:ascii="Times New Roman" w:hAnsi="Times New Roman" w:cs="Times New Roman"/>
        </w:rPr>
        <w:t xml:space="preserve">In the twenty-first century, ancient history faces both opportunities and challenges. On one hand, </w:t>
      </w:r>
      <w:proofErr w:type="gramStart"/>
      <w:r w:rsidRPr="009F54E6">
        <w:rPr>
          <w:rFonts w:ascii="Times New Roman" w:hAnsi="Times New Roman" w:cs="Times New Roman"/>
        </w:rPr>
        <w:t>new technologies</w:t>
      </w:r>
      <w:proofErr w:type="gramEnd"/>
      <w:r w:rsidRPr="009F54E6">
        <w:rPr>
          <w:rFonts w:ascii="Times New Roman" w:hAnsi="Times New Roman" w:cs="Times New Roman"/>
        </w:rPr>
        <w:t xml:space="preserve">, interdisciplinary </w:t>
      </w:r>
      <w:proofErr w:type="gramStart"/>
      <w:r w:rsidRPr="009F54E6">
        <w:rPr>
          <w:rFonts w:ascii="Times New Roman" w:hAnsi="Times New Roman" w:cs="Times New Roman"/>
        </w:rPr>
        <w:t>methods</w:t>
      </w:r>
      <w:proofErr w:type="gramEnd"/>
      <w:r w:rsidRPr="009F54E6">
        <w:rPr>
          <w:rFonts w:ascii="Times New Roman" w:hAnsi="Times New Roman" w:cs="Times New Roman"/>
        </w:rPr>
        <w:t xml:space="preserve"> and global perspectives are revitalising the field. On the other, the discipline must confront issues of accessibility, </w:t>
      </w:r>
      <w:proofErr w:type="gramStart"/>
      <w:r w:rsidRPr="009F54E6">
        <w:rPr>
          <w:rFonts w:ascii="Times New Roman" w:hAnsi="Times New Roman" w:cs="Times New Roman"/>
        </w:rPr>
        <w:t>diversity</w:t>
      </w:r>
      <w:proofErr w:type="gramEnd"/>
      <w:r w:rsidRPr="009F54E6">
        <w:rPr>
          <w:rFonts w:ascii="Times New Roman" w:hAnsi="Times New Roman" w:cs="Times New Roman"/>
        </w:rPr>
        <w:t xml:space="preserve"> and decolonisation. </w:t>
      </w:r>
      <w:r>
        <w:rPr>
          <w:rFonts w:ascii="Times New Roman" w:hAnsi="Times New Roman" w:cs="Times New Roman"/>
        </w:rPr>
        <w:t>“</w:t>
      </w:r>
      <w:r w:rsidRPr="009F54E6">
        <w:rPr>
          <w:rFonts w:ascii="Times New Roman" w:hAnsi="Times New Roman" w:cs="Times New Roman"/>
        </w:rPr>
        <w:t>Critics argue that traditional curricula still overemphasise Greece and Rome at the expense of non-Mediterranean cultures, reproducing an exclusionary narrative of civilisation</w:t>
      </w:r>
      <w:r>
        <w:rPr>
          <w:rFonts w:ascii="Times New Roman" w:hAnsi="Times New Roman" w:cs="Times New Roman"/>
        </w:rPr>
        <w:t>”</w:t>
      </w:r>
      <w:r w:rsidRPr="009F54E6">
        <w:rPr>
          <w:rFonts w:ascii="Times New Roman" w:hAnsi="Times New Roman" w:cs="Times New Roman"/>
        </w:rPr>
        <w:t xml:space="preserve"> (Bond, 2019). Addressing this requires both curricular reform and a conscious effort to engage with global antiquities on equal terms.</w:t>
      </w:r>
    </w:p>
    <w:p w14:paraId="2280176E" w14:textId="083C43C2" w:rsidR="004D6225" w:rsidRPr="009F54E6" w:rsidRDefault="004D6225" w:rsidP="004D6225">
      <w:pPr>
        <w:ind w:firstLine="720"/>
        <w:rPr>
          <w:rFonts w:ascii="Times New Roman" w:hAnsi="Times New Roman" w:cs="Times New Roman"/>
        </w:rPr>
      </w:pPr>
      <w:r w:rsidRPr="009F54E6">
        <w:rPr>
          <w:rFonts w:ascii="Times New Roman" w:hAnsi="Times New Roman" w:cs="Times New Roman"/>
        </w:rPr>
        <w:t xml:space="preserve">Moreover, the public perception of ancient history </w:t>
      </w:r>
      <w:proofErr w:type="gramStart"/>
      <w:r w:rsidRPr="009F54E6">
        <w:rPr>
          <w:rFonts w:ascii="Times New Roman" w:hAnsi="Times New Roman" w:cs="Times New Roman"/>
        </w:rPr>
        <w:t>is often shaped</w:t>
      </w:r>
      <w:proofErr w:type="gramEnd"/>
      <w:r w:rsidRPr="009F54E6">
        <w:rPr>
          <w:rFonts w:ascii="Times New Roman" w:hAnsi="Times New Roman" w:cs="Times New Roman"/>
        </w:rPr>
        <w:t xml:space="preserve"> by popular media</w:t>
      </w:r>
      <w:r>
        <w:rPr>
          <w:rFonts w:ascii="Times New Roman" w:hAnsi="Times New Roman" w:cs="Times New Roman"/>
        </w:rPr>
        <w:t xml:space="preserve">: </w:t>
      </w:r>
      <w:r w:rsidRPr="009F54E6">
        <w:rPr>
          <w:rFonts w:ascii="Times New Roman" w:hAnsi="Times New Roman" w:cs="Times New Roman"/>
        </w:rPr>
        <w:t xml:space="preserve">from films like </w:t>
      </w:r>
      <w:r w:rsidRPr="009F54E6">
        <w:rPr>
          <w:rFonts w:ascii="Times New Roman" w:hAnsi="Times New Roman" w:cs="Times New Roman"/>
          <w:i/>
          <w:iCs/>
        </w:rPr>
        <w:t>Gladiator</w:t>
      </w:r>
      <w:r w:rsidRPr="009F54E6">
        <w:rPr>
          <w:rFonts w:ascii="Times New Roman" w:hAnsi="Times New Roman" w:cs="Times New Roman"/>
        </w:rPr>
        <w:t xml:space="preserve"> to television series such as </w:t>
      </w:r>
      <w:r w:rsidRPr="009F54E6">
        <w:rPr>
          <w:rFonts w:ascii="Times New Roman" w:hAnsi="Times New Roman" w:cs="Times New Roman"/>
          <w:i/>
          <w:iCs/>
        </w:rPr>
        <w:t>Rome</w:t>
      </w:r>
      <w:r w:rsidRPr="009F54E6">
        <w:rPr>
          <w:rFonts w:ascii="Times New Roman" w:hAnsi="Times New Roman" w:cs="Times New Roman"/>
        </w:rPr>
        <w:t xml:space="preserve">. While these representations increase popular interest, they also risk simplifying or distorting historical realities. Public historians and educators therefore play a </w:t>
      </w:r>
      <w:r w:rsidRPr="009F54E6">
        <w:rPr>
          <w:rFonts w:ascii="Times New Roman" w:hAnsi="Times New Roman" w:cs="Times New Roman"/>
        </w:rPr>
        <w:lastRenderedPageBreak/>
        <w:t xml:space="preserve">crucial role in bridging scholarly research and public understanding, demonstrating the continuing relevance of ancient history to modern debates about democracy, </w:t>
      </w:r>
      <w:proofErr w:type="gramStart"/>
      <w:r w:rsidRPr="009F54E6">
        <w:rPr>
          <w:rFonts w:ascii="Times New Roman" w:hAnsi="Times New Roman" w:cs="Times New Roman"/>
        </w:rPr>
        <w:t>empire</w:t>
      </w:r>
      <w:proofErr w:type="gramEnd"/>
      <w:r w:rsidRPr="009F54E6">
        <w:rPr>
          <w:rFonts w:ascii="Times New Roman" w:hAnsi="Times New Roman" w:cs="Times New Roman"/>
        </w:rPr>
        <w:t xml:space="preserve"> and identity.</w:t>
      </w:r>
    </w:p>
    <w:p w14:paraId="54BB9505" w14:textId="0CDE0522" w:rsidR="004D6225" w:rsidRDefault="004D6225" w:rsidP="004D6225">
      <w:pPr>
        <w:ind w:firstLine="720"/>
        <w:rPr>
          <w:rFonts w:ascii="Times New Roman" w:hAnsi="Times New Roman" w:cs="Times New Roman"/>
        </w:rPr>
      </w:pPr>
      <w:r w:rsidRPr="009F54E6">
        <w:rPr>
          <w:rFonts w:ascii="Times New Roman" w:hAnsi="Times New Roman" w:cs="Times New Roman"/>
        </w:rPr>
        <w:t xml:space="preserve">Finally, ancient history’s connection to the humanities underscores its broader cultural value. In an age dominated by technological and vocational priorities, the humanities face pressure to justify their existence. Ancient history provides a compelling defence: it teaches critical thinking, cultural </w:t>
      </w:r>
      <w:proofErr w:type="gramStart"/>
      <w:r w:rsidRPr="009F54E6">
        <w:rPr>
          <w:rFonts w:ascii="Times New Roman" w:hAnsi="Times New Roman" w:cs="Times New Roman"/>
        </w:rPr>
        <w:t>awareness</w:t>
      </w:r>
      <w:proofErr w:type="gramEnd"/>
      <w:r w:rsidRPr="009F54E6">
        <w:rPr>
          <w:rFonts w:ascii="Times New Roman" w:hAnsi="Times New Roman" w:cs="Times New Roman"/>
        </w:rPr>
        <w:t xml:space="preserve"> and the capacity to interpret complex evidence</w:t>
      </w:r>
      <w:r>
        <w:rPr>
          <w:rFonts w:ascii="Times New Roman" w:hAnsi="Times New Roman" w:cs="Times New Roman"/>
        </w:rPr>
        <w:t xml:space="preserve">: </w:t>
      </w:r>
      <w:r w:rsidRPr="009F54E6">
        <w:rPr>
          <w:rFonts w:ascii="Times New Roman" w:hAnsi="Times New Roman" w:cs="Times New Roman"/>
        </w:rPr>
        <w:t>skills that are both intellectually and socially indispensable. As Beard and Henderson (2001) suggest, “the ancient world offers not a mirror but a lens, through which we can view both our differences and our debts.”</w:t>
      </w:r>
    </w:p>
    <w:p w14:paraId="7687A61E" w14:textId="77777777" w:rsidR="004D6225" w:rsidRDefault="004D6225" w:rsidP="004D6225">
      <w:pPr>
        <w:ind w:firstLine="720"/>
        <w:rPr>
          <w:rFonts w:ascii="Times New Roman" w:hAnsi="Times New Roman" w:cs="Times New Roman"/>
        </w:rPr>
      </w:pPr>
    </w:p>
    <w:p w14:paraId="024DD07D" w14:textId="65367543" w:rsidR="004D6225" w:rsidRPr="009F54E6" w:rsidRDefault="004D6225" w:rsidP="004D6225">
      <w:pPr>
        <w:ind w:firstLine="720"/>
        <w:rPr>
          <w:rFonts w:ascii="Times New Roman" w:hAnsi="Times New Roman" w:cs="Times New Roman"/>
        </w:rPr>
      </w:pPr>
      <w:r w:rsidRPr="009F54E6">
        <w:rPr>
          <w:rFonts w:ascii="Times New Roman" w:hAnsi="Times New Roman" w:cs="Times New Roman"/>
        </w:rPr>
        <w:t xml:space="preserve">Ancient history is a dynamic and essential branch of the humanities. Defined by its engagement with fragmentary evidence and its interdisciplinary methods, it seeks to reconstruct and interpret the earliest forms of human society. The discipline has evolved from its classical and political origins into a multifaceted field that embraces social, cultural, and global perspectives. Its direction today </w:t>
      </w:r>
      <w:proofErr w:type="gramStart"/>
      <w:r w:rsidRPr="009F54E6">
        <w:rPr>
          <w:rFonts w:ascii="Times New Roman" w:hAnsi="Times New Roman" w:cs="Times New Roman"/>
        </w:rPr>
        <w:t>is marked</w:t>
      </w:r>
      <w:proofErr w:type="gramEnd"/>
      <w:r w:rsidRPr="009F54E6">
        <w:rPr>
          <w:rFonts w:ascii="Times New Roman" w:hAnsi="Times New Roman" w:cs="Times New Roman"/>
        </w:rPr>
        <w:t xml:space="preserve"> by inclusivity, digital innovation, and theoretical reflection, ensuring its continued relevance to contemporary scholarship. Within the wider humanities, ancient history serves both as a foundation and a partner, informing disciplines from archaeology to philosophy while drawing on their insights in return. </w:t>
      </w:r>
      <w:proofErr w:type="gramStart"/>
      <w:r w:rsidRPr="009F54E6">
        <w:rPr>
          <w:rFonts w:ascii="Times New Roman" w:hAnsi="Times New Roman" w:cs="Times New Roman"/>
        </w:rPr>
        <w:t>Ultimately, the</w:t>
      </w:r>
      <w:proofErr w:type="gramEnd"/>
      <w:r w:rsidRPr="009F54E6">
        <w:rPr>
          <w:rFonts w:ascii="Times New Roman" w:hAnsi="Times New Roman" w:cs="Times New Roman"/>
        </w:rPr>
        <w:t xml:space="preserve"> study of ancient history reminds us that the questions first posed in antiquity</w:t>
      </w:r>
      <w:r w:rsidRPr="004D6225">
        <w:rPr>
          <w:rFonts w:ascii="Times New Roman" w:hAnsi="Times New Roman" w:cs="Times New Roman"/>
        </w:rPr>
        <w:t xml:space="preserve">: </w:t>
      </w:r>
      <w:r w:rsidRPr="009F54E6">
        <w:rPr>
          <w:rFonts w:ascii="Times New Roman" w:hAnsi="Times New Roman" w:cs="Times New Roman"/>
        </w:rPr>
        <w:t>about power, justice, identity and belonging</w:t>
      </w:r>
      <w:r w:rsidRPr="004D6225">
        <w:rPr>
          <w:rFonts w:ascii="Times New Roman" w:hAnsi="Times New Roman" w:cs="Times New Roman"/>
        </w:rPr>
        <w:t xml:space="preserve">, </w:t>
      </w:r>
      <w:r w:rsidRPr="009F54E6">
        <w:rPr>
          <w:rFonts w:ascii="Times New Roman" w:hAnsi="Times New Roman" w:cs="Times New Roman"/>
        </w:rPr>
        <w:t>remain central to what it means to be human.</w:t>
      </w:r>
    </w:p>
    <w:p w14:paraId="170DAA60" w14:textId="77777777" w:rsidR="004D6225" w:rsidRPr="009F54E6" w:rsidRDefault="004D6225" w:rsidP="004D6225">
      <w:pPr>
        <w:ind w:firstLine="720"/>
        <w:rPr>
          <w:rFonts w:ascii="Times New Roman" w:hAnsi="Times New Roman" w:cs="Times New Roman"/>
        </w:rPr>
      </w:pPr>
    </w:p>
    <w:p w14:paraId="181D43B7" w14:textId="77777777" w:rsidR="007D3D6F" w:rsidRPr="009F54E6" w:rsidRDefault="007D3D6F" w:rsidP="007D3D6F">
      <w:pPr>
        <w:ind w:firstLine="720"/>
        <w:rPr>
          <w:rFonts w:ascii="Times New Roman" w:hAnsi="Times New Roman" w:cs="Times New Roman"/>
        </w:rPr>
      </w:pPr>
    </w:p>
    <w:p w14:paraId="400BD038" w14:textId="77777777" w:rsidR="007D3D6F" w:rsidRDefault="007D3D6F" w:rsidP="00E231AC">
      <w:pPr>
        <w:ind w:firstLine="720"/>
        <w:rPr>
          <w:rFonts w:ascii="Times New Roman" w:hAnsi="Times New Roman" w:cs="Times New Roman"/>
        </w:rPr>
      </w:pPr>
    </w:p>
    <w:p w14:paraId="5C7690DF" w14:textId="77777777" w:rsidR="004D6225" w:rsidRDefault="004D6225" w:rsidP="00E231AC">
      <w:pPr>
        <w:ind w:firstLine="720"/>
        <w:rPr>
          <w:rFonts w:ascii="Times New Roman" w:hAnsi="Times New Roman" w:cs="Times New Roman"/>
        </w:rPr>
      </w:pPr>
    </w:p>
    <w:p w14:paraId="6BF3CFEC" w14:textId="77777777" w:rsidR="004D6225" w:rsidRDefault="004D6225" w:rsidP="00E231AC">
      <w:pPr>
        <w:ind w:firstLine="720"/>
        <w:rPr>
          <w:rFonts w:ascii="Times New Roman" w:hAnsi="Times New Roman" w:cs="Times New Roman"/>
        </w:rPr>
      </w:pPr>
    </w:p>
    <w:p w14:paraId="5C557E6B" w14:textId="77777777" w:rsidR="004D6225" w:rsidRDefault="004D6225" w:rsidP="00E231AC">
      <w:pPr>
        <w:ind w:firstLine="720"/>
        <w:rPr>
          <w:rFonts w:ascii="Times New Roman" w:hAnsi="Times New Roman" w:cs="Times New Roman"/>
        </w:rPr>
      </w:pPr>
    </w:p>
    <w:p w14:paraId="60D61791" w14:textId="77777777" w:rsidR="004D6225" w:rsidRDefault="004D6225" w:rsidP="00E231AC">
      <w:pPr>
        <w:ind w:firstLine="720"/>
        <w:rPr>
          <w:rFonts w:ascii="Times New Roman" w:hAnsi="Times New Roman" w:cs="Times New Roman"/>
        </w:rPr>
      </w:pPr>
    </w:p>
    <w:p w14:paraId="5C112637" w14:textId="77777777" w:rsidR="004D6225" w:rsidRDefault="004D6225" w:rsidP="00E231AC">
      <w:pPr>
        <w:ind w:firstLine="720"/>
        <w:rPr>
          <w:rFonts w:ascii="Times New Roman" w:hAnsi="Times New Roman" w:cs="Times New Roman"/>
        </w:rPr>
      </w:pPr>
    </w:p>
    <w:p w14:paraId="60401566" w14:textId="77777777" w:rsidR="004D6225" w:rsidRDefault="004D6225" w:rsidP="00E231AC">
      <w:pPr>
        <w:ind w:firstLine="720"/>
        <w:rPr>
          <w:rFonts w:ascii="Times New Roman" w:hAnsi="Times New Roman" w:cs="Times New Roman"/>
        </w:rPr>
      </w:pPr>
    </w:p>
    <w:p w14:paraId="3064416C" w14:textId="77777777" w:rsidR="004D6225" w:rsidRDefault="004D6225" w:rsidP="00E231AC">
      <w:pPr>
        <w:ind w:firstLine="720"/>
        <w:rPr>
          <w:rFonts w:ascii="Times New Roman" w:hAnsi="Times New Roman" w:cs="Times New Roman"/>
        </w:rPr>
      </w:pPr>
    </w:p>
    <w:p w14:paraId="43D72D65" w14:textId="77777777" w:rsidR="004D6225" w:rsidRDefault="004D6225" w:rsidP="00E231AC">
      <w:pPr>
        <w:ind w:firstLine="720"/>
        <w:rPr>
          <w:rFonts w:ascii="Times New Roman" w:hAnsi="Times New Roman" w:cs="Times New Roman"/>
        </w:rPr>
      </w:pPr>
    </w:p>
    <w:p w14:paraId="507FE153" w14:textId="77777777" w:rsidR="004D6225" w:rsidRDefault="004D6225" w:rsidP="00E231AC">
      <w:pPr>
        <w:ind w:firstLine="720"/>
        <w:rPr>
          <w:rFonts w:ascii="Times New Roman" w:hAnsi="Times New Roman" w:cs="Times New Roman"/>
        </w:rPr>
      </w:pPr>
    </w:p>
    <w:p w14:paraId="331B94A9" w14:textId="77777777" w:rsidR="004D6225" w:rsidRDefault="004D6225" w:rsidP="00E231AC">
      <w:pPr>
        <w:ind w:firstLine="720"/>
        <w:rPr>
          <w:rFonts w:ascii="Times New Roman" w:hAnsi="Times New Roman" w:cs="Times New Roman"/>
        </w:rPr>
      </w:pPr>
    </w:p>
    <w:p w14:paraId="07A7E959" w14:textId="77777777" w:rsidR="004D6225" w:rsidRDefault="004D6225" w:rsidP="00E231AC">
      <w:pPr>
        <w:ind w:firstLine="720"/>
        <w:rPr>
          <w:rFonts w:ascii="Times New Roman" w:hAnsi="Times New Roman" w:cs="Times New Roman"/>
        </w:rPr>
      </w:pPr>
    </w:p>
    <w:p w14:paraId="23561B6A" w14:textId="77777777" w:rsidR="004D6225" w:rsidRDefault="004D6225" w:rsidP="00E231AC">
      <w:pPr>
        <w:ind w:firstLine="720"/>
        <w:rPr>
          <w:rFonts w:ascii="Times New Roman" w:hAnsi="Times New Roman" w:cs="Times New Roman"/>
        </w:rPr>
      </w:pPr>
    </w:p>
    <w:p w14:paraId="2B08A905" w14:textId="77777777" w:rsidR="004D6225" w:rsidRDefault="004D6225" w:rsidP="00E231AC">
      <w:pPr>
        <w:ind w:firstLine="720"/>
        <w:rPr>
          <w:rFonts w:ascii="Times New Roman" w:hAnsi="Times New Roman" w:cs="Times New Roman"/>
        </w:rPr>
      </w:pPr>
    </w:p>
    <w:p w14:paraId="3E0F9601" w14:textId="77777777" w:rsidR="004D6225" w:rsidRDefault="004D6225" w:rsidP="00E231AC">
      <w:pPr>
        <w:ind w:firstLine="720"/>
        <w:rPr>
          <w:rFonts w:ascii="Times New Roman" w:hAnsi="Times New Roman" w:cs="Times New Roman"/>
        </w:rPr>
      </w:pPr>
    </w:p>
    <w:p w14:paraId="665DF4CC" w14:textId="1A4823A8" w:rsidR="004D6225" w:rsidRPr="004D6225" w:rsidRDefault="004D6225" w:rsidP="004D6225">
      <w:pPr>
        <w:rPr>
          <w:rFonts w:ascii="Times New Roman" w:hAnsi="Times New Roman" w:cs="Times New Roman"/>
          <w:b/>
          <w:bCs/>
          <w:sz w:val="24"/>
          <w:szCs w:val="24"/>
        </w:rPr>
      </w:pPr>
      <w:r w:rsidRPr="004D6225">
        <w:rPr>
          <w:rFonts w:ascii="Times New Roman" w:hAnsi="Times New Roman" w:cs="Times New Roman"/>
          <w:b/>
          <w:bCs/>
          <w:sz w:val="24"/>
          <w:szCs w:val="24"/>
        </w:rPr>
        <w:lastRenderedPageBreak/>
        <w:t>Bibliography</w:t>
      </w:r>
    </w:p>
    <w:p w14:paraId="04BF6BEF" w14:textId="4B646AB1" w:rsidR="004D6225" w:rsidRPr="007D3D6F" w:rsidRDefault="004D6225" w:rsidP="004D6225">
      <w:pPr>
        <w:rPr>
          <w:rFonts w:ascii="Times New Roman" w:hAnsi="Times New Roman" w:cs="Times New Roman"/>
        </w:rPr>
      </w:pPr>
      <w:r w:rsidRPr="004D6225">
        <w:rPr>
          <w:rFonts w:ascii="Times New Roman" w:hAnsi="Times New Roman" w:cs="Times New Roman"/>
        </w:rPr>
        <w:t xml:space="preserve">Beard, M. (2015) </w:t>
      </w:r>
      <w:r w:rsidRPr="004D6225">
        <w:rPr>
          <w:rFonts w:ascii="Times New Roman" w:hAnsi="Times New Roman" w:cs="Times New Roman"/>
          <w:i/>
          <w:iCs/>
        </w:rPr>
        <w:t>SPQR: A History of Ancient Rome.</w:t>
      </w:r>
      <w:r w:rsidRPr="004D6225">
        <w:rPr>
          <w:rFonts w:ascii="Times New Roman" w:hAnsi="Times New Roman" w:cs="Times New Roman"/>
        </w:rPr>
        <w:t xml:space="preserve"> London: Profile Books.</w:t>
      </w:r>
      <w:r w:rsidRPr="004D6225">
        <w:rPr>
          <w:rFonts w:ascii="Times New Roman" w:hAnsi="Times New Roman" w:cs="Times New Roman"/>
        </w:rPr>
        <w:br/>
        <w:t xml:space="preserve">Beard, </w:t>
      </w:r>
      <w:proofErr w:type="gramStart"/>
      <w:r w:rsidRPr="004D6225">
        <w:rPr>
          <w:rFonts w:ascii="Times New Roman" w:hAnsi="Times New Roman" w:cs="Times New Roman"/>
        </w:rPr>
        <w:t>M.</w:t>
      </w:r>
      <w:proofErr w:type="gramEnd"/>
      <w:r w:rsidRPr="004D6225">
        <w:rPr>
          <w:rFonts w:ascii="Times New Roman" w:hAnsi="Times New Roman" w:cs="Times New Roman"/>
        </w:rPr>
        <w:t xml:space="preserve"> and Crawford, M. (1985) </w:t>
      </w:r>
      <w:r w:rsidRPr="004D6225">
        <w:rPr>
          <w:rFonts w:ascii="Times New Roman" w:hAnsi="Times New Roman" w:cs="Times New Roman"/>
          <w:i/>
          <w:iCs/>
        </w:rPr>
        <w:t>Rome in the Late Republic.</w:t>
      </w:r>
      <w:r w:rsidRPr="004D6225">
        <w:rPr>
          <w:rFonts w:ascii="Times New Roman" w:hAnsi="Times New Roman" w:cs="Times New Roman"/>
        </w:rPr>
        <w:t xml:space="preserve"> London: Duckworth.</w:t>
      </w:r>
      <w:r w:rsidRPr="004D6225">
        <w:rPr>
          <w:rFonts w:ascii="Times New Roman" w:hAnsi="Times New Roman" w:cs="Times New Roman"/>
        </w:rPr>
        <w:br/>
        <w:t xml:space="preserve">Beard, </w:t>
      </w:r>
      <w:proofErr w:type="gramStart"/>
      <w:r w:rsidRPr="004D6225">
        <w:rPr>
          <w:rFonts w:ascii="Times New Roman" w:hAnsi="Times New Roman" w:cs="Times New Roman"/>
        </w:rPr>
        <w:t>M.</w:t>
      </w:r>
      <w:proofErr w:type="gramEnd"/>
      <w:r w:rsidRPr="004D6225">
        <w:rPr>
          <w:rFonts w:ascii="Times New Roman" w:hAnsi="Times New Roman" w:cs="Times New Roman"/>
        </w:rPr>
        <w:t xml:space="preserve"> and Henderson, J. (2001) </w:t>
      </w:r>
      <w:r w:rsidRPr="004D6225">
        <w:rPr>
          <w:rFonts w:ascii="Times New Roman" w:hAnsi="Times New Roman" w:cs="Times New Roman"/>
          <w:i/>
          <w:iCs/>
        </w:rPr>
        <w:t>Classics: A Very Short Introduction.</w:t>
      </w:r>
      <w:r w:rsidRPr="004D6225">
        <w:rPr>
          <w:rFonts w:ascii="Times New Roman" w:hAnsi="Times New Roman" w:cs="Times New Roman"/>
        </w:rPr>
        <w:t xml:space="preserve"> Oxford: Oxford University Press.</w:t>
      </w:r>
      <w:r w:rsidRPr="004D6225">
        <w:rPr>
          <w:rFonts w:ascii="Times New Roman" w:hAnsi="Times New Roman" w:cs="Times New Roman"/>
        </w:rPr>
        <w:br/>
        <w:t xml:space="preserve">Bond, S.E. (2019) ‘Why We Need to Start Decolonising Classical Studies’, </w:t>
      </w:r>
      <w:r w:rsidRPr="004D6225">
        <w:rPr>
          <w:rFonts w:ascii="Times New Roman" w:hAnsi="Times New Roman" w:cs="Times New Roman"/>
          <w:i/>
          <w:iCs/>
        </w:rPr>
        <w:t>Eidolon.</w:t>
      </w:r>
      <w:r w:rsidRPr="004D6225">
        <w:rPr>
          <w:rFonts w:ascii="Times New Roman" w:hAnsi="Times New Roman" w:cs="Times New Roman"/>
        </w:rPr>
        <w:t xml:space="preserve"> Available at: </w:t>
      </w:r>
      <w:hyperlink r:id="rId4" w:tgtFrame="_new" w:history="1">
        <w:r w:rsidRPr="004D6225">
          <w:rPr>
            <w:rStyle w:val="Hyperlink"/>
            <w:rFonts w:ascii="Times New Roman" w:hAnsi="Times New Roman" w:cs="Times New Roman"/>
          </w:rPr>
          <w:t>https://eidolon.pub</w:t>
        </w:r>
      </w:hyperlink>
      <w:r w:rsidRPr="004D6225">
        <w:rPr>
          <w:rFonts w:ascii="Times New Roman" w:hAnsi="Times New Roman" w:cs="Times New Roman"/>
        </w:rPr>
        <w:t xml:space="preserve"> (Accessed: 1 November 2025).</w:t>
      </w:r>
      <w:r w:rsidRPr="004D6225">
        <w:rPr>
          <w:rFonts w:ascii="Times New Roman" w:hAnsi="Times New Roman" w:cs="Times New Roman"/>
        </w:rPr>
        <w:br/>
        <w:t xml:space="preserve">Bradley, K. (1994) </w:t>
      </w:r>
      <w:r w:rsidRPr="004D6225">
        <w:rPr>
          <w:rFonts w:ascii="Times New Roman" w:hAnsi="Times New Roman" w:cs="Times New Roman"/>
          <w:i/>
          <w:iCs/>
        </w:rPr>
        <w:t>Slavery and Society at Rome.</w:t>
      </w:r>
      <w:r w:rsidRPr="004D6225">
        <w:rPr>
          <w:rFonts w:ascii="Times New Roman" w:hAnsi="Times New Roman" w:cs="Times New Roman"/>
        </w:rPr>
        <w:t xml:space="preserve"> Cambridge: Cambridge University Press.</w:t>
      </w:r>
      <w:r w:rsidRPr="004D6225">
        <w:rPr>
          <w:rFonts w:ascii="Times New Roman" w:hAnsi="Times New Roman" w:cs="Times New Roman"/>
        </w:rPr>
        <w:br/>
        <w:t xml:space="preserve">Burke, P. (1990) </w:t>
      </w:r>
      <w:r w:rsidRPr="004D6225">
        <w:rPr>
          <w:rFonts w:ascii="Times New Roman" w:hAnsi="Times New Roman" w:cs="Times New Roman"/>
          <w:i/>
          <w:iCs/>
        </w:rPr>
        <w:t>The French Historical Revolution: The Annales School, 1929–1989.</w:t>
      </w:r>
      <w:r w:rsidRPr="004D6225">
        <w:rPr>
          <w:rFonts w:ascii="Times New Roman" w:hAnsi="Times New Roman" w:cs="Times New Roman"/>
        </w:rPr>
        <w:t xml:space="preserve"> Cambridge: Polity Press.</w:t>
      </w:r>
      <w:r w:rsidRPr="004D6225">
        <w:rPr>
          <w:rFonts w:ascii="Times New Roman" w:hAnsi="Times New Roman" w:cs="Times New Roman"/>
        </w:rPr>
        <w:br/>
        <w:t xml:space="preserve">Cartledge, P. (1993) </w:t>
      </w:r>
      <w:r w:rsidRPr="004D6225">
        <w:rPr>
          <w:rFonts w:ascii="Times New Roman" w:hAnsi="Times New Roman" w:cs="Times New Roman"/>
          <w:i/>
          <w:iCs/>
        </w:rPr>
        <w:t>The Greeks: A Portrait of Self and Others.</w:t>
      </w:r>
      <w:r w:rsidRPr="004D6225">
        <w:rPr>
          <w:rFonts w:ascii="Times New Roman" w:hAnsi="Times New Roman" w:cs="Times New Roman"/>
        </w:rPr>
        <w:t xml:space="preserve"> Oxford: Oxford University Press.</w:t>
      </w:r>
      <w:r w:rsidRPr="004D6225">
        <w:rPr>
          <w:rFonts w:ascii="Times New Roman" w:hAnsi="Times New Roman" w:cs="Times New Roman"/>
        </w:rPr>
        <w:br/>
        <w:t xml:space="preserve">Finley, M.I. (1975) </w:t>
      </w:r>
      <w:r w:rsidRPr="004D6225">
        <w:rPr>
          <w:rFonts w:ascii="Times New Roman" w:hAnsi="Times New Roman" w:cs="Times New Roman"/>
          <w:i/>
          <w:iCs/>
        </w:rPr>
        <w:t>The Use and Abuse of History.</w:t>
      </w:r>
      <w:r w:rsidRPr="004D6225">
        <w:rPr>
          <w:rFonts w:ascii="Times New Roman" w:hAnsi="Times New Roman" w:cs="Times New Roman"/>
        </w:rPr>
        <w:t xml:space="preserve"> London: Chatto &amp; Windus.</w:t>
      </w:r>
      <w:r w:rsidRPr="004D6225">
        <w:rPr>
          <w:rFonts w:ascii="Times New Roman" w:hAnsi="Times New Roman" w:cs="Times New Roman"/>
        </w:rPr>
        <w:br/>
        <w:t xml:space="preserve">Finley, M.I. (1985) </w:t>
      </w:r>
      <w:r w:rsidRPr="004D6225">
        <w:rPr>
          <w:rFonts w:ascii="Times New Roman" w:hAnsi="Times New Roman" w:cs="Times New Roman"/>
          <w:i/>
          <w:iCs/>
        </w:rPr>
        <w:t>Ancient History: Evidence and Models.</w:t>
      </w:r>
      <w:r w:rsidRPr="004D6225">
        <w:rPr>
          <w:rFonts w:ascii="Times New Roman" w:hAnsi="Times New Roman" w:cs="Times New Roman"/>
        </w:rPr>
        <w:t xml:space="preserve"> London: Chatto &amp; Windus.</w:t>
      </w:r>
      <w:r w:rsidRPr="004D6225">
        <w:rPr>
          <w:rFonts w:ascii="Times New Roman" w:hAnsi="Times New Roman" w:cs="Times New Roman"/>
        </w:rPr>
        <w:br/>
        <w:t xml:space="preserve">Fisher, N. (1993) </w:t>
      </w:r>
      <w:r w:rsidRPr="004D6225">
        <w:rPr>
          <w:rFonts w:ascii="Times New Roman" w:hAnsi="Times New Roman" w:cs="Times New Roman"/>
          <w:i/>
          <w:iCs/>
        </w:rPr>
        <w:t>Slavery in Classical Greece.</w:t>
      </w:r>
      <w:r w:rsidRPr="004D6225">
        <w:rPr>
          <w:rFonts w:ascii="Times New Roman" w:hAnsi="Times New Roman" w:cs="Times New Roman"/>
        </w:rPr>
        <w:t xml:space="preserve"> London: Bristol Classical Press.</w:t>
      </w:r>
      <w:r w:rsidRPr="004D6225">
        <w:rPr>
          <w:rFonts w:ascii="Times New Roman" w:hAnsi="Times New Roman" w:cs="Times New Roman"/>
        </w:rPr>
        <w:br/>
        <w:t xml:space="preserve">Fowler, R. (1996) ‘Herodotus and his Contemporaries’, </w:t>
      </w:r>
      <w:r w:rsidRPr="004D6225">
        <w:rPr>
          <w:rFonts w:ascii="Times New Roman" w:hAnsi="Times New Roman" w:cs="Times New Roman"/>
          <w:i/>
          <w:iCs/>
        </w:rPr>
        <w:t>Journal of Hellenic Studies</w:t>
      </w:r>
      <w:r w:rsidRPr="004D6225">
        <w:rPr>
          <w:rFonts w:ascii="Times New Roman" w:hAnsi="Times New Roman" w:cs="Times New Roman"/>
        </w:rPr>
        <w:t>, 116, pp. 62–87.</w:t>
      </w:r>
      <w:r w:rsidRPr="004D6225">
        <w:rPr>
          <w:rFonts w:ascii="Times New Roman" w:hAnsi="Times New Roman" w:cs="Times New Roman"/>
        </w:rPr>
        <w:br/>
        <w:t xml:space="preserve">Geertz, C. (1973) </w:t>
      </w:r>
      <w:r w:rsidRPr="004D6225">
        <w:rPr>
          <w:rFonts w:ascii="Times New Roman" w:hAnsi="Times New Roman" w:cs="Times New Roman"/>
          <w:i/>
          <w:iCs/>
        </w:rPr>
        <w:t>The Interpretation of Cultures.</w:t>
      </w:r>
      <w:r w:rsidRPr="004D6225">
        <w:rPr>
          <w:rFonts w:ascii="Times New Roman" w:hAnsi="Times New Roman" w:cs="Times New Roman"/>
        </w:rPr>
        <w:t xml:space="preserve"> New York: Basic Books.</w:t>
      </w:r>
      <w:r w:rsidRPr="004D6225">
        <w:rPr>
          <w:rFonts w:ascii="Times New Roman" w:hAnsi="Times New Roman" w:cs="Times New Roman"/>
        </w:rPr>
        <w:br/>
        <w:t xml:space="preserve">Hall, J.M. (1997) </w:t>
      </w:r>
      <w:r w:rsidRPr="004D6225">
        <w:rPr>
          <w:rFonts w:ascii="Times New Roman" w:hAnsi="Times New Roman" w:cs="Times New Roman"/>
          <w:i/>
          <w:iCs/>
        </w:rPr>
        <w:t>Ethnic Identity in Greek Antiquity.</w:t>
      </w:r>
      <w:r w:rsidRPr="004D6225">
        <w:rPr>
          <w:rFonts w:ascii="Times New Roman" w:hAnsi="Times New Roman" w:cs="Times New Roman"/>
        </w:rPr>
        <w:t xml:space="preserve"> Cambridge: Cambridge University Press.</w:t>
      </w:r>
      <w:r w:rsidRPr="004D6225">
        <w:rPr>
          <w:rFonts w:ascii="Times New Roman" w:hAnsi="Times New Roman" w:cs="Times New Roman"/>
        </w:rPr>
        <w:br/>
        <w:t xml:space="preserve">Hardwick, L. (2003) </w:t>
      </w:r>
      <w:r w:rsidRPr="004D6225">
        <w:rPr>
          <w:rFonts w:ascii="Times New Roman" w:hAnsi="Times New Roman" w:cs="Times New Roman"/>
          <w:i/>
          <w:iCs/>
        </w:rPr>
        <w:t>Reception Studies.</w:t>
      </w:r>
      <w:r w:rsidRPr="004D6225">
        <w:rPr>
          <w:rFonts w:ascii="Times New Roman" w:hAnsi="Times New Roman" w:cs="Times New Roman"/>
        </w:rPr>
        <w:t xml:space="preserve"> Oxford: Oxford University Press.</w:t>
      </w:r>
      <w:r w:rsidRPr="004D6225">
        <w:rPr>
          <w:rFonts w:ascii="Times New Roman" w:hAnsi="Times New Roman" w:cs="Times New Roman"/>
        </w:rPr>
        <w:br/>
        <w:t xml:space="preserve">McCormick, M. (2012) ‘History’s Changing Climate: Climate Science, Genomics, and the Emerging Consilient History’, </w:t>
      </w:r>
      <w:r w:rsidRPr="004D6225">
        <w:rPr>
          <w:rFonts w:ascii="Times New Roman" w:hAnsi="Times New Roman" w:cs="Times New Roman"/>
          <w:i/>
          <w:iCs/>
        </w:rPr>
        <w:t>Journal of Interdisciplinary History</w:t>
      </w:r>
      <w:r w:rsidRPr="004D6225">
        <w:rPr>
          <w:rFonts w:ascii="Times New Roman" w:hAnsi="Times New Roman" w:cs="Times New Roman"/>
        </w:rPr>
        <w:t>, 42(2), pp. 251–273.</w:t>
      </w:r>
      <w:r w:rsidRPr="004D6225">
        <w:rPr>
          <w:rFonts w:ascii="Times New Roman" w:hAnsi="Times New Roman" w:cs="Times New Roman"/>
        </w:rPr>
        <w:br/>
        <w:t xml:space="preserve">Momigliano, A. (1980) </w:t>
      </w:r>
      <w:r w:rsidRPr="004D6225">
        <w:rPr>
          <w:rFonts w:ascii="Times New Roman" w:hAnsi="Times New Roman" w:cs="Times New Roman"/>
          <w:i/>
          <w:iCs/>
        </w:rPr>
        <w:t>The Classical Foundations of Modern Historiography.</w:t>
      </w:r>
      <w:r w:rsidRPr="004D6225">
        <w:rPr>
          <w:rFonts w:ascii="Times New Roman" w:hAnsi="Times New Roman" w:cs="Times New Roman"/>
        </w:rPr>
        <w:t xml:space="preserve"> Berkeley: University of California Press.</w:t>
      </w:r>
      <w:r w:rsidRPr="004D6225">
        <w:rPr>
          <w:rFonts w:ascii="Times New Roman" w:hAnsi="Times New Roman" w:cs="Times New Roman"/>
        </w:rPr>
        <w:br/>
        <w:t xml:space="preserve">Morris, I. (2004) ‘Archaeology as Cultural History’, in Cunliffe, B. et al. (eds.) </w:t>
      </w:r>
      <w:r w:rsidRPr="004D6225">
        <w:rPr>
          <w:rFonts w:ascii="Times New Roman" w:hAnsi="Times New Roman" w:cs="Times New Roman"/>
          <w:i/>
          <w:iCs/>
        </w:rPr>
        <w:t>The Oxford Illustrated Prehistory of Europe.</w:t>
      </w:r>
      <w:r w:rsidRPr="004D6225">
        <w:rPr>
          <w:rFonts w:ascii="Times New Roman" w:hAnsi="Times New Roman" w:cs="Times New Roman"/>
        </w:rPr>
        <w:t xml:space="preserve"> Oxford: Oxford University Press, pp. 7–40.</w:t>
      </w:r>
      <w:r w:rsidRPr="004D6225">
        <w:rPr>
          <w:rFonts w:ascii="Times New Roman" w:hAnsi="Times New Roman" w:cs="Times New Roman"/>
        </w:rPr>
        <w:br/>
        <w:t xml:space="preserve">Nussbaum, M. (1986) </w:t>
      </w:r>
      <w:r w:rsidRPr="004D6225">
        <w:rPr>
          <w:rFonts w:ascii="Times New Roman" w:hAnsi="Times New Roman" w:cs="Times New Roman"/>
          <w:i/>
          <w:iCs/>
        </w:rPr>
        <w:t>The Fragility of Goodness: Luck and Ethics in Greek Tragedy and Philosophy.</w:t>
      </w:r>
      <w:r w:rsidRPr="004D6225">
        <w:rPr>
          <w:rFonts w:ascii="Times New Roman" w:hAnsi="Times New Roman" w:cs="Times New Roman"/>
        </w:rPr>
        <w:t xml:space="preserve"> Cambridge: Cambridge University Press.</w:t>
      </w:r>
      <w:r w:rsidRPr="004D6225">
        <w:rPr>
          <w:rFonts w:ascii="Times New Roman" w:hAnsi="Times New Roman" w:cs="Times New Roman"/>
        </w:rPr>
        <w:br/>
        <w:t xml:space="preserve">Osborne, R. (1996) </w:t>
      </w:r>
      <w:r w:rsidRPr="004D6225">
        <w:rPr>
          <w:rFonts w:ascii="Times New Roman" w:hAnsi="Times New Roman" w:cs="Times New Roman"/>
          <w:i/>
          <w:iCs/>
        </w:rPr>
        <w:t>Greece in the Making: 1200–479 BC.</w:t>
      </w:r>
      <w:r w:rsidRPr="004D6225">
        <w:rPr>
          <w:rFonts w:ascii="Times New Roman" w:hAnsi="Times New Roman" w:cs="Times New Roman"/>
        </w:rPr>
        <w:t xml:space="preserve"> London: Routledge.</w:t>
      </w:r>
      <w:r w:rsidRPr="004D6225">
        <w:rPr>
          <w:rFonts w:ascii="Times New Roman" w:hAnsi="Times New Roman" w:cs="Times New Roman"/>
        </w:rPr>
        <w:br/>
        <w:t xml:space="preserve">Pitts, </w:t>
      </w:r>
      <w:proofErr w:type="gramStart"/>
      <w:r w:rsidRPr="004D6225">
        <w:rPr>
          <w:rFonts w:ascii="Times New Roman" w:hAnsi="Times New Roman" w:cs="Times New Roman"/>
        </w:rPr>
        <w:t>M.</w:t>
      </w:r>
      <w:proofErr w:type="gramEnd"/>
      <w:r w:rsidRPr="004D6225">
        <w:rPr>
          <w:rFonts w:ascii="Times New Roman" w:hAnsi="Times New Roman" w:cs="Times New Roman"/>
        </w:rPr>
        <w:t xml:space="preserve"> and Versluys, M.J. (2015) </w:t>
      </w:r>
      <w:r w:rsidRPr="004D6225">
        <w:rPr>
          <w:rFonts w:ascii="Times New Roman" w:hAnsi="Times New Roman" w:cs="Times New Roman"/>
          <w:i/>
          <w:iCs/>
        </w:rPr>
        <w:t>Globalisation and the Roman World: World History, Connectivity and Material Culture.</w:t>
      </w:r>
      <w:r w:rsidRPr="004D6225">
        <w:rPr>
          <w:rFonts w:ascii="Times New Roman" w:hAnsi="Times New Roman" w:cs="Times New Roman"/>
        </w:rPr>
        <w:t xml:space="preserve"> Cambridge: Cambridge University Press.</w:t>
      </w:r>
      <w:r w:rsidRPr="004D6225">
        <w:rPr>
          <w:rFonts w:ascii="Times New Roman" w:hAnsi="Times New Roman" w:cs="Times New Roman"/>
        </w:rPr>
        <w:br/>
        <w:t xml:space="preserve">Pomeroy, S. (1975) </w:t>
      </w:r>
      <w:r w:rsidRPr="004D6225">
        <w:rPr>
          <w:rFonts w:ascii="Times New Roman" w:hAnsi="Times New Roman" w:cs="Times New Roman"/>
          <w:i/>
          <w:iCs/>
        </w:rPr>
        <w:t xml:space="preserve">Goddesses, </w:t>
      </w:r>
      <w:proofErr w:type="gramStart"/>
      <w:r w:rsidRPr="004D6225">
        <w:rPr>
          <w:rFonts w:ascii="Times New Roman" w:hAnsi="Times New Roman" w:cs="Times New Roman"/>
          <w:i/>
          <w:iCs/>
        </w:rPr>
        <w:t>Whores</w:t>
      </w:r>
      <w:proofErr w:type="gramEnd"/>
      <w:r w:rsidRPr="004D6225">
        <w:rPr>
          <w:rFonts w:ascii="Times New Roman" w:hAnsi="Times New Roman" w:cs="Times New Roman"/>
          <w:i/>
          <w:iCs/>
        </w:rPr>
        <w:t>, Wives, and Slaves: Women in Classical Antiquity.</w:t>
      </w:r>
      <w:r w:rsidRPr="004D6225">
        <w:rPr>
          <w:rFonts w:ascii="Times New Roman" w:hAnsi="Times New Roman" w:cs="Times New Roman"/>
        </w:rPr>
        <w:t xml:space="preserve"> New York: Schocken Books.</w:t>
      </w:r>
      <w:r w:rsidRPr="004D6225">
        <w:rPr>
          <w:rFonts w:ascii="Times New Roman" w:hAnsi="Times New Roman" w:cs="Times New Roman"/>
        </w:rPr>
        <w:br/>
        <w:t xml:space="preserve">Renfrew, </w:t>
      </w:r>
      <w:proofErr w:type="gramStart"/>
      <w:r w:rsidRPr="004D6225">
        <w:rPr>
          <w:rFonts w:ascii="Times New Roman" w:hAnsi="Times New Roman" w:cs="Times New Roman"/>
        </w:rPr>
        <w:t>C.</w:t>
      </w:r>
      <w:proofErr w:type="gramEnd"/>
      <w:r w:rsidRPr="004D6225">
        <w:rPr>
          <w:rFonts w:ascii="Times New Roman" w:hAnsi="Times New Roman" w:cs="Times New Roman"/>
        </w:rPr>
        <w:t xml:space="preserve"> and Bahn, P. (2016) </w:t>
      </w:r>
      <w:r w:rsidRPr="004D6225">
        <w:rPr>
          <w:rFonts w:ascii="Times New Roman" w:hAnsi="Times New Roman" w:cs="Times New Roman"/>
          <w:i/>
          <w:iCs/>
        </w:rPr>
        <w:t xml:space="preserve">Archaeology: Theories, </w:t>
      </w:r>
      <w:proofErr w:type="gramStart"/>
      <w:r w:rsidRPr="004D6225">
        <w:rPr>
          <w:rFonts w:ascii="Times New Roman" w:hAnsi="Times New Roman" w:cs="Times New Roman"/>
          <w:i/>
          <w:iCs/>
        </w:rPr>
        <w:t>Methods</w:t>
      </w:r>
      <w:proofErr w:type="gramEnd"/>
      <w:r w:rsidRPr="004D6225">
        <w:rPr>
          <w:rFonts w:ascii="Times New Roman" w:hAnsi="Times New Roman" w:cs="Times New Roman"/>
          <w:i/>
          <w:iCs/>
        </w:rPr>
        <w:t xml:space="preserve"> and Practice.</w:t>
      </w:r>
      <w:r w:rsidRPr="004D6225">
        <w:rPr>
          <w:rFonts w:ascii="Times New Roman" w:hAnsi="Times New Roman" w:cs="Times New Roman"/>
        </w:rPr>
        <w:t xml:space="preserve"> 7th </w:t>
      </w:r>
      <w:proofErr w:type="spellStart"/>
      <w:r w:rsidRPr="004D6225">
        <w:rPr>
          <w:rFonts w:ascii="Times New Roman" w:hAnsi="Times New Roman" w:cs="Times New Roman"/>
        </w:rPr>
        <w:t>edn</w:t>
      </w:r>
      <w:proofErr w:type="spellEnd"/>
      <w:r w:rsidRPr="004D6225">
        <w:rPr>
          <w:rFonts w:ascii="Times New Roman" w:hAnsi="Times New Roman" w:cs="Times New Roman"/>
        </w:rPr>
        <w:t>. London: Thames &amp; Hudson.</w:t>
      </w:r>
      <w:r w:rsidRPr="004D6225">
        <w:rPr>
          <w:rFonts w:ascii="Times New Roman" w:hAnsi="Times New Roman" w:cs="Times New Roman"/>
        </w:rPr>
        <w:br/>
        <w:t xml:space="preserve">Scheidel, W. (2009) </w:t>
      </w:r>
      <w:r w:rsidRPr="004D6225">
        <w:rPr>
          <w:rFonts w:ascii="Times New Roman" w:hAnsi="Times New Roman" w:cs="Times New Roman"/>
          <w:i/>
          <w:iCs/>
        </w:rPr>
        <w:t>Rome and China: Comparative Perspectives on Ancient World Empires.</w:t>
      </w:r>
      <w:r w:rsidRPr="004D6225">
        <w:rPr>
          <w:rFonts w:ascii="Times New Roman" w:hAnsi="Times New Roman" w:cs="Times New Roman"/>
        </w:rPr>
        <w:t xml:space="preserve"> Oxford: Oxford University Press.</w:t>
      </w:r>
      <w:r w:rsidRPr="004D6225">
        <w:rPr>
          <w:rFonts w:ascii="Times New Roman" w:hAnsi="Times New Roman" w:cs="Times New Roman"/>
        </w:rPr>
        <w:br/>
        <w:t xml:space="preserve">Terras, M. (2011) ‘The Digital Classicist: Disciplinary Focus or Interdisciplinary Field?’, </w:t>
      </w:r>
      <w:r w:rsidRPr="004D6225">
        <w:rPr>
          <w:rFonts w:ascii="Times New Roman" w:hAnsi="Times New Roman" w:cs="Times New Roman"/>
          <w:i/>
          <w:iCs/>
        </w:rPr>
        <w:t>Digital Humanities Quarterly</w:t>
      </w:r>
      <w:r w:rsidRPr="004D6225">
        <w:rPr>
          <w:rFonts w:ascii="Times New Roman" w:hAnsi="Times New Roman" w:cs="Times New Roman"/>
        </w:rPr>
        <w:t>, 5(1).</w:t>
      </w:r>
      <w:r w:rsidRPr="004D6225">
        <w:rPr>
          <w:rFonts w:ascii="Times New Roman" w:hAnsi="Times New Roman" w:cs="Times New Roman"/>
        </w:rPr>
        <w:br/>
        <w:t xml:space="preserve">Vermes, G. (2012) </w:t>
      </w:r>
      <w:r w:rsidRPr="004D6225">
        <w:rPr>
          <w:rFonts w:ascii="Times New Roman" w:hAnsi="Times New Roman" w:cs="Times New Roman"/>
          <w:i/>
          <w:iCs/>
        </w:rPr>
        <w:t>The Complete Dead Sea Scrolls in English.</w:t>
      </w:r>
      <w:r w:rsidRPr="004D6225">
        <w:rPr>
          <w:rFonts w:ascii="Times New Roman" w:hAnsi="Times New Roman" w:cs="Times New Roman"/>
        </w:rPr>
        <w:t xml:space="preserve"> Revised </w:t>
      </w:r>
      <w:proofErr w:type="spellStart"/>
      <w:r w:rsidRPr="004D6225">
        <w:rPr>
          <w:rFonts w:ascii="Times New Roman" w:hAnsi="Times New Roman" w:cs="Times New Roman"/>
        </w:rPr>
        <w:t>edn</w:t>
      </w:r>
      <w:proofErr w:type="spellEnd"/>
      <w:r w:rsidRPr="004D6225">
        <w:rPr>
          <w:rFonts w:ascii="Times New Roman" w:hAnsi="Times New Roman" w:cs="Times New Roman"/>
        </w:rPr>
        <w:t>. London: Penguin Books.</w:t>
      </w:r>
      <w:r w:rsidRPr="004D6225">
        <w:rPr>
          <w:rFonts w:ascii="Times New Roman" w:hAnsi="Times New Roman" w:cs="Times New Roman"/>
        </w:rPr>
        <w:br/>
        <w:t xml:space="preserve">Vlassopoulos, K. (2013) </w:t>
      </w:r>
      <w:r w:rsidRPr="004D6225">
        <w:rPr>
          <w:rFonts w:ascii="Times New Roman" w:hAnsi="Times New Roman" w:cs="Times New Roman"/>
          <w:i/>
          <w:iCs/>
        </w:rPr>
        <w:t>Politics: Antiquity and Its Legacy.</w:t>
      </w:r>
      <w:r w:rsidRPr="004D6225">
        <w:rPr>
          <w:rFonts w:ascii="Times New Roman" w:hAnsi="Times New Roman" w:cs="Times New Roman"/>
        </w:rPr>
        <w:t xml:space="preserve"> London: I.B. Tauris.</w:t>
      </w:r>
    </w:p>
    <w:sectPr w:rsidR="004D6225" w:rsidRPr="007D3D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1AC"/>
    <w:rsid w:val="00200782"/>
    <w:rsid w:val="00320DDC"/>
    <w:rsid w:val="004C40A0"/>
    <w:rsid w:val="004D6225"/>
    <w:rsid w:val="006E6788"/>
    <w:rsid w:val="007D3D6F"/>
    <w:rsid w:val="00916968"/>
    <w:rsid w:val="00D57CB9"/>
    <w:rsid w:val="00E231AC"/>
    <w:rsid w:val="00F13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25411"/>
  <w15:chartTrackingRefBased/>
  <w15:docId w15:val="{D87A2687-CE68-4F8C-BE05-9B5161341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231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31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1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1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1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1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1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1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1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1AC"/>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E231AC"/>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231A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231A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231A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231A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231A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231A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231A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231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1A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231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1A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231AC"/>
    <w:pPr>
      <w:spacing w:before="160"/>
      <w:jc w:val="center"/>
    </w:pPr>
    <w:rPr>
      <w:i/>
      <w:iCs/>
      <w:color w:val="404040" w:themeColor="text1" w:themeTint="BF"/>
    </w:rPr>
  </w:style>
  <w:style w:type="character" w:customStyle="1" w:styleId="QuoteChar">
    <w:name w:val="Quote Char"/>
    <w:basedOn w:val="DefaultParagraphFont"/>
    <w:link w:val="Quote"/>
    <w:uiPriority w:val="29"/>
    <w:rsid w:val="00E231AC"/>
    <w:rPr>
      <w:i/>
      <w:iCs/>
      <w:color w:val="404040" w:themeColor="text1" w:themeTint="BF"/>
      <w:lang w:val="en-GB"/>
    </w:rPr>
  </w:style>
  <w:style w:type="paragraph" w:styleId="ListParagraph">
    <w:name w:val="List Paragraph"/>
    <w:basedOn w:val="Normal"/>
    <w:uiPriority w:val="34"/>
    <w:qFormat/>
    <w:rsid w:val="00E231AC"/>
    <w:pPr>
      <w:ind w:left="720"/>
      <w:contextualSpacing/>
    </w:pPr>
  </w:style>
  <w:style w:type="character" w:styleId="IntenseEmphasis">
    <w:name w:val="Intense Emphasis"/>
    <w:basedOn w:val="DefaultParagraphFont"/>
    <w:uiPriority w:val="21"/>
    <w:qFormat/>
    <w:rsid w:val="00E231AC"/>
    <w:rPr>
      <w:i/>
      <w:iCs/>
      <w:color w:val="0F4761" w:themeColor="accent1" w:themeShade="BF"/>
    </w:rPr>
  </w:style>
  <w:style w:type="paragraph" w:styleId="IntenseQuote">
    <w:name w:val="Intense Quote"/>
    <w:basedOn w:val="Normal"/>
    <w:next w:val="Normal"/>
    <w:link w:val="IntenseQuoteChar"/>
    <w:uiPriority w:val="30"/>
    <w:qFormat/>
    <w:rsid w:val="00E231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1AC"/>
    <w:rPr>
      <w:i/>
      <w:iCs/>
      <w:color w:val="0F4761" w:themeColor="accent1" w:themeShade="BF"/>
      <w:lang w:val="en-GB"/>
    </w:rPr>
  </w:style>
  <w:style w:type="character" w:styleId="IntenseReference">
    <w:name w:val="Intense Reference"/>
    <w:basedOn w:val="DefaultParagraphFont"/>
    <w:uiPriority w:val="32"/>
    <w:qFormat/>
    <w:rsid w:val="00E231AC"/>
    <w:rPr>
      <w:b/>
      <w:bCs/>
      <w:smallCaps/>
      <w:color w:val="0F4761" w:themeColor="accent1" w:themeShade="BF"/>
      <w:spacing w:val="5"/>
    </w:rPr>
  </w:style>
  <w:style w:type="character" w:styleId="Hyperlink">
    <w:name w:val="Hyperlink"/>
    <w:basedOn w:val="DefaultParagraphFont"/>
    <w:uiPriority w:val="99"/>
    <w:unhideWhenUsed/>
    <w:rsid w:val="004D6225"/>
    <w:rPr>
      <w:color w:val="467886" w:themeColor="hyperlink"/>
      <w:u w:val="single"/>
    </w:rPr>
  </w:style>
  <w:style w:type="character" w:styleId="UnresolvedMention">
    <w:name w:val="Unresolved Mention"/>
    <w:basedOn w:val="DefaultParagraphFont"/>
    <w:uiPriority w:val="99"/>
    <w:semiHidden/>
    <w:unhideWhenUsed/>
    <w:rsid w:val="004D62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idolon.p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5</Pages>
  <Words>2374</Words>
  <Characters>13532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2</cp:revision>
  <dcterms:created xsi:type="dcterms:W3CDTF">2025-11-01T18:49:00Z</dcterms:created>
  <dcterms:modified xsi:type="dcterms:W3CDTF">2025-11-01T20:21:00Z</dcterms:modified>
</cp:coreProperties>
</file>