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C4E47" w:rsidRPr="00751754" w:rsidRDefault="00DC4E47" w:rsidP="00DC4E47">
      <w:pPr>
        <w:spacing w:line="360" w:lineRule="auto"/>
        <w:rPr>
          <w:rFonts w:ascii="Times New Roman" w:hAnsi="Times New Roman" w:cs="Times New Roman"/>
          <w:sz w:val="24"/>
          <w:szCs w:val="24"/>
          <w:lang/>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jc w:val="center"/>
        <w:rPr>
          <w:rFonts w:ascii="Times New Roman" w:hAnsi="Times New Roman" w:cs="Times New Roman"/>
          <w:sz w:val="24"/>
          <w:szCs w:val="24"/>
        </w:rPr>
      </w:pPr>
      <w:r>
        <w:rPr>
          <w:rFonts w:ascii="Times New Roman" w:hAnsi="Times New Roman" w:cs="Times New Roman"/>
          <w:sz w:val="24"/>
          <w:szCs w:val="24"/>
        </w:rPr>
        <w:t>Name-</w:t>
      </w:r>
      <w:r w:rsidR="002C0B8C">
        <w:rPr>
          <w:rFonts w:ascii="Times New Roman" w:hAnsi="Times New Roman" w:cs="Times New Roman"/>
          <w:sz w:val="24"/>
          <w:szCs w:val="24"/>
          <w:lang/>
        </w:rPr>
        <w:t xml:space="preserve"> SHAKILBHAI SADIKBHAI PATEL </w:t>
      </w:r>
    </w:p>
    <w:p w:rsidR="00DC4E47" w:rsidRDefault="00DC4E47" w:rsidP="00DC4E4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Student </w:t>
      </w:r>
      <w:r w:rsidR="002C0B8C">
        <w:rPr>
          <w:rFonts w:ascii="Times New Roman" w:hAnsi="Times New Roman" w:cs="Times New Roman"/>
          <w:sz w:val="24"/>
          <w:szCs w:val="24"/>
          <w:lang/>
        </w:rPr>
        <w:t>ID- 2233622</w:t>
      </w:r>
    </w:p>
    <w:p w:rsidR="002C0B8C" w:rsidRDefault="00704D68" w:rsidP="00DC4E47">
      <w:pPr>
        <w:spacing w:line="360" w:lineRule="auto"/>
        <w:jc w:val="center"/>
        <w:rPr>
          <w:rFonts w:ascii="Times New Roman" w:hAnsi="Times New Roman" w:cs="Times New Roman"/>
          <w:sz w:val="24"/>
          <w:szCs w:val="24"/>
        </w:rPr>
      </w:pPr>
      <w:r>
        <w:rPr>
          <w:rFonts w:ascii="Times New Roman" w:hAnsi="Times New Roman" w:cs="Times New Roman"/>
          <w:sz w:val="24"/>
          <w:szCs w:val="24"/>
          <w:lang/>
        </w:rPr>
        <w:t xml:space="preserve">BANKING AND FINANCIAL MANAGEMENT </w:t>
      </w:r>
    </w:p>
    <w:p w:rsidR="00704D68" w:rsidRDefault="000D3C0E" w:rsidP="00DC4E47">
      <w:pPr>
        <w:spacing w:line="360" w:lineRule="auto"/>
        <w:jc w:val="center"/>
        <w:rPr>
          <w:rFonts w:ascii="Times New Roman" w:hAnsi="Times New Roman" w:cs="Times New Roman"/>
          <w:sz w:val="24"/>
          <w:szCs w:val="24"/>
        </w:rPr>
      </w:pPr>
      <w:r>
        <w:rPr>
          <w:rFonts w:ascii="Times New Roman" w:hAnsi="Times New Roman" w:cs="Times New Roman"/>
          <w:sz w:val="24"/>
          <w:szCs w:val="24"/>
          <w:lang/>
        </w:rPr>
        <w:t>Lecturer-</w:t>
      </w:r>
      <w:r w:rsidR="001A2831">
        <w:rPr>
          <w:rFonts w:ascii="Times New Roman" w:hAnsi="Times New Roman" w:cs="Times New Roman"/>
          <w:sz w:val="24"/>
          <w:szCs w:val="24"/>
          <w:lang/>
        </w:rPr>
        <w:t xml:space="preserve"> </w:t>
      </w:r>
      <w:r>
        <w:rPr>
          <w:rFonts w:ascii="Times New Roman" w:hAnsi="Times New Roman" w:cs="Times New Roman"/>
          <w:sz w:val="24"/>
          <w:szCs w:val="24"/>
          <w:lang/>
        </w:rPr>
        <w:t xml:space="preserve">DAVID </w:t>
      </w:r>
      <w:r w:rsidR="0023641A">
        <w:rPr>
          <w:rFonts w:ascii="Times New Roman" w:hAnsi="Times New Roman" w:cs="Times New Roman"/>
          <w:sz w:val="24"/>
          <w:szCs w:val="24"/>
          <w:lang/>
        </w:rPr>
        <w:t>COKER</w:t>
      </w: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Pr="00751754" w:rsidRDefault="00DC4E47" w:rsidP="00DC4E47">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kern w:val="2"/>
          <w:sz w:val="24"/>
          <w:szCs w:val="24"/>
          <w:lang w:val="en-IN"/>
          <w14:ligatures w14:val="standardContextual"/>
        </w:rPr>
        <w:id w:val="-624467761"/>
        <w:docPartObj>
          <w:docPartGallery w:val="Table of Contents"/>
          <w:docPartUnique/>
        </w:docPartObj>
      </w:sdtPr>
      <w:sdtEndPr>
        <w:rPr>
          <w:b/>
          <w:bCs/>
          <w:noProof/>
        </w:rPr>
      </w:sdtEndPr>
      <w:sdtContent>
        <w:p w:rsidR="00DC4E47" w:rsidRPr="00751754" w:rsidRDefault="00DC4E47" w:rsidP="00DC4E47">
          <w:pPr>
            <w:pStyle w:val="TOCHeading"/>
            <w:spacing w:line="360" w:lineRule="auto"/>
            <w:rPr>
              <w:rFonts w:ascii="Times New Roman" w:hAnsi="Times New Roman" w:cs="Times New Roman"/>
              <w:sz w:val="24"/>
              <w:szCs w:val="24"/>
            </w:rPr>
          </w:pPr>
          <w:r w:rsidRPr="00751754">
            <w:rPr>
              <w:rFonts w:ascii="Times New Roman" w:hAnsi="Times New Roman" w:cs="Times New Roman"/>
              <w:sz w:val="24"/>
              <w:szCs w:val="24"/>
            </w:rPr>
            <w:t>Table of Contents</w:t>
          </w:r>
        </w:p>
        <w:p w:rsidR="00DC4E47" w:rsidRPr="00751754" w:rsidRDefault="00DC4E47" w:rsidP="00DC4E47">
          <w:pPr>
            <w:pStyle w:val="TOC1"/>
            <w:tabs>
              <w:tab w:val="right" w:leader="dot" w:pos="9016"/>
            </w:tabs>
            <w:spacing w:line="360" w:lineRule="auto"/>
            <w:rPr>
              <w:rFonts w:ascii="Times New Roman" w:hAnsi="Times New Roman" w:cs="Times New Roman"/>
              <w:noProof/>
              <w:sz w:val="24"/>
              <w:szCs w:val="24"/>
            </w:rPr>
          </w:pPr>
          <w:r w:rsidRPr="00751754">
            <w:rPr>
              <w:rFonts w:ascii="Times New Roman" w:hAnsi="Times New Roman" w:cs="Times New Roman"/>
              <w:sz w:val="24"/>
              <w:szCs w:val="24"/>
            </w:rPr>
            <w:fldChar w:fldCharType="begin"/>
          </w:r>
          <w:r w:rsidRPr="00751754">
            <w:rPr>
              <w:rFonts w:ascii="Times New Roman" w:hAnsi="Times New Roman" w:cs="Times New Roman"/>
              <w:sz w:val="24"/>
              <w:szCs w:val="24"/>
            </w:rPr>
            <w:instrText xml:space="preserve"> TOC \o "1-3" \h \z \u </w:instrText>
          </w:r>
          <w:r w:rsidRPr="00751754">
            <w:rPr>
              <w:rFonts w:ascii="Times New Roman" w:hAnsi="Times New Roman" w:cs="Times New Roman"/>
              <w:sz w:val="24"/>
              <w:szCs w:val="24"/>
            </w:rPr>
            <w:fldChar w:fldCharType="separate"/>
          </w:r>
          <w:hyperlink w:anchor="_Toc142909677" w:history="1">
            <w:r w:rsidRPr="00751754">
              <w:rPr>
                <w:rStyle w:val="Hyperlink"/>
                <w:rFonts w:ascii="Times New Roman" w:hAnsi="Times New Roman" w:cs="Times New Roman"/>
                <w:noProof/>
                <w:sz w:val="24"/>
                <w:szCs w:val="24"/>
              </w:rPr>
              <w:t>Introduction</w:t>
            </w:r>
            <w:r w:rsidRPr="00751754">
              <w:rPr>
                <w:rFonts w:ascii="Times New Roman" w:hAnsi="Times New Roman" w:cs="Times New Roman"/>
                <w:noProof/>
                <w:webHidden/>
                <w:sz w:val="24"/>
                <w:szCs w:val="24"/>
              </w:rPr>
              <w:tab/>
            </w:r>
            <w:r w:rsidRPr="00751754">
              <w:rPr>
                <w:rFonts w:ascii="Times New Roman" w:hAnsi="Times New Roman" w:cs="Times New Roman"/>
                <w:noProof/>
                <w:webHidden/>
                <w:sz w:val="24"/>
                <w:szCs w:val="24"/>
              </w:rPr>
              <w:fldChar w:fldCharType="begin"/>
            </w:r>
            <w:r w:rsidRPr="00751754">
              <w:rPr>
                <w:rFonts w:ascii="Times New Roman" w:hAnsi="Times New Roman" w:cs="Times New Roman"/>
                <w:noProof/>
                <w:webHidden/>
                <w:sz w:val="24"/>
                <w:szCs w:val="24"/>
              </w:rPr>
              <w:instrText xml:space="preserve"> PAGEREF _Toc142909677 \h </w:instrText>
            </w:r>
            <w:r w:rsidRPr="00751754">
              <w:rPr>
                <w:rFonts w:ascii="Times New Roman" w:hAnsi="Times New Roman" w:cs="Times New Roman"/>
                <w:noProof/>
                <w:webHidden/>
                <w:sz w:val="24"/>
                <w:szCs w:val="24"/>
              </w:rPr>
            </w:r>
            <w:r w:rsidRPr="00751754">
              <w:rPr>
                <w:rFonts w:ascii="Times New Roman" w:hAnsi="Times New Roman" w:cs="Times New Roman"/>
                <w:noProof/>
                <w:webHidden/>
                <w:sz w:val="24"/>
                <w:szCs w:val="24"/>
              </w:rPr>
              <w:fldChar w:fldCharType="separate"/>
            </w:r>
            <w:r w:rsidRPr="00751754">
              <w:rPr>
                <w:rFonts w:ascii="Times New Roman" w:hAnsi="Times New Roman" w:cs="Times New Roman"/>
                <w:noProof/>
                <w:webHidden/>
                <w:sz w:val="24"/>
                <w:szCs w:val="24"/>
              </w:rPr>
              <w:t>1</w:t>
            </w:r>
            <w:r w:rsidRPr="00751754">
              <w:rPr>
                <w:rFonts w:ascii="Times New Roman" w:hAnsi="Times New Roman" w:cs="Times New Roman"/>
                <w:noProof/>
                <w:webHidden/>
                <w:sz w:val="24"/>
                <w:szCs w:val="24"/>
              </w:rPr>
              <w:fldChar w:fldCharType="end"/>
            </w:r>
          </w:hyperlink>
        </w:p>
        <w:p w:rsidR="00DC4E47" w:rsidRPr="00751754" w:rsidRDefault="002C48FD" w:rsidP="00DC4E47">
          <w:pPr>
            <w:pStyle w:val="TOC1"/>
            <w:tabs>
              <w:tab w:val="right" w:leader="dot" w:pos="9016"/>
            </w:tabs>
            <w:spacing w:line="360" w:lineRule="auto"/>
            <w:rPr>
              <w:rFonts w:ascii="Times New Roman" w:hAnsi="Times New Roman" w:cs="Times New Roman"/>
              <w:noProof/>
              <w:sz w:val="24"/>
              <w:szCs w:val="24"/>
            </w:rPr>
          </w:pPr>
          <w:hyperlink w:anchor="_Toc142909678" w:history="1">
            <w:r w:rsidR="00DC4E47" w:rsidRPr="00751754">
              <w:rPr>
                <w:rStyle w:val="Hyperlink"/>
                <w:rFonts w:ascii="Times New Roman" w:hAnsi="Times New Roman" w:cs="Times New Roman"/>
                <w:noProof/>
                <w:sz w:val="24"/>
                <w:szCs w:val="24"/>
              </w:rPr>
              <w:t>Identify the key laws, regulations and contracts that were enacted post the 2008 financial crises by the UK</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_Toc142909678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79" w:history="1">
            <w:r w:rsidR="00DC4E47" w:rsidRPr="00751754">
              <w:rPr>
                <w:rStyle w:val="Hyperlink"/>
                <w:rFonts w:ascii="Times New Roman" w:hAnsi="Times New Roman" w:cs="Times New Roman"/>
                <w:noProof/>
                <w:sz w:val="24"/>
                <w:szCs w:val="24"/>
              </w:rPr>
              <w:t>Critical review of the extent to which these reforms have contributed towards stabilizing the financial system and Barclays PLC:</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_Toc142909679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2</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0" w:history="1">
            <w:r w:rsidR="00DC4E47" w:rsidRPr="00751754">
              <w:rPr>
                <w:rStyle w:val="Hyperlink"/>
                <w:rFonts w:ascii="Times New Roman" w:hAnsi="Times New Roman" w:cs="Times New Roman"/>
                <w:noProof/>
                <w:sz w:val="24"/>
                <w:szCs w:val="24"/>
              </w:rPr>
              <w:t>Analysis of the impact of reforms on Barclays PLC's business model and level of compliance:</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_Toc142909680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2</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1"/>
            <w:tabs>
              <w:tab w:val="right" w:leader="dot" w:pos="9016"/>
            </w:tabs>
            <w:spacing w:line="360" w:lineRule="auto"/>
            <w:rPr>
              <w:rFonts w:ascii="Times New Roman" w:hAnsi="Times New Roman" w:cs="Times New Roman"/>
              <w:noProof/>
              <w:sz w:val="24"/>
              <w:szCs w:val="24"/>
            </w:rPr>
          </w:pPr>
          <w:hyperlink w:anchor="_Toc142909681" w:history="1">
            <w:r w:rsidR="00DC4E47" w:rsidRPr="00751754">
              <w:rPr>
                <w:rStyle w:val="Hyperlink"/>
                <w:rFonts w:ascii="Times New Roman" w:hAnsi="Times New Roman" w:cs="Times New Roman"/>
                <w:noProof/>
                <w:sz w:val="24"/>
                <w:szCs w:val="24"/>
              </w:rPr>
              <w:t>Identify the key laws, regulations and contracts that were enacted post the 2008 financial crises by Global players in the financial system to end the financial crises.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_Toc142909681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3</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2" w:history="1">
            <w:r w:rsidR="00DC4E47" w:rsidRPr="00751754">
              <w:rPr>
                <w:rStyle w:val="Hyperlink"/>
                <w:rFonts w:ascii="Times New Roman" w:hAnsi="Times New Roman" w:cs="Times New Roman"/>
                <w:noProof/>
                <w:sz w:val="24"/>
                <w:szCs w:val="24"/>
              </w:rPr>
              <w:t>Dodd-Frank Wall Street Reform and Consumer Protection Act: Defending Consumers and Markets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_Toc142909682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3</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3" w:history="1">
            <w:r w:rsidR="00DC4E47" w:rsidRPr="00751754">
              <w:rPr>
                <w:rStyle w:val="Hyperlink"/>
                <w:rFonts w:ascii="Times New Roman" w:hAnsi="Times New Roman" w:cs="Times New Roman"/>
                <w:noProof/>
                <w:sz w:val="24"/>
                <w:szCs w:val="24"/>
              </w:rPr>
              <w:t>European Market Infrastructure Regulation (EMIR): Enhancing Derivatives Market Transparency</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_Toc142909683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3</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4" w:history="1">
            <w:r w:rsidR="00DC4E47" w:rsidRPr="00751754">
              <w:rPr>
                <w:rStyle w:val="Hyperlink"/>
                <w:rFonts w:ascii="Times New Roman" w:hAnsi="Times New Roman" w:cs="Times New Roman"/>
                <w:noProof/>
                <w:sz w:val="24"/>
                <w:szCs w:val="24"/>
              </w:rPr>
              <w:t>Code of Conduct for the Foreign Exchange Market: Restoring Market Confidence</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_Toc142909684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4</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5" w:history="1">
            <w:r w:rsidR="00DC4E47" w:rsidRPr="00751754">
              <w:rPr>
                <w:rStyle w:val="Hyperlink"/>
                <w:rFonts w:ascii="Times New Roman" w:hAnsi="Times New Roman" w:cs="Times New Roman"/>
                <w:noProof/>
                <w:sz w:val="24"/>
                <w:szCs w:val="24"/>
              </w:rPr>
              <w:t>Bank Recovery and Resolution Directive (BRRD): Effective Resolution of Failing Banks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_Toc142909685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4</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6" w:history="1">
            <w:r w:rsidR="00DC4E47" w:rsidRPr="00751754">
              <w:rPr>
                <w:rStyle w:val="Hyperlink"/>
                <w:rFonts w:ascii="Times New Roman" w:hAnsi="Times New Roman" w:cs="Times New Roman"/>
                <w:noProof/>
                <w:sz w:val="24"/>
                <w:szCs w:val="24"/>
              </w:rPr>
              <w:t>Stress Testing and Risk Management Enhancements: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_Toc142909686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4</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7" w:history="1">
            <w:r w:rsidR="00DC4E47" w:rsidRPr="00751754">
              <w:rPr>
                <w:rStyle w:val="Hyperlink"/>
                <w:rFonts w:ascii="Times New Roman" w:hAnsi="Times New Roman" w:cs="Times New Roman"/>
                <w:noProof/>
                <w:sz w:val="24"/>
                <w:szCs w:val="24"/>
              </w:rPr>
              <w:t>Systemically Important Financial Institutions (SIFI) Regulations: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_Toc142909687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4</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8" w:history="1">
            <w:r w:rsidR="00DC4E47" w:rsidRPr="00751754">
              <w:rPr>
                <w:rStyle w:val="Hyperlink"/>
                <w:rFonts w:ascii="Times New Roman" w:hAnsi="Times New Roman" w:cs="Times New Roman"/>
                <w:noProof/>
                <w:sz w:val="24"/>
                <w:szCs w:val="24"/>
              </w:rPr>
              <w:t>Leverage Ratio and Capital Buffer Requirements: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_Toc142909688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5</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89" w:history="1">
            <w:r w:rsidR="00DC4E47" w:rsidRPr="00751754">
              <w:rPr>
                <w:rStyle w:val="Hyperlink"/>
                <w:rFonts w:ascii="Times New Roman" w:hAnsi="Times New Roman" w:cs="Times New Roman"/>
                <w:noProof/>
                <w:sz w:val="24"/>
                <w:szCs w:val="24"/>
              </w:rPr>
              <w:t>Regulatory Oversight and Coordination:</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_Toc142909689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5</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0" w:history="1">
            <w:r w:rsidR="00DC4E47" w:rsidRPr="00751754">
              <w:rPr>
                <w:rStyle w:val="Hyperlink"/>
                <w:rFonts w:ascii="Times New Roman" w:hAnsi="Times New Roman" w:cs="Times New Roman"/>
                <w:noProof/>
                <w:sz w:val="24"/>
                <w:szCs w:val="24"/>
              </w:rPr>
              <w:t>Consumer Protection Measures: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_Toc142909690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5</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1" w:history="1">
            <w:r w:rsidR="00DC4E47" w:rsidRPr="00751754">
              <w:rPr>
                <w:rStyle w:val="Hyperlink"/>
                <w:rFonts w:ascii="Times New Roman" w:hAnsi="Times New Roman" w:cs="Times New Roman"/>
                <w:noProof/>
                <w:sz w:val="24"/>
                <w:szCs w:val="24"/>
              </w:rPr>
              <w:t>Enhanced Resolution Frameworks: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_Toc142909691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5</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1"/>
            <w:tabs>
              <w:tab w:val="right" w:leader="dot" w:pos="9016"/>
            </w:tabs>
            <w:spacing w:line="360" w:lineRule="auto"/>
            <w:rPr>
              <w:rFonts w:ascii="Times New Roman" w:hAnsi="Times New Roman" w:cs="Times New Roman"/>
              <w:noProof/>
              <w:sz w:val="24"/>
              <w:szCs w:val="24"/>
            </w:rPr>
          </w:pPr>
          <w:hyperlink w:anchor="_Toc142909692" w:history="1">
            <w:r w:rsidR="00DC4E47" w:rsidRPr="00751754">
              <w:rPr>
                <w:rStyle w:val="Hyperlink"/>
                <w:rFonts w:ascii="Times New Roman" w:hAnsi="Times New Roman" w:cs="Times New Roman"/>
                <w:noProof/>
                <w:sz w:val="24"/>
                <w:szCs w:val="24"/>
              </w:rPr>
              <w:t>Analyzing the Impact of Reforms on Barclays Bank's Business Model and Compliance:</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_Toc142909692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7</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3" w:history="1">
            <w:r w:rsidR="00DC4E47" w:rsidRPr="00751754">
              <w:rPr>
                <w:rStyle w:val="Hyperlink"/>
                <w:rFonts w:ascii="Times New Roman" w:hAnsi="Times New Roman" w:cs="Times New Roman"/>
                <w:noProof/>
                <w:sz w:val="24"/>
                <w:szCs w:val="24"/>
              </w:rPr>
              <w:t>Impact on Capital and Liquidity Requirements: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_Toc142909693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7</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4" w:history="1">
            <w:r w:rsidR="00DC4E47" w:rsidRPr="00751754">
              <w:rPr>
                <w:rStyle w:val="Hyperlink"/>
                <w:rFonts w:ascii="Times New Roman" w:hAnsi="Times New Roman" w:cs="Times New Roman"/>
                <w:noProof/>
                <w:sz w:val="24"/>
                <w:szCs w:val="24"/>
              </w:rPr>
              <w:t>Risk Management Enhancements: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_Toc142909694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8</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5" w:history="1">
            <w:r w:rsidR="00DC4E47" w:rsidRPr="00751754">
              <w:rPr>
                <w:rStyle w:val="Hyperlink"/>
                <w:rFonts w:ascii="Times New Roman" w:hAnsi="Times New Roman" w:cs="Times New Roman"/>
                <w:noProof/>
                <w:sz w:val="24"/>
                <w:szCs w:val="24"/>
              </w:rPr>
              <w:t>Transparency and Reporting Practices: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_Toc142909695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8</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6" w:history="1">
            <w:r w:rsidR="00DC4E47" w:rsidRPr="00751754">
              <w:rPr>
                <w:rStyle w:val="Hyperlink"/>
                <w:rFonts w:ascii="Times New Roman" w:hAnsi="Times New Roman" w:cs="Times New Roman"/>
                <w:noProof/>
                <w:sz w:val="24"/>
                <w:szCs w:val="24"/>
              </w:rPr>
              <w:t>Recovery and Resolution Planning:</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_Toc142909696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9</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7" w:history="1">
            <w:r w:rsidR="00DC4E47" w:rsidRPr="00751754">
              <w:rPr>
                <w:rStyle w:val="Hyperlink"/>
                <w:rFonts w:ascii="Times New Roman" w:hAnsi="Times New Roman" w:cs="Times New Roman"/>
                <w:noProof/>
                <w:sz w:val="24"/>
                <w:szCs w:val="24"/>
              </w:rPr>
              <w:t>Ring-Fencing Implementation:</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_Toc142909697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9</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8" w:history="1">
            <w:r w:rsidR="00DC4E47" w:rsidRPr="00751754">
              <w:rPr>
                <w:rStyle w:val="Hyperlink"/>
                <w:rFonts w:ascii="Times New Roman" w:hAnsi="Times New Roman" w:cs="Times New Roman"/>
                <w:noProof/>
                <w:sz w:val="24"/>
                <w:szCs w:val="24"/>
              </w:rPr>
              <w:t>Global Regulatory Alignment:</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_Toc142909698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10</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699" w:history="1">
            <w:r w:rsidR="00DC4E47" w:rsidRPr="00751754">
              <w:rPr>
                <w:rStyle w:val="Hyperlink"/>
                <w:rFonts w:ascii="Times New Roman" w:hAnsi="Times New Roman" w:cs="Times New Roman"/>
                <w:noProof/>
                <w:sz w:val="24"/>
                <w:szCs w:val="24"/>
              </w:rPr>
              <w:t>Challenges Faced and Innovations: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_Toc142909699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10</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700" w:history="1">
            <w:r w:rsidR="00DC4E47" w:rsidRPr="00751754">
              <w:rPr>
                <w:rStyle w:val="Hyperlink"/>
                <w:rFonts w:ascii="Times New Roman" w:hAnsi="Times New Roman" w:cs="Times New Roman"/>
                <w:noProof/>
                <w:sz w:val="24"/>
                <w:szCs w:val="24"/>
              </w:rPr>
              <w:t>Assessment of Impact:</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_Toc142909700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10</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701" w:history="1">
            <w:r w:rsidR="00DC4E47" w:rsidRPr="00751754">
              <w:rPr>
                <w:rStyle w:val="Hyperlink"/>
                <w:rFonts w:ascii="Times New Roman" w:hAnsi="Times New Roman" w:cs="Times New Roman"/>
                <w:noProof/>
                <w:sz w:val="24"/>
                <w:szCs w:val="24"/>
              </w:rPr>
              <w:t>Areas for Improvement:</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_Toc142909701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11</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2"/>
            <w:tabs>
              <w:tab w:val="right" w:leader="dot" w:pos="9016"/>
            </w:tabs>
            <w:spacing w:line="360" w:lineRule="auto"/>
            <w:rPr>
              <w:rFonts w:ascii="Times New Roman" w:hAnsi="Times New Roman" w:cs="Times New Roman"/>
              <w:noProof/>
              <w:sz w:val="24"/>
              <w:szCs w:val="24"/>
            </w:rPr>
          </w:pPr>
          <w:hyperlink w:anchor="_Toc142909702" w:history="1">
            <w:r w:rsidR="00DC4E47" w:rsidRPr="00751754">
              <w:rPr>
                <w:rStyle w:val="Hyperlink"/>
                <w:rFonts w:ascii="Times New Roman" w:hAnsi="Times New Roman" w:cs="Times New Roman"/>
                <w:noProof/>
                <w:sz w:val="24"/>
                <w:szCs w:val="24"/>
              </w:rPr>
              <w:t>Conclusion:</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_Toc142909702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11</w:t>
            </w:r>
            <w:r w:rsidR="00DC4E47" w:rsidRPr="00751754">
              <w:rPr>
                <w:rFonts w:ascii="Times New Roman" w:hAnsi="Times New Roman" w:cs="Times New Roman"/>
                <w:noProof/>
                <w:webHidden/>
                <w:sz w:val="24"/>
                <w:szCs w:val="24"/>
              </w:rPr>
              <w:fldChar w:fldCharType="end"/>
            </w:r>
          </w:hyperlink>
        </w:p>
        <w:p w:rsidR="00DC4E47" w:rsidRPr="00751754" w:rsidRDefault="002C48FD" w:rsidP="00DC4E47">
          <w:pPr>
            <w:pStyle w:val="TOC1"/>
            <w:tabs>
              <w:tab w:val="right" w:leader="dot" w:pos="9016"/>
            </w:tabs>
            <w:spacing w:line="360" w:lineRule="auto"/>
            <w:rPr>
              <w:rFonts w:ascii="Times New Roman" w:hAnsi="Times New Roman" w:cs="Times New Roman"/>
              <w:noProof/>
              <w:sz w:val="24"/>
              <w:szCs w:val="24"/>
            </w:rPr>
          </w:pPr>
          <w:hyperlink w:anchor="_Toc142909703" w:history="1">
            <w:r w:rsidR="00DC4E47" w:rsidRPr="00751754">
              <w:rPr>
                <w:rStyle w:val="Hyperlink"/>
                <w:rFonts w:ascii="Times New Roman" w:hAnsi="Times New Roman" w:cs="Times New Roman"/>
                <w:noProof/>
                <w:sz w:val="24"/>
                <w:szCs w:val="24"/>
              </w:rPr>
              <w:t>References</w:t>
            </w:r>
            <w:r w:rsidR="00DC4E47" w:rsidRPr="00751754">
              <w:rPr>
                <w:rFonts w:ascii="Times New Roman" w:hAnsi="Times New Roman" w:cs="Times New Roman"/>
                <w:noProof/>
                <w:webHidden/>
                <w:sz w:val="24"/>
                <w:szCs w:val="24"/>
              </w:rPr>
              <w:tab/>
            </w:r>
            <w:r w:rsidR="00DC4E47" w:rsidRPr="00751754">
              <w:rPr>
                <w:rFonts w:ascii="Times New Roman" w:hAnsi="Times New Roman" w:cs="Times New Roman"/>
                <w:noProof/>
                <w:webHidden/>
                <w:sz w:val="24"/>
                <w:szCs w:val="24"/>
              </w:rPr>
              <w:fldChar w:fldCharType="begin"/>
            </w:r>
            <w:r w:rsidR="00DC4E47" w:rsidRPr="00751754">
              <w:rPr>
                <w:rFonts w:ascii="Times New Roman" w:hAnsi="Times New Roman" w:cs="Times New Roman"/>
                <w:noProof/>
                <w:webHidden/>
                <w:sz w:val="24"/>
                <w:szCs w:val="24"/>
              </w:rPr>
              <w:instrText xml:space="preserve"> PAGEREF _Toc142909703 \h </w:instrText>
            </w:r>
            <w:r w:rsidR="00DC4E47" w:rsidRPr="00751754">
              <w:rPr>
                <w:rFonts w:ascii="Times New Roman" w:hAnsi="Times New Roman" w:cs="Times New Roman"/>
                <w:noProof/>
                <w:webHidden/>
                <w:sz w:val="24"/>
                <w:szCs w:val="24"/>
              </w:rPr>
            </w:r>
            <w:r w:rsidR="00DC4E47" w:rsidRPr="00751754">
              <w:rPr>
                <w:rFonts w:ascii="Times New Roman" w:hAnsi="Times New Roman" w:cs="Times New Roman"/>
                <w:noProof/>
                <w:webHidden/>
                <w:sz w:val="24"/>
                <w:szCs w:val="24"/>
              </w:rPr>
              <w:fldChar w:fldCharType="separate"/>
            </w:r>
            <w:r w:rsidR="00DC4E47" w:rsidRPr="00751754">
              <w:rPr>
                <w:rFonts w:ascii="Times New Roman" w:hAnsi="Times New Roman" w:cs="Times New Roman"/>
                <w:noProof/>
                <w:webHidden/>
                <w:sz w:val="24"/>
                <w:szCs w:val="24"/>
              </w:rPr>
              <w:t>11</w:t>
            </w:r>
            <w:r w:rsidR="00DC4E47" w:rsidRPr="00751754">
              <w:rPr>
                <w:rFonts w:ascii="Times New Roman" w:hAnsi="Times New Roman" w:cs="Times New Roman"/>
                <w:noProof/>
                <w:webHidden/>
                <w:sz w:val="24"/>
                <w:szCs w:val="24"/>
              </w:rPr>
              <w:fldChar w:fldCharType="end"/>
            </w:r>
          </w:hyperlink>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noProof/>
              <w:sz w:val="24"/>
              <w:szCs w:val="24"/>
            </w:rPr>
            <w:fldChar w:fldCharType="end"/>
          </w:r>
        </w:p>
      </w:sdtContent>
    </w:sdt>
    <w:p w:rsidR="00DC4E47" w:rsidRPr="00751754"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Default="00DC4E47" w:rsidP="00DC4E47">
      <w:pPr>
        <w:spacing w:line="360" w:lineRule="auto"/>
        <w:rPr>
          <w:rFonts w:ascii="Times New Roman" w:hAnsi="Times New Roman" w:cs="Times New Roman"/>
          <w:sz w:val="24"/>
          <w:szCs w:val="24"/>
        </w:rPr>
      </w:pP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Style1"/>
        <w:spacing w:line="360" w:lineRule="auto"/>
        <w:rPr>
          <w:rFonts w:ascii="Times New Roman" w:hAnsi="Times New Roman" w:cs="Times New Roman"/>
          <w:sz w:val="24"/>
          <w:szCs w:val="24"/>
        </w:rPr>
      </w:pPr>
      <w:bookmarkStart w:id="0" w:name="_Toc142909677"/>
      <w:r w:rsidRPr="00751754">
        <w:rPr>
          <w:rFonts w:ascii="Times New Roman" w:hAnsi="Times New Roman" w:cs="Times New Roman"/>
          <w:sz w:val="24"/>
          <w:szCs w:val="24"/>
        </w:rPr>
        <w:t>Introduction</w:t>
      </w:r>
      <w:bookmarkEnd w:id="0"/>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Back in 2008, the world confronted a colossal financial crisis that started with issues in the real estate market. This crisis impacted predominantly evolved nations and caused a major recession like the Great Depression. As the real estate costs dropped, financial backers attempted to benefit by wagering against real estate bargains. A few arrangements went to pieces, and banks quit putting resources into contracts. This made billions of dollars be stuck as opposed to being utilized in the real estate business.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To fix things, top financial specialists and government consultants chose to infuse heaps of cash into the market. They additionally made it less expensive to get cash and assisted striving financial organizations. Be that as it may, these actions created a few issues as well - the worth of their monetary standards fell, and costs for things like food and oil rose.</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During this time, the worth of numerous financial foundations that had a great deal of home loan ventures dropped a ton. A few banks needed to get together with others, some found support from financial backers or the public authority, and some even left business. This prompted many individuals in the banking business losing their positions.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After the crisis, everybody cooperated to ensure it wouldn't reoccur. They made new principles and regulations to make the financial framework more grounded and to safeguard individuals who utilize financial administrations. A portion of these standards, similar to Basel III, made sure banks kept sufficient cash for possible later use to handle difficult stretches. Others, similar to the Dodd-Frank Act, zeroed in on ensuring banks treated their clients decently and didn't face an excessive number of challenges.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In this report, we will take a gander at every one of the significant regulations, rules, and arrangements that were made after the 2008 financial crisis by financial players all over the planet. We will perceive the way powerful these progressions were in making the financial framework more steady. We will likewise concentrate on how one public financial administrations organization adjusted to these new standards and what it meant for their business.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objective is to understand the way that well these progressions safeguarded the financial framework from another large crisis and how they made it more secure for every individual who utilizes financial administrations. By gaining from the past, we desire to fabricate a more grounded and safer financial world for what's to come.</w:t>
      </w:r>
    </w:p>
    <w:p w:rsidR="00DC4E47" w:rsidRPr="00751754" w:rsidRDefault="00DC4E47" w:rsidP="00DC4E47">
      <w:pPr>
        <w:pStyle w:val="Style1"/>
        <w:spacing w:line="360" w:lineRule="auto"/>
        <w:rPr>
          <w:rFonts w:ascii="Times New Roman" w:hAnsi="Times New Roman" w:cs="Times New Roman"/>
          <w:sz w:val="24"/>
          <w:szCs w:val="24"/>
        </w:rPr>
      </w:pPr>
      <w:bookmarkStart w:id="1" w:name="_Toc142909678"/>
      <w:r w:rsidRPr="00751754">
        <w:rPr>
          <w:rFonts w:ascii="Times New Roman" w:hAnsi="Times New Roman" w:cs="Times New Roman"/>
          <w:sz w:val="24"/>
          <w:szCs w:val="24"/>
        </w:rPr>
        <w:t>Identify the key laws, regulations and contracts that were enacted post the 2008 financial crises by the UK</w:t>
      </w:r>
      <w:bookmarkEnd w:id="1"/>
    </w:p>
    <w:p w:rsidR="00DC4E47" w:rsidRPr="00751754" w:rsidRDefault="00DC4E47" w:rsidP="00DC4E47">
      <w:pPr>
        <w:spacing w:line="360" w:lineRule="auto"/>
        <w:rPr>
          <w:rFonts w:ascii="Times New Roman" w:hAnsi="Times New Roman" w:cs="Times New Roman"/>
          <w:b/>
          <w:bCs/>
          <w:sz w:val="24"/>
          <w:szCs w:val="24"/>
        </w:rPr>
      </w:pPr>
      <w:r w:rsidRPr="00751754">
        <w:rPr>
          <w:rFonts w:ascii="Times New Roman" w:hAnsi="Times New Roman" w:cs="Times New Roman"/>
          <w:b/>
          <w:bCs/>
          <w:sz w:val="24"/>
          <w:szCs w:val="24"/>
        </w:rPr>
        <w:t>Key laws, regulations, and contracts enacted post the 2008 financial crises by UK authorities: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a) Financial Services Act 2012: This legislation established the Financial Conduct Authority (FCA) and the Prudential Regulation Authority (PRA) to oversee the financial services sector. It introduced reforms related to conduct standards, resolution frameworks, and ring-fencing of retail banking activities. (Financial services act 2012 2012)</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 Senior Managers and Certification Regime (SMCR): Introduced in 2016, SMCR enhances accountability and responsibility of senior managers within banks. It requires banks like Barclays to assign specific responsibilities to senior managers and certify the fitness and propriety of individuals in key roles. (Senior managers and certification regime 2023)</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 xml:space="preserve">c) Bank Recovery and Resolution Directive (BRRD): This EU directive, implemented in the UK, aims to ensure the orderly resolution of failing banks to minimize risks to financial stability. It outlines resolution tools and establishes resolution authorities. </w:t>
      </w:r>
    </w:p>
    <w:p w:rsidR="00DC4E47" w:rsidRPr="00751754" w:rsidRDefault="00DC4E47" w:rsidP="00DC4E47">
      <w:pPr>
        <w:spacing w:line="360" w:lineRule="auto"/>
        <w:rPr>
          <w:rFonts w:ascii="Times New Roman" w:hAnsi="Times New Roman" w:cs="Times New Roman"/>
          <w:b/>
          <w:bCs/>
          <w:sz w:val="24"/>
          <w:szCs w:val="24"/>
        </w:rPr>
      </w:pPr>
      <w:r w:rsidRPr="00751754">
        <w:rPr>
          <w:rFonts w:ascii="Times New Roman" w:hAnsi="Times New Roman" w:cs="Times New Roman"/>
          <w:b/>
          <w:bCs/>
          <w:sz w:val="24"/>
          <w:szCs w:val="24"/>
        </w:rPr>
        <w:t>Key laws, regulations, and contracts enacted by Barclays PLC to end the financial crises: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 xml:space="preserve">a) Enhanced Risk Management Practices: Barclays has implemented advanced risk management practices to comply with the stringent capital and liquidity requirements under Basel III. This includes stress testing, improved risk </w:t>
      </w:r>
      <w:proofErr w:type="spellStart"/>
      <w:r w:rsidRPr="00751754">
        <w:rPr>
          <w:rFonts w:ascii="Times New Roman" w:hAnsi="Times New Roman" w:cs="Times New Roman"/>
          <w:sz w:val="24"/>
          <w:szCs w:val="24"/>
        </w:rPr>
        <w:t>modeling</w:t>
      </w:r>
      <w:proofErr w:type="spellEnd"/>
      <w:r w:rsidRPr="00751754">
        <w:rPr>
          <w:rFonts w:ascii="Times New Roman" w:hAnsi="Times New Roman" w:cs="Times New Roman"/>
          <w:sz w:val="24"/>
          <w:szCs w:val="24"/>
        </w:rPr>
        <w:t>, and enhanced risk assessment frameworks.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 Improved Compliance Measures: To adhere to the regulations introduced post-crisis, Barclays has invested in robust compliance measures and reporting systems. This helps ensure the bank's operations align with the regulatory requirements set forth by the FCA and PRA.</w:t>
      </w:r>
    </w:p>
    <w:p w:rsidR="00DC4E47" w:rsidRPr="00751754" w:rsidRDefault="00DC4E47" w:rsidP="00DC4E47">
      <w:pPr>
        <w:pStyle w:val="Heading2"/>
        <w:spacing w:line="360" w:lineRule="auto"/>
        <w:rPr>
          <w:rFonts w:ascii="Times New Roman" w:hAnsi="Times New Roman" w:cs="Times New Roman"/>
          <w:sz w:val="24"/>
          <w:szCs w:val="24"/>
        </w:rPr>
      </w:pPr>
      <w:bookmarkStart w:id="2" w:name="_Toc142909679"/>
      <w:r w:rsidRPr="00751754">
        <w:rPr>
          <w:rFonts w:ascii="Times New Roman" w:hAnsi="Times New Roman" w:cs="Times New Roman"/>
          <w:sz w:val="24"/>
          <w:szCs w:val="24"/>
        </w:rPr>
        <w:t>Critical review of the extent to which these reforms have contributed towards stabilizing the financial system and Barclays PLC:</w:t>
      </w:r>
      <w:bookmarkEnd w:id="2"/>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enacted reforms, such as the Financial Services Act 2012 and SMCR, have enhanced oversight and accountability within the banking sector, including Barclays. The establishment of the FCA and PRA has resulted in more effective supervision, improved consumer protection, and greater market integrity.</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Barclays' adoption of enhanced risk management practices and compliance measures has contributed to a more stable financial system by strengthening its resilience against economic downturns and mitigating risks. The improved regulatory frameworks have also increased transparency and reduced the risk of systemic failures.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While the reforms have undoubtedly improved the overall stability of the financial system and Barclays PLC, challenges persist. Compliance with complex regulations has led to increased operational costs for Barclays, impacting its profitability. Additionally, global coordination of regulatory standards remains essential to ensure a level playing field for banks operating across borders.</w:t>
      </w:r>
    </w:p>
    <w:p w:rsidR="00DC4E47" w:rsidRPr="00751754" w:rsidRDefault="00DC4E47" w:rsidP="00DC4E47">
      <w:pPr>
        <w:pStyle w:val="Heading2"/>
        <w:spacing w:line="360" w:lineRule="auto"/>
        <w:rPr>
          <w:rFonts w:ascii="Times New Roman" w:hAnsi="Times New Roman" w:cs="Times New Roman"/>
          <w:sz w:val="24"/>
          <w:szCs w:val="24"/>
        </w:rPr>
      </w:pPr>
      <w:bookmarkStart w:id="3" w:name="_Toc142909680"/>
      <w:r w:rsidRPr="00751754">
        <w:rPr>
          <w:rFonts w:ascii="Times New Roman" w:hAnsi="Times New Roman" w:cs="Times New Roman"/>
          <w:sz w:val="24"/>
          <w:szCs w:val="24"/>
        </w:rPr>
        <w:t>Analysis of the impact of reforms on Barclays PLC's business model and level of compliance:</w:t>
      </w:r>
      <w:bookmarkEnd w:id="3"/>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Post the 2008 financial crisis, Barclays PLC has undergone significant changes in its business model to meet regulatory requirements. The bank has shifted towards a more conservative approach, focusing on lower-risk assets and reducing exposure to high-risk activities. Compliance with SMCR has led to clearer lines of responsibility among senior managers, promoting a culture of accountability.</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Barclays has invested in technology and operational processes to comply with reporting obligations and transparency requirements set by the regulatory authorities. However, the increasing compliance burden has led to higher operating costs for the bank.</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Overall, the reforms have contributed to Barclays' enhanced risk management and governance, resulting in a more stable business model. While compliance with regulations has presented challenges, Barclays' commitment to meeting regulatory standards is essential for maintaining its reputation and credibility in the financial services industry.</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spacing w:line="360" w:lineRule="auto"/>
        <w:rPr>
          <w:rFonts w:ascii="Times New Roman" w:hAnsi="Times New Roman" w:cs="Times New Roman"/>
          <w:b/>
          <w:bCs/>
          <w:sz w:val="24"/>
          <w:szCs w:val="24"/>
        </w:rPr>
      </w:pPr>
      <w:r w:rsidRPr="00751754">
        <w:rPr>
          <w:rFonts w:ascii="Times New Roman" w:hAnsi="Times New Roman" w:cs="Times New Roman"/>
          <w:b/>
          <w:bCs/>
          <w:sz w:val="24"/>
          <w:szCs w:val="24"/>
        </w:rPr>
        <w:t>Basel III: Strengthening Global Banks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Basel III is a bunch of global banking regulations created by the Basel Committee on Banking Supervision. Its essential objective is to support the solidness of banks and defend against financial emergencies. The framework expects banks to keep up with higher capital levels, guaranteeing they have sufficient cash to endure monetary slumps and possible misfortunes. (Basel III: International Regulatory Framework for Banks 2017)</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regulations also introduce liquidity standards, like the Liquidity Coverage Ratio (LCR) and Net Stable Funding Ratio (NSFR), which mandate that banks should have enough liquid assets to handle short-term obligations. This prevents banks from facing cash shortages during financial stress.</w:t>
      </w:r>
    </w:p>
    <w:p w:rsidR="00DC4E47" w:rsidRPr="00751754" w:rsidRDefault="00DC4E47" w:rsidP="00DC4E47">
      <w:pPr>
        <w:pStyle w:val="Style1"/>
        <w:spacing w:line="360" w:lineRule="auto"/>
        <w:rPr>
          <w:rFonts w:ascii="Times New Roman" w:hAnsi="Times New Roman" w:cs="Times New Roman"/>
          <w:sz w:val="24"/>
          <w:szCs w:val="24"/>
        </w:rPr>
      </w:pPr>
      <w:bookmarkStart w:id="4" w:name="_Toc142909681"/>
      <w:r w:rsidRPr="00751754">
        <w:rPr>
          <w:rFonts w:ascii="Times New Roman" w:hAnsi="Times New Roman" w:cs="Times New Roman"/>
          <w:sz w:val="24"/>
          <w:szCs w:val="24"/>
        </w:rPr>
        <w:t>Identify the key laws, regulations and contracts that were enacted post the 2008 financial crises by Global players in the financial system to end the financial crises.</w:t>
      </w:r>
      <w:bookmarkEnd w:id="4"/>
    </w:p>
    <w:p w:rsidR="00DC4E47" w:rsidRPr="00751754" w:rsidRDefault="00DC4E47" w:rsidP="00DC4E47">
      <w:pPr>
        <w:pStyle w:val="Heading2"/>
        <w:spacing w:line="360" w:lineRule="auto"/>
        <w:rPr>
          <w:rFonts w:ascii="Times New Roman" w:hAnsi="Times New Roman" w:cs="Times New Roman"/>
          <w:sz w:val="24"/>
          <w:szCs w:val="24"/>
        </w:rPr>
      </w:pPr>
      <w:bookmarkStart w:id="5" w:name="_Toc142909682"/>
      <w:r w:rsidRPr="00751754">
        <w:rPr>
          <w:rFonts w:ascii="Times New Roman" w:hAnsi="Times New Roman" w:cs="Times New Roman"/>
          <w:sz w:val="24"/>
          <w:szCs w:val="24"/>
        </w:rPr>
        <w:t>Dodd-Frank Wall Street Reform and Consumer Protection Act: Defending Consumers and Markets</w:t>
      </w:r>
      <w:bookmarkEnd w:id="5"/>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Dodd-Frank Act, enacted in the United States, expects to handle the main drivers of the financial emergency and shield consumers from unjustifiable financial practices. It laid out the Consumer Financial Protection Bureau (CFPB), an autonomous office committed to guaranteeing consumers are dealt with genuinely in their financial dealings. The CFPB manages financial items and administrations to forestall harmful practices.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Furthermore, Dodd-Frank forces stricter regulations on enormous financial organizations, including pressure testing and higher capital prerequisites. The Volcker Rule, a piece of the act, limits banks from taking part in speculative exchanging, diminishing hazardous ways of behaving. (Government, 2010)</w:t>
      </w:r>
    </w:p>
    <w:p w:rsidR="00DC4E47" w:rsidRPr="00751754" w:rsidRDefault="00DC4E47" w:rsidP="00DC4E47">
      <w:pPr>
        <w:pStyle w:val="Heading2"/>
        <w:spacing w:line="360" w:lineRule="auto"/>
        <w:rPr>
          <w:rFonts w:ascii="Times New Roman" w:hAnsi="Times New Roman" w:cs="Times New Roman"/>
          <w:sz w:val="24"/>
          <w:szCs w:val="24"/>
        </w:rPr>
      </w:pPr>
      <w:bookmarkStart w:id="6" w:name="_Toc142909683"/>
      <w:r w:rsidRPr="00751754">
        <w:rPr>
          <w:rFonts w:ascii="Times New Roman" w:hAnsi="Times New Roman" w:cs="Times New Roman"/>
          <w:sz w:val="24"/>
          <w:szCs w:val="24"/>
        </w:rPr>
        <w:t>European Market Infrastructure Regulation (EMIR): Enhancing Derivatives Market Transparency</w:t>
      </w:r>
      <w:bookmarkEnd w:id="6"/>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EMIR, implemented within the European Union, targets the derivatives market to enhance transparency and reduce risk. It requires certain standardized derivatives contracts to be centrally cleared through authorized clearinghouses. By using central clearing, counterparty risks are reduced, and the overall stability of the market is improved.</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EMIR also mandates the reporting of derivatives trades to trade repositories, providing regulators with a comprehensive view of market exposure. This facilitates better risk assessment and enables timely action against potential systemic risks. (2023)</w:t>
      </w:r>
    </w:p>
    <w:p w:rsidR="00DC4E47" w:rsidRPr="00751754" w:rsidRDefault="00DC4E47" w:rsidP="00DC4E47">
      <w:pPr>
        <w:pStyle w:val="Heading2"/>
        <w:spacing w:line="360" w:lineRule="auto"/>
        <w:rPr>
          <w:rFonts w:ascii="Times New Roman" w:hAnsi="Times New Roman" w:cs="Times New Roman"/>
          <w:sz w:val="24"/>
          <w:szCs w:val="24"/>
        </w:rPr>
      </w:pPr>
      <w:bookmarkStart w:id="7" w:name="_Toc142909684"/>
      <w:r w:rsidRPr="00751754">
        <w:rPr>
          <w:rFonts w:ascii="Times New Roman" w:hAnsi="Times New Roman" w:cs="Times New Roman"/>
          <w:sz w:val="24"/>
          <w:szCs w:val="24"/>
        </w:rPr>
        <w:t>Code of Conduct for the Foreign Exchange Market: Restoring Market Confidence</w:t>
      </w:r>
      <w:bookmarkEnd w:id="7"/>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 xml:space="preserve">After the forex market's role in the financial crisis, global players in the foreign exchange market developed a Code of Conduct to promote fair and transparent practices. The code focuses on honesty, integrity, and professionalism in forex trading. </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Code of Conduct outlines guidelines for market participants, including banks, to ensure fairness, prevent market manipulation, and protect client interests. By adhering to these principles, market participants aim to restore trust and confidence in the forex market. (FX Global Code 2021)</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8" w:name="_Toc142909685"/>
      <w:r w:rsidRPr="00751754">
        <w:rPr>
          <w:rFonts w:ascii="Times New Roman" w:hAnsi="Times New Roman" w:cs="Times New Roman"/>
          <w:sz w:val="24"/>
          <w:szCs w:val="24"/>
        </w:rPr>
        <w:t>Bank Recovery and Resolution Directive (BRRD): Effective Resolution of Failing Banks</w:t>
      </w:r>
      <w:bookmarkEnd w:id="8"/>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BRRD, implemented within the European Union, establishes a clear resolution framework for failing banks. It aims to ensure that failing banks can be resolved in an orderly manner, minimizing risks to financial stability and avoiding taxpayer-funded bailouts.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directive empowers resolution authorities to take early intervention measures and implement resolution tools to maintain critical banking functions and protect depositors. This ensures that failing banks are managed efficiently, reducing the potential fallout on the broader financial system. (Bank Recovery and resolution 2023)</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These measures, collectively, have worked towards building a stronger and more stable financial system, preventing the recurrence of a severe financial crisis like the one experienced in 2008. The comprehensive regulatory reforms and enhanced risk management practices have fostered a more resilient global financial ecosystem, promoting greater investor and consumer confidence. (2023)</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In addition to the mentioned key laws, regulations, and contracts, global players in the financial system also took various other measures post the 2008 financial crisis to strengthen the resilience of the financial system and prevent future crises. Some of these additional measures include:</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9" w:name="_Toc142909686"/>
      <w:r w:rsidRPr="00751754">
        <w:rPr>
          <w:rFonts w:ascii="Times New Roman" w:hAnsi="Times New Roman" w:cs="Times New Roman"/>
          <w:sz w:val="24"/>
          <w:szCs w:val="24"/>
        </w:rPr>
        <w:t>Stress Testing and Risk Management Enhancements:</w:t>
      </w:r>
      <w:bookmarkEnd w:id="9"/>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Financial regulators and institutions implemented stress testing exercises to assess the ability of banks and financial institutions to withstand adverse economic conditions. Stress tests involve subjecting banks to hypothetical scenarios of economic downturns, enabling regulators to identify potential vulnerabilities and weaknesses in their risk management practices. Through these tests, banks were required to enhance their risk identification and mitigation strategies, thereby fortifying their financial stability.</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10" w:name="_Toc142909687"/>
      <w:r w:rsidRPr="00751754">
        <w:rPr>
          <w:rFonts w:ascii="Times New Roman" w:hAnsi="Times New Roman" w:cs="Times New Roman"/>
          <w:sz w:val="24"/>
          <w:szCs w:val="24"/>
        </w:rPr>
        <w:t>Systemically Important Financial Institutions (SIFI) Regulations:</w:t>
      </w:r>
      <w:bookmarkEnd w:id="10"/>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To address the risks posed by systemically important financial institutions (SIFIs), regulators introduced additional oversight and regulations for such institutions. SIFIs are financial institutions whose failure could have severe consequences for the broader financial system. Enhanced regulations required SIFIs to hold higher capital buffers, submit resolution plans, and undergo more rigorous supervision to reduce their systemic risk impact.</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11" w:name="_Toc142909688"/>
      <w:r w:rsidRPr="00751754">
        <w:rPr>
          <w:rFonts w:ascii="Times New Roman" w:hAnsi="Times New Roman" w:cs="Times New Roman"/>
          <w:sz w:val="24"/>
          <w:szCs w:val="24"/>
        </w:rPr>
        <w:t>Leverage Ratio and Capital Buffer Requirements:</w:t>
      </w:r>
      <w:bookmarkEnd w:id="11"/>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Regulators imposed leverage ratio requirements to limit the amount of debt that banks can hold relative to their capital. The leverage ratio complements traditional capital adequacy measures, ensuring that banks maintain sufficient capital to absorb potential losses. Additionally, capital buffer requirements were introduced, which mandated banks to hold additional capital during periods of economic expansion to act as a cushion during downturns. (2022)</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12" w:name="_Toc142909689"/>
      <w:r w:rsidRPr="00751754">
        <w:rPr>
          <w:rFonts w:ascii="Times New Roman" w:hAnsi="Times New Roman" w:cs="Times New Roman"/>
          <w:sz w:val="24"/>
          <w:szCs w:val="24"/>
        </w:rPr>
        <w:t>Regulatory Oversight and Coordination:</w:t>
      </w:r>
      <w:bookmarkEnd w:id="12"/>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Regulators around the world enhanced cross-border cooperation and coordination to address the challenges of a global financial system. International forums and regulatory bodies, such as the Financial Stability Board (FSB), facilitated dialogue and collaboration among regulators to develop common regulatory standards and foster consistent supervision across jurisdictions.</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13" w:name="_Toc142909690"/>
      <w:r w:rsidRPr="00751754">
        <w:rPr>
          <w:rFonts w:ascii="Times New Roman" w:hAnsi="Times New Roman" w:cs="Times New Roman"/>
          <w:sz w:val="24"/>
          <w:szCs w:val="24"/>
        </w:rPr>
        <w:t>Consumer Protection Measures:</w:t>
      </w:r>
      <w:bookmarkEnd w:id="13"/>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In addition to the establishment of consumer protection agencies, such as the CFPB in the U.S., regulators introduced various measures to protect consumers in financial transactions. This included improving disclosure requirements, ensuring transparent pricing, and enhancing measures to combat fraudulent practices in the financial industry. (Major consumer protection laws)</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Heading2"/>
        <w:spacing w:line="360" w:lineRule="auto"/>
        <w:rPr>
          <w:rFonts w:ascii="Times New Roman" w:hAnsi="Times New Roman" w:cs="Times New Roman"/>
          <w:sz w:val="24"/>
          <w:szCs w:val="24"/>
        </w:rPr>
      </w:pPr>
      <w:bookmarkStart w:id="14" w:name="_Toc142909691"/>
      <w:r w:rsidRPr="00751754">
        <w:rPr>
          <w:rFonts w:ascii="Times New Roman" w:hAnsi="Times New Roman" w:cs="Times New Roman"/>
          <w:sz w:val="24"/>
          <w:szCs w:val="24"/>
        </w:rPr>
        <w:t>Enhanced Resolution Frameworks:</w:t>
      </w:r>
      <w:bookmarkEnd w:id="14"/>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To address the "too big to fail" problem, financial authorities developed resolution frameworks for systematically important financial institutions. These frameworks outlined the steps and tools to be used in resolving failing institutions in an orderly manner, minimizing the impact on financial markets and reducing the need for taxpayer bailouts.</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Collectively, these measures aimed to create a more stable and resilient financial system, restore confidence in the markets, and protect consumers and investors. The comprehensive regulatory reforms and enhanced risk management practices sought to prevent a repeat of the 2008 financial crisis and build a more resilient financial ecosystem.</w:t>
      </w:r>
    </w:p>
    <w:p w:rsidR="00DC4E47" w:rsidRPr="00751754" w:rsidRDefault="00DC4E47" w:rsidP="00DC4E47">
      <w:pPr>
        <w:spacing w:line="360" w:lineRule="auto"/>
        <w:rPr>
          <w:rFonts w:ascii="Times New Roman" w:eastAsiaTheme="majorEastAsia" w:hAnsi="Times New Roman" w:cs="Times New Roman"/>
          <w:b/>
          <w:color w:val="2F5496" w:themeColor="accent1" w:themeShade="BF"/>
          <w:sz w:val="24"/>
          <w:szCs w:val="24"/>
        </w:rPr>
      </w:pPr>
      <w:r w:rsidRPr="00751754">
        <w:rPr>
          <w:rFonts w:ascii="Times New Roman" w:eastAsiaTheme="majorEastAsia" w:hAnsi="Times New Roman" w:cs="Times New Roman"/>
          <w:b/>
          <w:color w:val="2F5496" w:themeColor="accent1" w:themeShade="BF"/>
          <w:sz w:val="24"/>
          <w:szCs w:val="24"/>
        </w:rPr>
        <w:t>Referencing points one and two above, critically review the extent to which you think that these reforms have contributed towards stabilising the financial system and the different banking institutions post the 2008 crises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Introduction:</w:t>
      </w:r>
      <w:r w:rsidRPr="00751754">
        <w:rPr>
          <w:rFonts w:ascii="Times New Roman" w:hAnsi="Times New Roman" w:cs="Times New Roman"/>
          <w:sz w:val="24"/>
          <w:szCs w:val="24"/>
        </w:rPr>
        <w:t xml:space="preserve"> The aftermath of the 2008 financial crisis cast a glaring spotlight on the vulnerabilities within the global financial system, prompting authorities to initiate a wave of regulatory reforms. These reforms were a direct response to the cataclysmic events that unfolded, causing financial institutions to crumble and economies to teeter on the brink. The ensuing decade saw the implementation of a series of transformative changes aimed at bolstering the resilience of financial institutions and restoring trust in the system. This section delves into the multifaceted impact of these reforms on financial stability and banking institutions.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Stricter Capital and Liquidity Requirements:</w:t>
      </w:r>
      <w:r w:rsidRPr="00751754">
        <w:rPr>
          <w:rFonts w:ascii="Times New Roman" w:hAnsi="Times New Roman" w:cs="Times New Roman"/>
          <w:sz w:val="24"/>
          <w:szCs w:val="24"/>
        </w:rPr>
        <w:t xml:space="preserve"> One of the pivotal pillars of the post-2008 reforms was the introduction of stringent capital and liquidity requirements, epitomized by the Basel III framework. These regulations mandated financial institutions, including banking giants like Barclays Bank, to maintain higher capital reserves and bolster their liquidity positions. By requiring institutions to maintain a substantial cushion of capital in relation to their risk-weighted assets, these reforms served as a critical buffer against economic downturns. The provision of an ample capital buffer proved instrumental in ensuring that banks remained resilient during periods of financial stress.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Enhanced Risk Management Practices:</w:t>
      </w:r>
      <w:r w:rsidRPr="00751754">
        <w:rPr>
          <w:rFonts w:ascii="Times New Roman" w:hAnsi="Times New Roman" w:cs="Times New Roman"/>
          <w:sz w:val="24"/>
          <w:szCs w:val="24"/>
        </w:rPr>
        <w:t xml:space="preserve"> The reforms also precipitated a seismic shift in risk management practices across the financial landscape. Banking institutions, including Barclays Bank, found themselves compelled to </w:t>
      </w:r>
      <w:proofErr w:type="spellStart"/>
      <w:r w:rsidRPr="00751754">
        <w:rPr>
          <w:rFonts w:ascii="Times New Roman" w:hAnsi="Times New Roman" w:cs="Times New Roman"/>
          <w:sz w:val="24"/>
          <w:szCs w:val="24"/>
        </w:rPr>
        <w:t>reevaluate</w:t>
      </w:r>
      <w:proofErr w:type="spellEnd"/>
      <w:r w:rsidRPr="00751754">
        <w:rPr>
          <w:rFonts w:ascii="Times New Roman" w:hAnsi="Times New Roman" w:cs="Times New Roman"/>
          <w:sz w:val="24"/>
          <w:szCs w:val="24"/>
        </w:rPr>
        <w:t xml:space="preserve"> and enhance their risk assessment frameworks. This translated into the implementation of more robust stress testing methodologies, dynamic risk models, and sophisticated risk measurement tools. The rigorous assessment of potential risks, including those related to liquidity and market fluctuations, became the norm rather than the exception. Consequently, financial institutions were better equipped to anticipate and mitigate potential threats to stability.</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Transparency and Reporting:</w:t>
      </w:r>
      <w:r w:rsidRPr="00751754">
        <w:rPr>
          <w:rFonts w:ascii="Times New Roman" w:hAnsi="Times New Roman" w:cs="Times New Roman"/>
          <w:sz w:val="24"/>
          <w:szCs w:val="24"/>
        </w:rPr>
        <w:t xml:space="preserve"> The reforms sought to rectify the opacity that had shrouded financial markets, notably within the derivatives realm. Institutions like Barclays Bank were required to embrace transparency through improved reporting mechanisms. The increased transparency not only enabled investors and regulators to gain clearer insights into financial exposures but also facilitated the early detection of systemic vulnerabilities. The implementation of these reforms curtailed the propagation of hidden risks that had previously gone unchecked.</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Recovery and Resolution Mechanisms:</w:t>
      </w:r>
      <w:r w:rsidRPr="00751754">
        <w:rPr>
          <w:rFonts w:ascii="Times New Roman" w:hAnsi="Times New Roman" w:cs="Times New Roman"/>
          <w:sz w:val="24"/>
          <w:szCs w:val="24"/>
        </w:rPr>
        <w:t xml:space="preserve"> The establishment of robust recovery and resolution mechanisms, embodied in frameworks such as the Bank Recovery and Resolution Directive (BRRD), injected a new level of predictability into the resolution of failing institutions. This foresight minimized the risk of a domino effect triggered by the collapse of a single institution. By mandating strategies for the orderly winding down of distressed banks and the imposition of losses on stakeholders, the reforms provided a systematic approach to crisis management that stemmed panic-induced runs on institutions.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Ring-Fencing and Separation of Activities:</w:t>
      </w:r>
      <w:r w:rsidRPr="00751754">
        <w:rPr>
          <w:rFonts w:ascii="Times New Roman" w:hAnsi="Times New Roman" w:cs="Times New Roman"/>
          <w:sz w:val="24"/>
          <w:szCs w:val="24"/>
        </w:rPr>
        <w:t xml:space="preserve"> Reforms such as the Financial Services (Banking Reform) Act in the UK underscored the significance of segregating core banking activities from high-risk investment </w:t>
      </w:r>
      <w:proofErr w:type="spellStart"/>
      <w:r w:rsidRPr="00751754">
        <w:rPr>
          <w:rFonts w:ascii="Times New Roman" w:hAnsi="Times New Roman" w:cs="Times New Roman"/>
          <w:sz w:val="24"/>
          <w:szCs w:val="24"/>
        </w:rPr>
        <w:t>endeavors</w:t>
      </w:r>
      <w:proofErr w:type="spellEnd"/>
      <w:r w:rsidRPr="00751754">
        <w:rPr>
          <w:rFonts w:ascii="Times New Roman" w:hAnsi="Times New Roman" w:cs="Times New Roman"/>
          <w:sz w:val="24"/>
          <w:szCs w:val="24"/>
        </w:rPr>
        <w:t>. This ring-fencing concept sought to isolate retail banking operations from riskier activities, shielding vital services from the contagion that previously plagued the financial landscape. This separation, as exemplified by Barclays Bank, attenuated the potential transmission of shocks from one segment of the institution to another, thereby bolstering stability.</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Global Collaborations:</w:t>
      </w:r>
      <w:r w:rsidRPr="00751754">
        <w:rPr>
          <w:rFonts w:ascii="Times New Roman" w:hAnsi="Times New Roman" w:cs="Times New Roman"/>
          <w:sz w:val="24"/>
          <w:szCs w:val="24"/>
        </w:rPr>
        <w:t xml:space="preserve"> The collaborative nature of these reforms was underscored by the global unity exhibited by financial institutions and regulators. The reforms transcended borders, fostering a synchronized approach to safeguarding financial stability. This harmonization reinforced the resilience of the global financial system, diminishing the risk of regulatory arbitrage and ensuring consistency in risk management practices.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Challenges and Unintended Consequences:</w:t>
      </w:r>
      <w:r w:rsidRPr="00751754">
        <w:rPr>
          <w:rFonts w:ascii="Times New Roman" w:hAnsi="Times New Roman" w:cs="Times New Roman"/>
          <w:sz w:val="24"/>
          <w:szCs w:val="24"/>
        </w:rPr>
        <w:t xml:space="preserve"> While the reforms achieved commendable progress in enhancing financial stability, they were not devoid of challenges and potential unintended consequences. Striking the right balance between regulatory stringency and the facilitation of economic growth emerged as a recurrent concern. Critics argue that the heightened compliance burdens could potentially stifle innovation and limit credit availability, inadvertently impeding economic expansion.</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Conclusion:</w:t>
      </w:r>
      <w:r w:rsidRPr="00751754">
        <w:rPr>
          <w:rFonts w:ascii="Times New Roman" w:hAnsi="Times New Roman" w:cs="Times New Roman"/>
          <w:sz w:val="24"/>
          <w:szCs w:val="24"/>
        </w:rPr>
        <w:t xml:space="preserve"> In summation, the post-2008 financial crisis reforms ushered in an era of heightened stability and resiliency within the financial system. Stricter capital and liquidity requirements, enhanced risk management practices, transparency and reporting mechanisms, and the establishment of recovery and resolution frameworks collectively transformed the landscape. The separation of activities and the collaborative global approach underscored the commitment to thwarting future crises. While challenges persist, the enduring legacy of these reforms is a more secure financial ecosystem, exemplified by institutions like Barclays Bank, which stand fortified to weather the storms of uncertainty.</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Style1"/>
        <w:spacing w:line="360" w:lineRule="auto"/>
        <w:rPr>
          <w:rFonts w:ascii="Times New Roman" w:hAnsi="Times New Roman" w:cs="Times New Roman"/>
          <w:sz w:val="24"/>
          <w:szCs w:val="24"/>
        </w:rPr>
      </w:pPr>
      <w:bookmarkStart w:id="15" w:name="_Toc142909692"/>
      <w:proofErr w:type="spellStart"/>
      <w:r w:rsidRPr="00751754">
        <w:rPr>
          <w:rFonts w:ascii="Times New Roman" w:hAnsi="Times New Roman" w:cs="Times New Roman"/>
          <w:sz w:val="24"/>
          <w:szCs w:val="24"/>
        </w:rPr>
        <w:t>Analyzing</w:t>
      </w:r>
      <w:proofErr w:type="spellEnd"/>
      <w:r w:rsidRPr="00751754">
        <w:rPr>
          <w:rFonts w:ascii="Times New Roman" w:hAnsi="Times New Roman" w:cs="Times New Roman"/>
          <w:sz w:val="24"/>
          <w:szCs w:val="24"/>
        </w:rPr>
        <w:t xml:space="preserve"> the Impact of Reforms on Barclays Bank's Business Model and Compliance:</w:t>
      </w:r>
      <w:bookmarkEnd w:id="15"/>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Barclays Bank, a stalwart in the global financial sector, holds a significant position as a major player in banking and financial services. With a legacy dating back centuries, Barclays' operations have spanned continents, providing a range of services from retail banking to investment banking and asset management. In the wake of the 2008 financial crisis, as regulators and policymakers enacted a series of far-reaching reforms to safeguard the stability of the financial system, Barclays was not exempt from the transformative changes that ensued. This section delves into the nuanced exploration of how the post-2008 financial crisis reforms have intricately impacted Barclays Bank's business model and compliance practices.</w:t>
      </w:r>
    </w:p>
    <w:p w:rsidR="00DC4E47" w:rsidRPr="00751754" w:rsidRDefault="00DC4E47" w:rsidP="00DC4E47">
      <w:pPr>
        <w:pStyle w:val="Heading2"/>
        <w:spacing w:line="360" w:lineRule="auto"/>
        <w:rPr>
          <w:rFonts w:ascii="Times New Roman" w:hAnsi="Times New Roman" w:cs="Times New Roman"/>
          <w:sz w:val="24"/>
          <w:szCs w:val="24"/>
        </w:rPr>
      </w:pPr>
      <w:bookmarkStart w:id="16" w:name="_Toc142909693"/>
      <w:r w:rsidRPr="00751754">
        <w:rPr>
          <w:rFonts w:ascii="Times New Roman" w:hAnsi="Times New Roman" w:cs="Times New Roman"/>
          <w:sz w:val="24"/>
          <w:szCs w:val="24"/>
        </w:rPr>
        <w:t>Impact on Capital and Liquidity Requirements:</w:t>
      </w:r>
      <w:bookmarkEnd w:id="16"/>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Adaptation to Stricter Regulations:</w:t>
      </w:r>
      <w:r w:rsidRPr="00751754">
        <w:rPr>
          <w:rFonts w:ascii="Times New Roman" w:hAnsi="Times New Roman" w:cs="Times New Roman"/>
          <w:sz w:val="24"/>
          <w:szCs w:val="24"/>
        </w:rPr>
        <w:t xml:space="preserve"> In response to the post-2008 financial crisis reforms, particularly those outlined in the Basel III framework, Barclays Bank underwent a transformative process to adapt to the significantly stricter capital and liquidity requirements. These requirements were aimed at fortifying banks against potential economic downturns and systemic shocks.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Enhanced Capital Adequacy:</w:t>
      </w:r>
      <w:r w:rsidRPr="00751754">
        <w:rPr>
          <w:rFonts w:ascii="Times New Roman" w:hAnsi="Times New Roman" w:cs="Times New Roman"/>
          <w:sz w:val="24"/>
          <w:szCs w:val="24"/>
        </w:rPr>
        <w:t xml:space="preserve"> Barclays, like other financial institutions, responded by bolstering its capital adequacy. This involved increasing the amount of regulatory capital held in relation to its risk-weighted assets. The bank recalibrated its capital allocation strategies, adjusting business decisions to ensure compliance with higher capital thresholds. This, in turn, enabled Barclays to cushion itself against unforeseen financial stress, bolstering its resilience.</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Strategic Financial Planning:</w:t>
      </w:r>
      <w:r w:rsidRPr="00751754">
        <w:rPr>
          <w:rFonts w:ascii="Times New Roman" w:hAnsi="Times New Roman" w:cs="Times New Roman"/>
          <w:sz w:val="24"/>
          <w:szCs w:val="24"/>
        </w:rPr>
        <w:t xml:space="preserve"> The stricter capital requirements necessitated a recalibration of Barclays' strategic financial planning. The bank had to judiciously allocate capital resources across its various business lines, considering not only profit potential but also the regulatory capital implications. This shift in focus from profit-driven decision-making to a more balanced approach reflected the fundamental shift in the industry towards prudent risk management.</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Liquidity Management:</w:t>
      </w:r>
      <w:r w:rsidRPr="00751754">
        <w:rPr>
          <w:rFonts w:ascii="Times New Roman" w:hAnsi="Times New Roman" w:cs="Times New Roman"/>
          <w:sz w:val="24"/>
          <w:szCs w:val="24"/>
        </w:rPr>
        <w:t xml:space="preserve"> Beyond capital requirements, Basel III also emphasized robust liquidity management practices. Barclays, recognizing the importance of maintaining ample liquidity buffers, adopted measures to ensure it could meet its obligations even in times of market turmoil. The bank revised its liquidity risk management framework, factoring in stress scenarios and implementing mechanisms to promptly access funds when needed.</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Impact on Financial Products and Services:</w:t>
      </w:r>
      <w:r w:rsidRPr="00751754">
        <w:rPr>
          <w:rFonts w:ascii="Times New Roman" w:hAnsi="Times New Roman" w:cs="Times New Roman"/>
          <w:sz w:val="24"/>
          <w:szCs w:val="24"/>
        </w:rPr>
        <w:t xml:space="preserve"> The reforms' influence on capital and liquidity requirements extended to the very fabric of Barclays' financial products and services. The bank had to carefully assess the capital implications of various offerings, potentially leading to a reprioritization of products with higher capital requirements. This evaluation, in turn, informed Barclays' strategic product development, aligning it with the post-reform regulatory landscape.</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Risk Management Transformation:</w:t>
      </w:r>
      <w:r w:rsidRPr="00751754">
        <w:rPr>
          <w:rFonts w:ascii="Times New Roman" w:hAnsi="Times New Roman" w:cs="Times New Roman"/>
          <w:sz w:val="24"/>
          <w:szCs w:val="24"/>
        </w:rPr>
        <w:t xml:space="preserve"> The adaptations also </w:t>
      </w:r>
      <w:proofErr w:type="spellStart"/>
      <w:r w:rsidRPr="00751754">
        <w:rPr>
          <w:rFonts w:ascii="Times New Roman" w:hAnsi="Times New Roman" w:cs="Times New Roman"/>
          <w:sz w:val="24"/>
          <w:szCs w:val="24"/>
        </w:rPr>
        <w:t>catalyzed</w:t>
      </w:r>
      <w:proofErr w:type="spellEnd"/>
      <w:r w:rsidRPr="00751754">
        <w:rPr>
          <w:rFonts w:ascii="Times New Roman" w:hAnsi="Times New Roman" w:cs="Times New Roman"/>
          <w:sz w:val="24"/>
          <w:szCs w:val="24"/>
        </w:rPr>
        <w:t xml:space="preserve"> a transformation in Barclays' risk management practices. The bank, cognizant of the stricter capital and liquidity standards, took a more conservative stance towards risk exposure. Risk assessments were conducted more rigorously, and models were recalibrated to accurately assess potential losses under stress scenarios.</w:t>
      </w:r>
    </w:p>
    <w:p w:rsidR="00DC4E47" w:rsidRPr="00751754" w:rsidRDefault="00DC4E47" w:rsidP="00DC4E47">
      <w:pPr>
        <w:pStyle w:val="Heading2"/>
        <w:spacing w:line="360" w:lineRule="auto"/>
        <w:rPr>
          <w:rFonts w:ascii="Times New Roman" w:hAnsi="Times New Roman" w:cs="Times New Roman"/>
          <w:sz w:val="24"/>
          <w:szCs w:val="24"/>
        </w:rPr>
      </w:pPr>
      <w:bookmarkStart w:id="17" w:name="_Toc142909694"/>
      <w:r w:rsidRPr="00751754">
        <w:rPr>
          <w:rFonts w:ascii="Times New Roman" w:hAnsi="Times New Roman" w:cs="Times New Roman"/>
          <w:sz w:val="24"/>
          <w:szCs w:val="24"/>
        </w:rPr>
        <w:t>Risk Management Enhancements:</w:t>
      </w:r>
      <w:bookmarkEnd w:id="17"/>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Adaptation to Regulatory Landscape:</w:t>
      </w:r>
      <w:r w:rsidRPr="00751754">
        <w:rPr>
          <w:rFonts w:ascii="Times New Roman" w:hAnsi="Times New Roman" w:cs="Times New Roman"/>
          <w:sz w:val="24"/>
          <w:szCs w:val="24"/>
        </w:rPr>
        <w:t xml:space="preserve"> In the wake of the post-2008 financial crisis reforms, Barclays Bank embarked on a comprehensive journey to fortify its risk management practices. These enhancements were geared towards aligning with the evolving regulatory requirements and instilling a culture of prudent risk assessment across the organization.</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Robust Risk Assessment Framework:</w:t>
      </w:r>
      <w:r w:rsidRPr="00751754">
        <w:rPr>
          <w:rFonts w:ascii="Times New Roman" w:hAnsi="Times New Roman" w:cs="Times New Roman"/>
          <w:sz w:val="24"/>
          <w:szCs w:val="24"/>
        </w:rPr>
        <w:t xml:space="preserve"> Barclays undertook the recalibration of its risk assessment framework, recognizing the paramount importance of understanding and mitigating potential risks. The bank refined its methodologies for assessing credit, market, operational, and liquidity risks, incorporating stress testing scenarios that simulated extreme market conditions.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Enhanced Risk Governance:</w:t>
      </w:r>
      <w:r w:rsidRPr="00751754">
        <w:rPr>
          <w:rFonts w:ascii="Times New Roman" w:hAnsi="Times New Roman" w:cs="Times New Roman"/>
          <w:sz w:val="24"/>
          <w:szCs w:val="24"/>
        </w:rPr>
        <w:t xml:space="preserve"> To align with the heightened regulatory scrutiny, Barclays bolstered its risk governance structure. The bank appointed specialized risk committees and personnel responsible for monitoring risk exposures and ensuring that risk management practices adhered to regulatory guidelines. These governance enhancements fostered a more proactive approach to risk mitigation.</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Risk Mitigation Strategies:</w:t>
      </w:r>
      <w:r w:rsidRPr="00751754">
        <w:rPr>
          <w:rFonts w:ascii="Times New Roman" w:hAnsi="Times New Roman" w:cs="Times New Roman"/>
          <w:sz w:val="24"/>
          <w:szCs w:val="24"/>
        </w:rPr>
        <w:t xml:space="preserve"> Barclays also proactively adopted risk mitigation strategies to address the evolving regulatory landscape. The bank diversified its risk exposures and implemented measures to mitigate concentration risks within its portfolio. It prioritized risk-adjusted return metrics, leading to more informed decision-making across its business lines.</w:t>
      </w:r>
    </w:p>
    <w:p w:rsidR="00DC4E47" w:rsidRPr="00751754" w:rsidRDefault="00DC4E47" w:rsidP="00DC4E47">
      <w:pPr>
        <w:pStyle w:val="Heading2"/>
        <w:spacing w:line="360" w:lineRule="auto"/>
        <w:rPr>
          <w:rFonts w:ascii="Times New Roman" w:hAnsi="Times New Roman" w:cs="Times New Roman"/>
          <w:sz w:val="24"/>
          <w:szCs w:val="24"/>
        </w:rPr>
      </w:pPr>
      <w:bookmarkStart w:id="18" w:name="_Toc142909695"/>
      <w:r w:rsidRPr="00751754">
        <w:rPr>
          <w:rFonts w:ascii="Times New Roman" w:hAnsi="Times New Roman" w:cs="Times New Roman"/>
          <w:sz w:val="24"/>
          <w:szCs w:val="24"/>
        </w:rPr>
        <w:t>Transparency and Reporting Practices:</w:t>
      </w:r>
      <w:bookmarkEnd w:id="18"/>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Elevated Reporting Standards:</w:t>
      </w:r>
      <w:r w:rsidRPr="00751754">
        <w:rPr>
          <w:rFonts w:ascii="Times New Roman" w:hAnsi="Times New Roman" w:cs="Times New Roman"/>
          <w:sz w:val="24"/>
          <w:szCs w:val="24"/>
        </w:rPr>
        <w:t xml:space="preserve"> Barclays recognized the imperative of transparency and took substantial strides to elevate its reporting practices in line with the post-crisis regulatory environment. The bank undertook a meticulous overhaul of its reporting systems, ensuring that financial information was accurate, timely, and accessible to regulators, investors, and stakeholders.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Derivatives Trading Transparency:</w:t>
      </w:r>
      <w:r w:rsidRPr="00751754">
        <w:rPr>
          <w:rFonts w:ascii="Times New Roman" w:hAnsi="Times New Roman" w:cs="Times New Roman"/>
          <w:sz w:val="24"/>
          <w:szCs w:val="24"/>
        </w:rPr>
        <w:t xml:space="preserve"> Barclays made notable enhancements in the transparency of its derivatives trading activities, a realm that had been implicated in the pre-crisis opacity. The bank implemented advanced trade reporting systems that provided real-time visibility into derivatives trading, ensuring that regulators and investors had insights into the bank's exposures and positions.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Market Confidence Boost:</w:t>
      </w:r>
      <w:r w:rsidRPr="00751754">
        <w:rPr>
          <w:rFonts w:ascii="Times New Roman" w:hAnsi="Times New Roman" w:cs="Times New Roman"/>
          <w:sz w:val="24"/>
          <w:szCs w:val="24"/>
        </w:rPr>
        <w:t xml:space="preserve"> These changes, particularly the heightened transparency in reporting financial information and derivatives trading, had a tangible impact on market confidence. Investors and stakeholders gained greater visibility into the bank's financial health and risk exposures, mitigating the information asymmetry that had previously plagued the financial system.</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Enhanced Accountability:</w:t>
      </w:r>
      <w:r w:rsidRPr="00751754">
        <w:rPr>
          <w:rFonts w:ascii="Times New Roman" w:hAnsi="Times New Roman" w:cs="Times New Roman"/>
          <w:sz w:val="24"/>
          <w:szCs w:val="24"/>
        </w:rPr>
        <w:t xml:space="preserve"> Barclays' commitment to transparency was not limited to external reporting. The bank embraced an internal culture of accountability, where employees were encouraged to report potential risks and concerns without fear of reprisal. This open communication channel fostered quicker identification and mitigation of risks within the organization.</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 xml:space="preserve">In conclusion, the post-2008 financial crisis reforms </w:t>
      </w:r>
      <w:proofErr w:type="spellStart"/>
      <w:r w:rsidRPr="00751754">
        <w:rPr>
          <w:rFonts w:ascii="Times New Roman" w:hAnsi="Times New Roman" w:cs="Times New Roman"/>
          <w:sz w:val="24"/>
          <w:szCs w:val="24"/>
        </w:rPr>
        <w:t>catalyzed</w:t>
      </w:r>
      <w:proofErr w:type="spellEnd"/>
      <w:r w:rsidRPr="00751754">
        <w:rPr>
          <w:rFonts w:ascii="Times New Roman" w:hAnsi="Times New Roman" w:cs="Times New Roman"/>
          <w:sz w:val="24"/>
          <w:szCs w:val="24"/>
        </w:rPr>
        <w:t xml:space="preserve"> Barclays Bank's journey towards heightened risk management and transparency. The bank's commitment to robust risk assessment, enhanced risk governance, and the adoption of risk mitigation strategies showcased its determination to align with regulatory expectations. The elevation of reporting standards, especially in derivatives trading, contributed significantly to increasing market confidence. These risk management and transparency enhancements fortified Barclays' position in the post-crisis era, instilling a culture of vigilance and resilience in the face of an evolving financial landscape.</w:t>
      </w:r>
    </w:p>
    <w:p w:rsidR="00DC4E47" w:rsidRPr="00751754" w:rsidRDefault="00DC4E47" w:rsidP="00DC4E47">
      <w:pPr>
        <w:pStyle w:val="Heading2"/>
        <w:spacing w:line="360" w:lineRule="auto"/>
        <w:rPr>
          <w:rFonts w:ascii="Times New Roman" w:hAnsi="Times New Roman" w:cs="Times New Roman"/>
          <w:sz w:val="24"/>
          <w:szCs w:val="24"/>
        </w:rPr>
      </w:pPr>
      <w:bookmarkStart w:id="19" w:name="_Toc142909696"/>
      <w:r w:rsidRPr="00751754">
        <w:rPr>
          <w:rFonts w:ascii="Times New Roman" w:hAnsi="Times New Roman" w:cs="Times New Roman"/>
          <w:sz w:val="24"/>
          <w:szCs w:val="24"/>
        </w:rPr>
        <w:t>Recovery and Resolution Planning:</w:t>
      </w:r>
      <w:bookmarkEnd w:id="19"/>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Compliance Strategies:</w:t>
      </w:r>
      <w:r w:rsidRPr="00751754">
        <w:rPr>
          <w:rFonts w:ascii="Times New Roman" w:hAnsi="Times New Roman" w:cs="Times New Roman"/>
          <w:sz w:val="24"/>
          <w:szCs w:val="24"/>
        </w:rPr>
        <w:t xml:space="preserve"> Barclays Bank, in response to the post-2008 reforms, diligently embraced the concept of recovery and resolution planning as mandated by frameworks like the Bank Recovery and Resolution Directive (BRRD). The bank formulated comprehensive strategies to ensure its capacity to navigate potential crises by swiftly recovering from financial distress and, if necessary, undergoing an orderly resolution.</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Scenario-Based Preparedness:</w:t>
      </w:r>
      <w:r w:rsidRPr="00751754">
        <w:rPr>
          <w:rFonts w:ascii="Times New Roman" w:hAnsi="Times New Roman" w:cs="Times New Roman"/>
          <w:sz w:val="24"/>
          <w:szCs w:val="24"/>
        </w:rPr>
        <w:t xml:space="preserve"> Barclays developed an array of scenarios that simulated various stress scenarios, including liquidity shortages, economic downturns, and operational failures. These scenarios formed the basis for constructing robust recovery plans that enabled the bank to identify triggers and actions required to swiftly restore stability.</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Resolution Frameworks:</w:t>
      </w:r>
      <w:r w:rsidRPr="00751754">
        <w:rPr>
          <w:rFonts w:ascii="Times New Roman" w:hAnsi="Times New Roman" w:cs="Times New Roman"/>
          <w:sz w:val="24"/>
          <w:szCs w:val="24"/>
        </w:rPr>
        <w:t xml:space="preserve"> In alignment with resolution mechanisms, Barclays designed internal frameworks to facilitate a seamless resolution process in the event of a crisis. The bank established segregated legal entities for critical functions and assets, facilitating their swift separation if necessary. This approach streamlined the resolution process while minimizing potential systemic disruptions.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Implications on Crisis Navigation:</w:t>
      </w:r>
      <w:r w:rsidRPr="00751754">
        <w:rPr>
          <w:rFonts w:ascii="Times New Roman" w:hAnsi="Times New Roman" w:cs="Times New Roman"/>
          <w:sz w:val="24"/>
          <w:szCs w:val="24"/>
        </w:rPr>
        <w:t xml:space="preserve"> Barclays' adherence to recovery and resolution planning endowed the bank with a clear roadmap to navigate potential crises. By promptly recognizing and addressing vulnerabilities, the bank's ability to recover from distress and implement resolution measures was significantly enhanced. This strategic foresight translated into a higher level of market confidence and reduced systemic risk exposure.</w:t>
      </w:r>
    </w:p>
    <w:p w:rsidR="00DC4E47" w:rsidRPr="00751754" w:rsidRDefault="00DC4E47" w:rsidP="00DC4E47">
      <w:pPr>
        <w:pStyle w:val="Heading2"/>
        <w:spacing w:line="360" w:lineRule="auto"/>
        <w:rPr>
          <w:rFonts w:ascii="Times New Roman" w:hAnsi="Times New Roman" w:cs="Times New Roman"/>
          <w:sz w:val="24"/>
          <w:szCs w:val="24"/>
        </w:rPr>
      </w:pPr>
      <w:bookmarkStart w:id="20" w:name="_Toc142909697"/>
      <w:r w:rsidRPr="00751754">
        <w:rPr>
          <w:rFonts w:ascii="Times New Roman" w:hAnsi="Times New Roman" w:cs="Times New Roman"/>
          <w:sz w:val="24"/>
          <w:szCs w:val="24"/>
        </w:rPr>
        <w:t>Ring-Fencing Implementation:</w:t>
      </w:r>
      <w:bookmarkEnd w:id="20"/>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Separation of Activities:</w:t>
      </w:r>
      <w:r w:rsidRPr="00751754">
        <w:rPr>
          <w:rFonts w:ascii="Times New Roman" w:hAnsi="Times New Roman" w:cs="Times New Roman"/>
          <w:sz w:val="24"/>
          <w:szCs w:val="24"/>
        </w:rPr>
        <w:t xml:space="preserve"> Barclays responded to the requirement of ring-fencing measures by separating its retail banking activities from riskier investment banking </w:t>
      </w:r>
      <w:proofErr w:type="spellStart"/>
      <w:r w:rsidRPr="00751754">
        <w:rPr>
          <w:rFonts w:ascii="Times New Roman" w:hAnsi="Times New Roman" w:cs="Times New Roman"/>
          <w:sz w:val="24"/>
          <w:szCs w:val="24"/>
        </w:rPr>
        <w:t>endeavors</w:t>
      </w:r>
      <w:proofErr w:type="spellEnd"/>
      <w:r w:rsidRPr="00751754">
        <w:rPr>
          <w:rFonts w:ascii="Times New Roman" w:hAnsi="Times New Roman" w:cs="Times New Roman"/>
          <w:sz w:val="24"/>
          <w:szCs w:val="24"/>
        </w:rPr>
        <w:t>. The bank's structure was reconfigured to isolate core banking functions, ensuring that they remain unaffected by potential shocks stemming from investment banking activities.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Structural Adjustments:</w:t>
      </w:r>
      <w:r w:rsidRPr="00751754">
        <w:rPr>
          <w:rFonts w:ascii="Times New Roman" w:hAnsi="Times New Roman" w:cs="Times New Roman"/>
          <w:sz w:val="24"/>
          <w:szCs w:val="24"/>
        </w:rPr>
        <w:t xml:space="preserve"> Barclays underwent substantial structural adjustments to comply with ring-fencing measures. The bank established distinct legal entities for its retail and investment banking segments, ensuring a clear demarcation between the two. This entailed allocating distinct assets, liabilities, and capital to each entity, bolstering the insulation of retail banking from high-risk operations.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Operational Changes:</w:t>
      </w:r>
      <w:r w:rsidRPr="00751754">
        <w:rPr>
          <w:rFonts w:ascii="Times New Roman" w:hAnsi="Times New Roman" w:cs="Times New Roman"/>
          <w:sz w:val="24"/>
          <w:szCs w:val="24"/>
        </w:rPr>
        <w:t xml:space="preserve"> The implementation of ring-fencing necessitated operational changes within Barclays. The bank's governance, risk management, and reporting mechanisms were tailored to align with the segregated structure. This ensured that decision-making processes were distinct and focused on maintaining the integrity of retail banking services.</w:t>
      </w:r>
    </w:p>
    <w:p w:rsidR="00DC4E47" w:rsidRPr="00751754" w:rsidRDefault="00DC4E47" w:rsidP="00DC4E47">
      <w:pPr>
        <w:pStyle w:val="Heading2"/>
        <w:spacing w:line="360" w:lineRule="auto"/>
        <w:rPr>
          <w:rFonts w:ascii="Times New Roman" w:hAnsi="Times New Roman" w:cs="Times New Roman"/>
          <w:sz w:val="24"/>
          <w:szCs w:val="24"/>
        </w:rPr>
      </w:pPr>
      <w:bookmarkStart w:id="21" w:name="_Toc142909698"/>
      <w:r w:rsidRPr="00751754">
        <w:rPr>
          <w:rFonts w:ascii="Times New Roman" w:hAnsi="Times New Roman" w:cs="Times New Roman"/>
          <w:sz w:val="24"/>
          <w:szCs w:val="24"/>
        </w:rPr>
        <w:t>Global Regulatory Alignment:</w:t>
      </w:r>
      <w:bookmarkEnd w:id="21"/>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Unified Approach to Compliance:</w:t>
      </w:r>
      <w:r w:rsidRPr="00751754">
        <w:rPr>
          <w:rFonts w:ascii="Times New Roman" w:hAnsi="Times New Roman" w:cs="Times New Roman"/>
          <w:sz w:val="24"/>
          <w:szCs w:val="24"/>
        </w:rPr>
        <w:t xml:space="preserve"> Barclays Bank demonstrated its commitment to global regulatory alignment by collaborating with regulators across jurisdictions. The bank engaged in proactive discussions and information-sharing to ensure consistent interpretation and application of reforms.</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Cross-Border Consistency:</w:t>
      </w:r>
      <w:r w:rsidRPr="00751754">
        <w:rPr>
          <w:rFonts w:ascii="Times New Roman" w:hAnsi="Times New Roman" w:cs="Times New Roman"/>
          <w:sz w:val="24"/>
          <w:szCs w:val="24"/>
        </w:rPr>
        <w:t xml:space="preserve"> Barclays' alignment with global reforms facilitated cross-border consistency in its operations. The bank adhered to comparable standards regardless of the jurisdiction it operated in, ensuring that risks were managed uniformly and mitigating the potential for regulatory arbitrage.</w:t>
      </w:r>
    </w:p>
    <w:p w:rsidR="00DC4E47" w:rsidRPr="00751754" w:rsidRDefault="00DC4E47" w:rsidP="00DC4E47">
      <w:pPr>
        <w:pStyle w:val="Heading2"/>
        <w:spacing w:line="360" w:lineRule="auto"/>
        <w:rPr>
          <w:rFonts w:ascii="Times New Roman" w:hAnsi="Times New Roman" w:cs="Times New Roman"/>
          <w:sz w:val="24"/>
          <w:szCs w:val="24"/>
        </w:rPr>
      </w:pPr>
      <w:bookmarkStart w:id="22" w:name="_Toc142909699"/>
      <w:r w:rsidRPr="00751754">
        <w:rPr>
          <w:rFonts w:ascii="Times New Roman" w:hAnsi="Times New Roman" w:cs="Times New Roman"/>
          <w:sz w:val="24"/>
          <w:szCs w:val="24"/>
        </w:rPr>
        <w:t>Challenges Faced and Innovations:</w:t>
      </w:r>
      <w:bookmarkEnd w:id="22"/>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Adapting to Stringent Requirements:</w:t>
      </w:r>
      <w:r w:rsidRPr="00751754">
        <w:rPr>
          <w:rFonts w:ascii="Times New Roman" w:hAnsi="Times New Roman" w:cs="Times New Roman"/>
          <w:sz w:val="24"/>
          <w:szCs w:val="24"/>
        </w:rPr>
        <w:t xml:space="preserve"> Barclays encountered challenges in aligning its operations with the stringent requirements imposed by post-crisis reforms. Striking a balance between compliance and business growth proved intricate, as increased regulations sometimes led to delays in product development and decision-making.</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Innovations in Risk Technology:</w:t>
      </w:r>
      <w:r w:rsidRPr="00751754">
        <w:rPr>
          <w:rFonts w:ascii="Times New Roman" w:hAnsi="Times New Roman" w:cs="Times New Roman"/>
          <w:sz w:val="24"/>
          <w:szCs w:val="24"/>
        </w:rPr>
        <w:t xml:space="preserve"> To surmount challenges, Barclays innovated by adopting advanced risk technology. The bank integrated sophisticated analytics and </w:t>
      </w:r>
      <w:proofErr w:type="spellStart"/>
      <w:r w:rsidRPr="00751754">
        <w:rPr>
          <w:rFonts w:ascii="Times New Roman" w:hAnsi="Times New Roman" w:cs="Times New Roman"/>
          <w:sz w:val="24"/>
          <w:szCs w:val="24"/>
        </w:rPr>
        <w:t>modeling</w:t>
      </w:r>
      <w:proofErr w:type="spellEnd"/>
      <w:r w:rsidRPr="00751754">
        <w:rPr>
          <w:rFonts w:ascii="Times New Roman" w:hAnsi="Times New Roman" w:cs="Times New Roman"/>
          <w:sz w:val="24"/>
          <w:szCs w:val="24"/>
        </w:rPr>
        <w:t xml:space="preserve"> tools to streamline risk assessments and ensure swift compliance. This innovation enabled the bank to efficiently meet regulatory demands without impeding its operational agility.</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Client-Centric Innovations:</w:t>
      </w:r>
      <w:r w:rsidRPr="00751754">
        <w:rPr>
          <w:rFonts w:ascii="Times New Roman" w:hAnsi="Times New Roman" w:cs="Times New Roman"/>
          <w:sz w:val="24"/>
          <w:szCs w:val="24"/>
        </w:rPr>
        <w:t xml:space="preserve"> Barclays prioritized innovation in client-facing areas to navigate challenges seamlessly. The bank harnessed technology to enhance customer experience, enabling digital interactions while adhering to compliance requirements. This client-centric approach safeguarded the bank's competitive edge while ensuring regulatory compliance.</w:t>
      </w:r>
    </w:p>
    <w:p w:rsidR="00DC4E47" w:rsidRPr="00751754" w:rsidRDefault="00DC4E47" w:rsidP="00DC4E47">
      <w:pPr>
        <w:pStyle w:val="Heading2"/>
        <w:spacing w:line="360" w:lineRule="auto"/>
        <w:rPr>
          <w:rFonts w:ascii="Times New Roman" w:hAnsi="Times New Roman" w:cs="Times New Roman"/>
          <w:sz w:val="24"/>
          <w:szCs w:val="24"/>
        </w:rPr>
      </w:pPr>
      <w:bookmarkStart w:id="23" w:name="_Toc142909700"/>
      <w:r w:rsidRPr="00751754">
        <w:rPr>
          <w:rFonts w:ascii="Times New Roman" w:hAnsi="Times New Roman" w:cs="Times New Roman"/>
          <w:sz w:val="24"/>
          <w:szCs w:val="24"/>
        </w:rPr>
        <w:t>Assessment of Impact:</w:t>
      </w:r>
      <w:bookmarkEnd w:id="23"/>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The post-2008 financial crisis reforms have left an indelible mark on Barclays' business model and compliance practices, ushering in both positive outcomes and potential areas for improvement.</w:t>
      </w:r>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Positive Outcomes:</w:t>
      </w:r>
    </w:p>
    <w:p w:rsidR="00DC4E47" w:rsidRPr="00751754" w:rsidRDefault="00DC4E47" w:rsidP="00DC4E47">
      <w:pPr>
        <w:numPr>
          <w:ilvl w:val="0"/>
          <w:numId w:val="1"/>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Enhanced Resilience:</w:t>
      </w:r>
      <w:r w:rsidRPr="00751754">
        <w:rPr>
          <w:rFonts w:ascii="Times New Roman" w:hAnsi="Times New Roman" w:cs="Times New Roman"/>
          <w:sz w:val="24"/>
          <w:szCs w:val="24"/>
        </w:rPr>
        <w:t xml:space="preserve"> Barclays' adaptation to stricter capital and liquidity requirements has significantly bolstered its resilience against market uncertainties and economic downturns. The bank's fortified capital position enables it to weather financial storms more effectively.</w:t>
      </w:r>
    </w:p>
    <w:p w:rsidR="00DC4E47" w:rsidRPr="00751754" w:rsidRDefault="00DC4E47" w:rsidP="00DC4E47">
      <w:pPr>
        <w:numPr>
          <w:ilvl w:val="0"/>
          <w:numId w:val="1"/>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Improved Risk Management:</w:t>
      </w:r>
      <w:r w:rsidRPr="00751754">
        <w:rPr>
          <w:rFonts w:ascii="Times New Roman" w:hAnsi="Times New Roman" w:cs="Times New Roman"/>
          <w:sz w:val="24"/>
          <w:szCs w:val="24"/>
        </w:rPr>
        <w:t xml:space="preserve"> The reforms have </w:t>
      </w:r>
      <w:proofErr w:type="spellStart"/>
      <w:r w:rsidRPr="00751754">
        <w:rPr>
          <w:rFonts w:ascii="Times New Roman" w:hAnsi="Times New Roman" w:cs="Times New Roman"/>
          <w:sz w:val="24"/>
          <w:szCs w:val="24"/>
        </w:rPr>
        <w:t>catalyzed</w:t>
      </w:r>
      <w:proofErr w:type="spellEnd"/>
      <w:r w:rsidRPr="00751754">
        <w:rPr>
          <w:rFonts w:ascii="Times New Roman" w:hAnsi="Times New Roman" w:cs="Times New Roman"/>
          <w:sz w:val="24"/>
          <w:szCs w:val="24"/>
        </w:rPr>
        <w:t xml:space="preserve"> a transformation in Barclays' risk management practices. The bank's enhanced risk assessment frameworks, governance structures, and risk mitigation strategies have contributed to a more proactive and informed approach to risk management.</w:t>
      </w:r>
    </w:p>
    <w:p w:rsidR="00DC4E47" w:rsidRPr="00751754" w:rsidRDefault="00DC4E47" w:rsidP="00DC4E47">
      <w:pPr>
        <w:numPr>
          <w:ilvl w:val="0"/>
          <w:numId w:val="1"/>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Transparency and Accountability:</w:t>
      </w:r>
      <w:r w:rsidRPr="00751754">
        <w:rPr>
          <w:rFonts w:ascii="Times New Roman" w:hAnsi="Times New Roman" w:cs="Times New Roman"/>
          <w:sz w:val="24"/>
          <w:szCs w:val="24"/>
        </w:rPr>
        <w:t xml:space="preserve"> The elevation of transparency and reporting standards, coupled with innovations in technology, has improved Barclays' credibility and accountability. Both internal and external stakeholders can now make more informed decisions, fostering greater trust in the bank's operations.</w:t>
      </w:r>
    </w:p>
    <w:p w:rsidR="00DC4E47" w:rsidRPr="00751754" w:rsidRDefault="00DC4E47" w:rsidP="00DC4E47">
      <w:pPr>
        <w:numPr>
          <w:ilvl w:val="0"/>
          <w:numId w:val="1"/>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Strategic Alignment:</w:t>
      </w:r>
      <w:r w:rsidRPr="00751754">
        <w:rPr>
          <w:rFonts w:ascii="Times New Roman" w:hAnsi="Times New Roman" w:cs="Times New Roman"/>
          <w:sz w:val="24"/>
          <w:szCs w:val="24"/>
        </w:rPr>
        <w:t xml:space="preserve"> The reforms have compelled Barclays to align its strategies with regulatory expectations. The bank's focus on compliance has led to the implementation of prudent business decisions that prioritize long-term stability over short-term gains.</w:t>
      </w:r>
    </w:p>
    <w:p w:rsidR="00DC4E47" w:rsidRPr="00751754" w:rsidRDefault="00DC4E47" w:rsidP="00DC4E47">
      <w:pPr>
        <w:pStyle w:val="Heading2"/>
        <w:spacing w:line="360" w:lineRule="auto"/>
        <w:rPr>
          <w:rFonts w:ascii="Times New Roman" w:hAnsi="Times New Roman" w:cs="Times New Roman"/>
          <w:sz w:val="24"/>
          <w:szCs w:val="24"/>
        </w:rPr>
      </w:pPr>
      <w:bookmarkStart w:id="24" w:name="_Toc142909701"/>
      <w:r w:rsidRPr="00751754">
        <w:rPr>
          <w:rFonts w:ascii="Times New Roman" w:hAnsi="Times New Roman" w:cs="Times New Roman"/>
          <w:sz w:val="24"/>
          <w:szCs w:val="24"/>
        </w:rPr>
        <w:t>Areas for Improvement:</w:t>
      </w:r>
      <w:bookmarkEnd w:id="24"/>
    </w:p>
    <w:p w:rsidR="00DC4E47" w:rsidRPr="00751754" w:rsidRDefault="00DC4E47" w:rsidP="00DC4E47">
      <w:pPr>
        <w:numPr>
          <w:ilvl w:val="0"/>
          <w:numId w:val="2"/>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Operational Agility:</w:t>
      </w:r>
      <w:r w:rsidRPr="00751754">
        <w:rPr>
          <w:rFonts w:ascii="Times New Roman" w:hAnsi="Times New Roman" w:cs="Times New Roman"/>
          <w:sz w:val="24"/>
          <w:szCs w:val="24"/>
        </w:rPr>
        <w:t xml:space="preserve"> While regulatory compliance is paramount, Barclays could strive to balance compliance with operational agility. Streamlining processes and minimizing bureaucratic hurdles could enhance the bank's ability to adapt swiftly to changing market dynamics.</w:t>
      </w:r>
    </w:p>
    <w:p w:rsidR="00DC4E47" w:rsidRPr="00751754" w:rsidRDefault="00DC4E47" w:rsidP="00DC4E47">
      <w:pPr>
        <w:numPr>
          <w:ilvl w:val="0"/>
          <w:numId w:val="2"/>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Innovation and Competition:</w:t>
      </w:r>
      <w:r w:rsidRPr="00751754">
        <w:rPr>
          <w:rFonts w:ascii="Times New Roman" w:hAnsi="Times New Roman" w:cs="Times New Roman"/>
          <w:sz w:val="24"/>
          <w:szCs w:val="24"/>
        </w:rPr>
        <w:t xml:space="preserve"> As the regulatory landscape evolves, Barclays should continuously innovate to maintain its competitive edge. Striking a balance between compliance and innovation will be pivotal in ensuring sustained growth in a rapidly changing financial environment.</w:t>
      </w:r>
    </w:p>
    <w:p w:rsidR="00DC4E47" w:rsidRPr="00751754" w:rsidRDefault="00DC4E47" w:rsidP="00DC4E47">
      <w:pPr>
        <w:numPr>
          <w:ilvl w:val="0"/>
          <w:numId w:val="2"/>
        </w:numPr>
        <w:spacing w:line="360" w:lineRule="auto"/>
        <w:rPr>
          <w:rFonts w:ascii="Times New Roman" w:hAnsi="Times New Roman" w:cs="Times New Roman"/>
          <w:sz w:val="24"/>
          <w:szCs w:val="24"/>
        </w:rPr>
      </w:pPr>
      <w:r w:rsidRPr="00751754">
        <w:rPr>
          <w:rFonts w:ascii="Times New Roman" w:hAnsi="Times New Roman" w:cs="Times New Roman"/>
          <w:b/>
          <w:bCs/>
          <w:sz w:val="24"/>
          <w:szCs w:val="24"/>
        </w:rPr>
        <w:t>Client-Centricity:</w:t>
      </w:r>
      <w:r w:rsidRPr="00751754">
        <w:rPr>
          <w:rFonts w:ascii="Times New Roman" w:hAnsi="Times New Roman" w:cs="Times New Roman"/>
          <w:sz w:val="24"/>
          <w:szCs w:val="24"/>
        </w:rPr>
        <w:t xml:space="preserve"> While Barclays has made strides in aligning with regulations, the bank could further refine its client-centric approach. By leveraging technology and innovative solutions, the bank can enhance customer experiences while adhering to regulatory obligations.</w:t>
      </w:r>
    </w:p>
    <w:p w:rsidR="00DC4E47" w:rsidRPr="00751754" w:rsidRDefault="00DC4E47" w:rsidP="00DC4E47">
      <w:pPr>
        <w:pStyle w:val="Heading2"/>
        <w:spacing w:line="360" w:lineRule="auto"/>
        <w:rPr>
          <w:rFonts w:ascii="Times New Roman" w:hAnsi="Times New Roman" w:cs="Times New Roman"/>
          <w:sz w:val="24"/>
          <w:szCs w:val="24"/>
        </w:rPr>
      </w:pPr>
      <w:bookmarkStart w:id="25" w:name="_Toc142909702"/>
      <w:r w:rsidRPr="00751754">
        <w:rPr>
          <w:rFonts w:ascii="Times New Roman" w:hAnsi="Times New Roman" w:cs="Times New Roman"/>
          <w:sz w:val="24"/>
          <w:szCs w:val="24"/>
        </w:rPr>
        <w:t>Conclusion:</w:t>
      </w:r>
      <w:bookmarkEnd w:id="25"/>
    </w:p>
    <w:p w:rsidR="00DC4E47" w:rsidRPr="00751754" w:rsidRDefault="00DC4E47" w:rsidP="00DC4E47">
      <w:pPr>
        <w:spacing w:line="360" w:lineRule="auto"/>
        <w:rPr>
          <w:rFonts w:ascii="Times New Roman" w:hAnsi="Times New Roman" w:cs="Times New Roman"/>
          <w:sz w:val="24"/>
          <w:szCs w:val="24"/>
        </w:rPr>
      </w:pPr>
      <w:r w:rsidRPr="00751754">
        <w:rPr>
          <w:rFonts w:ascii="Times New Roman" w:hAnsi="Times New Roman" w:cs="Times New Roman"/>
          <w:sz w:val="24"/>
          <w:szCs w:val="24"/>
        </w:rPr>
        <w:t>In the aftermath of the 2008 financial crisis, Barclays Bank's response to post-crisis reforms exemplifies its commitment to resilience, transparency, and alignment with global standards. The bank's adaptation to stricter capital and liquidity requirements, transparency enhancements, and innovations in risk technology showcase its dedication to long-term stability. While there remain areas for improvement, such as operational agility and client-centricity, Barclays' proactive approach positions it as a stalwart in the modern financial landscape. By embracing reforms, Barclays is not only enhancing its own ability to navigate financial challenges but also contributing to the overall stability of the global financial system.</w:t>
      </w:r>
    </w:p>
    <w:p w:rsidR="00DC4E47" w:rsidRPr="00751754" w:rsidRDefault="00DC4E47" w:rsidP="00DC4E47">
      <w:pPr>
        <w:spacing w:line="360" w:lineRule="auto"/>
        <w:rPr>
          <w:rFonts w:ascii="Times New Roman" w:hAnsi="Times New Roman" w:cs="Times New Roman"/>
          <w:sz w:val="24"/>
          <w:szCs w:val="24"/>
        </w:rPr>
      </w:pPr>
    </w:p>
    <w:p w:rsidR="00DC4E47" w:rsidRPr="00751754" w:rsidRDefault="00DC4E47" w:rsidP="00DC4E47">
      <w:pPr>
        <w:pStyle w:val="Style1"/>
        <w:spacing w:line="360" w:lineRule="auto"/>
        <w:rPr>
          <w:rFonts w:ascii="Times New Roman" w:hAnsi="Times New Roman" w:cs="Times New Roman"/>
          <w:sz w:val="24"/>
          <w:szCs w:val="24"/>
        </w:rPr>
      </w:pPr>
      <w:bookmarkStart w:id="26" w:name="_Toc142909703"/>
      <w:r w:rsidRPr="00751754">
        <w:rPr>
          <w:rFonts w:ascii="Times New Roman" w:hAnsi="Times New Roman" w:cs="Times New Roman"/>
          <w:sz w:val="24"/>
          <w:szCs w:val="24"/>
        </w:rPr>
        <w:t>References</w:t>
      </w:r>
      <w:bookmarkEnd w:id="26"/>
    </w:p>
    <w:p w:rsidR="00DC4E47" w:rsidRPr="00300A64" w:rsidRDefault="00DC4E47" w:rsidP="00DC4E47">
      <w:pPr>
        <w:spacing w:line="360" w:lineRule="auto"/>
        <w:rPr>
          <w:rFonts w:cstheme="minorHAnsi"/>
          <w:sz w:val="24"/>
          <w:szCs w:val="24"/>
        </w:rPr>
      </w:pP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Acharya, V.V., Berger, A.N. and Roman, R.A., 2018. Lending implications of US bank stress tests: Costs or benefits? </w:t>
      </w:r>
      <w:r w:rsidRPr="00553F18">
        <w:rPr>
          <w:rFonts w:cstheme="minorHAnsi"/>
          <w:i/>
          <w:iCs/>
          <w:sz w:val="24"/>
          <w:szCs w:val="24"/>
        </w:rPr>
        <w:t>Journal of Financial Intermediation</w:t>
      </w:r>
      <w:r w:rsidRPr="00553F18">
        <w:rPr>
          <w:rFonts w:cstheme="minorHAnsi"/>
          <w:sz w:val="24"/>
          <w:szCs w:val="24"/>
        </w:rPr>
        <w:t>, 34, pp.58-90.</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Bank Recovery and resolution. 2023. Finance. Available at: </w:t>
      </w:r>
      <w:hyperlink r:id="rId5" w:anchor=":~:text=%E2%80%A2%E2%80%A2%E2%80%A2-,Bank%20Recovery%20and%20Resolution%20Directive,)%20%2D%202014%2F59%2FEU&amp;amp;text=The%20directive%20requires%20banks%20to,with%20minimal%20costs%20for%20taxpayers" w:tgtFrame="_new" w:history="1">
        <w:r w:rsidRPr="00553F18">
          <w:rPr>
            <w:rStyle w:val="Hyperlink"/>
            <w:rFonts w:cstheme="minorHAnsi"/>
            <w:sz w:val="24"/>
            <w:szCs w:val="24"/>
          </w:rPr>
          <w:t>https://finance.ec.europa.eu/banking-and-banking-union/banking-regulation/bank-recovery-and-resolution_en#:~:text=%E2%80%A2%E2%80%A2%E2%80%A2-,Bank%20Recovery%20and%20Resolution%20Directive,)%20%2D%202014%2F59%2FEU&amp;amp;text=The%20directive%20requires%20banks%20to,with%20minimal%20costs%20for%20taxpayers</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Basel III: International Regulatory Framework for Banks. 2017. The Bank for International Settlements. Available at: </w:t>
      </w:r>
      <w:hyperlink r:id="rId6" w:tgtFrame="_new" w:history="1">
        <w:r w:rsidRPr="00553F18">
          <w:rPr>
            <w:rStyle w:val="Hyperlink"/>
            <w:rFonts w:cstheme="minorHAnsi"/>
            <w:sz w:val="24"/>
            <w:szCs w:val="24"/>
          </w:rPr>
          <w:t>https://www.bis.org/bcbs/basel3.htm</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Berg, P., 2016. European Market Infrastructure Regulation (EMIR) (No. 5). </w:t>
      </w:r>
      <w:r w:rsidRPr="00553F18">
        <w:rPr>
          <w:rFonts w:cstheme="minorHAnsi"/>
          <w:i/>
          <w:iCs/>
          <w:sz w:val="24"/>
          <w:szCs w:val="24"/>
        </w:rPr>
        <w:t>EIKV-</w:t>
      </w:r>
      <w:proofErr w:type="spellStart"/>
      <w:r w:rsidRPr="00553F18">
        <w:rPr>
          <w:rFonts w:cstheme="minorHAnsi"/>
          <w:i/>
          <w:iCs/>
          <w:sz w:val="24"/>
          <w:szCs w:val="24"/>
        </w:rPr>
        <w:t>Schriftenreihe</w:t>
      </w:r>
      <w:proofErr w:type="spellEnd"/>
      <w:r w:rsidRPr="00553F18">
        <w:rPr>
          <w:rFonts w:cstheme="minorHAnsi"/>
          <w:i/>
          <w:iCs/>
          <w:sz w:val="24"/>
          <w:szCs w:val="24"/>
        </w:rPr>
        <w:t xml:space="preserve"> </w:t>
      </w:r>
      <w:proofErr w:type="spellStart"/>
      <w:r w:rsidRPr="00553F18">
        <w:rPr>
          <w:rFonts w:cstheme="minorHAnsi"/>
          <w:i/>
          <w:iCs/>
          <w:sz w:val="24"/>
          <w:szCs w:val="24"/>
        </w:rPr>
        <w:t>zum</w:t>
      </w:r>
      <w:proofErr w:type="spellEnd"/>
      <w:r w:rsidRPr="00553F18">
        <w:rPr>
          <w:rFonts w:cstheme="minorHAnsi"/>
          <w:i/>
          <w:iCs/>
          <w:sz w:val="24"/>
          <w:szCs w:val="24"/>
        </w:rPr>
        <w:t xml:space="preserve"> </w:t>
      </w:r>
      <w:proofErr w:type="spellStart"/>
      <w:r w:rsidRPr="00553F18">
        <w:rPr>
          <w:rFonts w:cstheme="minorHAnsi"/>
          <w:i/>
          <w:iCs/>
          <w:sz w:val="24"/>
          <w:szCs w:val="24"/>
        </w:rPr>
        <w:t>Wissens</w:t>
      </w:r>
      <w:proofErr w:type="spellEnd"/>
      <w:r w:rsidRPr="00553F18">
        <w:rPr>
          <w:rFonts w:cstheme="minorHAnsi"/>
          <w:i/>
          <w:iCs/>
          <w:sz w:val="24"/>
          <w:szCs w:val="24"/>
        </w:rPr>
        <w:t xml:space="preserve">-und </w:t>
      </w:r>
      <w:proofErr w:type="spellStart"/>
      <w:r w:rsidRPr="00553F18">
        <w:rPr>
          <w:rFonts w:cstheme="minorHAnsi"/>
          <w:i/>
          <w:iCs/>
          <w:sz w:val="24"/>
          <w:szCs w:val="24"/>
        </w:rPr>
        <w:t>Wertemanagement</w:t>
      </w:r>
      <w:proofErr w:type="spellEnd"/>
      <w:r w:rsidRPr="00553F18">
        <w:rPr>
          <w:rFonts w:cstheme="minorHAnsi"/>
          <w:sz w:val="24"/>
          <w:szCs w:val="24"/>
        </w:rPr>
        <w:t>.</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Castro, C. and Ferrari, S., 2014. Measuring and testing for the systemically important financial institutions. </w:t>
      </w:r>
      <w:r w:rsidRPr="00553F18">
        <w:rPr>
          <w:rFonts w:cstheme="minorHAnsi"/>
          <w:i/>
          <w:iCs/>
          <w:sz w:val="24"/>
          <w:szCs w:val="24"/>
        </w:rPr>
        <w:t>Journal of Empirical Finance</w:t>
      </w:r>
      <w:r w:rsidRPr="00553F18">
        <w:rPr>
          <w:rFonts w:cstheme="minorHAnsi"/>
          <w:sz w:val="24"/>
          <w:szCs w:val="24"/>
        </w:rPr>
        <w:t>, 25, pp.1-14.</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Chowdhury, S., </w:t>
      </w:r>
      <w:proofErr w:type="spellStart"/>
      <w:r w:rsidRPr="00553F18">
        <w:rPr>
          <w:rFonts w:cstheme="minorHAnsi"/>
          <w:sz w:val="24"/>
          <w:szCs w:val="24"/>
        </w:rPr>
        <w:t>Dhalla</w:t>
      </w:r>
      <w:proofErr w:type="spellEnd"/>
      <w:r w:rsidRPr="00553F18">
        <w:rPr>
          <w:rFonts w:cstheme="minorHAnsi"/>
          <w:sz w:val="24"/>
          <w:szCs w:val="24"/>
        </w:rPr>
        <w:t xml:space="preserve">, A.H. and </w:t>
      </w:r>
      <w:proofErr w:type="spellStart"/>
      <w:r w:rsidRPr="00553F18">
        <w:rPr>
          <w:rFonts w:cstheme="minorHAnsi"/>
          <w:sz w:val="24"/>
          <w:szCs w:val="24"/>
        </w:rPr>
        <w:t>Izatt</w:t>
      </w:r>
      <w:proofErr w:type="spellEnd"/>
      <w:r w:rsidRPr="00553F18">
        <w:rPr>
          <w:rFonts w:cstheme="minorHAnsi"/>
          <w:sz w:val="24"/>
          <w:szCs w:val="24"/>
        </w:rPr>
        <w:t xml:space="preserve">, J., 2012. Structured oblique illumination microscopy for enhanced resolution imaging of non-fluorescent, coherently scattering samples. </w:t>
      </w:r>
      <w:r w:rsidRPr="00553F18">
        <w:rPr>
          <w:rFonts w:cstheme="minorHAnsi"/>
          <w:i/>
          <w:iCs/>
          <w:sz w:val="24"/>
          <w:szCs w:val="24"/>
        </w:rPr>
        <w:t>Biomedical optics express</w:t>
      </w:r>
      <w:r w:rsidRPr="00553F18">
        <w:rPr>
          <w:rFonts w:cstheme="minorHAnsi"/>
          <w:sz w:val="24"/>
          <w:szCs w:val="24"/>
        </w:rPr>
        <w:t>, 3(8), pp.1841-1854.</w:t>
      </w:r>
    </w:p>
    <w:p w:rsidR="00DC4E47" w:rsidRPr="00553F18" w:rsidRDefault="00DC4E47" w:rsidP="00DC4E47">
      <w:pPr>
        <w:spacing w:line="360" w:lineRule="auto"/>
        <w:ind w:left="360"/>
        <w:rPr>
          <w:rFonts w:cstheme="minorHAnsi"/>
          <w:sz w:val="24"/>
          <w:szCs w:val="24"/>
        </w:rPr>
      </w:pPr>
      <w:proofErr w:type="spellStart"/>
      <w:r w:rsidRPr="00553F18">
        <w:rPr>
          <w:rFonts w:cstheme="minorHAnsi"/>
          <w:sz w:val="24"/>
          <w:szCs w:val="24"/>
        </w:rPr>
        <w:t>Covi</w:t>
      </w:r>
      <w:proofErr w:type="spellEnd"/>
      <w:r w:rsidRPr="00553F18">
        <w:rPr>
          <w:rFonts w:cstheme="minorHAnsi"/>
          <w:sz w:val="24"/>
          <w:szCs w:val="24"/>
        </w:rPr>
        <w:t xml:space="preserve">, G. and </w:t>
      </w:r>
      <w:proofErr w:type="spellStart"/>
      <w:r w:rsidRPr="00553F18">
        <w:rPr>
          <w:rFonts w:cstheme="minorHAnsi"/>
          <w:sz w:val="24"/>
          <w:szCs w:val="24"/>
        </w:rPr>
        <w:t>Eydam</w:t>
      </w:r>
      <w:proofErr w:type="spellEnd"/>
      <w:r w:rsidRPr="00553F18">
        <w:rPr>
          <w:rFonts w:cstheme="minorHAnsi"/>
          <w:sz w:val="24"/>
          <w:szCs w:val="24"/>
        </w:rPr>
        <w:t xml:space="preserve">, U., 2020. End of the sovereign-bank doom loop in the European Union? The Bank Recovery and Resolution Directive. </w:t>
      </w:r>
      <w:r w:rsidRPr="00553F18">
        <w:rPr>
          <w:rFonts w:cstheme="minorHAnsi"/>
          <w:i/>
          <w:iCs/>
          <w:sz w:val="24"/>
          <w:szCs w:val="24"/>
        </w:rPr>
        <w:t>Journal of Evolutionary Economics</w:t>
      </w:r>
      <w:r w:rsidRPr="00553F18">
        <w:rPr>
          <w:rFonts w:cstheme="minorHAnsi"/>
          <w:sz w:val="24"/>
          <w:szCs w:val="24"/>
        </w:rPr>
        <w:t>, 30(1), pp.5-30.</w:t>
      </w:r>
    </w:p>
    <w:p w:rsidR="00DC4E47" w:rsidRPr="00553F18" w:rsidRDefault="00DC4E47" w:rsidP="00DC4E47">
      <w:pPr>
        <w:spacing w:line="360" w:lineRule="auto"/>
        <w:ind w:left="360"/>
        <w:rPr>
          <w:rFonts w:cstheme="minorHAnsi"/>
          <w:sz w:val="24"/>
          <w:szCs w:val="24"/>
        </w:rPr>
      </w:pPr>
      <w:proofErr w:type="spellStart"/>
      <w:r w:rsidRPr="00553F18">
        <w:rPr>
          <w:rFonts w:cstheme="minorHAnsi"/>
          <w:sz w:val="24"/>
          <w:szCs w:val="24"/>
        </w:rPr>
        <w:t>Fabijańska</w:t>
      </w:r>
      <w:proofErr w:type="spellEnd"/>
      <w:r w:rsidRPr="00553F18">
        <w:rPr>
          <w:rFonts w:cstheme="minorHAnsi"/>
          <w:sz w:val="24"/>
          <w:szCs w:val="24"/>
        </w:rPr>
        <w:t xml:space="preserve">, A. and </w:t>
      </w:r>
      <w:proofErr w:type="spellStart"/>
      <w:r w:rsidRPr="00553F18">
        <w:rPr>
          <w:rFonts w:cstheme="minorHAnsi"/>
          <w:sz w:val="24"/>
          <w:szCs w:val="24"/>
        </w:rPr>
        <w:t>Banasiak</w:t>
      </w:r>
      <w:proofErr w:type="spellEnd"/>
      <w:r w:rsidRPr="00553F18">
        <w:rPr>
          <w:rFonts w:cstheme="minorHAnsi"/>
          <w:sz w:val="24"/>
          <w:szCs w:val="24"/>
        </w:rPr>
        <w:t xml:space="preserve">, R., 2021. Graph convolutional networks for enhanced resolution 3D Electrical Capacitance Tomography image reconstruction. </w:t>
      </w:r>
      <w:r w:rsidRPr="00553F18">
        <w:rPr>
          <w:rFonts w:cstheme="minorHAnsi"/>
          <w:i/>
          <w:iCs/>
          <w:sz w:val="24"/>
          <w:szCs w:val="24"/>
        </w:rPr>
        <w:t>Applied Soft Computing</w:t>
      </w:r>
      <w:r w:rsidRPr="00553F18">
        <w:rPr>
          <w:rFonts w:cstheme="minorHAnsi"/>
          <w:sz w:val="24"/>
          <w:szCs w:val="24"/>
        </w:rPr>
        <w:t>, 110, p.107608.</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Ferreira, C., Jenkinson, N. and Wilson, C., 2019. From Basel I to Basel III: Sequencing implementation in developing economies. </w:t>
      </w:r>
      <w:r w:rsidRPr="00553F18">
        <w:rPr>
          <w:rFonts w:cstheme="minorHAnsi"/>
          <w:i/>
          <w:iCs/>
          <w:sz w:val="24"/>
          <w:szCs w:val="24"/>
        </w:rPr>
        <w:t>International Monetary Fund</w:t>
      </w:r>
      <w:r w:rsidRPr="00553F18">
        <w:rPr>
          <w:rFonts w:cstheme="minorHAnsi"/>
          <w:sz w:val="24"/>
          <w:szCs w:val="24"/>
        </w:rPr>
        <w:t>.</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Financial services act 2012. 2012. Legislation.gov.uk. Available at: </w:t>
      </w:r>
      <w:hyperlink r:id="rId7" w:tgtFrame="_new" w:history="1">
        <w:r w:rsidRPr="00553F18">
          <w:rPr>
            <w:rStyle w:val="Hyperlink"/>
            <w:rFonts w:cstheme="minorHAnsi"/>
            <w:sz w:val="24"/>
            <w:szCs w:val="24"/>
          </w:rPr>
          <w:t>https://www.legislation.gov.uk/ukpga/2012/21/contents/enacted</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FX Global Code. 2021. Available at: </w:t>
      </w:r>
      <w:hyperlink r:id="rId8" w:tgtFrame="_new" w:history="1">
        <w:r w:rsidRPr="00553F18">
          <w:rPr>
            <w:rStyle w:val="Hyperlink"/>
            <w:rFonts w:cstheme="minorHAnsi"/>
            <w:sz w:val="24"/>
            <w:szCs w:val="24"/>
          </w:rPr>
          <w:t>https://www.globalfxc.org/fx_global_code.htm</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Government, U.S. 2010. Dodd-Frank Wall Street Reform and Consumer Protection Act - </w:t>
      </w:r>
      <w:proofErr w:type="spellStart"/>
      <w:r w:rsidRPr="00553F18">
        <w:rPr>
          <w:rFonts w:cstheme="minorHAnsi"/>
          <w:sz w:val="24"/>
          <w:szCs w:val="24"/>
        </w:rPr>
        <w:t>GovInfo</w:t>
      </w:r>
      <w:proofErr w:type="spellEnd"/>
      <w:r w:rsidRPr="00553F18">
        <w:rPr>
          <w:rFonts w:cstheme="minorHAnsi"/>
          <w:sz w:val="24"/>
          <w:szCs w:val="24"/>
        </w:rPr>
        <w:t xml:space="preserve">. Available at: </w:t>
      </w:r>
      <w:hyperlink r:id="rId9" w:tgtFrame="_new" w:history="1">
        <w:r w:rsidRPr="00553F18">
          <w:rPr>
            <w:rStyle w:val="Hyperlink"/>
            <w:rFonts w:cstheme="minorHAnsi"/>
            <w:sz w:val="24"/>
            <w:szCs w:val="24"/>
          </w:rPr>
          <w:t>https://www.govinfo.gov/content/pkg/PLAW-111publ203/pdf/PLAW-111publ203.pdf</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Interactive single rulebook. 2023. European Banking Authority. Available at: </w:t>
      </w:r>
      <w:hyperlink r:id="rId10" w:anchor="BRRD" w:tgtFrame="_new" w:history="1">
        <w:r w:rsidRPr="00553F18">
          <w:rPr>
            <w:rStyle w:val="Hyperlink"/>
            <w:rFonts w:cstheme="minorHAnsi"/>
            <w:sz w:val="24"/>
            <w:szCs w:val="24"/>
          </w:rPr>
          <w:t>https://eba.europa.eu/regulation-and-policy/single-rulebook/interactive-single-rulebook/79005#BRRD</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proofErr w:type="spellStart"/>
      <w:r w:rsidRPr="00553F18">
        <w:rPr>
          <w:rFonts w:cstheme="minorHAnsi"/>
          <w:sz w:val="24"/>
          <w:szCs w:val="24"/>
        </w:rPr>
        <w:t>Jayadev</w:t>
      </w:r>
      <w:proofErr w:type="spellEnd"/>
      <w:r w:rsidRPr="00553F18">
        <w:rPr>
          <w:rFonts w:cstheme="minorHAnsi"/>
          <w:sz w:val="24"/>
          <w:szCs w:val="24"/>
        </w:rPr>
        <w:t xml:space="preserve">, M., 2013. Basel III implementation: Issues and challenges for Indian banks. </w:t>
      </w:r>
      <w:r w:rsidRPr="00553F18">
        <w:rPr>
          <w:rFonts w:cstheme="minorHAnsi"/>
          <w:i/>
          <w:iCs/>
          <w:sz w:val="24"/>
          <w:szCs w:val="24"/>
        </w:rPr>
        <w:t>IIMB Management Review</w:t>
      </w:r>
      <w:r w:rsidRPr="00553F18">
        <w:rPr>
          <w:rFonts w:cstheme="minorHAnsi"/>
          <w:sz w:val="24"/>
          <w:szCs w:val="24"/>
        </w:rPr>
        <w:t>, 25(2), pp.115-130.</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Lev40 - leverage ratio requirements for global systemically important banks. 2022. The Bank for International Settlements. Available at: </w:t>
      </w:r>
      <w:hyperlink r:id="rId11" w:tgtFrame="_new" w:history="1">
        <w:r w:rsidRPr="00553F18">
          <w:rPr>
            <w:rStyle w:val="Hyperlink"/>
            <w:rFonts w:cstheme="minorHAnsi"/>
            <w:sz w:val="24"/>
            <w:szCs w:val="24"/>
          </w:rPr>
          <w:t>https://www.bis.org/basel_framework/chapter/LEV/40.htm?inforce=20220101&amp;amp;published=20191215</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Major consumer protection laws. No date. FRB: How to File a Consumer Complaint About a Bank -- Major Consumer Protection Laws. Available at: </w:t>
      </w:r>
      <w:hyperlink r:id="rId12" w:tgtFrame="_new" w:history="1">
        <w:r w:rsidRPr="00553F18">
          <w:rPr>
            <w:rStyle w:val="Hyperlink"/>
            <w:rFonts w:cstheme="minorHAnsi"/>
            <w:sz w:val="24"/>
            <w:szCs w:val="24"/>
          </w:rPr>
          <w:t>https://www.federalreserve.gov/pubs/complaints/laws.htm</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proofErr w:type="spellStart"/>
      <w:r w:rsidRPr="00553F18">
        <w:rPr>
          <w:rFonts w:cstheme="minorHAnsi"/>
          <w:sz w:val="24"/>
          <w:szCs w:val="24"/>
        </w:rPr>
        <w:t>Pncotto</w:t>
      </w:r>
      <w:proofErr w:type="spellEnd"/>
      <w:r w:rsidRPr="00553F18">
        <w:rPr>
          <w:rFonts w:cstheme="minorHAnsi"/>
          <w:sz w:val="24"/>
          <w:szCs w:val="24"/>
        </w:rPr>
        <w:t xml:space="preserve">, L., ap Gwilym, O. and Williams, J., 2019. The European bank recovery and resolution directive: A market assessment. </w:t>
      </w:r>
      <w:r w:rsidRPr="00553F18">
        <w:rPr>
          <w:rFonts w:cstheme="minorHAnsi"/>
          <w:i/>
          <w:iCs/>
          <w:sz w:val="24"/>
          <w:szCs w:val="24"/>
        </w:rPr>
        <w:t>Journal of Financial Stability</w:t>
      </w:r>
      <w:r w:rsidRPr="00553F18">
        <w:rPr>
          <w:rFonts w:cstheme="minorHAnsi"/>
          <w:sz w:val="24"/>
          <w:szCs w:val="24"/>
        </w:rPr>
        <w:t>, 44, p.100689.</w:t>
      </w:r>
    </w:p>
    <w:p w:rsidR="00DC4E47" w:rsidRPr="00553F18" w:rsidRDefault="00DC4E47" w:rsidP="00DC4E47">
      <w:pPr>
        <w:spacing w:line="360" w:lineRule="auto"/>
        <w:ind w:left="360"/>
        <w:rPr>
          <w:rFonts w:cstheme="minorHAnsi"/>
          <w:sz w:val="24"/>
          <w:szCs w:val="24"/>
        </w:rPr>
      </w:pPr>
      <w:proofErr w:type="spellStart"/>
      <w:r w:rsidRPr="00553F18">
        <w:rPr>
          <w:rFonts w:cstheme="minorHAnsi"/>
          <w:sz w:val="24"/>
          <w:szCs w:val="24"/>
        </w:rPr>
        <w:t>Pritsker</w:t>
      </w:r>
      <w:proofErr w:type="spellEnd"/>
      <w:r w:rsidRPr="00553F18">
        <w:rPr>
          <w:rFonts w:cstheme="minorHAnsi"/>
          <w:sz w:val="24"/>
          <w:szCs w:val="24"/>
        </w:rPr>
        <w:t>, M., 2012. Enhanced stress testing and financial stability. Available at SSRN 2082994.</w:t>
      </w:r>
    </w:p>
    <w:p w:rsidR="00DC4E47" w:rsidRPr="00553F18" w:rsidRDefault="00DC4E47" w:rsidP="00DC4E47">
      <w:pPr>
        <w:spacing w:line="360" w:lineRule="auto"/>
        <w:ind w:left="360"/>
        <w:rPr>
          <w:rFonts w:cstheme="minorHAnsi"/>
          <w:sz w:val="24"/>
          <w:szCs w:val="24"/>
        </w:rPr>
      </w:pPr>
      <w:proofErr w:type="spellStart"/>
      <w:r w:rsidRPr="00553F18">
        <w:rPr>
          <w:rFonts w:cstheme="minorHAnsi"/>
          <w:sz w:val="24"/>
          <w:szCs w:val="24"/>
        </w:rPr>
        <w:t>Schelo</w:t>
      </w:r>
      <w:proofErr w:type="spellEnd"/>
      <w:r w:rsidRPr="00553F18">
        <w:rPr>
          <w:rFonts w:cstheme="minorHAnsi"/>
          <w:sz w:val="24"/>
          <w:szCs w:val="24"/>
        </w:rPr>
        <w:t xml:space="preserve">, S., 2020. Bank recovery and resolution. </w:t>
      </w:r>
      <w:r w:rsidRPr="00553F18">
        <w:rPr>
          <w:rFonts w:cstheme="minorHAnsi"/>
          <w:i/>
          <w:iCs/>
          <w:sz w:val="24"/>
          <w:szCs w:val="24"/>
        </w:rPr>
        <w:t>Kluwer Law International BV</w:t>
      </w:r>
      <w:r w:rsidRPr="00553F18">
        <w:rPr>
          <w:rFonts w:cstheme="minorHAnsi"/>
          <w:sz w:val="24"/>
          <w:szCs w:val="24"/>
        </w:rPr>
        <w:t>.</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Senior managers and certification regime. 2023. FCA. Available at: </w:t>
      </w:r>
      <w:hyperlink r:id="rId13" w:tgtFrame="_new" w:history="1">
        <w:r w:rsidRPr="00553F18">
          <w:rPr>
            <w:rStyle w:val="Hyperlink"/>
            <w:rFonts w:cstheme="minorHAnsi"/>
            <w:sz w:val="24"/>
            <w:szCs w:val="24"/>
          </w:rPr>
          <w:t>https://www.fca.org.uk/firms/senior-managers-certification-regime</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SFTR reporting. 2023. Available at: </w:t>
      </w:r>
      <w:hyperlink r:id="rId14" w:tgtFrame="_new" w:history="1">
        <w:r w:rsidRPr="00553F18">
          <w:rPr>
            <w:rStyle w:val="Hyperlink"/>
            <w:rFonts w:cstheme="minorHAnsi"/>
            <w:sz w:val="24"/>
            <w:szCs w:val="24"/>
          </w:rPr>
          <w:t>https://www.esma.europa.eu/data-reporting/sftr-reporting</w:t>
        </w:r>
      </w:hyperlink>
      <w:r w:rsidRPr="00553F18">
        <w:rPr>
          <w:rFonts w:cstheme="minorHAnsi"/>
          <w:sz w:val="24"/>
          <w:szCs w:val="24"/>
        </w:rPr>
        <w:t xml:space="preserve"> </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 xml:space="preserve">Sharkey, C.M., 2013. Agency Coordination in Consumer Protection. </w:t>
      </w:r>
      <w:r w:rsidRPr="00553F18">
        <w:rPr>
          <w:rFonts w:cstheme="minorHAnsi"/>
          <w:i/>
          <w:iCs/>
          <w:sz w:val="24"/>
          <w:szCs w:val="24"/>
        </w:rPr>
        <w:t>U. Chi. Legal F.</w:t>
      </w:r>
      <w:r w:rsidRPr="00553F18">
        <w:rPr>
          <w:rFonts w:cstheme="minorHAnsi"/>
          <w:sz w:val="24"/>
          <w:szCs w:val="24"/>
        </w:rPr>
        <w:t>, p.329.</w:t>
      </w:r>
    </w:p>
    <w:p w:rsidR="00DC4E47" w:rsidRPr="00553F18" w:rsidRDefault="00DC4E47" w:rsidP="00DC4E47">
      <w:pPr>
        <w:spacing w:line="360" w:lineRule="auto"/>
        <w:ind w:left="360"/>
        <w:rPr>
          <w:rFonts w:cstheme="minorHAnsi"/>
          <w:sz w:val="24"/>
          <w:szCs w:val="24"/>
        </w:rPr>
      </w:pPr>
      <w:r w:rsidRPr="00553F18">
        <w:rPr>
          <w:rFonts w:cstheme="minorHAnsi"/>
          <w:sz w:val="24"/>
          <w:szCs w:val="24"/>
        </w:rPr>
        <w:t>Sy, A.N.R., 2009. The systemic regulation of credit rating agencies and rated markets.</w:t>
      </w:r>
    </w:p>
    <w:p w:rsidR="00DC4E47" w:rsidRPr="00300A64" w:rsidRDefault="00DC4E47" w:rsidP="00DC4E47">
      <w:pPr>
        <w:spacing w:line="360" w:lineRule="auto"/>
        <w:rPr>
          <w:rFonts w:ascii="Times New Roman" w:hAnsi="Times New Roman" w:cs="Times New Roman"/>
          <w:sz w:val="24"/>
          <w:szCs w:val="24"/>
        </w:rPr>
      </w:pPr>
    </w:p>
    <w:p w:rsidR="00DC4E47" w:rsidRDefault="00DC4E47"/>
    <w:sectPr w:rsidR="00DC4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C4521"/>
    <w:multiLevelType w:val="multilevel"/>
    <w:tmpl w:val="66C6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3D5E72"/>
    <w:multiLevelType w:val="multilevel"/>
    <w:tmpl w:val="0B5C0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47"/>
    <w:rsid w:val="000D3C0E"/>
    <w:rsid w:val="001A2831"/>
    <w:rsid w:val="0023641A"/>
    <w:rsid w:val="002C0B8C"/>
    <w:rsid w:val="002C48FD"/>
    <w:rsid w:val="00704D68"/>
    <w:rsid w:val="00DC4E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23D5317C"/>
  <w15:chartTrackingRefBased/>
  <w15:docId w15:val="{B753D0E1-4013-3641-977F-C9DDEAAD1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E47"/>
    <w:pPr>
      <w:spacing w:after="160" w:line="259" w:lineRule="auto"/>
    </w:pPr>
    <w:rPr>
      <w:sz w:val="22"/>
      <w:szCs w:val="22"/>
    </w:rPr>
  </w:style>
  <w:style w:type="paragraph" w:styleId="Heading1">
    <w:name w:val="heading 1"/>
    <w:basedOn w:val="Normal"/>
    <w:next w:val="Normal"/>
    <w:link w:val="Heading1Char"/>
    <w:uiPriority w:val="9"/>
    <w:qFormat/>
    <w:rsid w:val="00DC4E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4E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C4E47"/>
    <w:rPr>
      <w:rFonts w:asciiTheme="majorHAnsi" w:eastAsiaTheme="majorEastAsia" w:hAnsiTheme="majorHAnsi" w:cstheme="majorBidi"/>
      <w:color w:val="2F5496" w:themeColor="accent1" w:themeShade="BF"/>
      <w:sz w:val="26"/>
      <w:szCs w:val="26"/>
    </w:rPr>
  </w:style>
  <w:style w:type="paragraph" w:customStyle="1" w:styleId="Style1">
    <w:name w:val="Style1"/>
    <w:basedOn w:val="Heading1"/>
    <w:autoRedefine/>
    <w:qFormat/>
    <w:rsid w:val="00DC4E47"/>
    <w:rPr>
      <w:b/>
    </w:rPr>
  </w:style>
  <w:style w:type="character" w:customStyle="1" w:styleId="Heading1Char">
    <w:name w:val="Heading 1 Char"/>
    <w:basedOn w:val="DefaultParagraphFont"/>
    <w:link w:val="Heading1"/>
    <w:uiPriority w:val="9"/>
    <w:rsid w:val="00DC4E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C4E47"/>
    <w:pPr>
      <w:outlineLvl w:val="9"/>
    </w:pPr>
    <w:rPr>
      <w:kern w:val="0"/>
      <w:lang w:val="en-US"/>
      <w14:ligatures w14:val="none"/>
    </w:rPr>
  </w:style>
  <w:style w:type="paragraph" w:styleId="TOC1">
    <w:name w:val="toc 1"/>
    <w:basedOn w:val="Normal"/>
    <w:next w:val="Normal"/>
    <w:autoRedefine/>
    <w:uiPriority w:val="39"/>
    <w:unhideWhenUsed/>
    <w:rsid w:val="00DC4E47"/>
    <w:pPr>
      <w:spacing w:after="100"/>
    </w:pPr>
  </w:style>
  <w:style w:type="paragraph" w:styleId="TOC2">
    <w:name w:val="toc 2"/>
    <w:basedOn w:val="Normal"/>
    <w:next w:val="Normal"/>
    <w:autoRedefine/>
    <w:uiPriority w:val="39"/>
    <w:unhideWhenUsed/>
    <w:rsid w:val="00DC4E47"/>
    <w:pPr>
      <w:spacing w:after="100"/>
      <w:ind w:left="220"/>
    </w:pPr>
  </w:style>
  <w:style w:type="character" w:styleId="Hyperlink">
    <w:name w:val="Hyperlink"/>
    <w:basedOn w:val="DefaultParagraphFont"/>
    <w:uiPriority w:val="99"/>
    <w:unhideWhenUsed/>
    <w:rsid w:val="00DC4E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obalfxc.org/fx_global_code.htm" TargetMode="External" /><Relationship Id="rId13" Type="http://schemas.openxmlformats.org/officeDocument/2006/relationships/hyperlink" Target="https://www.fca.org.uk/firms/senior-managers-certification-regime" TargetMode="External" /><Relationship Id="rId3" Type="http://schemas.openxmlformats.org/officeDocument/2006/relationships/settings" Target="settings.xml" /><Relationship Id="rId7" Type="http://schemas.openxmlformats.org/officeDocument/2006/relationships/hyperlink" Target="https://www.legislation.gov.uk/ukpga/2012/21/contents/enacted" TargetMode="External" /><Relationship Id="rId12" Type="http://schemas.openxmlformats.org/officeDocument/2006/relationships/hyperlink" Target="https://www.federalreserve.gov/pubs/complaints/laws.htm"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hyperlink" Target="https://www.bis.org/bcbs/basel3.htm" TargetMode="External" /><Relationship Id="rId11" Type="http://schemas.openxmlformats.org/officeDocument/2006/relationships/hyperlink" Target="https://www.bis.org/basel_framework/chapter/LEV/40.htm?inforce=20220101&amp;amp;published=20191215" TargetMode="External" /><Relationship Id="rId5" Type="http://schemas.openxmlformats.org/officeDocument/2006/relationships/hyperlink" Target="https://finance.ec.europa.eu/banking-and-banking-union/banking-regulation/bank-recovery-and-resolution_en" TargetMode="External" /><Relationship Id="rId15" Type="http://schemas.openxmlformats.org/officeDocument/2006/relationships/fontTable" Target="fontTable.xml" /><Relationship Id="rId10" Type="http://schemas.openxmlformats.org/officeDocument/2006/relationships/hyperlink" Target="https://eba.europa.eu/regulation-and-policy/single-rulebook/interactive-single-rulebook/79005" TargetMode="External" /><Relationship Id="rId4" Type="http://schemas.openxmlformats.org/officeDocument/2006/relationships/webSettings" Target="webSettings.xml" /><Relationship Id="rId9" Type="http://schemas.openxmlformats.org/officeDocument/2006/relationships/hyperlink" Target="https://www.govinfo.gov/content/pkg/PLAW-111publ203/pdf/PLAW-111publ203.pdf" TargetMode="External" /><Relationship Id="rId14" Type="http://schemas.openxmlformats.org/officeDocument/2006/relationships/hyperlink" Target="https://www.esma.europa.eu/data-reporting/sftr-report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6374</Words>
  <Characters>36334</Characters>
  <Application>Microsoft Office Word</Application>
  <DocSecurity>0</DocSecurity>
  <Lines>302</Lines>
  <Paragraphs>85</Paragraphs>
  <ScaleCrop>false</ScaleCrop>
  <Company/>
  <LinksUpToDate>false</LinksUpToDate>
  <CharactersWithSpaces>42623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tarutyagi9568@gmail.com</dc:creator>
  <cp:keywords/>
  <dc:description/>
  <cp:lastModifiedBy>Guest User</cp:lastModifiedBy>
  <cp:revision>2</cp:revision>
  <dcterms:created xsi:type="dcterms:W3CDTF">2023-08-19T00:10:00Z</dcterms:created>
  <dcterms:modified xsi:type="dcterms:W3CDTF">2023-08-19T00:10:00Z</dcterms:modified>
</cp:coreProperties>
</file>