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D91BD7" w14:textId="12E1A7A7" w:rsidR="00B80F92" w:rsidRPr="007D11D6" w:rsidRDefault="00B80F92" w:rsidP="00C80C89">
      <w:pPr>
        <w:rPr>
          <w:sz w:val="52"/>
          <w:szCs w:val="52"/>
        </w:rPr>
      </w:pPr>
      <w:r w:rsidRPr="007D11D6">
        <w:rPr>
          <w:sz w:val="52"/>
          <w:szCs w:val="52"/>
        </w:rPr>
        <w:t xml:space="preserve">Multilingual practice in the </w:t>
      </w:r>
      <w:proofErr w:type="gramStart"/>
      <w:r w:rsidR="007D11D6" w:rsidRPr="007D11D6">
        <w:rPr>
          <w:sz w:val="52"/>
          <w:szCs w:val="52"/>
        </w:rPr>
        <w:t>Early</w:t>
      </w:r>
      <w:proofErr w:type="gramEnd"/>
      <w:r w:rsidR="007D11D6" w:rsidRPr="007D11D6">
        <w:rPr>
          <w:sz w:val="52"/>
          <w:szCs w:val="52"/>
        </w:rPr>
        <w:t xml:space="preserve"> years</w:t>
      </w:r>
    </w:p>
    <w:p w14:paraId="133F6F53" w14:textId="78E6627C" w:rsidR="00B80F92" w:rsidRPr="007D11D6" w:rsidRDefault="007D11D6" w:rsidP="00C80C89">
      <w:pPr>
        <w:rPr>
          <w:sz w:val="52"/>
          <w:szCs w:val="52"/>
        </w:rPr>
      </w:pPr>
      <w:r w:rsidRPr="007D11D6">
        <w:rPr>
          <w:sz w:val="52"/>
          <w:szCs w:val="52"/>
        </w:rPr>
        <w:t>(ECEY4010/C)</w:t>
      </w:r>
    </w:p>
    <w:p w14:paraId="735357F9" w14:textId="77777777" w:rsidR="00B80F92" w:rsidRDefault="00B80F92" w:rsidP="00C80C89"/>
    <w:p w14:paraId="7064EAA9" w14:textId="77777777" w:rsidR="00B80F92" w:rsidRDefault="00B80F92" w:rsidP="00C80C89"/>
    <w:p w14:paraId="7B4EE3B5" w14:textId="77777777" w:rsidR="00B80F92" w:rsidRDefault="00B80F92" w:rsidP="00C80C89"/>
    <w:p w14:paraId="570BBC2A" w14:textId="2863780C" w:rsidR="00B80F92" w:rsidRPr="007D11D6" w:rsidRDefault="007D11D6" w:rsidP="00C80C89">
      <w:pPr>
        <w:rPr>
          <w:sz w:val="28"/>
          <w:szCs w:val="28"/>
        </w:rPr>
      </w:pPr>
      <w:r w:rsidRPr="007D11D6">
        <w:rPr>
          <w:sz w:val="28"/>
          <w:szCs w:val="28"/>
        </w:rPr>
        <w:t>PART 1</w:t>
      </w:r>
    </w:p>
    <w:p w14:paraId="0EF5B8B7" w14:textId="77777777" w:rsidR="00B80F92" w:rsidRDefault="00B80F92" w:rsidP="00C80C89"/>
    <w:p w14:paraId="224B7D27" w14:textId="6DFE1775" w:rsidR="00C80C89" w:rsidRDefault="00C80C89" w:rsidP="00C80C89">
      <w:pPr>
        <w:rPr>
          <w:lang w:val="en-GB"/>
        </w:rPr>
      </w:pPr>
      <w:hyperlink r:id="rId5" w:history="1">
        <w:r w:rsidR="00486C37">
          <w:rPr>
            <w:rStyle w:val="Hyperlink"/>
          </w:rPr>
          <w:t>20250309</w:t>
        </w:r>
        <w:r>
          <w:rPr>
            <w:rStyle w:val="Hyperlink"/>
          </w:rPr>
          <w:t>_</w:t>
        </w:r>
        <w:r>
          <w:rPr>
            <w:rStyle w:val="Hyperlink"/>
          </w:rPr>
          <w:t>1</w:t>
        </w:r>
        <w:r>
          <w:rPr>
            <w:rStyle w:val="Hyperlink"/>
          </w:rPr>
          <w:t>5</w:t>
        </w:r>
        <w:r>
          <w:rPr>
            <w:rStyle w:val="Hyperlink"/>
          </w:rPr>
          <w:t>2</w:t>
        </w:r>
        <w:r>
          <w:rPr>
            <w:rStyle w:val="Hyperlink"/>
          </w:rPr>
          <w:t>9</w:t>
        </w:r>
        <w:r>
          <w:rPr>
            <w:rStyle w:val="Hyperlink"/>
          </w:rPr>
          <w:t>1</w:t>
        </w:r>
        <w:r>
          <w:rPr>
            <w:rStyle w:val="Hyperlink"/>
          </w:rPr>
          <w:t>1</w:t>
        </w:r>
        <w:r>
          <w:rPr>
            <w:rStyle w:val="Hyperlink"/>
          </w:rPr>
          <w:t>.</w:t>
        </w:r>
        <w:r>
          <w:rPr>
            <w:rStyle w:val="Hyperlink"/>
          </w:rPr>
          <w:t>m</w:t>
        </w:r>
        <w:r>
          <w:rPr>
            <w:rStyle w:val="Hyperlink"/>
          </w:rPr>
          <w:t>p</w:t>
        </w:r>
        <w:r>
          <w:rPr>
            <w:rStyle w:val="Hyperlink"/>
          </w:rPr>
          <w:t>4</w:t>
        </w:r>
      </w:hyperlink>
    </w:p>
    <w:p w14:paraId="3482E259" w14:textId="0FECF66D" w:rsidR="00C80C89" w:rsidRPr="00486C37" w:rsidRDefault="00C80C89" w:rsidP="00C80C89">
      <w:hyperlink r:id="rId6" w:history="1">
        <w:r w:rsidRPr="00B80F92">
          <w:t>2025</w:t>
        </w:r>
        <w:r w:rsidRPr="00B80F92">
          <w:t>0</w:t>
        </w:r>
        <w:r w:rsidRPr="00B80F92">
          <w:t>309</w:t>
        </w:r>
        <w:r>
          <w:rPr>
            <w:rStyle w:val="Hyperlink"/>
          </w:rPr>
          <w:t>_</w:t>
        </w:r>
        <w:r w:rsidRPr="00B80F92">
          <w:t>165307</w:t>
        </w:r>
        <w:r>
          <w:rPr>
            <w:rStyle w:val="Hyperlink"/>
          </w:rPr>
          <w:t>.</w:t>
        </w:r>
        <w:r>
          <w:rPr>
            <w:rStyle w:val="Hyperlink"/>
          </w:rPr>
          <w:t>m</w:t>
        </w:r>
        <w:r>
          <w:rPr>
            <w:rStyle w:val="Hyperlink"/>
          </w:rPr>
          <w:t>p4</w:t>
        </w:r>
      </w:hyperlink>
      <w:r w:rsidR="00B80F92">
        <w:t xml:space="preserve"> </w:t>
      </w:r>
      <w:bookmarkStart w:id="0" w:name="_GoBack"/>
      <w:bookmarkEnd w:id="0"/>
    </w:p>
    <w:p w14:paraId="72A0F14A" w14:textId="77777777" w:rsidR="007D11D6" w:rsidRDefault="007D11D6" w:rsidP="00A013B0">
      <w:pPr>
        <w:spacing w:line="480" w:lineRule="auto"/>
        <w:rPr>
          <w:rFonts w:ascii="Times New Roman" w:hAnsi="Times New Roman" w:cs="Times New Roman"/>
          <w:b/>
          <w:bCs/>
          <w:sz w:val="24"/>
          <w:szCs w:val="24"/>
        </w:rPr>
      </w:pPr>
    </w:p>
    <w:p w14:paraId="079B8288" w14:textId="2DF38779" w:rsidR="00C80C89" w:rsidRDefault="007D11D6" w:rsidP="00A013B0">
      <w:pPr>
        <w:spacing w:line="480" w:lineRule="auto"/>
        <w:rPr>
          <w:rFonts w:ascii="Times New Roman" w:hAnsi="Times New Roman" w:cs="Times New Roman"/>
          <w:b/>
          <w:bCs/>
          <w:sz w:val="24"/>
          <w:szCs w:val="24"/>
        </w:rPr>
      </w:pPr>
      <w:r>
        <w:rPr>
          <w:rFonts w:ascii="Times New Roman" w:hAnsi="Times New Roman" w:cs="Times New Roman"/>
          <w:b/>
          <w:bCs/>
          <w:sz w:val="24"/>
          <w:szCs w:val="24"/>
        </w:rPr>
        <w:t>PART 2</w:t>
      </w:r>
    </w:p>
    <w:p w14:paraId="32C5DBA8" w14:textId="54CE40DF" w:rsidR="00F00E58" w:rsidRPr="00A013B0" w:rsidRDefault="00F00E58" w:rsidP="00A013B0">
      <w:pPr>
        <w:spacing w:line="480" w:lineRule="auto"/>
        <w:rPr>
          <w:rFonts w:ascii="Times New Roman" w:hAnsi="Times New Roman" w:cs="Times New Roman"/>
          <w:b/>
          <w:bCs/>
          <w:sz w:val="24"/>
          <w:szCs w:val="24"/>
        </w:rPr>
      </w:pPr>
      <w:r w:rsidRPr="00A013B0">
        <w:rPr>
          <w:rFonts w:ascii="Times New Roman" w:hAnsi="Times New Roman" w:cs="Times New Roman"/>
          <w:b/>
          <w:bCs/>
          <w:sz w:val="24"/>
          <w:szCs w:val="24"/>
        </w:rPr>
        <w:t>Introduction</w:t>
      </w:r>
    </w:p>
    <w:p w14:paraId="6E8C047B" w14:textId="258AC881" w:rsidR="00F00E58" w:rsidRPr="00A013B0" w:rsidRDefault="00F00E58"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This assignment will discuss the implications and benefits of bilingualism and multilingualism. Related concepts including the impact of multilingualism and bilingualism on brain development and divergent thinking are highlighted. </w:t>
      </w:r>
      <w:r w:rsidR="00E31EC5" w:rsidRPr="00A013B0">
        <w:rPr>
          <w:rFonts w:ascii="Times New Roman" w:hAnsi="Times New Roman" w:cs="Times New Roman"/>
          <w:sz w:val="24"/>
          <w:szCs w:val="24"/>
        </w:rPr>
        <w:t>T</w:t>
      </w:r>
      <w:r w:rsidRPr="00A013B0">
        <w:rPr>
          <w:rFonts w:ascii="Times New Roman" w:hAnsi="Times New Roman" w:cs="Times New Roman"/>
          <w:sz w:val="24"/>
          <w:szCs w:val="24"/>
        </w:rPr>
        <w:t xml:space="preserve">he assignment will </w:t>
      </w:r>
      <w:r w:rsidR="00E31EC5" w:rsidRPr="00A013B0">
        <w:rPr>
          <w:rFonts w:ascii="Times New Roman" w:hAnsi="Times New Roman" w:cs="Times New Roman"/>
          <w:sz w:val="24"/>
          <w:szCs w:val="24"/>
        </w:rPr>
        <w:t xml:space="preserve">critically discuss English as an additional language and </w:t>
      </w:r>
      <w:r w:rsidRPr="00A013B0">
        <w:rPr>
          <w:rFonts w:ascii="Times New Roman" w:hAnsi="Times New Roman" w:cs="Times New Roman"/>
          <w:sz w:val="24"/>
          <w:szCs w:val="24"/>
        </w:rPr>
        <w:t xml:space="preserve">highlight links to early year’s frameworks and programmes. </w:t>
      </w:r>
      <w:r w:rsidR="00E31EC5" w:rsidRPr="00A013B0">
        <w:rPr>
          <w:rFonts w:ascii="Times New Roman" w:hAnsi="Times New Roman" w:cs="Times New Roman"/>
          <w:sz w:val="24"/>
          <w:szCs w:val="24"/>
        </w:rPr>
        <w:t>The exact definitions of bilingualism and multilingualism vary considerably</w:t>
      </w:r>
      <w:r w:rsidR="00C63313" w:rsidRPr="00A013B0">
        <w:rPr>
          <w:rFonts w:ascii="Times New Roman" w:hAnsi="Times New Roman" w:cs="Times New Roman"/>
          <w:sz w:val="24"/>
          <w:szCs w:val="24"/>
        </w:rPr>
        <w:t xml:space="preserve"> (Landsberry, 2019)</w:t>
      </w:r>
      <w:r w:rsidR="00E31EC5" w:rsidRPr="00A013B0">
        <w:rPr>
          <w:rFonts w:ascii="Times New Roman" w:hAnsi="Times New Roman" w:cs="Times New Roman"/>
          <w:sz w:val="24"/>
          <w:szCs w:val="24"/>
        </w:rPr>
        <w:t>. These definitions are often based on the degree to which the individual can easily and simultaneously use two or more languages</w:t>
      </w:r>
      <w:r w:rsidR="00F43B6B" w:rsidRPr="00A013B0">
        <w:rPr>
          <w:rFonts w:ascii="Times New Roman" w:hAnsi="Times New Roman" w:cs="Times New Roman"/>
          <w:sz w:val="24"/>
          <w:szCs w:val="24"/>
        </w:rPr>
        <w:t xml:space="preserve"> (De Angelis, 2021)</w:t>
      </w:r>
      <w:r w:rsidR="00E31EC5" w:rsidRPr="00A013B0">
        <w:rPr>
          <w:rFonts w:ascii="Times New Roman" w:hAnsi="Times New Roman" w:cs="Times New Roman"/>
          <w:sz w:val="24"/>
          <w:szCs w:val="24"/>
        </w:rPr>
        <w:t>. Other factors that are important to the definition include the age at which the individual learns to use a second or third language, the degree to which they can both write and speak a second or third language</w:t>
      </w:r>
      <w:r w:rsidR="00C63313" w:rsidRPr="00A013B0">
        <w:rPr>
          <w:rFonts w:ascii="Times New Roman" w:hAnsi="Times New Roman" w:cs="Times New Roman"/>
          <w:sz w:val="24"/>
          <w:szCs w:val="24"/>
        </w:rPr>
        <w:t xml:space="preserve"> (Lansberry, 2019)</w:t>
      </w:r>
      <w:r w:rsidR="00E31EC5" w:rsidRPr="00A013B0">
        <w:rPr>
          <w:rFonts w:ascii="Times New Roman" w:hAnsi="Times New Roman" w:cs="Times New Roman"/>
          <w:sz w:val="24"/>
          <w:szCs w:val="24"/>
        </w:rPr>
        <w:t>.  Bilingualism refers to the ability to alternate between two languages by a speaker</w:t>
      </w:r>
      <w:r w:rsidR="00C63313" w:rsidRPr="00A013B0">
        <w:rPr>
          <w:rFonts w:ascii="Times New Roman" w:hAnsi="Times New Roman" w:cs="Times New Roman"/>
          <w:sz w:val="24"/>
          <w:szCs w:val="24"/>
        </w:rPr>
        <w:t xml:space="preserve">. </w:t>
      </w:r>
      <w:r w:rsidR="00E31EC5" w:rsidRPr="00A013B0">
        <w:rPr>
          <w:rFonts w:ascii="Times New Roman" w:hAnsi="Times New Roman" w:cs="Times New Roman"/>
          <w:sz w:val="24"/>
          <w:szCs w:val="24"/>
        </w:rPr>
        <w:t xml:space="preserve">When individuals can alternate between more than two languages, they are referred to as multilinguals and this </w:t>
      </w:r>
      <w:r w:rsidR="00E31EC5" w:rsidRPr="00A013B0">
        <w:rPr>
          <w:rFonts w:ascii="Times New Roman" w:hAnsi="Times New Roman" w:cs="Times New Roman"/>
          <w:sz w:val="24"/>
          <w:szCs w:val="24"/>
        </w:rPr>
        <w:lastRenderedPageBreak/>
        <w:t>phenomenon is called multilingualism</w:t>
      </w:r>
      <w:r w:rsidR="00C63313" w:rsidRPr="00A013B0">
        <w:rPr>
          <w:rFonts w:ascii="Times New Roman" w:hAnsi="Times New Roman" w:cs="Times New Roman"/>
          <w:sz w:val="24"/>
          <w:szCs w:val="24"/>
        </w:rPr>
        <w:t xml:space="preserve"> (</w:t>
      </w:r>
      <w:proofErr w:type="spellStart"/>
      <w:r w:rsidR="00C63313" w:rsidRPr="00A013B0">
        <w:rPr>
          <w:rFonts w:ascii="Times New Roman" w:hAnsi="Times New Roman" w:cs="Times New Roman"/>
          <w:sz w:val="24"/>
          <w:szCs w:val="24"/>
        </w:rPr>
        <w:t>Cenoz</w:t>
      </w:r>
      <w:proofErr w:type="spellEnd"/>
      <w:r w:rsidR="00C63313" w:rsidRPr="00A013B0">
        <w:rPr>
          <w:rFonts w:ascii="Times New Roman" w:hAnsi="Times New Roman" w:cs="Times New Roman"/>
          <w:sz w:val="24"/>
          <w:szCs w:val="24"/>
        </w:rPr>
        <w:t>, 2013). It can also be defined as the ability of individuals, groups</w:t>
      </w:r>
      <w:r w:rsidR="00D2323D" w:rsidRPr="00A013B0">
        <w:rPr>
          <w:rFonts w:ascii="Times New Roman" w:hAnsi="Times New Roman" w:cs="Times New Roman"/>
          <w:sz w:val="24"/>
          <w:szCs w:val="24"/>
        </w:rPr>
        <w:t>,</w:t>
      </w:r>
      <w:r w:rsidR="00C63313" w:rsidRPr="00A013B0">
        <w:rPr>
          <w:rFonts w:ascii="Times New Roman" w:hAnsi="Times New Roman" w:cs="Times New Roman"/>
          <w:sz w:val="24"/>
          <w:szCs w:val="24"/>
        </w:rPr>
        <w:t xml:space="preserve"> and societies to regularly engage with more than one language in their daily lives (</w:t>
      </w:r>
      <w:proofErr w:type="spellStart"/>
      <w:r w:rsidR="00C63313" w:rsidRPr="00A013B0">
        <w:rPr>
          <w:rFonts w:ascii="Times New Roman" w:hAnsi="Times New Roman" w:cs="Times New Roman"/>
          <w:sz w:val="24"/>
          <w:szCs w:val="24"/>
        </w:rPr>
        <w:t>Cenoz</w:t>
      </w:r>
      <w:proofErr w:type="spellEnd"/>
      <w:r w:rsidR="00C63313" w:rsidRPr="00A013B0">
        <w:rPr>
          <w:rFonts w:ascii="Times New Roman" w:hAnsi="Times New Roman" w:cs="Times New Roman"/>
          <w:sz w:val="24"/>
          <w:szCs w:val="24"/>
        </w:rPr>
        <w:t>, 2013; European Commission, 2007).</w:t>
      </w:r>
    </w:p>
    <w:p w14:paraId="70052C26" w14:textId="6B887F64" w:rsidR="00F00E58" w:rsidRPr="00A013B0" w:rsidRDefault="00F00E58" w:rsidP="00A013B0">
      <w:pPr>
        <w:spacing w:line="480" w:lineRule="auto"/>
        <w:rPr>
          <w:rFonts w:ascii="Times New Roman" w:hAnsi="Times New Roman" w:cs="Times New Roman"/>
          <w:b/>
          <w:bCs/>
          <w:sz w:val="24"/>
          <w:szCs w:val="24"/>
        </w:rPr>
      </w:pPr>
      <w:r w:rsidRPr="00A013B0">
        <w:rPr>
          <w:rFonts w:ascii="Times New Roman" w:hAnsi="Times New Roman" w:cs="Times New Roman"/>
          <w:b/>
          <w:bCs/>
          <w:sz w:val="24"/>
          <w:szCs w:val="24"/>
        </w:rPr>
        <w:t>a) Benefits of bilingualism and/or multilingualism</w:t>
      </w:r>
    </w:p>
    <w:p w14:paraId="6E4E9FFD" w14:textId="64B0BF98" w:rsidR="00F00E58" w:rsidRPr="00A013B0" w:rsidRDefault="00F43B6B"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Bilingualism and multilingualism provide several cognitive, social and even educational benefits. Studies on the cognitive benefits of multilingualism and bilingualism have demonstrated that </w:t>
      </w:r>
      <w:r w:rsidR="00EC66EA" w:rsidRPr="00A013B0">
        <w:rPr>
          <w:rFonts w:ascii="Times New Roman" w:hAnsi="Times New Roman" w:cs="Times New Roman"/>
          <w:sz w:val="24"/>
          <w:szCs w:val="24"/>
        </w:rPr>
        <w:t xml:space="preserve">both can potentially improve attention, cognitive flexibility and even problem-solving abilities (Greve </w:t>
      </w:r>
      <w:r w:rsidR="00EC66EA" w:rsidRPr="00A013B0">
        <w:rPr>
          <w:rFonts w:ascii="Times New Roman" w:hAnsi="Times New Roman" w:cs="Times New Roman"/>
          <w:i/>
          <w:iCs/>
          <w:sz w:val="24"/>
          <w:szCs w:val="24"/>
        </w:rPr>
        <w:t xml:space="preserve">et al., </w:t>
      </w:r>
      <w:r w:rsidR="00EC66EA" w:rsidRPr="00A013B0">
        <w:rPr>
          <w:rFonts w:ascii="Times New Roman" w:hAnsi="Times New Roman" w:cs="Times New Roman"/>
          <w:sz w:val="24"/>
          <w:szCs w:val="24"/>
        </w:rPr>
        <w:t>2024)</w:t>
      </w:r>
      <w:r w:rsidR="00CC1527" w:rsidRPr="00A013B0">
        <w:rPr>
          <w:rFonts w:ascii="Times New Roman" w:hAnsi="Times New Roman" w:cs="Times New Roman"/>
          <w:sz w:val="24"/>
          <w:szCs w:val="24"/>
        </w:rPr>
        <w:t>; Marian and Shook, 2012)</w:t>
      </w:r>
      <w:r w:rsidR="00EC66EA" w:rsidRPr="00A013B0">
        <w:rPr>
          <w:rFonts w:ascii="Times New Roman" w:hAnsi="Times New Roman" w:cs="Times New Roman"/>
          <w:sz w:val="24"/>
          <w:szCs w:val="24"/>
        </w:rPr>
        <w:t xml:space="preserve">. </w:t>
      </w:r>
      <w:r w:rsidR="00611B18" w:rsidRPr="00A013B0">
        <w:rPr>
          <w:rFonts w:ascii="Times New Roman" w:hAnsi="Times New Roman" w:cs="Times New Roman"/>
          <w:sz w:val="24"/>
          <w:szCs w:val="24"/>
        </w:rPr>
        <w:t>The link between multilingualism or bilingualism and improvement in cognitive function can be explained through the cognitive advantage hypothesis (</w:t>
      </w:r>
      <w:proofErr w:type="spellStart"/>
      <w:r w:rsidR="00611B18" w:rsidRPr="00A013B0">
        <w:rPr>
          <w:rFonts w:ascii="Times New Roman" w:hAnsi="Times New Roman" w:cs="Times New Roman"/>
          <w:sz w:val="24"/>
          <w:szCs w:val="24"/>
        </w:rPr>
        <w:t>Gnaoré</w:t>
      </w:r>
      <w:proofErr w:type="spellEnd"/>
      <w:r w:rsidR="00611B18" w:rsidRPr="00A013B0">
        <w:rPr>
          <w:rFonts w:ascii="Times New Roman" w:hAnsi="Times New Roman" w:cs="Times New Roman"/>
          <w:sz w:val="24"/>
          <w:szCs w:val="24"/>
        </w:rPr>
        <w:t xml:space="preserve">, 2024). </w:t>
      </w:r>
      <w:r w:rsidR="00A0122B" w:rsidRPr="00A013B0">
        <w:rPr>
          <w:rFonts w:ascii="Times New Roman" w:hAnsi="Times New Roman" w:cs="Times New Roman"/>
          <w:sz w:val="24"/>
          <w:szCs w:val="24"/>
        </w:rPr>
        <w:t>This hypothesis states that the ability to manage multiple linguistic systems enhances ex</w:t>
      </w:r>
      <w:r w:rsidR="00BC556B">
        <w:rPr>
          <w:rFonts w:ascii="Times New Roman" w:hAnsi="Times New Roman" w:cs="Times New Roman"/>
          <w:sz w:val="24"/>
          <w:szCs w:val="24"/>
        </w:rPr>
        <w:t>ecutive functions.</w:t>
      </w:r>
      <w:r w:rsidR="00A0122B" w:rsidRPr="00A013B0">
        <w:rPr>
          <w:rFonts w:ascii="Times New Roman" w:hAnsi="Times New Roman" w:cs="Times New Roman"/>
          <w:sz w:val="24"/>
          <w:szCs w:val="24"/>
        </w:rPr>
        <w:t xml:space="preserve"> </w:t>
      </w:r>
      <w:r w:rsidR="00AD58A0" w:rsidRPr="00A013B0">
        <w:rPr>
          <w:rFonts w:ascii="Times New Roman" w:hAnsi="Times New Roman" w:cs="Times New Roman"/>
          <w:sz w:val="24"/>
          <w:szCs w:val="24"/>
        </w:rPr>
        <w:t xml:space="preserve"> These individuals also have higher cognitive reserve which potentially delays the onset of neurodege</w:t>
      </w:r>
      <w:r w:rsidR="00BC556B">
        <w:rPr>
          <w:rFonts w:ascii="Times New Roman" w:hAnsi="Times New Roman" w:cs="Times New Roman"/>
          <w:sz w:val="24"/>
          <w:szCs w:val="24"/>
        </w:rPr>
        <w:t>nerative diseases</w:t>
      </w:r>
      <w:r w:rsidR="00AD58A0" w:rsidRPr="00A013B0">
        <w:rPr>
          <w:rFonts w:ascii="Times New Roman" w:hAnsi="Times New Roman" w:cs="Times New Roman"/>
          <w:sz w:val="24"/>
          <w:szCs w:val="24"/>
        </w:rPr>
        <w:t>.</w:t>
      </w:r>
      <w:r w:rsidR="008F4EAE" w:rsidRPr="00A013B0">
        <w:rPr>
          <w:rFonts w:ascii="Times New Roman" w:hAnsi="Times New Roman" w:cs="Times New Roman"/>
          <w:sz w:val="24"/>
          <w:szCs w:val="24"/>
        </w:rPr>
        <w:t xml:space="preserve"> This has been proposed by Bialystok in her examination of cognitive effects of multilingualism</w:t>
      </w:r>
      <w:r w:rsidR="006E49AF" w:rsidRPr="00A013B0">
        <w:rPr>
          <w:rFonts w:ascii="Times New Roman" w:hAnsi="Times New Roman" w:cs="Times New Roman"/>
          <w:sz w:val="24"/>
          <w:szCs w:val="24"/>
        </w:rPr>
        <w:t xml:space="preserve"> (Bialystok, 2017).</w:t>
      </w:r>
    </w:p>
    <w:p w14:paraId="7EE8E4DB" w14:textId="2A52433B" w:rsidR="00A2264B" w:rsidRPr="00A013B0" w:rsidRDefault="00AD58A0"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In addition to cognitive benefits, multilingualism and bilingualism are associated with several social and emotional benefits</w:t>
      </w:r>
      <w:r w:rsidR="00C84C8D" w:rsidRPr="00A013B0">
        <w:rPr>
          <w:rFonts w:ascii="Times New Roman" w:hAnsi="Times New Roman" w:cs="Times New Roman"/>
          <w:sz w:val="24"/>
          <w:szCs w:val="24"/>
        </w:rPr>
        <w:t xml:space="preserve"> (</w:t>
      </w:r>
      <w:proofErr w:type="spellStart"/>
      <w:r w:rsidR="00C84C8D" w:rsidRPr="00A013B0">
        <w:rPr>
          <w:rFonts w:ascii="Times New Roman" w:hAnsi="Times New Roman" w:cs="Times New Roman"/>
          <w:sz w:val="24"/>
          <w:szCs w:val="24"/>
        </w:rPr>
        <w:t>Chibaka</w:t>
      </w:r>
      <w:proofErr w:type="spellEnd"/>
      <w:r w:rsidR="00C84C8D" w:rsidRPr="00A013B0">
        <w:rPr>
          <w:rFonts w:ascii="Times New Roman" w:hAnsi="Times New Roman" w:cs="Times New Roman"/>
          <w:sz w:val="24"/>
          <w:szCs w:val="24"/>
        </w:rPr>
        <w:t>, 2018)</w:t>
      </w:r>
      <w:r w:rsidRPr="00A013B0">
        <w:rPr>
          <w:rFonts w:ascii="Times New Roman" w:hAnsi="Times New Roman" w:cs="Times New Roman"/>
          <w:sz w:val="24"/>
          <w:szCs w:val="24"/>
        </w:rPr>
        <w:t xml:space="preserve">. </w:t>
      </w:r>
      <w:r w:rsidR="006E49AF" w:rsidRPr="00A013B0">
        <w:rPr>
          <w:rFonts w:ascii="Times New Roman" w:hAnsi="Times New Roman" w:cs="Times New Roman"/>
          <w:sz w:val="24"/>
          <w:szCs w:val="24"/>
        </w:rPr>
        <w:t>Multilingual</w:t>
      </w:r>
      <w:r w:rsidR="00D92821" w:rsidRPr="00A013B0">
        <w:rPr>
          <w:rFonts w:ascii="Times New Roman" w:hAnsi="Times New Roman" w:cs="Times New Roman"/>
          <w:sz w:val="24"/>
          <w:szCs w:val="24"/>
        </w:rPr>
        <w:t xml:space="preserve"> and bilinguals are better able to associate with those around them. The ability to communicate and socialize with others through a shared language can enhance empathy and improve interpersonal relations.</w:t>
      </w:r>
      <w:r w:rsidR="006E49AF" w:rsidRPr="00A013B0">
        <w:rPr>
          <w:rFonts w:ascii="Times New Roman" w:hAnsi="Times New Roman" w:cs="Times New Roman"/>
          <w:sz w:val="24"/>
          <w:szCs w:val="24"/>
        </w:rPr>
        <w:t xml:space="preserve"> As shown in the activity video, bilingualism helps the speakers to share in an activity with speakers of other languages (English). </w:t>
      </w:r>
      <w:r w:rsidR="00576AF4" w:rsidRPr="00A013B0">
        <w:rPr>
          <w:rFonts w:ascii="Times New Roman" w:hAnsi="Times New Roman" w:cs="Times New Roman"/>
          <w:sz w:val="24"/>
          <w:szCs w:val="24"/>
        </w:rPr>
        <w:t xml:space="preserve">However, this correlation may be confounded by additional factors. </w:t>
      </w:r>
      <w:r w:rsidR="00031E52" w:rsidRPr="00A013B0">
        <w:rPr>
          <w:rFonts w:ascii="Times New Roman" w:hAnsi="Times New Roman" w:cs="Times New Roman"/>
          <w:sz w:val="24"/>
          <w:szCs w:val="24"/>
        </w:rPr>
        <w:t xml:space="preserve">The children can learn, communicate and socialize using terms in Farsi. </w:t>
      </w:r>
      <w:r w:rsidR="00D92821" w:rsidRPr="00A013B0">
        <w:rPr>
          <w:rFonts w:ascii="Times New Roman" w:hAnsi="Times New Roman" w:cs="Times New Roman"/>
          <w:sz w:val="24"/>
          <w:szCs w:val="24"/>
        </w:rPr>
        <w:t xml:space="preserve"> Shared languages frequently provide a mechanism for promoting shared identity. </w:t>
      </w:r>
    </w:p>
    <w:p w14:paraId="189B184E" w14:textId="609CEACF" w:rsidR="00AD58A0" w:rsidRPr="00A013B0" w:rsidRDefault="00D92821"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Multilingualism can enhance cultural and intercultural understanding. Individuals who speak various languages </w:t>
      </w:r>
      <w:r w:rsidR="00A2264B" w:rsidRPr="00A013B0">
        <w:rPr>
          <w:rFonts w:ascii="Times New Roman" w:hAnsi="Times New Roman" w:cs="Times New Roman"/>
          <w:sz w:val="24"/>
          <w:szCs w:val="24"/>
        </w:rPr>
        <w:t>can</w:t>
      </w:r>
      <w:r w:rsidRPr="00A013B0">
        <w:rPr>
          <w:rFonts w:ascii="Times New Roman" w:hAnsi="Times New Roman" w:cs="Times New Roman"/>
          <w:sz w:val="24"/>
          <w:szCs w:val="24"/>
        </w:rPr>
        <w:t xml:space="preserve"> perceive and understand the perspectives</w:t>
      </w:r>
      <w:r w:rsidR="00100059" w:rsidRPr="00A013B0">
        <w:rPr>
          <w:rFonts w:ascii="Times New Roman" w:hAnsi="Times New Roman" w:cs="Times New Roman"/>
          <w:sz w:val="24"/>
          <w:szCs w:val="24"/>
        </w:rPr>
        <w:t xml:space="preserve"> of other persons</w:t>
      </w:r>
      <w:r w:rsidR="00CE4148" w:rsidRPr="00A013B0">
        <w:rPr>
          <w:rFonts w:ascii="Times New Roman" w:hAnsi="Times New Roman" w:cs="Times New Roman"/>
          <w:sz w:val="24"/>
          <w:szCs w:val="24"/>
        </w:rPr>
        <w:t xml:space="preserve"> (Fan </w:t>
      </w:r>
      <w:r w:rsidR="00CE4148" w:rsidRPr="00A013B0">
        <w:rPr>
          <w:rFonts w:ascii="Times New Roman" w:hAnsi="Times New Roman" w:cs="Times New Roman"/>
          <w:i/>
          <w:iCs/>
          <w:sz w:val="24"/>
          <w:szCs w:val="24"/>
        </w:rPr>
        <w:t xml:space="preserve">et al., </w:t>
      </w:r>
      <w:r w:rsidR="00CE4148" w:rsidRPr="00A013B0">
        <w:rPr>
          <w:rFonts w:ascii="Times New Roman" w:hAnsi="Times New Roman" w:cs="Times New Roman"/>
          <w:sz w:val="24"/>
          <w:szCs w:val="24"/>
        </w:rPr>
        <w:t xml:space="preserve">2015). </w:t>
      </w:r>
      <w:r w:rsidR="00902AC8" w:rsidRPr="00A013B0">
        <w:rPr>
          <w:rFonts w:ascii="Times New Roman" w:hAnsi="Times New Roman" w:cs="Times New Roman"/>
          <w:sz w:val="24"/>
          <w:szCs w:val="24"/>
        </w:rPr>
        <w:t xml:space="preserve">Multilingual children </w:t>
      </w:r>
      <w:r w:rsidR="00BD2569" w:rsidRPr="00A013B0">
        <w:rPr>
          <w:rFonts w:ascii="Times New Roman" w:hAnsi="Times New Roman" w:cs="Times New Roman"/>
          <w:sz w:val="24"/>
          <w:szCs w:val="24"/>
        </w:rPr>
        <w:t xml:space="preserve">are </w:t>
      </w:r>
      <w:r w:rsidR="00902AC8" w:rsidRPr="00A013B0">
        <w:rPr>
          <w:rFonts w:ascii="Times New Roman" w:hAnsi="Times New Roman" w:cs="Times New Roman"/>
          <w:sz w:val="24"/>
          <w:szCs w:val="24"/>
        </w:rPr>
        <w:t xml:space="preserve">better equipped to </w:t>
      </w:r>
      <w:r w:rsidR="00BD2569" w:rsidRPr="00A013B0">
        <w:rPr>
          <w:rFonts w:ascii="Times New Roman" w:hAnsi="Times New Roman" w:cs="Times New Roman"/>
          <w:sz w:val="24"/>
          <w:szCs w:val="24"/>
        </w:rPr>
        <w:t xml:space="preserve">express emotions and otherwise engage in meaningful interactions (Back </w:t>
      </w:r>
      <w:r w:rsidR="00BD2569" w:rsidRPr="00DA0885">
        <w:rPr>
          <w:rFonts w:ascii="Times New Roman" w:hAnsi="Times New Roman" w:cs="Times New Roman"/>
          <w:i/>
          <w:iCs/>
          <w:sz w:val="24"/>
          <w:szCs w:val="24"/>
        </w:rPr>
        <w:t>et al.,</w:t>
      </w:r>
      <w:r w:rsidR="00BD2569" w:rsidRPr="00A013B0">
        <w:rPr>
          <w:rFonts w:ascii="Times New Roman" w:hAnsi="Times New Roman" w:cs="Times New Roman"/>
          <w:i/>
          <w:iCs/>
          <w:sz w:val="24"/>
          <w:szCs w:val="24"/>
        </w:rPr>
        <w:t xml:space="preserve"> </w:t>
      </w:r>
      <w:r w:rsidR="00BD2569" w:rsidRPr="00A013B0">
        <w:rPr>
          <w:rFonts w:ascii="Times New Roman" w:hAnsi="Times New Roman" w:cs="Times New Roman"/>
          <w:sz w:val="24"/>
          <w:szCs w:val="24"/>
        </w:rPr>
        <w:t>2020).</w:t>
      </w:r>
    </w:p>
    <w:p w14:paraId="3E941C45" w14:textId="54045B02" w:rsidR="00D30276" w:rsidRPr="00A013B0" w:rsidRDefault="00D30276"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Finally, multilingualism and bilingualism are linked to several academic benefits. </w:t>
      </w:r>
      <w:r w:rsidR="002C4F18" w:rsidRPr="00A013B0">
        <w:rPr>
          <w:rFonts w:ascii="Times New Roman" w:hAnsi="Times New Roman" w:cs="Times New Roman"/>
          <w:sz w:val="24"/>
          <w:szCs w:val="24"/>
        </w:rPr>
        <w:t xml:space="preserve">By enhancing cognitive flexibility, individuals who speak two or more languages may </w:t>
      </w:r>
      <w:r w:rsidR="00971A98" w:rsidRPr="00A013B0">
        <w:rPr>
          <w:rFonts w:ascii="Times New Roman" w:hAnsi="Times New Roman" w:cs="Times New Roman"/>
          <w:sz w:val="24"/>
          <w:szCs w:val="24"/>
        </w:rPr>
        <w:t xml:space="preserve">outperform their peers </w:t>
      </w:r>
      <w:r w:rsidR="0023268D" w:rsidRPr="00A013B0">
        <w:rPr>
          <w:rFonts w:ascii="Times New Roman" w:hAnsi="Times New Roman" w:cs="Times New Roman"/>
          <w:sz w:val="24"/>
          <w:szCs w:val="24"/>
        </w:rPr>
        <w:t>without such</w:t>
      </w:r>
      <w:r w:rsidR="00971A98" w:rsidRPr="00A013B0">
        <w:rPr>
          <w:rFonts w:ascii="Times New Roman" w:hAnsi="Times New Roman" w:cs="Times New Roman"/>
          <w:sz w:val="24"/>
          <w:szCs w:val="24"/>
        </w:rPr>
        <w:t xml:space="preserve"> capabilities</w:t>
      </w:r>
      <w:r w:rsidR="00676553" w:rsidRPr="00A013B0">
        <w:rPr>
          <w:rFonts w:ascii="Times New Roman" w:hAnsi="Times New Roman" w:cs="Times New Roman"/>
          <w:sz w:val="24"/>
          <w:szCs w:val="24"/>
        </w:rPr>
        <w:t xml:space="preserve"> (Daud, 2024). </w:t>
      </w:r>
      <w:r w:rsidR="00AF206F" w:rsidRPr="00A013B0">
        <w:rPr>
          <w:rFonts w:ascii="Times New Roman" w:hAnsi="Times New Roman" w:cs="Times New Roman"/>
          <w:sz w:val="24"/>
          <w:szCs w:val="24"/>
        </w:rPr>
        <w:t xml:space="preserve">Multilingual learners can more rapidly achieve required learning outcomes when compared to their peers. These children are often more creative with </w:t>
      </w:r>
      <w:r w:rsidR="00E7568C" w:rsidRPr="00A013B0">
        <w:rPr>
          <w:rFonts w:ascii="Times New Roman" w:hAnsi="Times New Roman" w:cs="Times New Roman"/>
          <w:sz w:val="24"/>
          <w:szCs w:val="24"/>
        </w:rPr>
        <w:t xml:space="preserve">a </w:t>
      </w:r>
      <w:r w:rsidR="00AF206F" w:rsidRPr="00A013B0">
        <w:rPr>
          <w:rFonts w:ascii="Times New Roman" w:hAnsi="Times New Roman" w:cs="Times New Roman"/>
          <w:sz w:val="24"/>
          <w:szCs w:val="24"/>
        </w:rPr>
        <w:t>greater capacity for abstract thought and reasoning</w:t>
      </w:r>
      <w:r w:rsidR="000E3AC6" w:rsidRPr="00A013B0">
        <w:rPr>
          <w:rFonts w:ascii="Times New Roman" w:hAnsi="Times New Roman" w:cs="Times New Roman"/>
          <w:sz w:val="24"/>
          <w:szCs w:val="24"/>
        </w:rPr>
        <w:t xml:space="preserve"> (Xia </w:t>
      </w:r>
      <w:r w:rsidR="000E3AC6" w:rsidRPr="00DA0885">
        <w:rPr>
          <w:rFonts w:ascii="Times New Roman" w:hAnsi="Times New Roman" w:cs="Times New Roman"/>
          <w:i/>
          <w:sz w:val="24"/>
          <w:szCs w:val="24"/>
        </w:rPr>
        <w:t>et al</w:t>
      </w:r>
      <w:r w:rsidR="000E3AC6" w:rsidRPr="00A013B0">
        <w:rPr>
          <w:rFonts w:ascii="Times New Roman" w:hAnsi="Times New Roman" w:cs="Times New Roman"/>
          <w:sz w:val="24"/>
          <w:szCs w:val="24"/>
        </w:rPr>
        <w:t>., 2022).</w:t>
      </w:r>
      <w:r w:rsidR="00AF206F" w:rsidRPr="00A013B0">
        <w:rPr>
          <w:rFonts w:ascii="Times New Roman" w:hAnsi="Times New Roman" w:cs="Times New Roman"/>
          <w:sz w:val="24"/>
          <w:szCs w:val="24"/>
        </w:rPr>
        <w:t xml:space="preserve"> </w:t>
      </w:r>
      <w:r w:rsidR="0098357B" w:rsidRPr="00A013B0">
        <w:rPr>
          <w:rFonts w:ascii="Times New Roman" w:hAnsi="Times New Roman" w:cs="Times New Roman"/>
          <w:sz w:val="24"/>
          <w:szCs w:val="24"/>
        </w:rPr>
        <w:t xml:space="preserve">They are better problem solvers which may enhance academic achievement </w:t>
      </w:r>
    </w:p>
    <w:p w14:paraId="117BAFE2" w14:textId="34BD33FA" w:rsidR="00F00E58" w:rsidRPr="00A013B0" w:rsidRDefault="00F00E58" w:rsidP="00A013B0">
      <w:pPr>
        <w:spacing w:line="480" w:lineRule="auto"/>
        <w:rPr>
          <w:rFonts w:ascii="Times New Roman" w:hAnsi="Times New Roman" w:cs="Times New Roman"/>
          <w:b/>
          <w:bCs/>
          <w:sz w:val="24"/>
          <w:szCs w:val="24"/>
        </w:rPr>
      </w:pPr>
      <w:r w:rsidRPr="00A013B0">
        <w:rPr>
          <w:rFonts w:ascii="Times New Roman" w:hAnsi="Times New Roman" w:cs="Times New Roman"/>
          <w:b/>
          <w:bCs/>
          <w:sz w:val="24"/>
          <w:szCs w:val="24"/>
        </w:rPr>
        <w:t>b) Welsh as an Additional Language/English as an Additional Language</w:t>
      </w:r>
    </w:p>
    <w:p w14:paraId="1910F99A" w14:textId="07279055" w:rsidR="00E7568C" w:rsidRPr="00A013B0" w:rsidRDefault="00E7568C"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For many </w:t>
      </w:r>
      <w:r w:rsidR="00F573A7" w:rsidRPr="00A013B0">
        <w:rPr>
          <w:rFonts w:ascii="Times New Roman" w:hAnsi="Times New Roman" w:cs="Times New Roman"/>
          <w:sz w:val="24"/>
          <w:szCs w:val="24"/>
        </w:rPr>
        <w:t xml:space="preserve">Welsh </w:t>
      </w:r>
      <w:r w:rsidRPr="00A013B0">
        <w:rPr>
          <w:rFonts w:ascii="Times New Roman" w:hAnsi="Times New Roman" w:cs="Times New Roman"/>
          <w:sz w:val="24"/>
          <w:szCs w:val="24"/>
        </w:rPr>
        <w:t xml:space="preserve">children, English or Welsh is frequently a second language. </w:t>
      </w:r>
      <w:r w:rsidR="00F573A7" w:rsidRPr="00A013B0">
        <w:rPr>
          <w:rFonts w:ascii="Times New Roman" w:hAnsi="Times New Roman" w:cs="Times New Roman"/>
          <w:sz w:val="24"/>
          <w:szCs w:val="24"/>
        </w:rPr>
        <w:t xml:space="preserve">Schools and </w:t>
      </w:r>
      <w:r w:rsidR="00991A57" w:rsidRPr="00A013B0">
        <w:rPr>
          <w:rFonts w:ascii="Times New Roman" w:hAnsi="Times New Roman" w:cs="Times New Roman"/>
          <w:sz w:val="24"/>
          <w:szCs w:val="24"/>
        </w:rPr>
        <w:t>early-year</w:t>
      </w:r>
      <w:r w:rsidR="00F573A7" w:rsidRPr="00A013B0">
        <w:rPr>
          <w:rFonts w:ascii="Times New Roman" w:hAnsi="Times New Roman" w:cs="Times New Roman"/>
          <w:sz w:val="24"/>
          <w:szCs w:val="24"/>
        </w:rPr>
        <w:t xml:space="preserve"> practitioners are important in enhancing </w:t>
      </w:r>
      <w:r w:rsidR="00991A57" w:rsidRPr="00A013B0">
        <w:rPr>
          <w:rFonts w:ascii="Times New Roman" w:hAnsi="Times New Roman" w:cs="Times New Roman"/>
          <w:sz w:val="24"/>
          <w:szCs w:val="24"/>
        </w:rPr>
        <w:t xml:space="preserve">the </w:t>
      </w:r>
      <w:r w:rsidR="00F573A7" w:rsidRPr="00A013B0">
        <w:rPr>
          <w:rFonts w:ascii="Times New Roman" w:hAnsi="Times New Roman" w:cs="Times New Roman"/>
          <w:sz w:val="24"/>
          <w:szCs w:val="24"/>
        </w:rPr>
        <w:t>acquisition of English or Welsh as a second language</w:t>
      </w:r>
      <w:r w:rsidR="00AB081C" w:rsidRPr="00A013B0">
        <w:rPr>
          <w:rFonts w:ascii="Times New Roman" w:hAnsi="Times New Roman" w:cs="Times New Roman"/>
          <w:sz w:val="24"/>
          <w:szCs w:val="24"/>
        </w:rPr>
        <w:t xml:space="preserve"> (Sword, 2021)</w:t>
      </w:r>
      <w:r w:rsidR="00F573A7" w:rsidRPr="00A013B0">
        <w:rPr>
          <w:rFonts w:ascii="Times New Roman" w:hAnsi="Times New Roman" w:cs="Times New Roman"/>
          <w:sz w:val="24"/>
          <w:szCs w:val="24"/>
        </w:rPr>
        <w:t>.</w:t>
      </w:r>
      <w:r w:rsidR="00D91F4B" w:rsidRPr="00A013B0">
        <w:rPr>
          <w:rFonts w:ascii="Times New Roman" w:hAnsi="Times New Roman" w:cs="Times New Roman"/>
          <w:sz w:val="24"/>
          <w:szCs w:val="24"/>
        </w:rPr>
        <w:t xml:space="preserve"> For children learning English or Welsh as a second language, inadequate vocabulary can hinder expression and comprehension which makes it difficult to understand written materials and follow conversations. </w:t>
      </w:r>
      <w:r w:rsidR="00B82D74" w:rsidRPr="00A013B0">
        <w:rPr>
          <w:rFonts w:ascii="Times New Roman" w:hAnsi="Times New Roman" w:cs="Times New Roman"/>
          <w:sz w:val="24"/>
          <w:szCs w:val="24"/>
        </w:rPr>
        <w:t xml:space="preserve">These children may initially find it difficult to </w:t>
      </w:r>
      <w:r w:rsidR="005A31F0" w:rsidRPr="00A013B0">
        <w:rPr>
          <w:rFonts w:ascii="Times New Roman" w:hAnsi="Times New Roman" w:cs="Times New Roman"/>
          <w:sz w:val="24"/>
          <w:szCs w:val="24"/>
        </w:rPr>
        <w:t xml:space="preserve">communicate their needs. </w:t>
      </w:r>
      <w:r w:rsidR="001970D3" w:rsidRPr="00A013B0">
        <w:rPr>
          <w:rFonts w:ascii="Times New Roman" w:hAnsi="Times New Roman" w:cs="Times New Roman"/>
          <w:sz w:val="24"/>
          <w:szCs w:val="24"/>
        </w:rPr>
        <w:t>In the activity video, the children are taught basic vocabulary in Farsi. They may not understand all the terms initially and may have difficulty using Farsi terms</w:t>
      </w:r>
      <w:r w:rsidR="00DC75F2" w:rsidRPr="00A013B0">
        <w:rPr>
          <w:rFonts w:ascii="Times New Roman" w:hAnsi="Times New Roman" w:cs="Times New Roman"/>
          <w:sz w:val="24"/>
          <w:szCs w:val="24"/>
        </w:rPr>
        <w:t xml:space="preserve"> at this stage. </w:t>
      </w:r>
      <w:r w:rsidR="005A31F0" w:rsidRPr="00A013B0">
        <w:rPr>
          <w:rFonts w:ascii="Times New Roman" w:hAnsi="Times New Roman" w:cs="Times New Roman"/>
          <w:sz w:val="24"/>
          <w:szCs w:val="24"/>
        </w:rPr>
        <w:t xml:space="preserve">This difficulty adversely impacts their ability to interact </w:t>
      </w:r>
      <w:r w:rsidR="007D2014" w:rsidRPr="00A013B0">
        <w:rPr>
          <w:rFonts w:ascii="Times New Roman" w:hAnsi="Times New Roman" w:cs="Times New Roman"/>
          <w:sz w:val="24"/>
          <w:szCs w:val="24"/>
        </w:rPr>
        <w:t xml:space="preserve">with </w:t>
      </w:r>
      <w:r w:rsidR="005A31F0" w:rsidRPr="00A013B0">
        <w:rPr>
          <w:rFonts w:ascii="Times New Roman" w:hAnsi="Times New Roman" w:cs="Times New Roman"/>
          <w:sz w:val="24"/>
          <w:szCs w:val="24"/>
        </w:rPr>
        <w:t>their practitioners and peers</w:t>
      </w:r>
      <w:r w:rsidR="001A5C7A" w:rsidRPr="00A013B0">
        <w:rPr>
          <w:rFonts w:ascii="Times New Roman" w:hAnsi="Times New Roman" w:cs="Times New Roman"/>
          <w:sz w:val="24"/>
          <w:szCs w:val="24"/>
        </w:rPr>
        <w:t xml:space="preserve"> (EAL Hub, 2022).</w:t>
      </w:r>
      <w:r w:rsidR="00C30242" w:rsidRPr="00A013B0">
        <w:rPr>
          <w:rFonts w:ascii="Times New Roman" w:hAnsi="Times New Roman" w:cs="Times New Roman"/>
          <w:sz w:val="24"/>
          <w:szCs w:val="24"/>
        </w:rPr>
        <w:t xml:space="preserve"> The child will usually experience difficulty participating in class activities and completing tasks.</w:t>
      </w:r>
      <w:r w:rsidR="00CD0B6E" w:rsidRPr="00A013B0">
        <w:rPr>
          <w:rFonts w:ascii="Times New Roman" w:hAnsi="Times New Roman" w:cs="Times New Roman"/>
          <w:sz w:val="24"/>
          <w:szCs w:val="24"/>
        </w:rPr>
        <w:t xml:space="preserve"> </w:t>
      </w:r>
      <w:r w:rsidR="00962CE8" w:rsidRPr="00A013B0">
        <w:rPr>
          <w:rFonts w:ascii="Times New Roman" w:hAnsi="Times New Roman" w:cs="Times New Roman"/>
          <w:sz w:val="24"/>
          <w:szCs w:val="24"/>
        </w:rPr>
        <w:t xml:space="preserve">However, with time, the learner makes progress as they become more and more conversant with the language and its structure. </w:t>
      </w:r>
      <w:r w:rsidR="00CD0B6E" w:rsidRPr="00A013B0">
        <w:rPr>
          <w:rFonts w:ascii="Times New Roman" w:hAnsi="Times New Roman" w:cs="Times New Roman"/>
          <w:sz w:val="24"/>
          <w:szCs w:val="24"/>
        </w:rPr>
        <w:t>The 5-stage model of WAL/EAL acquisition states that the child is first new to the language (Stage A)</w:t>
      </w:r>
      <w:r w:rsidR="0053021A" w:rsidRPr="00A013B0">
        <w:rPr>
          <w:rFonts w:ascii="Times New Roman" w:hAnsi="Times New Roman" w:cs="Times New Roman"/>
          <w:sz w:val="24"/>
          <w:szCs w:val="24"/>
        </w:rPr>
        <w:t xml:space="preserve"> </w:t>
      </w:r>
      <w:r w:rsidR="0034576B">
        <w:rPr>
          <w:rFonts w:ascii="Times New Roman" w:hAnsi="Times New Roman" w:cs="Times New Roman"/>
          <w:sz w:val="24"/>
          <w:szCs w:val="24"/>
        </w:rPr>
        <w:t>(Ve</w:t>
      </w:r>
      <w:r w:rsidR="0053021A" w:rsidRPr="00A013B0">
        <w:rPr>
          <w:rFonts w:ascii="Times New Roman" w:hAnsi="Times New Roman" w:cs="Times New Roman"/>
          <w:sz w:val="24"/>
          <w:szCs w:val="24"/>
        </w:rPr>
        <w:t>ronique, 2023)</w:t>
      </w:r>
      <w:r w:rsidR="00CD0B6E" w:rsidRPr="00A013B0">
        <w:rPr>
          <w:rFonts w:ascii="Times New Roman" w:hAnsi="Times New Roman" w:cs="Times New Roman"/>
          <w:sz w:val="24"/>
          <w:szCs w:val="24"/>
        </w:rPr>
        <w:t>. Stage B occurs during early acquisition, stage C involves development of competence, D is when the speaker is competent, and E when they are fluent</w:t>
      </w:r>
      <w:r w:rsidR="0001165F" w:rsidRPr="00A013B0">
        <w:rPr>
          <w:rFonts w:ascii="Times New Roman" w:hAnsi="Times New Roman" w:cs="Times New Roman"/>
          <w:sz w:val="24"/>
          <w:szCs w:val="24"/>
        </w:rPr>
        <w:t xml:space="preserve"> (</w:t>
      </w:r>
      <w:proofErr w:type="spellStart"/>
      <w:r w:rsidR="0001165F" w:rsidRPr="00A013B0">
        <w:rPr>
          <w:rFonts w:ascii="Times New Roman" w:hAnsi="Times New Roman" w:cs="Times New Roman"/>
          <w:sz w:val="24"/>
          <w:szCs w:val="24"/>
        </w:rPr>
        <w:t>Limacher-Riebold</w:t>
      </w:r>
      <w:proofErr w:type="spellEnd"/>
      <w:r w:rsidR="0001165F" w:rsidRPr="00A013B0">
        <w:rPr>
          <w:rFonts w:ascii="Times New Roman" w:hAnsi="Times New Roman" w:cs="Times New Roman"/>
          <w:sz w:val="24"/>
          <w:szCs w:val="24"/>
        </w:rPr>
        <w:t>, 2019)</w:t>
      </w:r>
      <w:r w:rsidR="00CD0B6E" w:rsidRPr="00A013B0">
        <w:rPr>
          <w:rFonts w:ascii="Times New Roman" w:hAnsi="Times New Roman" w:cs="Times New Roman"/>
          <w:sz w:val="24"/>
          <w:szCs w:val="24"/>
        </w:rPr>
        <w:t xml:space="preserve">. </w:t>
      </w:r>
      <w:r w:rsidR="001614F2" w:rsidRPr="00A013B0">
        <w:rPr>
          <w:rFonts w:ascii="Times New Roman" w:hAnsi="Times New Roman" w:cs="Times New Roman"/>
          <w:sz w:val="24"/>
          <w:szCs w:val="24"/>
        </w:rPr>
        <w:t>Although learners will show characteristics dominant of one stage, they go through these stages at different rates.</w:t>
      </w:r>
    </w:p>
    <w:p w14:paraId="016EC237" w14:textId="635F35E1" w:rsidR="00C30242" w:rsidRPr="00A013B0" w:rsidRDefault="00520960"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Observing the child interact with other persons can help practitioners determine the level of proficiency and to institute appropriate interventions to enhance </w:t>
      </w:r>
      <w:r w:rsidR="00BB2990" w:rsidRPr="00A013B0">
        <w:rPr>
          <w:rFonts w:ascii="Times New Roman" w:hAnsi="Times New Roman" w:cs="Times New Roman"/>
          <w:sz w:val="24"/>
          <w:szCs w:val="24"/>
        </w:rPr>
        <w:t xml:space="preserve">the </w:t>
      </w:r>
      <w:r w:rsidRPr="00A013B0">
        <w:rPr>
          <w:rFonts w:ascii="Times New Roman" w:hAnsi="Times New Roman" w:cs="Times New Roman"/>
          <w:sz w:val="24"/>
          <w:szCs w:val="24"/>
        </w:rPr>
        <w:t>acquisition of the second language</w:t>
      </w:r>
      <w:r w:rsidR="00BE1757" w:rsidRPr="00A013B0">
        <w:rPr>
          <w:rFonts w:ascii="Times New Roman" w:hAnsi="Times New Roman" w:cs="Times New Roman"/>
          <w:sz w:val="24"/>
          <w:szCs w:val="24"/>
        </w:rPr>
        <w:t xml:space="preserve"> (Macy, 2019).</w:t>
      </w:r>
      <w:r w:rsidRPr="00A013B0">
        <w:rPr>
          <w:rFonts w:ascii="Times New Roman" w:hAnsi="Times New Roman" w:cs="Times New Roman"/>
          <w:sz w:val="24"/>
          <w:szCs w:val="24"/>
        </w:rPr>
        <w:t xml:space="preserve"> </w:t>
      </w:r>
      <w:r w:rsidR="00BB2990" w:rsidRPr="00A013B0">
        <w:rPr>
          <w:rFonts w:ascii="Times New Roman" w:hAnsi="Times New Roman" w:cs="Times New Roman"/>
          <w:sz w:val="24"/>
          <w:szCs w:val="24"/>
        </w:rPr>
        <w:t>The practitioner should continue speaking to the learner even when the learner does not respond. Practitioners can describe what they (the practitioners) are doing, explain to the child what the child is doing, ask questions</w:t>
      </w:r>
      <w:r w:rsidR="002C4473" w:rsidRPr="00A013B0">
        <w:rPr>
          <w:rFonts w:ascii="Times New Roman" w:hAnsi="Times New Roman" w:cs="Times New Roman"/>
          <w:sz w:val="24"/>
          <w:szCs w:val="24"/>
        </w:rPr>
        <w:t>,</w:t>
      </w:r>
      <w:r w:rsidR="00BB2990" w:rsidRPr="00A013B0">
        <w:rPr>
          <w:rFonts w:ascii="Times New Roman" w:hAnsi="Times New Roman" w:cs="Times New Roman"/>
          <w:sz w:val="24"/>
          <w:szCs w:val="24"/>
        </w:rPr>
        <w:t xml:space="preserve"> and even employ storytelling. </w:t>
      </w:r>
      <w:r w:rsidR="008A1D04" w:rsidRPr="00A013B0">
        <w:rPr>
          <w:rFonts w:ascii="Times New Roman" w:hAnsi="Times New Roman" w:cs="Times New Roman"/>
          <w:sz w:val="24"/>
          <w:szCs w:val="24"/>
        </w:rPr>
        <w:t xml:space="preserve">As shown in the activity video, the practitioner asks questions and uses storytelling to encourage learning. </w:t>
      </w:r>
      <w:r w:rsidR="00BB2990" w:rsidRPr="00A013B0">
        <w:rPr>
          <w:rFonts w:ascii="Times New Roman" w:hAnsi="Times New Roman" w:cs="Times New Roman"/>
          <w:sz w:val="24"/>
          <w:szCs w:val="24"/>
        </w:rPr>
        <w:t>This is consistent with Vygotsky’s proximal development method that allows the practitioner to support ESL or WAL learning by providing a scaffold for language learning</w:t>
      </w:r>
      <w:r w:rsidR="00335020" w:rsidRPr="00A013B0">
        <w:rPr>
          <w:rFonts w:ascii="Times New Roman" w:hAnsi="Times New Roman" w:cs="Times New Roman"/>
          <w:sz w:val="24"/>
          <w:szCs w:val="24"/>
        </w:rPr>
        <w:t xml:space="preserve"> (McLeod, 2024)</w:t>
      </w:r>
      <w:r w:rsidR="00BB2990" w:rsidRPr="00A013B0">
        <w:rPr>
          <w:rFonts w:ascii="Times New Roman" w:hAnsi="Times New Roman" w:cs="Times New Roman"/>
          <w:sz w:val="24"/>
          <w:szCs w:val="24"/>
        </w:rPr>
        <w:t xml:space="preserve">. </w:t>
      </w:r>
      <w:r w:rsidR="006F1370" w:rsidRPr="00A013B0">
        <w:rPr>
          <w:rFonts w:ascii="Times New Roman" w:hAnsi="Times New Roman" w:cs="Times New Roman"/>
          <w:sz w:val="24"/>
          <w:szCs w:val="24"/>
        </w:rPr>
        <w:t>Practitioners should make time for child talk allowing the child to practice what he or she has learnt</w:t>
      </w:r>
      <w:r w:rsidR="00186EF2" w:rsidRPr="00A013B0">
        <w:rPr>
          <w:rFonts w:ascii="Times New Roman" w:hAnsi="Times New Roman" w:cs="Times New Roman"/>
          <w:sz w:val="24"/>
          <w:szCs w:val="24"/>
        </w:rPr>
        <w:t xml:space="preserve"> (Luckenbill, 2020). </w:t>
      </w:r>
      <w:r w:rsidR="00236DBB" w:rsidRPr="00A013B0">
        <w:rPr>
          <w:rFonts w:ascii="Times New Roman" w:hAnsi="Times New Roman" w:cs="Times New Roman"/>
          <w:sz w:val="24"/>
          <w:szCs w:val="24"/>
        </w:rPr>
        <w:t xml:space="preserve">By building on prior knowledge to support WAL/EAL, learners may more rapidly acquire the second language than would be otherwise possible. </w:t>
      </w:r>
    </w:p>
    <w:p w14:paraId="2012F67E" w14:textId="6A64380E" w:rsidR="006B4F5F" w:rsidRPr="00A013B0" w:rsidRDefault="006B4F5F"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By selectively using the child’s first language to communicate during the initial stages, practitioners can provide a scaffold for acquisition of WAL/EAL</w:t>
      </w:r>
      <w:r w:rsidR="00A223FE" w:rsidRPr="00A013B0">
        <w:rPr>
          <w:rFonts w:ascii="Times New Roman" w:hAnsi="Times New Roman" w:cs="Times New Roman"/>
          <w:sz w:val="24"/>
          <w:szCs w:val="24"/>
        </w:rPr>
        <w:t xml:space="preserve"> (Bell Foundation, 2024; Aithal, 2023)</w:t>
      </w:r>
      <w:r w:rsidR="006F1370" w:rsidRPr="00A013B0">
        <w:rPr>
          <w:rFonts w:ascii="Times New Roman" w:hAnsi="Times New Roman" w:cs="Times New Roman"/>
          <w:sz w:val="24"/>
          <w:szCs w:val="24"/>
        </w:rPr>
        <w:t xml:space="preserve">. Working with </w:t>
      </w:r>
      <w:r w:rsidR="00060508" w:rsidRPr="00A013B0">
        <w:rPr>
          <w:rFonts w:ascii="Times New Roman" w:hAnsi="Times New Roman" w:cs="Times New Roman"/>
          <w:sz w:val="24"/>
          <w:szCs w:val="24"/>
        </w:rPr>
        <w:t>parents and caregivers</w:t>
      </w:r>
      <w:r w:rsidR="006F1370" w:rsidRPr="00A013B0">
        <w:rPr>
          <w:rFonts w:ascii="Times New Roman" w:hAnsi="Times New Roman" w:cs="Times New Roman"/>
          <w:sz w:val="24"/>
          <w:szCs w:val="24"/>
        </w:rPr>
        <w:t xml:space="preserve"> can enhance collaboration and language learning outside the formal class environment</w:t>
      </w:r>
      <w:r w:rsidR="00A223FE" w:rsidRPr="00A013B0">
        <w:rPr>
          <w:rFonts w:ascii="Times New Roman" w:hAnsi="Times New Roman" w:cs="Times New Roman"/>
          <w:sz w:val="24"/>
          <w:szCs w:val="24"/>
        </w:rPr>
        <w:t xml:space="preserve"> (Jeong </w:t>
      </w:r>
      <w:r w:rsidR="00A223FE" w:rsidRPr="00DA0885">
        <w:rPr>
          <w:rFonts w:ascii="Times New Roman" w:hAnsi="Times New Roman" w:cs="Times New Roman"/>
          <w:i/>
          <w:sz w:val="24"/>
          <w:szCs w:val="24"/>
        </w:rPr>
        <w:t>et al</w:t>
      </w:r>
      <w:r w:rsidR="00A223FE" w:rsidRPr="00A013B0">
        <w:rPr>
          <w:rFonts w:ascii="Times New Roman" w:hAnsi="Times New Roman" w:cs="Times New Roman"/>
          <w:sz w:val="24"/>
          <w:szCs w:val="24"/>
        </w:rPr>
        <w:t>., 2021).</w:t>
      </w:r>
    </w:p>
    <w:p w14:paraId="2F0C2151" w14:textId="77777777" w:rsidR="004346FA" w:rsidRDefault="004346FA" w:rsidP="00A013B0">
      <w:pPr>
        <w:spacing w:line="480" w:lineRule="auto"/>
        <w:rPr>
          <w:rFonts w:ascii="Times New Roman" w:hAnsi="Times New Roman" w:cs="Times New Roman"/>
          <w:b/>
          <w:bCs/>
          <w:sz w:val="24"/>
          <w:szCs w:val="24"/>
        </w:rPr>
      </w:pPr>
    </w:p>
    <w:p w14:paraId="2BB01EFB" w14:textId="77777777" w:rsidR="004346FA" w:rsidRDefault="004346FA" w:rsidP="00A013B0">
      <w:pPr>
        <w:spacing w:line="480" w:lineRule="auto"/>
        <w:rPr>
          <w:rFonts w:ascii="Times New Roman" w:hAnsi="Times New Roman" w:cs="Times New Roman"/>
          <w:b/>
          <w:bCs/>
          <w:sz w:val="24"/>
          <w:szCs w:val="24"/>
        </w:rPr>
      </w:pPr>
    </w:p>
    <w:p w14:paraId="2E4F8E4E" w14:textId="77777777" w:rsidR="004346FA" w:rsidRDefault="004346FA" w:rsidP="00A013B0">
      <w:pPr>
        <w:spacing w:line="480" w:lineRule="auto"/>
        <w:rPr>
          <w:rFonts w:ascii="Times New Roman" w:hAnsi="Times New Roman" w:cs="Times New Roman"/>
          <w:b/>
          <w:bCs/>
          <w:sz w:val="24"/>
          <w:szCs w:val="24"/>
        </w:rPr>
      </w:pPr>
    </w:p>
    <w:p w14:paraId="5117312A" w14:textId="1EA1553C" w:rsidR="00F00E58" w:rsidRPr="00A013B0" w:rsidRDefault="00F00E58" w:rsidP="00A013B0">
      <w:pPr>
        <w:spacing w:line="480" w:lineRule="auto"/>
        <w:rPr>
          <w:rFonts w:ascii="Times New Roman" w:hAnsi="Times New Roman" w:cs="Times New Roman"/>
          <w:b/>
          <w:bCs/>
          <w:sz w:val="24"/>
          <w:szCs w:val="24"/>
        </w:rPr>
      </w:pPr>
      <w:r w:rsidRPr="00A013B0">
        <w:rPr>
          <w:rFonts w:ascii="Times New Roman" w:hAnsi="Times New Roman" w:cs="Times New Roman"/>
          <w:b/>
          <w:bCs/>
          <w:sz w:val="24"/>
          <w:szCs w:val="24"/>
        </w:rPr>
        <w:t>c) Brain development</w:t>
      </w:r>
    </w:p>
    <w:p w14:paraId="0B409BBC" w14:textId="5977FDA2" w:rsidR="007D2014" w:rsidRPr="00A013B0" w:rsidRDefault="00CA7837"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Multilingualism is linked to certain neurochemical and neuroanatomical changes in the brain which can enhance brain development</w:t>
      </w:r>
      <w:r w:rsidR="00A36DDA" w:rsidRPr="00A013B0">
        <w:rPr>
          <w:rFonts w:ascii="Times New Roman" w:hAnsi="Times New Roman" w:cs="Times New Roman"/>
          <w:sz w:val="24"/>
          <w:szCs w:val="24"/>
        </w:rPr>
        <w:t xml:space="preserve"> (</w:t>
      </w:r>
      <w:proofErr w:type="spellStart"/>
      <w:r w:rsidR="00A36DDA" w:rsidRPr="00A013B0">
        <w:rPr>
          <w:rFonts w:ascii="Times New Roman" w:hAnsi="Times New Roman" w:cs="Times New Roman"/>
          <w:sz w:val="24"/>
          <w:szCs w:val="24"/>
        </w:rPr>
        <w:t>Pliatsikas</w:t>
      </w:r>
      <w:proofErr w:type="spellEnd"/>
      <w:r w:rsidR="00A36DDA" w:rsidRPr="00A013B0">
        <w:rPr>
          <w:rFonts w:ascii="Times New Roman" w:hAnsi="Times New Roman" w:cs="Times New Roman"/>
          <w:sz w:val="24"/>
          <w:szCs w:val="24"/>
        </w:rPr>
        <w:t xml:space="preserve"> </w:t>
      </w:r>
      <w:r w:rsidR="00A36DDA" w:rsidRPr="00DA0885">
        <w:rPr>
          <w:rFonts w:ascii="Times New Roman" w:hAnsi="Times New Roman" w:cs="Times New Roman"/>
          <w:i/>
          <w:sz w:val="24"/>
          <w:szCs w:val="24"/>
        </w:rPr>
        <w:t>et al.,</w:t>
      </w:r>
      <w:r w:rsidR="00A36DDA" w:rsidRPr="00A013B0">
        <w:rPr>
          <w:rFonts w:ascii="Times New Roman" w:hAnsi="Times New Roman" w:cs="Times New Roman"/>
          <w:sz w:val="24"/>
          <w:szCs w:val="24"/>
        </w:rPr>
        <w:t xml:space="preserve"> 2020; (</w:t>
      </w:r>
      <w:proofErr w:type="spellStart"/>
      <w:r w:rsidR="00A36DDA" w:rsidRPr="00A013B0">
        <w:rPr>
          <w:rFonts w:ascii="Times New Roman" w:hAnsi="Times New Roman" w:cs="Times New Roman"/>
          <w:sz w:val="24"/>
          <w:szCs w:val="24"/>
        </w:rPr>
        <w:t>Korenar</w:t>
      </w:r>
      <w:proofErr w:type="spellEnd"/>
      <w:r w:rsidR="00A36DDA" w:rsidRPr="00A013B0">
        <w:rPr>
          <w:rFonts w:ascii="Times New Roman" w:hAnsi="Times New Roman" w:cs="Times New Roman"/>
          <w:sz w:val="24"/>
          <w:szCs w:val="24"/>
        </w:rPr>
        <w:t xml:space="preserve">, </w:t>
      </w:r>
      <w:proofErr w:type="spellStart"/>
      <w:r w:rsidR="00A36DDA" w:rsidRPr="00A013B0">
        <w:rPr>
          <w:rFonts w:ascii="Times New Roman" w:hAnsi="Times New Roman" w:cs="Times New Roman"/>
          <w:sz w:val="24"/>
          <w:szCs w:val="24"/>
        </w:rPr>
        <w:t>Treffers-Daller</w:t>
      </w:r>
      <w:proofErr w:type="spellEnd"/>
      <w:r w:rsidR="00A36DDA" w:rsidRPr="00A013B0">
        <w:rPr>
          <w:rFonts w:ascii="Times New Roman" w:hAnsi="Times New Roman" w:cs="Times New Roman"/>
          <w:sz w:val="24"/>
          <w:szCs w:val="24"/>
        </w:rPr>
        <w:t xml:space="preserve"> and </w:t>
      </w:r>
      <w:proofErr w:type="spellStart"/>
      <w:r w:rsidR="00A36DDA" w:rsidRPr="00A013B0">
        <w:rPr>
          <w:rFonts w:ascii="Times New Roman" w:hAnsi="Times New Roman" w:cs="Times New Roman"/>
          <w:sz w:val="24"/>
          <w:szCs w:val="24"/>
        </w:rPr>
        <w:t>Pliatsikas</w:t>
      </w:r>
      <w:proofErr w:type="spellEnd"/>
      <w:r w:rsidR="00A36DDA" w:rsidRPr="00A013B0">
        <w:rPr>
          <w:rFonts w:ascii="Times New Roman" w:hAnsi="Times New Roman" w:cs="Times New Roman"/>
          <w:sz w:val="24"/>
          <w:szCs w:val="24"/>
        </w:rPr>
        <w:t>, 2023)</w:t>
      </w:r>
      <w:r w:rsidRPr="00A013B0">
        <w:rPr>
          <w:rFonts w:ascii="Times New Roman" w:hAnsi="Times New Roman" w:cs="Times New Roman"/>
          <w:sz w:val="24"/>
          <w:szCs w:val="24"/>
        </w:rPr>
        <w:t xml:space="preserve">. </w:t>
      </w:r>
      <w:r w:rsidR="00260561" w:rsidRPr="00A013B0">
        <w:rPr>
          <w:rFonts w:ascii="Times New Roman" w:hAnsi="Times New Roman" w:cs="Times New Roman"/>
          <w:sz w:val="24"/>
          <w:szCs w:val="24"/>
        </w:rPr>
        <w:t xml:space="preserve">In general, </w:t>
      </w:r>
      <w:r w:rsidR="0097609A" w:rsidRPr="00A013B0">
        <w:rPr>
          <w:rFonts w:ascii="Times New Roman" w:hAnsi="Times New Roman" w:cs="Times New Roman"/>
          <w:sz w:val="24"/>
          <w:szCs w:val="24"/>
        </w:rPr>
        <w:t>changing</w:t>
      </w:r>
      <w:r w:rsidR="00260561" w:rsidRPr="00A013B0">
        <w:rPr>
          <w:rFonts w:ascii="Times New Roman" w:hAnsi="Times New Roman" w:cs="Times New Roman"/>
          <w:sz w:val="24"/>
          <w:szCs w:val="24"/>
        </w:rPr>
        <w:t xml:space="preserve"> between two or more languages has been shown to cause structural and functional changes in specific brain areas including the anterior temporal lobe, anterior </w:t>
      </w:r>
      <w:r w:rsidR="0097609A" w:rsidRPr="00A013B0">
        <w:rPr>
          <w:rFonts w:ascii="Times New Roman" w:hAnsi="Times New Roman" w:cs="Times New Roman"/>
          <w:sz w:val="24"/>
          <w:szCs w:val="24"/>
        </w:rPr>
        <w:t>cingulate</w:t>
      </w:r>
      <w:r w:rsidR="00260561" w:rsidRPr="00A013B0">
        <w:rPr>
          <w:rFonts w:ascii="Times New Roman" w:hAnsi="Times New Roman" w:cs="Times New Roman"/>
          <w:sz w:val="24"/>
          <w:szCs w:val="24"/>
        </w:rPr>
        <w:t xml:space="preserve"> cortex, the cerebellum</w:t>
      </w:r>
      <w:r w:rsidR="0097609A" w:rsidRPr="00A013B0">
        <w:rPr>
          <w:rFonts w:ascii="Times New Roman" w:hAnsi="Times New Roman" w:cs="Times New Roman"/>
          <w:sz w:val="24"/>
          <w:szCs w:val="24"/>
        </w:rPr>
        <w:t>,</w:t>
      </w:r>
      <w:r w:rsidR="00260561" w:rsidRPr="00A013B0">
        <w:rPr>
          <w:rFonts w:ascii="Times New Roman" w:hAnsi="Times New Roman" w:cs="Times New Roman"/>
          <w:sz w:val="24"/>
          <w:szCs w:val="24"/>
        </w:rPr>
        <w:t xml:space="preserve"> and even the caudate nucleus (Hayakawa &amp; Marian, 2019</w:t>
      </w:r>
      <w:r w:rsidR="009E22C0" w:rsidRPr="00A013B0">
        <w:rPr>
          <w:rFonts w:ascii="Times New Roman" w:hAnsi="Times New Roman" w:cs="Times New Roman"/>
          <w:sz w:val="24"/>
          <w:szCs w:val="24"/>
        </w:rPr>
        <w:t xml:space="preserve">; </w:t>
      </w:r>
      <w:proofErr w:type="spellStart"/>
      <w:r w:rsidR="009E22C0" w:rsidRPr="00A013B0">
        <w:rPr>
          <w:rFonts w:ascii="Times New Roman" w:hAnsi="Times New Roman" w:cs="Times New Roman"/>
          <w:sz w:val="24"/>
          <w:szCs w:val="24"/>
        </w:rPr>
        <w:t>eBruin</w:t>
      </w:r>
      <w:proofErr w:type="spellEnd"/>
      <w:r w:rsidR="009E22C0" w:rsidRPr="00A013B0">
        <w:rPr>
          <w:rFonts w:ascii="Times New Roman" w:hAnsi="Times New Roman" w:cs="Times New Roman"/>
          <w:sz w:val="24"/>
          <w:szCs w:val="24"/>
        </w:rPr>
        <w:t xml:space="preserve">, </w:t>
      </w:r>
      <w:proofErr w:type="spellStart"/>
      <w:r w:rsidR="009E22C0" w:rsidRPr="00A013B0">
        <w:rPr>
          <w:rFonts w:ascii="Times New Roman" w:hAnsi="Times New Roman" w:cs="Times New Roman"/>
          <w:sz w:val="24"/>
          <w:szCs w:val="24"/>
        </w:rPr>
        <w:t>Carreiras</w:t>
      </w:r>
      <w:proofErr w:type="spellEnd"/>
      <w:r w:rsidR="009E22C0" w:rsidRPr="00A013B0">
        <w:rPr>
          <w:rFonts w:ascii="Times New Roman" w:hAnsi="Times New Roman" w:cs="Times New Roman"/>
          <w:sz w:val="24"/>
          <w:szCs w:val="24"/>
        </w:rPr>
        <w:t xml:space="preserve"> and </w:t>
      </w:r>
      <w:proofErr w:type="spellStart"/>
      <w:r w:rsidR="009E22C0" w:rsidRPr="00A013B0">
        <w:rPr>
          <w:rFonts w:ascii="Times New Roman" w:hAnsi="Times New Roman" w:cs="Times New Roman"/>
          <w:sz w:val="24"/>
          <w:szCs w:val="24"/>
        </w:rPr>
        <w:t>Duñabeitia</w:t>
      </w:r>
      <w:proofErr w:type="spellEnd"/>
      <w:r w:rsidR="009E22C0" w:rsidRPr="00A013B0">
        <w:rPr>
          <w:rFonts w:ascii="Times New Roman" w:hAnsi="Times New Roman" w:cs="Times New Roman"/>
          <w:sz w:val="24"/>
          <w:szCs w:val="24"/>
        </w:rPr>
        <w:t>, 2017)</w:t>
      </w:r>
      <w:r w:rsidR="00260561" w:rsidRPr="00A013B0">
        <w:rPr>
          <w:rFonts w:ascii="Times New Roman" w:hAnsi="Times New Roman" w:cs="Times New Roman"/>
          <w:sz w:val="24"/>
          <w:szCs w:val="24"/>
        </w:rPr>
        <w:t xml:space="preserve">. </w:t>
      </w:r>
      <w:r w:rsidR="003716B1" w:rsidRPr="00A013B0">
        <w:rPr>
          <w:rFonts w:ascii="Times New Roman" w:hAnsi="Times New Roman" w:cs="Times New Roman"/>
          <w:sz w:val="24"/>
          <w:szCs w:val="24"/>
        </w:rPr>
        <w:t xml:space="preserve">Wernicke’s area </w:t>
      </w:r>
      <w:r w:rsidR="00FC74CE" w:rsidRPr="00A013B0">
        <w:rPr>
          <w:rFonts w:ascii="Times New Roman" w:hAnsi="Times New Roman" w:cs="Times New Roman"/>
          <w:sz w:val="24"/>
          <w:szCs w:val="24"/>
        </w:rPr>
        <w:t>is associated with language production, comprehension and processing</w:t>
      </w:r>
      <w:r w:rsidR="00D265F3" w:rsidRPr="00A013B0">
        <w:rPr>
          <w:rFonts w:ascii="Times New Roman" w:hAnsi="Times New Roman" w:cs="Times New Roman"/>
          <w:sz w:val="24"/>
          <w:szCs w:val="24"/>
        </w:rPr>
        <w:t> (Cherry, 2006).</w:t>
      </w:r>
      <w:r w:rsidR="00FC74CE" w:rsidRPr="00A013B0">
        <w:rPr>
          <w:rFonts w:ascii="Times New Roman" w:hAnsi="Times New Roman" w:cs="Times New Roman"/>
          <w:sz w:val="24"/>
          <w:szCs w:val="24"/>
        </w:rPr>
        <w:t xml:space="preserve"> Individuals who speak two or more languages have increased brain activation and connectivity in </w:t>
      </w:r>
      <w:r w:rsidR="00D265F3" w:rsidRPr="00A013B0">
        <w:rPr>
          <w:rFonts w:ascii="Times New Roman" w:hAnsi="Times New Roman" w:cs="Times New Roman"/>
          <w:sz w:val="24"/>
          <w:szCs w:val="24"/>
        </w:rPr>
        <w:t>Wernicke’s</w:t>
      </w:r>
      <w:r w:rsidR="00FC74CE" w:rsidRPr="00A013B0">
        <w:rPr>
          <w:rFonts w:ascii="Times New Roman" w:hAnsi="Times New Roman" w:cs="Times New Roman"/>
          <w:sz w:val="24"/>
          <w:szCs w:val="24"/>
        </w:rPr>
        <w:t xml:space="preserve"> area potentially </w:t>
      </w:r>
      <w:r w:rsidR="003716B1" w:rsidRPr="00A013B0">
        <w:rPr>
          <w:rFonts w:ascii="Times New Roman" w:hAnsi="Times New Roman" w:cs="Times New Roman"/>
          <w:sz w:val="24"/>
          <w:szCs w:val="24"/>
        </w:rPr>
        <w:t>enhancing</w:t>
      </w:r>
      <w:r w:rsidR="00FC74CE" w:rsidRPr="00A013B0">
        <w:rPr>
          <w:rFonts w:ascii="Times New Roman" w:hAnsi="Times New Roman" w:cs="Times New Roman"/>
          <w:sz w:val="24"/>
          <w:szCs w:val="24"/>
        </w:rPr>
        <w:t xml:space="preserve"> language production, processing</w:t>
      </w:r>
      <w:r w:rsidR="003716B1" w:rsidRPr="00A013B0">
        <w:rPr>
          <w:rFonts w:ascii="Times New Roman" w:hAnsi="Times New Roman" w:cs="Times New Roman"/>
          <w:sz w:val="24"/>
          <w:szCs w:val="24"/>
        </w:rPr>
        <w:t>,</w:t>
      </w:r>
      <w:r w:rsidR="00FC74CE" w:rsidRPr="00A013B0">
        <w:rPr>
          <w:rFonts w:ascii="Times New Roman" w:hAnsi="Times New Roman" w:cs="Times New Roman"/>
          <w:sz w:val="24"/>
          <w:szCs w:val="24"/>
        </w:rPr>
        <w:t xml:space="preserve"> and comprehension</w:t>
      </w:r>
      <w:r w:rsidR="00D265F3" w:rsidRPr="00A013B0">
        <w:rPr>
          <w:rFonts w:ascii="Times New Roman" w:hAnsi="Times New Roman" w:cs="Times New Roman"/>
          <w:sz w:val="24"/>
          <w:szCs w:val="24"/>
        </w:rPr>
        <w:t xml:space="preserve"> (Wani, 2024)</w:t>
      </w:r>
      <w:r w:rsidR="00FC74CE" w:rsidRPr="00A013B0">
        <w:rPr>
          <w:rFonts w:ascii="Times New Roman" w:hAnsi="Times New Roman" w:cs="Times New Roman"/>
          <w:sz w:val="24"/>
          <w:szCs w:val="24"/>
        </w:rPr>
        <w:t xml:space="preserve">. </w:t>
      </w:r>
      <w:r w:rsidR="00FA699C" w:rsidRPr="00A013B0">
        <w:rPr>
          <w:rFonts w:ascii="Times New Roman" w:hAnsi="Times New Roman" w:cs="Times New Roman"/>
          <w:sz w:val="24"/>
          <w:szCs w:val="24"/>
        </w:rPr>
        <w:t xml:space="preserve">Broca’s area typically receives information from Wernicke’s area. It controls the muscles of speech and, therefore, speech production. </w:t>
      </w:r>
      <w:r w:rsidR="002A7F51" w:rsidRPr="00A013B0">
        <w:rPr>
          <w:rFonts w:ascii="Times New Roman" w:hAnsi="Times New Roman" w:cs="Times New Roman"/>
          <w:sz w:val="24"/>
          <w:szCs w:val="24"/>
        </w:rPr>
        <w:t xml:space="preserve">In </w:t>
      </w:r>
      <w:r w:rsidR="0097609A" w:rsidRPr="00A013B0">
        <w:rPr>
          <w:rFonts w:ascii="Times New Roman" w:hAnsi="Times New Roman" w:cs="Times New Roman"/>
          <w:sz w:val="24"/>
          <w:szCs w:val="24"/>
        </w:rPr>
        <w:t>multilingual</w:t>
      </w:r>
      <w:r w:rsidR="002A7F51" w:rsidRPr="00A013B0">
        <w:rPr>
          <w:rFonts w:ascii="Times New Roman" w:hAnsi="Times New Roman" w:cs="Times New Roman"/>
          <w:sz w:val="24"/>
          <w:szCs w:val="24"/>
        </w:rPr>
        <w:t xml:space="preserve"> and bilinguals, there is increased grey matter in Broca’s area when compared to monolinguals</w:t>
      </w:r>
      <w:r w:rsidR="006E6B43" w:rsidRPr="00A013B0">
        <w:rPr>
          <w:rFonts w:ascii="Times New Roman" w:hAnsi="Times New Roman" w:cs="Times New Roman"/>
          <w:sz w:val="24"/>
          <w:szCs w:val="24"/>
        </w:rPr>
        <w:t xml:space="preserve"> (Taylor </w:t>
      </w:r>
      <w:r w:rsidR="006E6B43" w:rsidRPr="00DA0885">
        <w:rPr>
          <w:rFonts w:ascii="Times New Roman" w:hAnsi="Times New Roman" w:cs="Times New Roman"/>
          <w:i/>
          <w:sz w:val="24"/>
          <w:szCs w:val="24"/>
        </w:rPr>
        <w:t>et al.,</w:t>
      </w:r>
      <w:r w:rsidR="006E6B43" w:rsidRPr="00A013B0">
        <w:rPr>
          <w:rFonts w:ascii="Times New Roman" w:hAnsi="Times New Roman" w:cs="Times New Roman"/>
          <w:sz w:val="24"/>
          <w:szCs w:val="24"/>
        </w:rPr>
        <w:t xml:space="preserve"> 2021)</w:t>
      </w:r>
      <w:r w:rsidR="002A7F51" w:rsidRPr="00A013B0">
        <w:rPr>
          <w:rFonts w:ascii="Times New Roman" w:hAnsi="Times New Roman" w:cs="Times New Roman"/>
          <w:sz w:val="24"/>
          <w:szCs w:val="24"/>
        </w:rPr>
        <w:t xml:space="preserve">. The motor cortex is another brain area involved in speech production as well as speech perception. </w:t>
      </w:r>
      <w:r w:rsidR="00130BE2" w:rsidRPr="00A013B0">
        <w:rPr>
          <w:rFonts w:ascii="Times New Roman" w:hAnsi="Times New Roman" w:cs="Times New Roman"/>
          <w:sz w:val="24"/>
          <w:szCs w:val="24"/>
        </w:rPr>
        <w:t>In individuals who speech a second language, there is increased neuronal activity in motor cortex when compared to monolinguals</w:t>
      </w:r>
      <w:r w:rsidR="006E6B43" w:rsidRPr="00A013B0">
        <w:rPr>
          <w:rFonts w:ascii="Times New Roman" w:hAnsi="Times New Roman" w:cs="Times New Roman"/>
          <w:sz w:val="24"/>
          <w:szCs w:val="24"/>
        </w:rPr>
        <w:t xml:space="preserve"> (Costa and </w:t>
      </w:r>
      <w:proofErr w:type="spellStart"/>
      <w:r w:rsidR="006E6B43" w:rsidRPr="00A013B0">
        <w:rPr>
          <w:rFonts w:ascii="Times New Roman" w:hAnsi="Times New Roman" w:cs="Times New Roman"/>
          <w:sz w:val="24"/>
          <w:szCs w:val="24"/>
        </w:rPr>
        <w:t>Sebastián-Gallés</w:t>
      </w:r>
      <w:proofErr w:type="spellEnd"/>
      <w:r w:rsidR="006E6B43" w:rsidRPr="00A013B0">
        <w:rPr>
          <w:rFonts w:ascii="Times New Roman" w:hAnsi="Times New Roman" w:cs="Times New Roman"/>
          <w:sz w:val="24"/>
          <w:szCs w:val="24"/>
        </w:rPr>
        <w:t>, 2014)</w:t>
      </w:r>
      <w:r w:rsidR="00130BE2" w:rsidRPr="00A013B0">
        <w:rPr>
          <w:rFonts w:ascii="Times New Roman" w:hAnsi="Times New Roman" w:cs="Times New Roman"/>
          <w:sz w:val="24"/>
          <w:szCs w:val="24"/>
        </w:rPr>
        <w:t xml:space="preserve">. </w:t>
      </w:r>
      <w:r w:rsidR="00675F7F" w:rsidRPr="00A013B0">
        <w:rPr>
          <w:rFonts w:ascii="Times New Roman" w:hAnsi="Times New Roman" w:cs="Times New Roman"/>
          <w:sz w:val="24"/>
          <w:szCs w:val="24"/>
        </w:rPr>
        <w:t xml:space="preserve">The auditory cortex is involved in </w:t>
      </w:r>
      <w:r w:rsidR="006E6B43" w:rsidRPr="00A013B0">
        <w:rPr>
          <w:rFonts w:ascii="Times New Roman" w:hAnsi="Times New Roman" w:cs="Times New Roman"/>
          <w:sz w:val="24"/>
          <w:szCs w:val="24"/>
        </w:rPr>
        <w:t xml:space="preserve">the </w:t>
      </w:r>
      <w:r w:rsidR="00675F7F" w:rsidRPr="00A013B0">
        <w:rPr>
          <w:rFonts w:ascii="Times New Roman" w:hAnsi="Times New Roman" w:cs="Times New Roman"/>
          <w:sz w:val="24"/>
          <w:szCs w:val="24"/>
        </w:rPr>
        <w:t xml:space="preserve">processing of auditory information. </w:t>
      </w:r>
      <w:r w:rsidR="00B54A3C" w:rsidRPr="00A013B0">
        <w:rPr>
          <w:rFonts w:ascii="Times New Roman" w:hAnsi="Times New Roman" w:cs="Times New Roman"/>
          <w:sz w:val="24"/>
          <w:szCs w:val="24"/>
        </w:rPr>
        <w:t>This area carries messages to the sensory speech area in the brain. Children who are bilingual have been shown to experience enhanced phonological awareness</w:t>
      </w:r>
      <w:r w:rsidR="00A013B0" w:rsidRPr="00A013B0">
        <w:rPr>
          <w:rFonts w:ascii="Times New Roman" w:hAnsi="Times New Roman" w:cs="Times New Roman"/>
          <w:sz w:val="24"/>
          <w:szCs w:val="24"/>
        </w:rPr>
        <w:t xml:space="preserve"> (Kuo </w:t>
      </w:r>
      <w:r w:rsidR="00A013B0" w:rsidRPr="00DA0885">
        <w:rPr>
          <w:rFonts w:ascii="Times New Roman" w:hAnsi="Times New Roman" w:cs="Times New Roman"/>
          <w:i/>
          <w:sz w:val="24"/>
          <w:szCs w:val="24"/>
        </w:rPr>
        <w:t>et al.,</w:t>
      </w:r>
      <w:r w:rsidR="00A013B0" w:rsidRPr="00A013B0">
        <w:rPr>
          <w:rFonts w:ascii="Times New Roman" w:hAnsi="Times New Roman" w:cs="Times New Roman"/>
          <w:sz w:val="24"/>
          <w:szCs w:val="24"/>
        </w:rPr>
        <w:t xml:space="preserve"> 2016).</w:t>
      </w:r>
      <w:r w:rsidR="00B54A3C" w:rsidRPr="00A013B0">
        <w:rPr>
          <w:rFonts w:ascii="Times New Roman" w:hAnsi="Times New Roman" w:cs="Times New Roman"/>
          <w:sz w:val="24"/>
          <w:szCs w:val="24"/>
        </w:rPr>
        <w:t xml:space="preserve"> </w:t>
      </w:r>
      <w:r w:rsidR="00F26CBD" w:rsidRPr="00A013B0">
        <w:rPr>
          <w:rFonts w:ascii="Times New Roman" w:hAnsi="Times New Roman" w:cs="Times New Roman"/>
          <w:sz w:val="24"/>
          <w:szCs w:val="24"/>
        </w:rPr>
        <w:t xml:space="preserve">They are better able to </w:t>
      </w:r>
      <w:r w:rsidR="00782D17" w:rsidRPr="00A013B0">
        <w:rPr>
          <w:rFonts w:ascii="Times New Roman" w:hAnsi="Times New Roman" w:cs="Times New Roman"/>
          <w:sz w:val="24"/>
          <w:szCs w:val="24"/>
        </w:rPr>
        <w:t>learn</w:t>
      </w:r>
      <w:r w:rsidR="00F26CBD" w:rsidRPr="00A013B0">
        <w:rPr>
          <w:rFonts w:ascii="Times New Roman" w:hAnsi="Times New Roman" w:cs="Times New Roman"/>
          <w:sz w:val="24"/>
          <w:szCs w:val="24"/>
        </w:rPr>
        <w:t xml:space="preserve"> new phonemes when compared to monolinguals</w:t>
      </w:r>
      <w:r w:rsidR="00260561" w:rsidRPr="00A013B0">
        <w:rPr>
          <w:rFonts w:ascii="Times New Roman" w:hAnsi="Times New Roman" w:cs="Times New Roman"/>
          <w:sz w:val="24"/>
          <w:szCs w:val="24"/>
        </w:rPr>
        <w:t xml:space="preserve"> and have increased attention to speech (Kuipers and Thierry, 2015). </w:t>
      </w:r>
    </w:p>
    <w:p w14:paraId="1CF227A2" w14:textId="77777777" w:rsidR="004346FA" w:rsidRDefault="004346FA" w:rsidP="00A013B0">
      <w:pPr>
        <w:spacing w:line="480" w:lineRule="auto"/>
        <w:rPr>
          <w:rFonts w:ascii="Times New Roman" w:hAnsi="Times New Roman" w:cs="Times New Roman"/>
          <w:b/>
          <w:bCs/>
          <w:sz w:val="24"/>
          <w:szCs w:val="24"/>
        </w:rPr>
      </w:pPr>
    </w:p>
    <w:p w14:paraId="0F984D4B" w14:textId="77777777" w:rsidR="004346FA" w:rsidRDefault="004346FA" w:rsidP="00A013B0">
      <w:pPr>
        <w:spacing w:line="480" w:lineRule="auto"/>
        <w:rPr>
          <w:rFonts w:ascii="Times New Roman" w:hAnsi="Times New Roman" w:cs="Times New Roman"/>
          <w:b/>
          <w:bCs/>
          <w:sz w:val="24"/>
          <w:szCs w:val="24"/>
        </w:rPr>
      </w:pPr>
    </w:p>
    <w:p w14:paraId="562A4FFD" w14:textId="10E72C39" w:rsidR="007D2014" w:rsidRPr="00A013B0" w:rsidRDefault="00F00E58" w:rsidP="00A013B0">
      <w:pPr>
        <w:spacing w:line="480" w:lineRule="auto"/>
        <w:rPr>
          <w:rFonts w:ascii="Times New Roman" w:hAnsi="Times New Roman" w:cs="Times New Roman"/>
          <w:b/>
          <w:bCs/>
          <w:sz w:val="24"/>
          <w:szCs w:val="24"/>
        </w:rPr>
      </w:pPr>
      <w:r w:rsidRPr="00A013B0">
        <w:rPr>
          <w:rFonts w:ascii="Times New Roman" w:hAnsi="Times New Roman" w:cs="Times New Roman"/>
          <w:b/>
          <w:bCs/>
          <w:sz w:val="24"/>
          <w:szCs w:val="24"/>
        </w:rPr>
        <w:t>d) Divergent thinking</w:t>
      </w:r>
    </w:p>
    <w:p w14:paraId="5A8B10A1" w14:textId="251051EC" w:rsidR="007D2014" w:rsidRPr="00A013B0" w:rsidRDefault="007D2014"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Divergent thinking refers to the ability to come up with several otherwise unique perspectives or solutions to a problem</w:t>
      </w:r>
      <w:r w:rsidR="001D5441" w:rsidRPr="00A013B0">
        <w:rPr>
          <w:rFonts w:ascii="Times New Roman" w:hAnsi="Times New Roman" w:cs="Times New Roman"/>
          <w:sz w:val="24"/>
          <w:szCs w:val="24"/>
        </w:rPr>
        <w:t xml:space="preserve"> (Indeed Career Guide, 2024)</w:t>
      </w:r>
      <w:r w:rsidRPr="00A013B0">
        <w:rPr>
          <w:rFonts w:ascii="Times New Roman" w:hAnsi="Times New Roman" w:cs="Times New Roman"/>
          <w:sz w:val="24"/>
          <w:szCs w:val="24"/>
        </w:rPr>
        <w:t>. It is also termed lateral thinking and will usually require one to rapidly consider several solutions to or paths towards a desirable outcome</w:t>
      </w:r>
      <w:r w:rsidR="00A36DDA" w:rsidRPr="00A013B0">
        <w:rPr>
          <w:rFonts w:ascii="Times New Roman" w:hAnsi="Times New Roman" w:cs="Times New Roman"/>
          <w:sz w:val="24"/>
          <w:szCs w:val="24"/>
        </w:rPr>
        <w:t xml:space="preserve"> (The Interaction Design Foundation, 2016)</w:t>
      </w:r>
      <w:r w:rsidRPr="00A013B0">
        <w:rPr>
          <w:rFonts w:ascii="Times New Roman" w:hAnsi="Times New Roman" w:cs="Times New Roman"/>
          <w:sz w:val="24"/>
          <w:szCs w:val="24"/>
        </w:rPr>
        <w:t xml:space="preserve">. </w:t>
      </w:r>
      <w:r w:rsidR="00707D03" w:rsidRPr="00A013B0">
        <w:rPr>
          <w:rFonts w:ascii="Times New Roman" w:hAnsi="Times New Roman" w:cs="Times New Roman"/>
          <w:sz w:val="24"/>
          <w:szCs w:val="24"/>
        </w:rPr>
        <w:t>Multilingualism and bilingualism have been linked to higher capacity for divergent thinking even though evidence for this correlation is still disputed (</w:t>
      </w:r>
      <w:proofErr w:type="spellStart"/>
      <w:r w:rsidR="00707D03" w:rsidRPr="00A013B0">
        <w:rPr>
          <w:rFonts w:ascii="Times New Roman" w:hAnsi="Times New Roman" w:cs="Times New Roman"/>
          <w:sz w:val="24"/>
          <w:szCs w:val="24"/>
        </w:rPr>
        <w:t>Kharkhurin</w:t>
      </w:r>
      <w:proofErr w:type="spellEnd"/>
      <w:r w:rsidR="00707D03" w:rsidRPr="00A013B0">
        <w:rPr>
          <w:rFonts w:ascii="Times New Roman" w:hAnsi="Times New Roman" w:cs="Times New Roman"/>
          <w:sz w:val="24"/>
          <w:szCs w:val="24"/>
        </w:rPr>
        <w:t xml:space="preserve">, </w:t>
      </w:r>
      <w:proofErr w:type="spellStart"/>
      <w:r w:rsidR="00707D03" w:rsidRPr="00A013B0">
        <w:rPr>
          <w:rFonts w:ascii="Times New Roman" w:hAnsi="Times New Roman" w:cs="Times New Roman"/>
          <w:sz w:val="24"/>
          <w:szCs w:val="24"/>
        </w:rPr>
        <w:t>Koncha</w:t>
      </w:r>
      <w:proofErr w:type="spellEnd"/>
      <w:r w:rsidR="00707D03" w:rsidRPr="00A013B0">
        <w:rPr>
          <w:rFonts w:ascii="Times New Roman" w:hAnsi="Times New Roman" w:cs="Times New Roman"/>
          <w:sz w:val="24"/>
          <w:szCs w:val="24"/>
        </w:rPr>
        <w:t xml:space="preserve"> and </w:t>
      </w:r>
      <w:proofErr w:type="spellStart"/>
      <w:r w:rsidR="00707D03" w:rsidRPr="00A013B0">
        <w:rPr>
          <w:rFonts w:ascii="Times New Roman" w:hAnsi="Times New Roman" w:cs="Times New Roman"/>
          <w:sz w:val="24"/>
          <w:szCs w:val="24"/>
        </w:rPr>
        <w:t>Charkhabi</w:t>
      </w:r>
      <w:proofErr w:type="spellEnd"/>
      <w:r w:rsidR="00707D03" w:rsidRPr="00A013B0">
        <w:rPr>
          <w:rFonts w:ascii="Times New Roman" w:hAnsi="Times New Roman" w:cs="Times New Roman"/>
          <w:sz w:val="24"/>
          <w:szCs w:val="24"/>
        </w:rPr>
        <w:t>, 2021)</w:t>
      </w:r>
      <w:r w:rsidR="00362F96" w:rsidRPr="00A013B0">
        <w:rPr>
          <w:rFonts w:ascii="Times New Roman" w:hAnsi="Times New Roman" w:cs="Times New Roman"/>
          <w:sz w:val="24"/>
          <w:szCs w:val="24"/>
        </w:rPr>
        <w:t>. Individuals who speak multiple languages have to frequently change between languages and concepts</w:t>
      </w:r>
      <w:r w:rsidR="00242CD0" w:rsidRPr="00A013B0">
        <w:rPr>
          <w:rFonts w:ascii="Times New Roman" w:hAnsi="Times New Roman" w:cs="Times New Roman"/>
          <w:sz w:val="24"/>
          <w:szCs w:val="24"/>
        </w:rPr>
        <w:t xml:space="preserve"> (Chen and Padilla, 2019)</w:t>
      </w:r>
      <w:r w:rsidR="00362F96" w:rsidRPr="00A013B0">
        <w:rPr>
          <w:rFonts w:ascii="Times New Roman" w:hAnsi="Times New Roman" w:cs="Times New Roman"/>
          <w:sz w:val="24"/>
          <w:szCs w:val="24"/>
        </w:rPr>
        <w:t xml:space="preserve">. </w:t>
      </w:r>
      <w:bookmarkStart w:id="1" w:name="_Hlk192764027"/>
      <w:r w:rsidR="00362F96" w:rsidRPr="00A013B0">
        <w:rPr>
          <w:rFonts w:ascii="Times New Roman" w:hAnsi="Times New Roman" w:cs="Times New Roman"/>
          <w:sz w:val="24"/>
          <w:szCs w:val="24"/>
        </w:rPr>
        <w:t>Multilingualism has been shown to enhance cognitive flexibility</w:t>
      </w:r>
      <w:bookmarkEnd w:id="1"/>
      <w:r w:rsidR="00362F96" w:rsidRPr="00A013B0">
        <w:rPr>
          <w:rFonts w:ascii="Times New Roman" w:hAnsi="Times New Roman" w:cs="Times New Roman"/>
          <w:sz w:val="24"/>
          <w:szCs w:val="24"/>
        </w:rPr>
        <w:t xml:space="preserve"> with individuals frequently requiring to modify their cognitive processing techniques to be able to </w:t>
      </w:r>
      <w:r w:rsidR="006948F8" w:rsidRPr="00A013B0">
        <w:rPr>
          <w:rFonts w:ascii="Times New Roman" w:hAnsi="Times New Roman" w:cs="Times New Roman"/>
          <w:sz w:val="24"/>
          <w:szCs w:val="24"/>
        </w:rPr>
        <w:t>respond</w:t>
      </w:r>
      <w:r w:rsidR="00362F96" w:rsidRPr="00A013B0">
        <w:rPr>
          <w:rFonts w:ascii="Times New Roman" w:hAnsi="Times New Roman" w:cs="Times New Roman"/>
          <w:sz w:val="24"/>
          <w:szCs w:val="24"/>
        </w:rPr>
        <w:t xml:space="preserve"> to new and unexpected environmental </w:t>
      </w:r>
      <w:r w:rsidR="006948F8" w:rsidRPr="00A013B0">
        <w:rPr>
          <w:rFonts w:ascii="Times New Roman" w:hAnsi="Times New Roman" w:cs="Times New Roman"/>
          <w:sz w:val="24"/>
          <w:szCs w:val="24"/>
        </w:rPr>
        <w:t>circumstances</w:t>
      </w:r>
      <w:r w:rsidR="007473F0" w:rsidRPr="00A013B0">
        <w:rPr>
          <w:rFonts w:ascii="Times New Roman" w:hAnsi="Times New Roman" w:cs="Times New Roman"/>
          <w:sz w:val="24"/>
          <w:szCs w:val="24"/>
        </w:rPr>
        <w:t xml:space="preserve"> (Rajan and Mukhija, 2025).</w:t>
      </w:r>
      <w:r w:rsidR="006948F8" w:rsidRPr="00A013B0">
        <w:rPr>
          <w:rFonts w:ascii="Times New Roman" w:hAnsi="Times New Roman" w:cs="Times New Roman"/>
          <w:sz w:val="24"/>
          <w:szCs w:val="24"/>
        </w:rPr>
        <w:t xml:space="preserve"> This process is called the </w:t>
      </w:r>
      <w:r w:rsidR="00362F96" w:rsidRPr="00A013B0">
        <w:rPr>
          <w:rFonts w:ascii="Times New Roman" w:hAnsi="Times New Roman" w:cs="Times New Roman"/>
          <w:sz w:val="24"/>
          <w:szCs w:val="24"/>
        </w:rPr>
        <w:t xml:space="preserve">Adaptive Control hypothesis </w:t>
      </w:r>
      <w:r w:rsidR="006948F8" w:rsidRPr="00A013B0">
        <w:rPr>
          <w:rFonts w:ascii="Times New Roman" w:hAnsi="Times New Roman" w:cs="Times New Roman"/>
          <w:sz w:val="24"/>
          <w:szCs w:val="24"/>
        </w:rPr>
        <w:t>and is thought to be central to divergent thinking among multilinguals</w:t>
      </w:r>
      <w:r w:rsidR="007473F0" w:rsidRPr="00A013B0">
        <w:rPr>
          <w:rFonts w:ascii="Times New Roman" w:hAnsi="Times New Roman" w:cs="Times New Roman"/>
          <w:sz w:val="24"/>
          <w:szCs w:val="24"/>
        </w:rPr>
        <w:t xml:space="preserve"> (Rajan and Mukhija, 2025).</w:t>
      </w:r>
    </w:p>
    <w:p w14:paraId="2D04711D" w14:textId="5CC2DB3E" w:rsidR="00725B30" w:rsidRPr="00A013B0" w:rsidRDefault="00725B30"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In genera</w:t>
      </w:r>
      <w:r w:rsidR="005F1849" w:rsidRPr="00A013B0">
        <w:rPr>
          <w:rFonts w:ascii="Times New Roman" w:hAnsi="Times New Roman" w:cs="Times New Roman"/>
          <w:sz w:val="24"/>
          <w:szCs w:val="24"/>
        </w:rPr>
        <w:t>l</w:t>
      </w:r>
      <w:r w:rsidRPr="00A013B0">
        <w:rPr>
          <w:rFonts w:ascii="Times New Roman" w:hAnsi="Times New Roman" w:cs="Times New Roman"/>
          <w:sz w:val="24"/>
          <w:szCs w:val="24"/>
        </w:rPr>
        <w:t xml:space="preserve">, individuals who speak multiple languages tend to have more labels and concepts at their disposal when compared to </w:t>
      </w:r>
      <w:r w:rsidR="0006777A" w:rsidRPr="00A013B0">
        <w:rPr>
          <w:rFonts w:ascii="Times New Roman" w:hAnsi="Times New Roman" w:cs="Times New Roman"/>
          <w:sz w:val="24"/>
          <w:szCs w:val="24"/>
        </w:rPr>
        <w:t xml:space="preserve">their </w:t>
      </w:r>
      <w:r w:rsidRPr="00A013B0">
        <w:rPr>
          <w:rFonts w:ascii="Times New Roman" w:hAnsi="Times New Roman" w:cs="Times New Roman"/>
          <w:sz w:val="24"/>
          <w:szCs w:val="24"/>
        </w:rPr>
        <w:t>monolingual counterparts</w:t>
      </w:r>
      <w:r w:rsidR="007473F0" w:rsidRPr="00A013B0">
        <w:rPr>
          <w:rFonts w:ascii="Times New Roman" w:hAnsi="Times New Roman" w:cs="Times New Roman"/>
          <w:sz w:val="24"/>
          <w:szCs w:val="24"/>
        </w:rPr>
        <w:t xml:space="preserve"> (Chung-Fat-Yim, Fernandez-Duque and Marian, 2024)</w:t>
      </w:r>
      <w:r w:rsidRPr="00A013B0">
        <w:rPr>
          <w:rFonts w:ascii="Times New Roman" w:hAnsi="Times New Roman" w:cs="Times New Roman"/>
          <w:sz w:val="24"/>
          <w:szCs w:val="24"/>
        </w:rPr>
        <w:t xml:space="preserve">. </w:t>
      </w:r>
      <w:r w:rsidR="009B4CE4" w:rsidRPr="00A013B0">
        <w:rPr>
          <w:rFonts w:ascii="Times New Roman" w:hAnsi="Times New Roman" w:cs="Times New Roman"/>
          <w:sz w:val="24"/>
          <w:szCs w:val="24"/>
        </w:rPr>
        <w:t>The ability to rapidly form strong connections between otherwise unrelated concepts is linked to higher cognitive flexibility and, consequently, greater capacity for divergent thinking</w:t>
      </w:r>
      <w:r w:rsidR="00996CC9" w:rsidRPr="00A013B0">
        <w:rPr>
          <w:rFonts w:ascii="Times New Roman" w:hAnsi="Times New Roman" w:cs="Times New Roman"/>
          <w:sz w:val="24"/>
          <w:szCs w:val="24"/>
        </w:rPr>
        <w:t xml:space="preserve"> (Chung-Fat-Yim, Fernandez-Duque</w:t>
      </w:r>
      <w:r w:rsidR="0006777A" w:rsidRPr="00A013B0">
        <w:rPr>
          <w:rFonts w:ascii="Times New Roman" w:hAnsi="Times New Roman" w:cs="Times New Roman"/>
          <w:sz w:val="24"/>
          <w:szCs w:val="24"/>
        </w:rPr>
        <w:t>,</w:t>
      </w:r>
      <w:r w:rsidR="00996CC9" w:rsidRPr="00A013B0">
        <w:rPr>
          <w:rFonts w:ascii="Times New Roman" w:hAnsi="Times New Roman" w:cs="Times New Roman"/>
          <w:sz w:val="24"/>
          <w:szCs w:val="24"/>
        </w:rPr>
        <w:t xml:space="preserve"> and Marian, 2024).</w:t>
      </w:r>
      <w:r w:rsidR="0037564E" w:rsidRPr="00A013B0">
        <w:rPr>
          <w:rFonts w:ascii="Times New Roman" w:hAnsi="Times New Roman" w:cs="Times New Roman"/>
          <w:sz w:val="24"/>
          <w:szCs w:val="24"/>
        </w:rPr>
        <w:t xml:space="preserve"> </w:t>
      </w:r>
      <w:r w:rsidR="00467426" w:rsidRPr="00A013B0">
        <w:rPr>
          <w:rFonts w:ascii="Times New Roman" w:hAnsi="Times New Roman" w:cs="Times New Roman"/>
          <w:sz w:val="24"/>
          <w:szCs w:val="24"/>
        </w:rPr>
        <w:t>Multilingual individuals</w:t>
      </w:r>
      <w:r w:rsidR="0037564E" w:rsidRPr="00A013B0">
        <w:rPr>
          <w:rFonts w:ascii="Times New Roman" w:hAnsi="Times New Roman" w:cs="Times New Roman"/>
          <w:sz w:val="24"/>
          <w:szCs w:val="24"/>
        </w:rPr>
        <w:t xml:space="preserve"> frequently engage in code-switching</w:t>
      </w:r>
      <w:r w:rsidR="003276FE" w:rsidRPr="00A013B0">
        <w:rPr>
          <w:rFonts w:ascii="Times New Roman" w:hAnsi="Times New Roman" w:cs="Times New Roman"/>
          <w:sz w:val="24"/>
          <w:szCs w:val="24"/>
        </w:rPr>
        <w:t xml:space="preserve"> as evident in the activity video when the speaker mixes Farsi within and between sentences. </w:t>
      </w:r>
      <w:r w:rsidR="0006777A" w:rsidRPr="00A013B0">
        <w:rPr>
          <w:rFonts w:ascii="Times New Roman" w:hAnsi="Times New Roman" w:cs="Times New Roman"/>
          <w:sz w:val="24"/>
          <w:szCs w:val="24"/>
        </w:rPr>
        <w:t xml:space="preserve">This process occurs in a highly systematic and frequently innovative manner. These individuals can produce many novel ideas (Chung-Fat-Yim, Fernandez-Duque, and Marian, 2024). In effect, multilingualism can spark creativity and is associated with divergent thinking. </w:t>
      </w:r>
    </w:p>
    <w:p w14:paraId="23A306B6" w14:textId="316B7ABB" w:rsidR="00F00E58" w:rsidRPr="00A013B0" w:rsidRDefault="00F00E58" w:rsidP="00A013B0">
      <w:pPr>
        <w:spacing w:line="480" w:lineRule="auto"/>
        <w:rPr>
          <w:rFonts w:ascii="Times New Roman" w:hAnsi="Times New Roman" w:cs="Times New Roman"/>
          <w:b/>
          <w:bCs/>
          <w:sz w:val="24"/>
          <w:szCs w:val="24"/>
        </w:rPr>
      </w:pPr>
      <w:r w:rsidRPr="00A013B0">
        <w:rPr>
          <w:rFonts w:ascii="Times New Roman" w:hAnsi="Times New Roman" w:cs="Times New Roman"/>
          <w:b/>
          <w:bCs/>
          <w:sz w:val="24"/>
          <w:szCs w:val="24"/>
        </w:rPr>
        <w:t>e) Links with early years’ frameworks and programmes</w:t>
      </w:r>
    </w:p>
    <w:p w14:paraId="1ECD8B69" w14:textId="33936653" w:rsidR="00ED612A" w:rsidRPr="00A013B0" w:rsidRDefault="00707252"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Article 30 </w:t>
      </w:r>
      <w:r w:rsidR="00A0176D" w:rsidRPr="00A013B0">
        <w:rPr>
          <w:rFonts w:ascii="Times New Roman" w:hAnsi="Times New Roman" w:cs="Times New Roman"/>
          <w:sz w:val="24"/>
          <w:szCs w:val="24"/>
        </w:rPr>
        <w:t xml:space="preserve">of UNCRC </w:t>
      </w:r>
      <w:r w:rsidRPr="00A013B0">
        <w:rPr>
          <w:rFonts w:ascii="Times New Roman" w:hAnsi="Times New Roman" w:cs="Times New Roman"/>
          <w:sz w:val="24"/>
          <w:szCs w:val="24"/>
        </w:rPr>
        <w:t>states that the child who comes from a minority group has the right to enjoy their own culture or cultures</w:t>
      </w:r>
      <w:r w:rsidR="00FA0697" w:rsidRPr="00A013B0">
        <w:rPr>
          <w:rFonts w:ascii="Times New Roman" w:hAnsi="Times New Roman" w:cs="Times New Roman"/>
          <w:sz w:val="24"/>
          <w:szCs w:val="24"/>
        </w:rPr>
        <w:t xml:space="preserve"> (The Children and Young People’s Commissioner Scotland, n.d.). </w:t>
      </w:r>
      <w:r w:rsidRPr="00A013B0">
        <w:rPr>
          <w:rFonts w:ascii="Times New Roman" w:hAnsi="Times New Roman" w:cs="Times New Roman"/>
          <w:sz w:val="24"/>
          <w:szCs w:val="24"/>
        </w:rPr>
        <w:t xml:space="preserve">They must be allowed to practice their own religions and to use their own languages. </w:t>
      </w:r>
      <w:r w:rsidR="00E80E35" w:rsidRPr="00A013B0">
        <w:rPr>
          <w:rFonts w:ascii="Times New Roman" w:hAnsi="Times New Roman" w:cs="Times New Roman"/>
          <w:sz w:val="24"/>
          <w:szCs w:val="24"/>
        </w:rPr>
        <w:t xml:space="preserve">These provisions acknowledge that language represents a cultural </w:t>
      </w:r>
      <w:proofErr w:type="spellStart"/>
      <w:r w:rsidR="00E80E35" w:rsidRPr="00A013B0">
        <w:rPr>
          <w:rFonts w:ascii="Times New Roman" w:hAnsi="Times New Roman" w:cs="Times New Roman"/>
          <w:sz w:val="24"/>
          <w:szCs w:val="24"/>
        </w:rPr>
        <w:t>tool</w:t>
      </w:r>
      <w:r w:rsidR="004346FA">
        <w:rPr>
          <w:rFonts w:ascii="Times New Roman" w:hAnsi="Times New Roman" w:cs="Times New Roman"/>
          <w:sz w:val="24"/>
          <w:szCs w:val="24"/>
        </w:rPr>
        <w:t>aq</w:t>
      </w:r>
      <w:proofErr w:type="spellEnd"/>
      <w:r w:rsidR="00E80E35" w:rsidRPr="00A013B0">
        <w:rPr>
          <w:rFonts w:ascii="Times New Roman" w:hAnsi="Times New Roman" w:cs="Times New Roman"/>
          <w:sz w:val="24"/>
          <w:szCs w:val="24"/>
        </w:rPr>
        <w:t xml:space="preserve">. As a result, practitioners may help learners to appreciate their cultures by incorporating elements of culture in their conversations and play with children. </w:t>
      </w:r>
      <w:r w:rsidR="00B56B42" w:rsidRPr="00A013B0">
        <w:rPr>
          <w:rFonts w:ascii="Times New Roman" w:hAnsi="Times New Roman" w:cs="Times New Roman"/>
          <w:sz w:val="24"/>
          <w:szCs w:val="24"/>
        </w:rPr>
        <w:t xml:space="preserve">This can be done through nursery rhymes, music, art, and fairy stories or myths. </w:t>
      </w:r>
      <w:r w:rsidR="000C2341" w:rsidRPr="00A013B0">
        <w:rPr>
          <w:rFonts w:ascii="Times New Roman" w:hAnsi="Times New Roman" w:cs="Times New Roman"/>
          <w:sz w:val="24"/>
          <w:szCs w:val="24"/>
        </w:rPr>
        <w:t xml:space="preserve">Practitioners can enhance bilingualism by planning to ensure that learners may </w:t>
      </w:r>
      <w:r w:rsidR="00A0176D" w:rsidRPr="00A013B0">
        <w:rPr>
          <w:rFonts w:ascii="Times New Roman" w:hAnsi="Times New Roman" w:cs="Times New Roman"/>
          <w:sz w:val="24"/>
          <w:szCs w:val="24"/>
        </w:rPr>
        <w:t xml:space="preserve">make </w:t>
      </w:r>
      <w:r w:rsidR="000C2341" w:rsidRPr="00A013B0">
        <w:rPr>
          <w:rFonts w:ascii="Times New Roman" w:hAnsi="Times New Roman" w:cs="Times New Roman"/>
          <w:sz w:val="24"/>
          <w:szCs w:val="24"/>
        </w:rPr>
        <w:t>adequate progress in Welsh, English and/or other relevant languages. Children are to be encouraged to</w:t>
      </w:r>
      <w:r w:rsidR="00515D05" w:rsidRPr="00A013B0">
        <w:rPr>
          <w:rFonts w:ascii="Times New Roman" w:hAnsi="Times New Roman" w:cs="Times New Roman"/>
          <w:sz w:val="24"/>
          <w:szCs w:val="24"/>
        </w:rPr>
        <w:t xml:space="preserve"> employ their plurilingual skills and to appreciate the value of multilingualism. </w:t>
      </w:r>
      <w:proofErr w:type="gramStart"/>
      <w:r w:rsidR="00F643C3" w:rsidRPr="00A013B0">
        <w:rPr>
          <w:rFonts w:ascii="Times New Roman" w:hAnsi="Times New Roman" w:cs="Times New Roman"/>
          <w:sz w:val="24"/>
          <w:szCs w:val="24"/>
        </w:rPr>
        <w:t>language</w:t>
      </w:r>
      <w:proofErr w:type="gramEnd"/>
      <w:r w:rsidR="00F643C3" w:rsidRPr="00A013B0">
        <w:rPr>
          <w:rFonts w:ascii="Times New Roman" w:hAnsi="Times New Roman" w:cs="Times New Roman"/>
          <w:sz w:val="24"/>
          <w:szCs w:val="24"/>
        </w:rPr>
        <w:t xml:space="preserve"> acquisition in some cases. </w:t>
      </w:r>
      <w:r w:rsidR="00F3629E" w:rsidRPr="00A013B0">
        <w:rPr>
          <w:rFonts w:ascii="Times New Roman" w:hAnsi="Times New Roman" w:cs="Times New Roman"/>
          <w:sz w:val="24"/>
          <w:szCs w:val="24"/>
        </w:rPr>
        <w:t xml:space="preserve">As demonstrated in the activity video, the practitioner employs reward to encourage learning by asking the learners to name </w:t>
      </w:r>
      <w:r w:rsidR="00286483" w:rsidRPr="00A013B0">
        <w:rPr>
          <w:rFonts w:ascii="Times New Roman" w:hAnsi="Times New Roman" w:cs="Times New Roman"/>
          <w:sz w:val="24"/>
          <w:szCs w:val="24"/>
        </w:rPr>
        <w:t>colours</w:t>
      </w:r>
      <w:r w:rsidR="00F3629E" w:rsidRPr="00A013B0">
        <w:rPr>
          <w:rFonts w:ascii="Times New Roman" w:hAnsi="Times New Roman" w:cs="Times New Roman"/>
          <w:sz w:val="24"/>
          <w:szCs w:val="24"/>
        </w:rPr>
        <w:t xml:space="preserve"> for reward. </w:t>
      </w:r>
    </w:p>
    <w:p w14:paraId="72A3989A" w14:textId="779C482E" w:rsidR="007C3C2E" w:rsidRPr="00A013B0" w:rsidRDefault="007C3C2E"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Practitioners can enhance language acquisition by leading the conversation, providing examples</w:t>
      </w:r>
      <w:r w:rsidR="00F84182" w:rsidRPr="00A013B0">
        <w:rPr>
          <w:rFonts w:ascii="Times New Roman" w:hAnsi="Times New Roman" w:cs="Times New Roman"/>
          <w:sz w:val="24"/>
          <w:szCs w:val="24"/>
        </w:rPr>
        <w:t>,</w:t>
      </w:r>
      <w:r w:rsidRPr="00A013B0">
        <w:rPr>
          <w:rFonts w:ascii="Times New Roman" w:hAnsi="Times New Roman" w:cs="Times New Roman"/>
          <w:sz w:val="24"/>
          <w:szCs w:val="24"/>
        </w:rPr>
        <w:t xml:space="preserve"> and acting as a guide. This is in keeping with Vygotsky’s sociocultural theory of learning</w:t>
      </w:r>
      <w:r w:rsidR="00F84182" w:rsidRPr="00A013B0">
        <w:rPr>
          <w:rFonts w:ascii="Times New Roman" w:hAnsi="Times New Roman" w:cs="Times New Roman"/>
          <w:sz w:val="24"/>
          <w:szCs w:val="24"/>
        </w:rPr>
        <w:t xml:space="preserve"> (Cherry, 2024).</w:t>
      </w:r>
      <w:r w:rsidRPr="00A013B0">
        <w:rPr>
          <w:rFonts w:ascii="Times New Roman" w:hAnsi="Times New Roman" w:cs="Times New Roman"/>
          <w:sz w:val="24"/>
          <w:szCs w:val="24"/>
        </w:rPr>
        <w:t xml:space="preserve"> In this respect, the teacher</w:t>
      </w:r>
      <w:r w:rsidR="00FF3C22" w:rsidRPr="00A013B0">
        <w:rPr>
          <w:rFonts w:ascii="Times New Roman" w:hAnsi="Times New Roman" w:cs="Times New Roman"/>
          <w:sz w:val="24"/>
          <w:szCs w:val="24"/>
        </w:rPr>
        <w:t xml:space="preserve"> or parent acts a</w:t>
      </w:r>
      <w:r w:rsidR="00A0176D" w:rsidRPr="00A013B0">
        <w:rPr>
          <w:rFonts w:ascii="Times New Roman" w:hAnsi="Times New Roman" w:cs="Times New Roman"/>
          <w:sz w:val="24"/>
          <w:szCs w:val="24"/>
        </w:rPr>
        <w:t>s</w:t>
      </w:r>
      <w:r w:rsidR="00FF3C22" w:rsidRPr="00A013B0">
        <w:rPr>
          <w:rFonts w:ascii="Times New Roman" w:hAnsi="Times New Roman" w:cs="Times New Roman"/>
          <w:sz w:val="24"/>
          <w:szCs w:val="24"/>
        </w:rPr>
        <w:t xml:space="preserve"> the more knowledgeable other imparting learning. </w:t>
      </w:r>
      <w:r w:rsidR="00A0176D" w:rsidRPr="00A013B0">
        <w:rPr>
          <w:rFonts w:ascii="Times New Roman" w:hAnsi="Times New Roman" w:cs="Times New Roman"/>
          <w:sz w:val="24"/>
          <w:szCs w:val="24"/>
        </w:rPr>
        <w:t>This is also consistent with Bruner’ theory requiring practitioners to provide a scaffold upon which learners may advance their language skills based on existing knowledge</w:t>
      </w:r>
      <w:r w:rsidR="00286483" w:rsidRPr="00A013B0">
        <w:rPr>
          <w:rFonts w:ascii="Times New Roman" w:hAnsi="Times New Roman" w:cs="Times New Roman"/>
          <w:sz w:val="24"/>
          <w:szCs w:val="24"/>
        </w:rPr>
        <w:t xml:space="preserve"> (McLeod, 2024)</w:t>
      </w:r>
      <w:r w:rsidR="00A0176D" w:rsidRPr="00A013B0">
        <w:rPr>
          <w:rFonts w:ascii="Times New Roman" w:hAnsi="Times New Roman" w:cs="Times New Roman"/>
          <w:sz w:val="24"/>
          <w:szCs w:val="24"/>
        </w:rPr>
        <w:t xml:space="preserve">. The </w:t>
      </w:r>
      <w:r w:rsidR="00472271" w:rsidRPr="00A013B0">
        <w:rPr>
          <w:rFonts w:ascii="Times New Roman" w:hAnsi="Times New Roman" w:cs="Times New Roman"/>
          <w:sz w:val="24"/>
          <w:szCs w:val="24"/>
        </w:rPr>
        <w:t>Language</w:t>
      </w:r>
      <w:r w:rsidR="00A0176D" w:rsidRPr="00A013B0">
        <w:rPr>
          <w:rFonts w:ascii="Times New Roman" w:hAnsi="Times New Roman" w:cs="Times New Roman"/>
          <w:sz w:val="24"/>
          <w:szCs w:val="24"/>
        </w:rPr>
        <w:t xml:space="preserve"> Acquisition Support System or Lass encourages child-adult interactions enabling adults to provide a learning environment with adults encouraging the use of specific vocabulary</w:t>
      </w:r>
      <w:r w:rsidR="00F84182" w:rsidRPr="00A013B0">
        <w:rPr>
          <w:rFonts w:ascii="Times New Roman" w:hAnsi="Times New Roman" w:cs="Times New Roman"/>
          <w:sz w:val="24"/>
          <w:szCs w:val="24"/>
        </w:rPr>
        <w:t xml:space="preserve"> (Finders, Wilson and Duncan, 2023)</w:t>
      </w:r>
      <w:r w:rsidR="00A0176D" w:rsidRPr="00A013B0">
        <w:rPr>
          <w:rFonts w:ascii="Times New Roman" w:hAnsi="Times New Roman" w:cs="Times New Roman"/>
          <w:sz w:val="24"/>
          <w:szCs w:val="24"/>
        </w:rPr>
        <w:t xml:space="preserve">. </w:t>
      </w:r>
      <w:r w:rsidR="00472271" w:rsidRPr="00A013B0">
        <w:rPr>
          <w:rFonts w:ascii="Times New Roman" w:hAnsi="Times New Roman" w:cs="Times New Roman"/>
          <w:sz w:val="24"/>
          <w:szCs w:val="24"/>
        </w:rPr>
        <w:t>The dual language approach is a strategic bilingual technique involving code-switching</w:t>
      </w:r>
      <w:r w:rsidR="00F643C3" w:rsidRPr="00A013B0">
        <w:rPr>
          <w:rFonts w:ascii="Times New Roman" w:hAnsi="Times New Roman" w:cs="Times New Roman"/>
          <w:sz w:val="24"/>
          <w:szCs w:val="24"/>
        </w:rPr>
        <w:t>, translanguaging, and targeted translation all of which can enhance cultural awarenes</w:t>
      </w:r>
      <w:r w:rsidR="0091028F" w:rsidRPr="00A013B0">
        <w:rPr>
          <w:rFonts w:ascii="Times New Roman" w:hAnsi="Times New Roman" w:cs="Times New Roman"/>
          <w:sz w:val="24"/>
          <w:szCs w:val="24"/>
        </w:rPr>
        <w:t>s (García and Lin, 2016</w:t>
      </w:r>
      <w:r w:rsidR="005423C6" w:rsidRPr="00A013B0">
        <w:rPr>
          <w:rFonts w:ascii="Times New Roman" w:hAnsi="Times New Roman" w:cs="Times New Roman"/>
          <w:sz w:val="24"/>
          <w:szCs w:val="24"/>
        </w:rPr>
        <w:t>; Balam and Carroll, 2024)</w:t>
      </w:r>
      <w:r w:rsidR="0091028F" w:rsidRPr="00A013B0">
        <w:rPr>
          <w:rFonts w:ascii="Times New Roman" w:hAnsi="Times New Roman" w:cs="Times New Roman"/>
          <w:sz w:val="24"/>
          <w:szCs w:val="24"/>
        </w:rPr>
        <w:t xml:space="preserve">. </w:t>
      </w:r>
    </w:p>
    <w:p w14:paraId="71EFF98C" w14:textId="77777777" w:rsidR="006C5E37" w:rsidRDefault="006C5E37" w:rsidP="00A013B0">
      <w:pPr>
        <w:spacing w:line="480" w:lineRule="auto"/>
        <w:rPr>
          <w:rFonts w:ascii="Times New Roman" w:hAnsi="Times New Roman" w:cs="Times New Roman"/>
          <w:b/>
          <w:bCs/>
          <w:sz w:val="24"/>
          <w:szCs w:val="24"/>
        </w:rPr>
      </w:pPr>
    </w:p>
    <w:p w14:paraId="77B337AA" w14:textId="28E4F0A0" w:rsidR="00B33999" w:rsidRPr="00A013B0" w:rsidRDefault="00B33999" w:rsidP="00A013B0">
      <w:pPr>
        <w:spacing w:line="480" w:lineRule="auto"/>
        <w:rPr>
          <w:rFonts w:ascii="Times New Roman" w:hAnsi="Times New Roman" w:cs="Times New Roman"/>
          <w:b/>
          <w:bCs/>
          <w:sz w:val="24"/>
          <w:szCs w:val="24"/>
        </w:rPr>
      </w:pPr>
      <w:r w:rsidRPr="00A013B0">
        <w:rPr>
          <w:rFonts w:ascii="Times New Roman" w:hAnsi="Times New Roman" w:cs="Times New Roman"/>
          <w:b/>
          <w:bCs/>
          <w:sz w:val="24"/>
          <w:szCs w:val="24"/>
        </w:rPr>
        <w:t>Conclusion</w:t>
      </w:r>
    </w:p>
    <w:p w14:paraId="4A079A29" w14:textId="65477C2A" w:rsidR="00E67CA4" w:rsidRPr="00A013B0" w:rsidRDefault="00E67CA4"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The foregoing discussion demonstrates the critical role of bilingualism and multilingualism in child development and early-year practice. Multilingualism and bilingualism provide several sociocultural, educational, and cognitive. Multilingual and bilingual individuals experience increased attention, greater problem-solving abilities, and i</w:t>
      </w:r>
      <w:r w:rsidR="001E2E31">
        <w:rPr>
          <w:rFonts w:ascii="Times New Roman" w:hAnsi="Times New Roman" w:cs="Times New Roman"/>
          <w:sz w:val="24"/>
          <w:szCs w:val="24"/>
        </w:rPr>
        <w:t>mproved cognitive flexibility. Moreover, t</w:t>
      </w:r>
      <w:r w:rsidRPr="00A013B0">
        <w:rPr>
          <w:rFonts w:ascii="Times New Roman" w:hAnsi="Times New Roman" w:cs="Times New Roman"/>
          <w:sz w:val="24"/>
          <w:szCs w:val="24"/>
        </w:rPr>
        <w:t xml:space="preserve">hese individuals can experience enhanced interpersonal connections and greater sense of belonging when they are able to more effectively communicate with those around them. </w:t>
      </w:r>
      <w:r w:rsidR="001E2E31">
        <w:rPr>
          <w:rFonts w:ascii="Times New Roman" w:hAnsi="Times New Roman" w:cs="Times New Roman"/>
          <w:sz w:val="24"/>
          <w:szCs w:val="24"/>
        </w:rPr>
        <w:t>However, c</w:t>
      </w:r>
      <w:r w:rsidRPr="00A013B0">
        <w:rPr>
          <w:rFonts w:ascii="Times New Roman" w:hAnsi="Times New Roman" w:cs="Times New Roman"/>
          <w:sz w:val="24"/>
          <w:szCs w:val="24"/>
        </w:rPr>
        <w:t>hildren frequently experience considerable difficulty in the classroom when learning English or Welsh as a second language. Practitioners can enhance EAL/WAL by observing and assessing the child’s capabilities, actively engaging the child, allowing them to practice and even selectively using the child’s first language during early stage</w:t>
      </w:r>
      <w:r w:rsidR="001E2E31">
        <w:rPr>
          <w:rFonts w:ascii="Times New Roman" w:hAnsi="Times New Roman" w:cs="Times New Roman"/>
          <w:sz w:val="24"/>
          <w:szCs w:val="24"/>
        </w:rPr>
        <w:t>s of learning. Furthermore, m</w:t>
      </w:r>
      <w:r w:rsidRPr="00A013B0">
        <w:rPr>
          <w:rFonts w:ascii="Times New Roman" w:hAnsi="Times New Roman" w:cs="Times New Roman"/>
          <w:sz w:val="24"/>
          <w:szCs w:val="24"/>
        </w:rPr>
        <w:t xml:space="preserve">ultilingualism is linked to neurochemical and neuroanatomical changes in selected brain areas including Broca’s and Wernicke’s areas. Multilingualism has been shown to enhance cognitive flexibility and, therefore, divergent thinking. </w:t>
      </w:r>
    </w:p>
    <w:p w14:paraId="64DD746F" w14:textId="77777777" w:rsidR="00E67CA4" w:rsidRPr="00A013B0" w:rsidRDefault="00E67CA4" w:rsidP="00A013B0">
      <w:pPr>
        <w:spacing w:line="480" w:lineRule="auto"/>
        <w:rPr>
          <w:rFonts w:ascii="Times New Roman" w:hAnsi="Times New Roman" w:cs="Times New Roman"/>
          <w:sz w:val="24"/>
          <w:szCs w:val="24"/>
        </w:rPr>
      </w:pPr>
    </w:p>
    <w:p w14:paraId="17C59182" w14:textId="77777777" w:rsidR="00B55C72" w:rsidRPr="00A013B0" w:rsidRDefault="00B55C72"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br w:type="page"/>
      </w:r>
    </w:p>
    <w:p w14:paraId="1C9E58DC" w14:textId="51FDFC51" w:rsidR="00B55C72" w:rsidRPr="00F84182" w:rsidRDefault="00C63313"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References</w:t>
      </w:r>
    </w:p>
    <w:p w14:paraId="6C112917" w14:textId="4C1BF0E1" w:rsidR="00A013B0" w:rsidRPr="001E2E31" w:rsidRDefault="00A013B0"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Back, M., Han, M., &amp; Weng, S. C. (2020). Emotional scaffolding for emergent multilingual learners through translanguaging: Case stories. </w:t>
      </w:r>
      <w:r w:rsidRPr="00A013B0">
        <w:rPr>
          <w:rFonts w:ascii="Times New Roman" w:hAnsi="Times New Roman" w:cs="Times New Roman"/>
          <w:i/>
          <w:iCs/>
          <w:sz w:val="24"/>
          <w:szCs w:val="24"/>
        </w:rPr>
        <w:t>Language and Education</w:t>
      </w:r>
      <w:r w:rsidRPr="00A013B0">
        <w:rPr>
          <w:rFonts w:ascii="Times New Roman" w:hAnsi="Times New Roman" w:cs="Times New Roman"/>
          <w:sz w:val="24"/>
          <w:szCs w:val="24"/>
        </w:rPr>
        <w:t>, 34(5), 387-406.</w:t>
      </w:r>
      <w:r w:rsidR="001E2E31" w:rsidRPr="001E2E31">
        <w:rPr>
          <w:rFonts w:ascii="Times New Roman" w:hAnsi="Times New Roman" w:cs="Times New Roman"/>
          <w:sz w:val="24"/>
          <w:szCs w:val="24"/>
        </w:rPr>
        <w:t xml:space="preserve"> </w:t>
      </w:r>
    </w:p>
    <w:p w14:paraId="696236F6"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Bell Foundation (2024). </w:t>
      </w:r>
      <w:r w:rsidRPr="00A013B0">
        <w:rPr>
          <w:rFonts w:ascii="Times New Roman" w:hAnsi="Times New Roman" w:cs="Times New Roman"/>
          <w:i/>
          <w:iCs/>
          <w:sz w:val="24"/>
          <w:szCs w:val="24"/>
          <w:lang w:val="en-US"/>
        </w:rPr>
        <w:t>Scaffolding</w:t>
      </w:r>
      <w:r w:rsidRPr="00A013B0">
        <w:rPr>
          <w:rFonts w:ascii="Times New Roman" w:hAnsi="Times New Roman" w:cs="Times New Roman"/>
          <w:sz w:val="24"/>
          <w:szCs w:val="24"/>
          <w:lang w:val="en-US"/>
        </w:rPr>
        <w:t xml:space="preserve">. [online] The Bell Foundation. Available at: </w:t>
      </w:r>
      <w:hyperlink r:id="rId7" w:history="1">
        <w:r w:rsidRPr="00A013B0">
          <w:rPr>
            <w:rStyle w:val="Hyperlink"/>
            <w:rFonts w:ascii="Times New Roman" w:hAnsi="Times New Roman" w:cs="Times New Roman"/>
            <w:sz w:val="24"/>
            <w:szCs w:val="24"/>
            <w:lang w:val="en-US"/>
          </w:rPr>
          <w:t>https://www.bell-foundation.org.uk/resources/great-ideas/scaffolding/</w:t>
        </w:r>
      </w:hyperlink>
      <w:r w:rsidRPr="00A013B0">
        <w:rPr>
          <w:rFonts w:ascii="Times New Roman" w:hAnsi="Times New Roman" w:cs="Times New Roman"/>
          <w:sz w:val="24"/>
          <w:szCs w:val="24"/>
          <w:lang w:val="en-US"/>
        </w:rPr>
        <w:t>. [Accessed 19 Mar. 2025].</w:t>
      </w:r>
    </w:p>
    <w:p w14:paraId="77E372E0"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Bialystok, E. (2017). The bilingual adaptation: How minds accommodate experience. </w:t>
      </w:r>
      <w:r w:rsidRPr="00A013B0">
        <w:rPr>
          <w:rFonts w:ascii="Times New Roman" w:hAnsi="Times New Roman" w:cs="Times New Roman"/>
          <w:i/>
          <w:iCs/>
          <w:sz w:val="24"/>
          <w:szCs w:val="24"/>
          <w:lang w:val="en-US"/>
        </w:rPr>
        <w:t>Psychological Bulletin</w:t>
      </w:r>
      <w:r w:rsidRPr="00A013B0">
        <w:rPr>
          <w:rFonts w:ascii="Times New Roman" w:hAnsi="Times New Roman" w:cs="Times New Roman"/>
          <w:sz w:val="24"/>
          <w:szCs w:val="24"/>
          <w:lang w:val="en-US"/>
        </w:rPr>
        <w:t xml:space="preserve">, 143(3), pp.233–262. Available at: </w:t>
      </w:r>
      <w:hyperlink r:id="rId8" w:history="1">
        <w:r w:rsidRPr="00A013B0">
          <w:rPr>
            <w:rStyle w:val="Hyperlink"/>
            <w:rFonts w:ascii="Times New Roman" w:hAnsi="Times New Roman" w:cs="Times New Roman"/>
            <w:sz w:val="24"/>
            <w:szCs w:val="24"/>
            <w:lang w:val="en-US"/>
          </w:rPr>
          <w:t>https://doi.org/10.1037/bul0000099</w:t>
        </w:r>
      </w:hyperlink>
      <w:r w:rsidRPr="00A013B0">
        <w:rPr>
          <w:rFonts w:ascii="Times New Roman" w:hAnsi="Times New Roman" w:cs="Times New Roman"/>
          <w:sz w:val="24"/>
          <w:szCs w:val="24"/>
          <w:lang w:val="en-US"/>
        </w:rPr>
        <w:t>. [Accessed 19 Mar. 2025].</w:t>
      </w:r>
    </w:p>
    <w:p w14:paraId="6BBAF0B6" w14:textId="77777777" w:rsidR="00A013B0" w:rsidRPr="00A013B0" w:rsidRDefault="00A013B0" w:rsidP="00A013B0">
      <w:pPr>
        <w:spacing w:line="480" w:lineRule="auto"/>
        <w:rPr>
          <w:rFonts w:ascii="Times New Roman" w:hAnsi="Times New Roman" w:cs="Times New Roman"/>
          <w:sz w:val="24"/>
          <w:szCs w:val="24"/>
          <w:lang w:val="en-US"/>
        </w:rPr>
      </w:pPr>
      <w:proofErr w:type="spellStart"/>
      <w:r w:rsidRPr="00A013B0">
        <w:rPr>
          <w:rFonts w:ascii="Times New Roman" w:hAnsi="Times New Roman" w:cs="Times New Roman"/>
          <w:sz w:val="24"/>
          <w:szCs w:val="24"/>
          <w:lang w:val="en-US"/>
        </w:rPr>
        <w:t>Cenoz</w:t>
      </w:r>
      <w:proofErr w:type="spellEnd"/>
      <w:r w:rsidRPr="00A013B0">
        <w:rPr>
          <w:rFonts w:ascii="Times New Roman" w:hAnsi="Times New Roman" w:cs="Times New Roman"/>
          <w:sz w:val="24"/>
          <w:szCs w:val="24"/>
          <w:lang w:val="en-US"/>
        </w:rPr>
        <w:t>, J. (2013). Defining Multilingualism. </w:t>
      </w:r>
      <w:r w:rsidRPr="00A013B0">
        <w:rPr>
          <w:rFonts w:ascii="Times New Roman" w:hAnsi="Times New Roman" w:cs="Times New Roman"/>
          <w:i/>
          <w:iCs/>
          <w:sz w:val="24"/>
          <w:szCs w:val="24"/>
          <w:lang w:val="en-US"/>
        </w:rPr>
        <w:t>Annual Review of Applied Linguistics</w:t>
      </w:r>
      <w:r w:rsidRPr="00A013B0">
        <w:rPr>
          <w:rFonts w:ascii="Times New Roman" w:hAnsi="Times New Roman" w:cs="Times New Roman"/>
          <w:sz w:val="24"/>
          <w:szCs w:val="24"/>
          <w:lang w:val="en-US"/>
        </w:rPr>
        <w:t xml:space="preserve">, [online] 33(33), pp.3–18. Available at: </w:t>
      </w:r>
      <w:hyperlink r:id="rId9" w:history="1">
        <w:r w:rsidRPr="00A013B0">
          <w:rPr>
            <w:rStyle w:val="Hyperlink"/>
            <w:rFonts w:ascii="Times New Roman" w:hAnsi="Times New Roman" w:cs="Times New Roman"/>
            <w:sz w:val="24"/>
            <w:szCs w:val="24"/>
            <w:lang w:val="en-US"/>
          </w:rPr>
          <w:t>https://doi.org/10.1017/s026719051300007x</w:t>
        </w:r>
      </w:hyperlink>
      <w:r w:rsidRPr="00A013B0">
        <w:rPr>
          <w:rFonts w:ascii="Times New Roman" w:hAnsi="Times New Roman" w:cs="Times New Roman"/>
          <w:sz w:val="24"/>
          <w:szCs w:val="24"/>
          <w:lang w:val="en-US"/>
        </w:rPr>
        <w:t>. [Accessed 19 Mar. 2025].</w:t>
      </w:r>
    </w:p>
    <w:p w14:paraId="7DB16156"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Chen, X. and Padilla, A.M. (2019). Role of Bilingualism and Biculturalism as Assets in Positive Psychology: Conceptual Dynamic GEAR Model. </w:t>
      </w:r>
      <w:r w:rsidRPr="00A013B0">
        <w:rPr>
          <w:rFonts w:ascii="Times New Roman" w:hAnsi="Times New Roman" w:cs="Times New Roman"/>
          <w:i/>
          <w:iCs/>
          <w:sz w:val="24"/>
          <w:szCs w:val="24"/>
          <w:lang w:val="en-US"/>
        </w:rPr>
        <w:t>Frontiers in Psychology</w:t>
      </w:r>
      <w:r w:rsidRPr="00A013B0">
        <w:rPr>
          <w:rFonts w:ascii="Times New Roman" w:hAnsi="Times New Roman" w:cs="Times New Roman"/>
          <w:sz w:val="24"/>
          <w:szCs w:val="24"/>
          <w:lang w:val="en-US"/>
        </w:rPr>
        <w:t xml:space="preserve">, [online] 10(2122). Available at: </w:t>
      </w:r>
      <w:hyperlink r:id="rId10" w:history="1">
        <w:r w:rsidRPr="00A013B0">
          <w:rPr>
            <w:rStyle w:val="Hyperlink"/>
            <w:rFonts w:ascii="Times New Roman" w:hAnsi="Times New Roman" w:cs="Times New Roman"/>
            <w:sz w:val="24"/>
            <w:szCs w:val="24"/>
            <w:lang w:val="en-US"/>
          </w:rPr>
          <w:t>https://doi.org/10.3389/fpsyg.2019.02122</w:t>
        </w:r>
      </w:hyperlink>
      <w:r w:rsidRPr="00A013B0">
        <w:rPr>
          <w:rFonts w:ascii="Times New Roman" w:hAnsi="Times New Roman" w:cs="Times New Roman"/>
          <w:sz w:val="24"/>
          <w:szCs w:val="24"/>
          <w:lang w:val="en-US"/>
        </w:rPr>
        <w:t>. [Accessed 19 Mar. 2025].</w:t>
      </w:r>
    </w:p>
    <w:p w14:paraId="18F01DC0" w14:textId="77777777" w:rsidR="00A013B0" w:rsidRPr="00A013B0" w:rsidRDefault="00A013B0" w:rsidP="00A013B0">
      <w:pPr>
        <w:spacing w:after="0" w:line="480" w:lineRule="auto"/>
        <w:rPr>
          <w:rFonts w:ascii="Times New Roman" w:eastAsia="Times New Roman" w:hAnsi="Times New Roman" w:cs="Times New Roman"/>
          <w:color w:val="000000"/>
          <w:kern w:val="0"/>
          <w:sz w:val="24"/>
          <w:szCs w:val="24"/>
          <w:lang w:val="en-US"/>
          <w14:ligatures w14:val="none"/>
        </w:rPr>
      </w:pPr>
      <w:r w:rsidRPr="00A013B0">
        <w:rPr>
          <w:rFonts w:ascii="Times New Roman" w:eastAsia="Times New Roman" w:hAnsi="Times New Roman" w:cs="Times New Roman"/>
          <w:color w:val="000000"/>
          <w:kern w:val="0"/>
          <w:sz w:val="24"/>
          <w:szCs w:val="24"/>
          <w:lang w:val="en-US"/>
          <w14:ligatures w14:val="none"/>
        </w:rPr>
        <w:t>Cherry, K. (2006). </w:t>
      </w:r>
      <w:r w:rsidRPr="00A013B0">
        <w:rPr>
          <w:rFonts w:ascii="Times New Roman" w:eastAsia="Times New Roman" w:hAnsi="Times New Roman" w:cs="Times New Roman"/>
          <w:i/>
          <w:iCs/>
          <w:color w:val="000000"/>
          <w:kern w:val="0"/>
          <w:sz w:val="24"/>
          <w:szCs w:val="24"/>
          <w:lang w:val="en-US"/>
          <w14:ligatures w14:val="none"/>
        </w:rPr>
        <w:t>Wernicke’s Area Location and Function</w:t>
      </w:r>
      <w:r w:rsidRPr="00A013B0">
        <w:rPr>
          <w:rFonts w:ascii="Times New Roman" w:eastAsia="Times New Roman" w:hAnsi="Times New Roman" w:cs="Times New Roman"/>
          <w:color w:val="000000"/>
          <w:kern w:val="0"/>
          <w:sz w:val="24"/>
          <w:szCs w:val="24"/>
          <w:lang w:val="en-US"/>
          <w14:ligatures w14:val="none"/>
        </w:rPr>
        <w:t xml:space="preserve">. [online] </w:t>
      </w:r>
      <w:proofErr w:type="spellStart"/>
      <w:r w:rsidRPr="00A013B0">
        <w:rPr>
          <w:rFonts w:ascii="Times New Roman" w:eastAsia="Times New Roman" w:hAnsi="Times New Roman" w:cs="Times New Roman"/>
          <w:color w:val="000000"/>
          <w:kern w:val="0"/>
          <w:sz w:val="24"/>
          <w:szCs w:val="24"/>
          <w:lang w:val="en-US"/>
          <w14:ligatures w14:val="none"/>
        </w:rPr>
        <w:t>Verywell</w:t>
      </w:r>
      <w:proofErr w:type="spellEnd"/>
      <w:r w:rsidRPr="00A013B0">
        <w:rPr>
          <w:rFonts w:ascii="Times New Roman" w:eastAsia="Times New Roman" w:hAnsi="Times New Roman" w:cs="Times New Roman"/>
          <w:color w:val="000000"/>
          <w:kern w:val="0"/>
          <w:sz w:val="24"/>
          <w:szCs w:val="24"/>
          <w:lang w:val="en-US"/>
          <w14:ligatures w14:val="none"/>
        </w:rPr>
        <w:t xml:space="preserve"> Mind. Available at: </w:t>
      </w:r>
      <w:hyperlink r:id="rId11" w:history="1">
        <w:r w:rsidRPr="00A013B0">
          <w:rPr>
            <w:rStyle w:val="Hyperlink"/>
            <w:rFonts w:ascii="Times New Roman" w:eastAsia="Times New Roman" w:hAnsi="Times New Roman" w:cs="Times New Roman"/>
            <w:kern w:val="0"/>
            <w:sz w:val="24"/>
            <w:szCs w:val="24"/>
            <w:lang w:val="en-US"/>
            <w14:ligatures w14:val="none"/>
          </w:rPr>
          <w:t>https://www.verywellmind.com/wernickes-area-2796017</w:t>
        </w:r>
      </w:hyperlink>
      <w:r w:rsidRPr="00A013B0">
        <w:rPr>
          <w:rFonts w:ascii="Times New Roman" w:eastAsia="Times New Roman" w:hAnsi="Times New Roman" w:cs="Times New Roman"/>
          <w:color w:val="000000"/>
          <w:kern w:val="0"/>
          <w:sz w:val="24"/>
          <w:szCs w:val="24"/>
          <w:lang w:val="en-US"/>
          <w14:ligatures w14:val="none"/>
        </w:rPr>
        <w:t xml:space="preserve">. </w:t>
      </w:r>
      <w:r w:rsidRPr="00A013B0">
        <w:rPr>
          <w:rFonts w:ascii="Times New Roman" w:hAnsi="Times New Roman" w:cs="Times New Roman"/>
          <w:sz w:val="24"/>
          <w:szCs w:val="24"/>
          <w:lang w:val="en-US"/>
        </w:rPr>
        <w:t>[Accessed 19 Mar. 2025].</w:t>
      </w:r>
    </w:p>
    <w:p w14:paraId="4EB20BD1"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Cherry, K. (2024). </w:t>
      </w:r>
      <w:r w:rsidRPr="00A013B0">
        <w:rPr>
          <w:rFonts w:ascii="Times New Roman" w:hAnsi="Times New Roman" w:cs="Times New Roman"/>
          <w:i/>
          <w:iCs/>
          <w:sz w:val="24"/>
          <w:szCs w:val="24"/>
          <w:lang w:val="en-US"/>
        </w:rPr>
        <w:t>What is sociocultural theory?</w:t>
      </w:r>
      <w:r w:rsidRPr="00A013B0">
        <w:rPr>
          <w:rFonts w:ascii="Times New Roman" w:hAnsi="Times New Roman" w:cs="Times New Roman"/>
          <w:sz w:val="24"/>
          <w:szCs w:val="24"/>
          <w:lang w:val="en-US"/>
        </w:rPr>
        <w:t xml:space="preserve"> [online] </w:t>
      </w:r>
      <w:proofErr w:type="spellStart"/>
      <w:r w:rsidRPr="00A013B0">
        <w:rPr>
          <w:rFonts w:ascii="Times New Roman" w:hAnsi="Times New Roman" w:cs="Times New Roman"/>
          <w:sz w:val="24"/>
          <w:szCs w:val="24"/>
          <w:lang w:val="en-US"/>
        </w:rPr>
        <w:t>Verywell</w:t>
      </w:r>
      <w:proofErr w:type="spellEnd"/>
      <w:r w:rsidRPr="00A013B0">
        <w:rPr>
          <w:rFonts w:ascii="Times New Roman" w:hAnsi="Times New Roman" w:cs="Times New Roman"/>
          <w:sz w:val="24"/>
          <w:szCs w:val="24"/>
          <w:lang w:val="en-US"/>
        </w:rPr>
        <w:t xml:space="preserve"> Mind. Available at: </w:t>
      </w:r>
      <w:hyperlink r:id="rId12" w:history="1">
        <w:r w:rsidRPr="00A013B0">
          <w:rPr>
            <w:rStyle w:val="Hyperlink"/>
            <w:rFonts w:ascii="Times New Roman" w:hAnsi="Times New Roman" w:cs="Times New Roman"/>
            <w:sz w:val="24"/>
            <w:szCs w:val="24"/>
            <w:lang w:val="en-US"/>
          </w:rPr>
          <w:t>https://www.verywellmind.com/what-is-sociocultural-theory-2795088</w:t>
        </w:r>
      </w:hyperlink>
      <w:r w:rsidRPr="00A013B0">
        <w:rPr>
          <w:rFonts w:ascii="Times New Roman" w:hAnsi="Times New Roman" w:cs="Times New Roman"/>
          <w:sz w:val="24"/>
          <w:szCs w:val="24"/>
          <w:lang w:val="en-US"/>
        </w:rPr>
        <w:t>. [Accessed 19 Mar. 2025].</w:t>
      </w:r>
    </w:p>
    <w:p w14:paraId="1F7C2C31" w14:textId="77777777" w:rsidR="00A013B0" w:rsidRPr="00A013B0" w:rsidRDefault="00A013B0" w:rsidP="00A013B0">
      <w:pPr>
        <w:spacing w:line="480" w:lineRule="auto"/>
        <w:rPr>
          <w:rFonts w:ascii="Times New Roman" w:hAnsi="Times New Roman" w:cs="Times New Roman"/>
          <w:sz w:val="24"/>
          <w:szCs w:val="24"/>
          <w:lang w:val="en-US"/>
        </w:rPr>
      </w:pPr>
      <w:proofErr w:type="spellStart"/>
      <w:r w:rsidRPr="00A013B0">
        <w:rPr>
          <w:rFonts w:ascii="Times New Roman" w:hAnsi="Times New Roman" w:cs="Times New Roman"/>
          <w:sz w:val="24"/>
          <w:szCs w:val="24"/>
          <w:lang w:val="en-US"/>
        </w:rPr>
        <w:t>Chibaka</w:t>
      </w:r>
      <w:proofErr w:type="spellEnd"/>
      <w:r w:rsidRPr="00A013B0">
        <w:rPr>
          <w:rFonts w:ascii="Times New Roman" w:hAnsi="Times New Roman" w:cs="Times New Roman"/>
          <w:sz w:val="24"/>
          <w:szCs w:val="24"/>
          <w:lang w:val="en-US"/>
        </w:rPr>
        <w:t>, E.F. (2018). </w:t>
      </w:r>
      <w:r w:rsidRPr="00A013B0">
        <w:rPr>
          <w:rFonts w:ascii="Times New Roman" w:hAnsi="Times New Roman" w:cs="Times New Roman"/>
          <w:i/>
          <w:iCs/>
          <w:sz w:val="24"/>
          <w:szCs w:val="24"/>
          <w:lang w:val="en-US"/>
        </w:rPr>
        <w:t>Advantages of Bilingualism and Multilingualism: Multidimensional Research Findings</w:t>
      </w:r>
      <w:r w:rsidRPr="00A013B0">
        <w:rPr>
          <w:rFonts w:ascii="Times New Roman" w:hAnsi="Times New Roman" w:cs="Times New Roman"/>
          <w:sz w:val="24"/>
          <w:szCs w:val="24"/>
          <w:lang w:val="en-US"/>
        </w:rPr>
        <w:t>. [online] </w:t>
      </w:r>
      <w:r w:rsidRPr="00A013B0">
        <w:rPr>
          <w:rFonts w:ascii="Times New Roman" w:hAnsi="Times New Roman" w:cs="Times New Roman"/>
          <w:i/>
          <w:iCs/>
          <w:sz w:val="24"/>
          <w:szCs w:val="24"/>
          <w:lang w:val="en-US"/>
        </w:rPr>
        <w:t>www.intechopen.com</w:t>
      </w:r>
      <w:r w:rsidRPr="00A013B0">
        <w:rPr>
          <w:rFonts w:ascii="Times New Roman" w:hAnsi="Times New Roman" w:cs="Times New Roman"/>
          <w:sz w:val="24"/>
          <w:szCs w:val="24"/>
          <w:lang w:val="en-US"/>
        </w:rPr>
        <w:t xml:space="preserve">. </w:t>
      </w:r>
      <w:proofErr w:type="spellStart"/>
      <w:r w:rsidRPr="00A013B0">
        <w:rPr>
          <w:rFonts w:ascii="Times New Roman" w:hAnsi="Times New Roman" w:cs="Times New Roman"/>
          <w:sz w:val="24"/>
          <w:szCs w:val="24"/>
          <w:lang w:val="en-US"/>
        </w:rPr>
        <w:t>IntechOpen</w:t>
      </w:r>
      <w:proofErr w:type="spellEnd"/>
      <w:r w:rsidRPr="00A013B0">
        <w:rPr>
          <w:rFonts w:ascii="Times New Roman" w:hAnsi="Times New Roman" w:cs="Times New Roman"/>
          <w:sz w:val="24"/>
          <w:szCs w:val="24"/>
          <w:lang w:val="en-US"/>
        </w:rPr>
        <w:t xml:space="preserve">. Available at: </w:t>
      </w:r>
      <w:hyperlink r:id="rId13" w:history="1">
        <w:r w:rsidRPr="00A013B0">
          <w:rPr>
            <w:rStyle w:val="Hyperlink"/>
            <w:rFonts w:ascii="Times New Roman" w:hAnsi="Times New Roman" w:cs="Times New Roman"/>
            <w:sz w:val="24"/>
            <w:szCs w:val="24"/>
            <w:lang w:val="en-US"/>
          </w:rPr>
          <w:t>https://www.intechopen.com/chapters/59744</w:t>
        </w:r>
      </w:hyperlink>
      <w:r w:rsidRPr="00A013B0">
        <w:rPr>
          <w:rFonts w:ascii="Times New Roman" w:hAnsi="Times New Roman" w:cs="Times New Roman"/>
          <w:sz w:val="24"/>
          <w:szCs w:val="24"/>
          <w:lang w:val="en-US"/>
        </w:rPr>
        <w:t>. [Accessed 19 Mar. 2025].</w:t>
      </w:r>
    </w:p>
    <w:p w14:paraId="79B8106A"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Chung-Fat-Yim, A., Fernández-Duque, M. and Marian, V. (2024). Chapter 1. Multilingualism, creativity, and problem-solving. </w:t>
      </w:r>
      <w:r w:rsidRPr="00A013B0">
        <w:rPr>
          <w:rFonts w:ascii="Times New Roman" w:hAnsi="Times New Roman" w:cs="Times New Roman"/>
          <w:i/>
          <w:iCs/>
          <w:sz w:val="24"/>
          <w:szCs w:val="24"/>
          <w:lang w:val="en-US"/>
        </w:rPr>
        <w:t>Studies in Bilingualism</w:t>
      </w:r>
      <w:r w:rsidRPr="00A013B0">
        <w:rPr>
          <w:rFonts w:ascii="Times New Roman" w:hAnsi="Times New Roman" w:cs="Times New Roman"/>
          <w:sz w:val="24"/>
          <w:szCs w:val="24"/>
          <w:lang w:val="en-US"/>
        </w:rPr>
        <w:t xml:space="preserve">, [online] pp.36–59. </w:t>
      </w:r>
      <w:proofErr w:type="spellStart"/>
      <w:r w:rsidRPr="00A013B0">
        <w:rPr>
          <w:rFonts w:ascii="Times New Roman" w:hAnsi="Times New Roman" w:cs="Times New Roman"/>
          <w:sz w:val="24"/>
          <w:szCs w:val="24"/>
          <w:lang w:val="en-US"/>
        </w:rPr>
        <w:t>doi</w:t>
      </w:r>
      <w:proofErr w:type="spellEnd"/>
      <w:r w:rsidRPr="00A013B0">
        <w:rPr>
          <w:rFonts w:ascii="Times New Roman" w:hAnsi="Times New Roman" w:cs="Times New Roman"/>
          <w:sz w:val="24"/>
          <w:szCs w:val="24"/>
          <w:lang w:val="en-US"/>
        </w:rPr>
        <w:t xml:space="preserve">: </w:t>
      </w:r>
      <w:hyperlink r:id="rId14" w:history="1">
        <w:r w:rsidRPr="00A013B0">
          <w:rPr>
            <w:rStyle w:val="Hyperlink"/>
            <w:rFonts w:ascii="Times New Roman" w:hAnsi="Times New Roman" w:cs="Times New Roman"/>
            <w:sz w:val="24"/>
            <w:szCs w:val="24"/>
            <w:lang w:val="en-US"/>
          </w:rPr>
          <w:t>https://doi.org/10.1075/sibil.67.01chu</w:t>
        </w:r>
      </w:hyperlink>
      <w:r w:rsidRPr="00A013B0">
        <w:rPr>
          <w:rFonts w:ascii="Times New Roman" w:hAnsi="Times New Roman" w:cs="Times New Roman"/>
          <w:sz w:val="24"/>
          <w:szCs w:val="24"/>
          <w:lang w:val="en-US"/>
        </w:rPr>
        <w:t>. [Accessed 19 Mar. 2025].</w:t>
      </w:r>
    </w:p>
    <w:p w14:paraId="255AB0B0" w14:textId="77777777" w:rsidR="00A013B0" w:rsidRPr="00A013B0" w:rsidRDefault="00A013B0" w:rsidP="00A013B0">
      <w:pPr>
        <w:spacing w:after="0" w:line="480" w:lineRule="auto"/>
        <w:rPr>
          <w:rFonts w:ascii="Times New Roman" w:eastAsia="Times New Roman" w:hAnsi="Times New Roman" w:cs="Times New Roman"/>
          <w:color w:val="000000"/>
          <w:kern w:val="0"/>
          <w:sz w:val="24"/>
          <w:szCs w:val="24"/>
          <w:lang w:val="en-US"/>
          <w14:ligatures w14:val="none"/>
        </w:rPr>
      </w:pPr>
      <w:r w:rsidRPr="00A013B0">
        <w:rPr>
          <w:rFonts w:ascii="Times New Roman" w:eastAsia="Times New Roman" w:hAnsi="Times New Roman" w:cs="Times New Roman"/>
          <w:color w:val="000000"/>
          <w:kern w:val="0"/>
          <w:sz w:val="24"/>
          <w:szCs w:val="24"/>
          <w:lang w:val="en-US"/>
          <w14:ligatures w14:val="none"/>
        </w:rPr>
        <w:t xml:space="preserve">Costa, A. and </w:t>
      </w:r>
      <w:proofErr w:type="spellStart"/>
      <w:r w:rsidRPr="00A013B0">
        <w:rPr>
          <w:rFonts w:ascii="Times New Roman" w:eastAsia="Times New Roman" w:hAnsi="Times New Roman" w:cs="Times New Roman"/>
          <w:color w:val="000000"/>
          <w:kern w:val="0"/>
          <w:sz w:val="24"/>
          <w:szCs w:val="24"/>
          <w:lang w:val="en-US"/>
          <w14:ligatures w14:val="none"/>
        </w:rPr>
        <w:t>Sebastián-Gallés</w:t>
      </w:r>
      <w:proofErr w:type="spellEnd"/>
      <w:r w:rsidRPr="00A013B0">
        <w:rPr>
          <w:rFonts w:ascii="Times New Roman" w:eastAsia="Times New Roman" w:hAnsi="Times New Roman" w:cs="Times New Roman"/>
          <w:color w:val="000000"/>
          <w:kern w:val="0"/>
          <w:sz w:val="24"/>
          <w:szCs w:val="24"/>
          <w:lang w:val="en-US"/>
          <w14:ligatures w14:val="none"/>
        </w:rPr>
        <w:t>, N. (2014). How does the bilingual experience sculpt the brain? </w:t>
      </w:r>
      <w:r w:rsidRPr="00A013B0">
        <w:rPr>
          <w:rFonts w:ascii="Times New Roman" w:eastAsia="Times New Roman" w:hAnsi="Times New Roman" w:cs="Times New Roman"/>
          <w:i/>
          <w:iCs/>
          <w:color w:val="000000"/>
          <w:kern w:val="0"/>
          <w:sz w:val="24"/>
          <w:szCs w:val="24"/>
          <w:lang w:val="en-US"/>
          <w14:ligatures w14:val="none"/>
        </w:rPr>
        <w:t>Nature Reviews Neuroscience</w:t>
      </w:r>
      <w:r w:rsidRPr="00A013B0">
        <w:rPr>
          <w:rFonts w:ascii="Times New Roman" w:eastAsia="Times New Roman" w:hAnsi="Times New Roman" w:cs="Times New Roman"/>
          <w:color w:val="000000"/>
          <w:kern w:val="0"/>
          <w:sz w:val="24"/>
          <w:szCs w:val="24"/>
          <w:lang w:val="en-US"/>
          <w14:ligatures w14:val="none"/>
        </w:rPr>
        <w:t xml:space="preserve">, [online] 15(5), pp.336–345. Available at: </w:t>
      </w:r>
      <w:hyperlink r:id="rId15" w:history="1">
        <w:r w:rsidRPr="00A013B0">
          <w:rPr>
            <w:rStyle w:val="Hyperlink"/>
            <w:rFonts w:ascii="Times New Roman" w:eastAsia="Times New Roman" w:hAnsi="Times New Roman" w:cs="Times New Roman"/>
            <w:kern w:val="0"/>
            <w:sz w:val="24"/>
            <w:szCs w:val="24"/>
            <w:lang w:val="en-US"/>
            <w14:ligatures w14:val="none"/>
          </w:rPr>
          <w:t>https://doi.org/10.1038/nrn3709</w:t>
        </w:r>
      </w:hyperlink>
      <w:r w:rsidRPr="00A013B0">
        <w:rPr>
          <w:rFonts w:ascii="Times New Roman" w:eastAsia="Times New Roman" w:hAnsi="Times New Roman" w:cs="Times New Roman"/>
          <w:color w:val="000000"/>
          <w:kern w:val="0"/>
          <w:sz w:val="24"/>
          <w:szCs w:val="24"/>
          <w:lang w:val="en-US"/>
          <w14:ligatures w14:val="none"/>
        </w:rPr>
        <w:t xml:space="preserve">. </w:t>
      </w:r>
    </w:p>
    <w:p w14:paraId="23392548"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Daud, R. (2024). The Cognitive Benefits of Speaking Multiple Languages. </w:t>
      </w:r>
      <w:r w:rsidRPr="00A013B0">
        <w:rPr>
          <w:rFonts w:ascii="Times New Roman" w:hAnsi="Times New Roman" w:cs="Times New Roman"/>
          <w:i/>
          <w:iCs/>
          <w:sz w:val="24"/>
          <w:szCs w:val="24"/>
          <w:lang w:val="en-US"/>
        </w:rPr>
        <w:t>European Journal of Linguistics</w:t>
      </w:r>
      <w:r w:rsidRPr="00A013B0">
        <w:rPr>
          <w:rFonts w:ascii="Times New Roman" w:hAnsi="Times New Roman" w:cs="Times New Roman"/>
          <w:sz w:val="24"/>
          <w:szCs w:val="24"/>
          <w:lang w:val="en-US"/>
        </w:rPr>
        <w:t xml:space="preserve">, [online] 3(4), pp.1–16. Available at: </w:t>
      </w:r>
      <w:hyperlink r:id="rId16" w:history="1">
        <w:r w:rsidRPr="00A013B0">
          <w:rPr>
            <w:rStyle w:val="Hyperlink"/>
            <w:rFonts w:ascii="Times New Roman" w:hAnsi="Times New Roman" w:cs="Times New Roman"/>
            <w:sz w:val="24"/>
            <w:szCs w:val="24"/>
            <w:lang w:val="en-US"/>
          </w:rPr>
          <w:t>https://doi.org/10.47941/ejl.2055</w:t>
        </w:r>
      </w:hyperlink>
      <w:r w:rsidRPr="00A013B0">
        <w:rPr>
          <w:rFonts w:ascii="Times New Roman" w:hAnsi="Times New Roman" w:cs="Times New Roman"/>
          <w:sz w:val="24"/>
          <w:szCs w:val="24"/>
          <w:lang w:val="en-US"/>
        </w:rPr>
        <w:t>. [Accessed 19 Mar. 2025].</w:t>
      </w:r>
    </w:p>
    <w:p w14:paraId="625810B9" w14:textId="77777777" w:rsidR="00A013B0" w:rsidRPr="00A013B0" w:rsidRDefault="00A013B0"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De Angelis, G. (2021). Multilingualism: Theories and practices. In M. Sato &amp; S. Loewen (Eds.), The Routledge handbook of instructed second language acquisition (pp. 485– 499). Routledge. </w:t>
      </w:r>
      <w:hyperlink r:id="rId17" w:history="1">
        <w:r w:rsidRPr="00A013B0">
          <w:rPr>
            <w:rStyle w:val="Hyperlink"/>
            <w:rFonts w:ascii="Times New Roman" w:hAnsi="Times New Roman" w:cs="Times New Roman"/>
            <w:sz w:val="24"/>
            <w:szCs w:val="24"/>
          </w:rPr>
          <w:t>https://doi.org/10.4324/9780367824479</w:t>
        </w:r>
      </w:hyperlink>
      <w:r w:rsidRPr="00A013B0">
        <w:rPr>
          <w:rFonts w:ascii="Times New Roman" w:hAnsi="Times New Roman" w:cs="Times New Roman"/>
          <w:sz w:val="24"/>
          <w:szCs w:val="24"/>
        </w:rPr>
        <w:t xml:space="preserve"> </w:t>
      </w:r>
      <w:r w:rsidRPr="00A013B0">
        <w:rPr>
          <w:rFonts w:ascii="Times New Roman" w:hAnsi="Times New Roman" w:cs="Times New Roman"/>
          <w:sz w:val="24"/>
          <w:szCs w:val="24"/>
          <w:lang w:val="en-US"/>
        </w:rPr>
        <w:t>[Accessed 19 Mar. 2025].</w:t>
      </w:r>
    </w:p>
    <w:p w14:paraId="678673AE" w14:textId="39E64330"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 xml:space="preserve">de Bruin, A., </w:t>
      </w:r>
      <w:proofErr w:type="spellStart"/>
      <w:r w:rsidRPr="00A013B0">
        <w:rPr>
          <w:rFonts w:ascii="Times New Roman" w:hAnsi="Times New Roman" w:cs="Times New Roman"/>
          <w:sz w:val="24"/>
          <w:szCs w:val="24"/>
          <w:lang w:val="en-US"/>
        </w:rPr>
        <w:t>Carreiras</w:t>
      </w:r>
      <w:proofErr w:type="spellEnd"/>
      <w:r w:rsidRPr="00A013B0">
        <w:rPr>
          <w:rFonts w:ascii="Times New Roman" w:hAnsi="Times New Roman" w:cs="Times New Roman"/>
          <w:sz w:val="24"/>
          <w:szCs w:val="24"/>
          <w:lang w:val="en-US"/>
        </w:rPr>
        <w:t xml:space="preserve">, M. and </w:t>
      </w:r>
      <w:proofErr w:type="spellStart"/>
      <w:r w:rsidRPr="00A013B0">
        <w:rPr>
          <w:rFonts w:ascii="Times New Roman" w:hAnsi="Times New Roman" w:cs="Times New Roman"/>
          <w:sz w:val="24"/>
          <w:szCs w:val="24"/>
          <w:lang w:val="en-US"/>
        </w:rPr>
        <w:t>Duñabeitia</w:t>
      </w:r>
      <w:proofErr w:type="spellEnd"/>
      <w:r w:rsidRPr="00A013B0">
        <w:rPr>
          <w:rFonts w:ascii="Times New Roman" w:hAnsi="Times New Roman" w:cs="Times New Roman"/>
          <w:sz w:val="24"/>
          <w:szCs w:val="24"/>
          <w:lang w:val="en-US"/>
        </w:rPr>
        <w:t>, J.A. (2017). The BEST Dataset of Language Proficiency. </w:t>
      </w:r>
      <w:r w:rsidRPr="00A013B0">
        <w:rPr>
          <w:rFonts w:ascii="Times New Roman" w:hAnsi="Times New Roman" w:cs="Times New Roman"/>
          <w:i/>
          <w:iCs/>
          <w:sz w:val="24"/>
          <w:szCs w:val="24"/>
          <w:lang w:val="en-US"/>
        </w:rPr>
        <w:t>Frontiers in Psychology</w:t>
      </w:r>
      <w:r w:rsidR="00502B07">
        <w:rPr>
          <w:rFonts w:ascii="Times New Roman" w:hAnsi="Times New Roman" w:cs="Times New Roman"/>
          <w:sz w:val="24"/>
          <w:szCs w:val="24"/>
          <w:lang w:val="en-US"/>
        </w:rPr>
        <w:t xml:space="preserve">, 8,522. </w:t>
      </w:r>
      <w:r w:rsidRPr="00A013B0">
        <w:rPr>
          <w:rFonts w:ascii="Times New Roman" w:hAnsi="Times New Roman" w:cs="Times New Roman"/>
          <w:sz w:val="24"/>
          <w:szCs w:val="24"/>
          <w:lang w:val="en-US"/>
        </w:rPr>
        <w:t xml:space="preserve">Available at:  </w:t>
      </w:r>
      <w:hyperlink r:id="rId18" w:history="1">
        <w:r w:rsidRPr="00A013B0">
          <w:rPr>
            <w:rStyle w:val="Hyperlink"/>
            <w:rFonts w:ascii="Times New Roman" w:hAnsi="Times New Roman" w:cs="Times New Roman"/>
            <w:sz w:val="24"/>
            <w:szCs w:val="24"/>
            <w:lang w:val="en-US"/>
          </w:rPr>
          <w:t>https://doi.org/10.3389/fpsyg.2017.00522</w:t>
        </w:r>
      </w:hyperlink>
      <w:r w:rsidRPr="00A013B0">
        <w:rPr>
          <w:rFonts w:ascii="Times New Roman" w:hAnsi="Times New Roman" w:cs="Times New Roman"/>
          <w:sz w:val="24"/>
          <w:szCs w:val="24"/>
          <w:lang w:val="en-US"/>
        </w:rPr>
        <w:t>. [Accessed 19 Mar. 2025].</w:t>
      </w:r>
    </w:p>
    <w:p w14:paraId="2C10B853"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EAL Hub (2022). </w:t>
      </w:r>
      <w:r w:rsidRPr="00A013B0">
        <w:rPr>
          <w:rFonts w:ascii="Times New Roman" w:hAnsi="Times New Roman" w:cs="Times New Roman"/>
          <w:i/>
          <w:iCs/>
          <w:sz w:val="24"/>
          <w:szCs w:val="24"/>
          <w:lang w:val="en-US"/>
        </w:rPr>
        <w:t>Barriers for EAL learners can be felt by both students and their teachers. - EAL Hub</w:t>
      </w:r>
      <w:r w:rsidRPr="00A013B0">
        <w:rPr>
          <w:rFonts w:ascii="Times New Roman" w:hAnsi="Times New Roman" w:cs="Times New Roman"/>
          <w:sz w:val="24"/>
          <w:szCs w:val="24"/>
          <w:lang w:val="en-US"/>
        </w:rPr>
        <w:t xml:space="preserve">. [online] https://www.ealhub.co.uk/. Available at: </w:t>
      </w:r>
      <w:hyperlink r:id="rId19" w:history="1">
        <w:r w:rsidRPr="00A013B0">
          <w:rPr>
            <w:rStyle w:val="Hyperlink"/>
            <w:rFonts w:ascii="Times New Roman" w:hAnsi="Times New Roman" w:cs="Times New Roman"/>
            <w:sz w:val="24"/>
            <w:szCs w:val="24"/>
            <w:lang w:val="en-US"/>
          </w:rPr>
          <w:t>https://www.ealhub.co.uk/lorem-ipsum-dolor-sit-amet/</w:t>
        </w:r>
      </w:hyperlink>
      <w:r w:rsidRPr="00A013B0">
        <w:rPr>
          <w:rFonts w:ascii="Times New Roman" w:hAnsi="Times New Roman" w:cs="Times New Roman"/>
          <w:sz w:val="24"/>
          <w:szCs w:val="24"/>
          <w:lang w:val="en-US"/>
        </w:rPr>
        <w:t>. [Accessed 19 Mar. 2025].</w:t>
      </w:r>
    </w:p>
    <w:p w14:paraId="187C0107" w14:textId="51AC4BB9"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European Commission. (2007). Final report: High level group on multilingualism.</w:t>
      </w:r>
      <w:r w:rsidR="00502B07">
        <w:rPr>
          <w:rFonts w:ascii="Times New Roman" w:hAnsi="Times New Roman" w:cs="Times New Roman"/>
          <w:sz w:val="24"/>
          <w:szCs w:val="24"/>
          <w:lang w:val="en-US"/>
        </w:rPr>
        <w:t xml:space="preserve"> </w:t>
      </w:r>
      <w:r w:rsidRPr="00A013B0">
        <w:rPr>
          <w:rFonts w:ascii="Times New Roman" w:hAnsi="Times New Roman" w:cs="Times New Roman"/>
          <w:sz w:val="24"/>
          <w:szCs w:val="24"/>
          <w:lang w:val="en-US"/>
        </w:rPr>
        <w:t xml:space="preserve">Luxembourg: European Communities. Retrieved from </w:t>
      </w:r>
      <w:hyperlink r:id="rId20" w:history="1">
        <w:r w:rsidRPr="00A013B0">
          <w:rPr>
            <w:rStyle w:val="Hyperlink"/>
            <w:rFonts w:ascii="Times New Roman" w:hAnsi="Times New Roman" w:cs="Times New Roman"/>
            <w:sz w:val="24"/>
            <w:szCs w:val="24"/>
            <w:lang w:val="en-US"/>
          </w:rPr>
          <w:t>http://ec.europa.eu/education/policies/lang/doc/multireport_en.pdf</w:t>
        </w:r>
      </w:hyperlink>
      <w:r w:rsidRPr="00A013B0">
        <w:rPr>
          <w:rFonts w:ascii="Times New Roman" w:hAnsi="Times New Roman" w:cs="Times New Roman"/>
          <w:sz w:val="24"/>
          <w:szCs w:val="24"/>
        </w:rPr>
        <w:t xml:space="preserve">. </w:t>
      </w:r>
      <w:r w:rsidRPr="00A013B0">
        <w:rPr>
          <w:rFonts w:ascii="Times New Roman" w:hAnsi="Times New Roman" w:cs="Times New Roman"/>
          <w:sz w:val="24"/>
          <w:szCs w:val="24"/>
          <w:lang w:val="en-US"/>
        </w:rPr>
        <w:t xml:space="preserve">[Accessed 19 Mar. 2025]. </w:t>
      </w:r>
    </w:p>
    <w:p w14:paraId="684017D9" w14:textId="0165F23C" w:rsidR="00A013B0" w:rsidRPr="00486C37" w:rsidRDefault="00486C37" w:rsidP="00A013B0">
      <w:pPr>
        <w:spacing w:line="480" w:lineRule="auto"/>
      </w:pPr>
      <w:r>
        <w:rPr>
          <w:rFonts w:ascii="Times New Roman" w:hAnsi="Times New Roman" w:cs="Times New Roman"/>
          <w:sz w:val="24"/>
          <w:szCs w:val="24"/>
          <w:lang w:val="en-US"/>
        </w:rPr>
        <w:t>‌</w:t>
      </w:r>
    </w:p>
    <w:p w14:paraId="7DDFC369" w14:textId="77777777" w:rsidR="00A013B0" w:rsidRPr="00A013B0" w:rsidRDefault="00A013B0" w:rsidP="00A013B0">
      <w:pPr>
        <w:spacing w:line="480" w:lineRule="auto"/>
        <w:rPr>
          <w:rFonts w:ascii="Times New Roman" w:hAnsi="Times New Roman" w:cs="Times New Roman"/>
          <w:sz w:val="24"/>
          <w:szCs w:val="24"/>
        </w:rPr>
      </w:pPr>
      <w:r w:rsidRPr="00A013B0">
        <w:rPr>
          <w:rFonts w:ascii="Times New Roman" w:hAnsi="Times New Roman" w:cs="Times New Roman"/>
          <w:sz w:val="24"/>
          <w:szCs w:val="24"/>
        </w:rPr>
        <w:t xml:space="preserve">Fan, S. P., Liberman, Z., </w:t>
      </w:r>
      <w:proofErr w:type="spellStart"/>
      <w:r w:rsidRPr="00A013B0">
        <w:rPr>
          <w:rFonts w:ascii="Times New Roman" w:hAnsi="Times New Roman" w:cs="Times New Roman"/>
          <w:sz w:val="24"/>
          <w:szCs w:val="24"/>
        </w:rPr>
        <w:t>Keysar</w:t>
      </w:r>
      <w:proofErr w:type="spellEnd"/>
      <w:r w:rsidRPr="00A013B0">
        <w:rPr>
          <w:rFonts w:ascii="Times New Roman" w:hAnsi="Times New Roman" w:cs="Times New Roman"/>
          <w:sz w:val="24"/>
          <w:szCs w:val="24"/>
        </w:rPr>
        <w:t xml:space="preserve">, B., &amp; Kinzler, K. D. (2015). The exposure advantage: Early exposure to a multilingual environment promotes effective communication. Psychological Science, 26(7), 1090-1097. </w:t>
      </w:r>
      <w:hyperlink r:id="rId21" w:history="1">
        <w:r w:rsidRPr="00A013B0">
          <w:rPr>
            <w:rStyle w:val="Hyperlink"/>
            <w:rFonts w:ascii="Times New Roman" w:hAnsi="Times New Roman" w:cs="Times New Roman"/>
            <w:sz w:val="24"/>
            <w:szCs w:val="24"/>
          </w:rPr>
          <w:t>https://doi.org/10.1177/0956797615574699</w:t>
        </w:r>
      </w:hyperlink>
      <w:r w:rsidRPr="00A013B0">
        <w:rPr>
          <w:rFonts w:ascii="Times New Roman" w:hAnsi="Times New Roman" w:cs="Times New Roman"/>
          <w:sz w:val="24"/>
          <w:szCs w:val="24"/>
        </w:rPr>
        <w:t xml:space="preserve"> </w:t>
      </w:r>
      <w:r w:rsidRPr="00A013B0">
        <w:rPr>
          <w:rFonts w:ascii="Times New Roman" w:hAnsi="Times New Roman" w:cs="Times New Roman"/>
          <w:sz w:val="24"/>
          <w:szCs w:val="24"/>
          <w:lang w:val="en-US"/>
        </w:rPr>
        <w:t>[Accessed 19 Mar. 2025].</w:t>
      </w:r>
    </w:p>
    <w:p w14:paraId="0C587C59"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Finders, J., Wilson, E.M. and Duncan, R.J. (2023). Early Childhood Education Language environments: Considerations for Research and Practice. </w:t>
      </w:r>
      <w:r w:rsidRPr="00A013B0">
        <w:rPr>
          <w:rFonts w:ascii="Times New Roman" w:hAnsi="Times New Roman" w:cs="Times New Roman"/>
          <w:i/>
          <w:iCs/>
          <w:sz w:val="24"/>
          <w:szCs w:val="24"/>
          <w:lang w:val="en-US"/>
        </w:rPr>
        <w:t>Frontiers in Psychology</w:t>
      </w:r>
      <w:r w:rsidRPr="00A013B0">
        <w:rPr>
          <w:rFonts w:ascii="Times New Roman" w:hAnsi="Times New Roman" w:cs="Times New Roman"/>
          <w:sz w:val="24"/>
          <w:szCs w:val="24"/>
          <w:lang w:val="en-US"/>
        </w:rPr>
        <w:t xml:space="preserve">, [online] 14(14). </w:t>
      </w:r>
      <w:hyperlink r:id="rId22" w:history="1">
        <w:r w:rsidRPr="00A013B0">
          <w:rPr>
            <w:rStyle w:val="Hyperlink"/>
            <w:rFonts w:ascii="Times New Roman" w:hAnsi="Times New Roman" w:cs="Times New Roman"/>
            <w:sz w:val="24"/>
            <w:szCs w:val="24"/>
            <w:lang w:val="en-US"/>
          </w:rPr>
          <w:t>https://doi.org/10.3389/fpsyg.2023.1202819</w:t>
        </w:r>
      </w:hyperlink>
      <w:r w:rsidRPr="00A013B0">
        <w:rPr>
          <w:rFonts w:ascii="Times New Roman" w:hAnsi="Times New Roman" w:cs="Times New Roman"/>
          <w:sz w:val="24"/>
          <w:szCs w:val="24"/>
          <w:lang w:val="en-US"/>
        </w:rPr>
        <w:t xml:space="preserve">. </w:t>
      </w:r>
    </w:p>
    <w:p w14:paraId="39A716B5" w14:textId="77777777" w:rsidR="00A013B0" w:rsidRPr="00A013B0" w:rsidRDefault="00A013B0" w:rsidP="00A013B0">
      <w:pPr>
        <w:spacing w:line="480" w:lineRule="auto"/>
        <w:rPr>
          <w:rFonts w:ascii="Times New Roman" w:hAnsi="Times New Roman" w:cs="Times New Roman"/>
          <w:sz w:val="24"/>
          <w:szCs w:val="24"/>
          <w:lang w:val="en-US"/>
        </w:rPr>
      </w:pPr>
      <w:proofErr w:type="spellStart"/>
      <w:r w:rsidRPr="00A013B0">
        <w:rPr>
          <w:rFonts w:ascii="Times New Roman" w:hAnsi="Times New Roman" w:cs="Times New Roman"/>
          <w:sz w:val="24"/>
          <w:szCs w:val="24"/>
          <w:lang w:val="en-US"/>
        </w:rPr>
        <w:t>Gnaoré</w:t>
      </w:r>
      <w:proofErr w:type="spellEnd"/>
      <w:r w:rsidRPr="00A013B0">
        <w:rPr>
          <w:rFonts w:ascii="Times New Roman" w:hAnsi="Times New Roman" w:cs="Times New Roman"/>
          <w:sz w:val="24"/>
          <w:szCs w:val="24"/>
          <w:lang w:val="en-US"/>
        </w:rPr>
        <w:t>, K. (2024). Literature Review: The Advantages of Multilingualism. </w:t>
      </w:r>
      <w:r w:rsidRPr="00A013B0">
        <w:rPr>
          <w:rFonts w:ascii="Times New Roman" w:hAnsi="Times New Roman" w:cs="Times New Roman"/>
          <w:i/>
          <w:iCs/>
          <w:sz w:val="24"/>
          <w:szCs w:val="24"/>
          <w:lang w:val="en-US"/>
        </w:rPr>
        <w:t>ResearchGate</w:t>
      </w:r>
      <w:r w:rsidRPr="00A013B0">
        <w:rPr>
          <w:rFonts w:ascii="Times New Roman" w:hAnsi="Times New Roman" w:cs="Times New Roman"/>
          <w:sz w:val="24"/>
          <w:szCs w:val="24"/>
          <w:lang w:val="en-US"/>
        </w:rPr>
        <w:t xml:space="preserve">. [online] </w:t>
      </w:r>
      <w:hyperlink r:id="rId23" w:history="1">
        <w:r w:rsidRPr="00A013B0">
          <w:rPr>
            <w:rStyle w:val="Hyperlink"/>
            <w:rFonts w:ascii="Times New Roman" w:hAnsi="Times New Roman" w:cs="Times New Roman"/>
            <w:sz w:val="24"/>
            <w:szCs w:val="24"/>
            <w:lang w:val="en-US"/>
          </w:rPr>
          <w:t>https://doi.org/10.13140/RG.2.2.33865.97122</w:t>
        </w:r>
      </w:hyperlink>
      <w:r w:rsidRPr="00A013B0">
        <w:rPr>
          <w:rFonts w:ascii="Times New Roman" w:hAnsi="Times New Roman" w:cs="Times New Roman"/>
          <w:sz w:val="24"/>
          <w:szCs w:val="24"/>
          <w:lang w:val="en-US"/>
        </w:rPr>
        <w:t>. [Accessed 19 Mar. 2025].</w:t>
      </w:r>
    </w:p>
    <w:p w14:paraId="5A1EF651"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Hayakawa, S. and Marian, V. (2019). Consequences of multilingualism for neural architecture. </w:t>
      </w:r>
      <w:r w:rsidRPr="00A013B0">
        <w:rPr>
          <w:rFonts w:ascii="Times New Roman" w:hAnsi="Times New Roman" w:cs="Times New Roman"/>
          <w:i/>
          <w:iCs/>
          <w:sz w:val="24"/>
          <w:szCs w:val="24"/>
          <w:lang w:val="en-US"/>
        </w:rPr>
        <w:t>Behavioral and Brain Functions</w:t>
      </w:r>
      <w:r w:rsidRPr="00A013B0">
        <w:rPr>
          <w:rFonts w:ascii="Times New Roman" w:hAnsi="Times New Roman" w:cs="Times New Roman"/>
          <w:sz w:val="24"/>
          <w:szCs w:val="24"/>
          <w:lang w:val="en-US"/>
        </w:rPr>
        <w:t xml:space="preserve">, [online] 15(1). </w:t>
      </w:r>
      <w:hyperlink r:id="rId24" w:history="1">
        <w:r w:rsidRPr="00A013B0">
          <w:rPr>
            <w:rStyle w:val="Hyperlink"/>
            <w:rFonts w:ascii="Times New Roman" w:hAnsi="Times New Roman" w:cs="Times New Roman"/>
            <w:sz w:val="24"/>
            <w:szCs w:val="24"/>
            <w:lang w:val="en-US"/>
          </w:rPr>
          <w:t>https://doi.org/10.1186/s12993-019-0157-z</w:t>
        </w:r>
      </w:hyperlink>
      <w:r w:rsidRPr="00A013B0">
        <w:rPr>
          <w:rFonts w:ascii="Times New Roman" w:hAnsi="Times New Roman" w:cs="Times New Roman"/>
          <w:sz w:val="24"/>
          <w:szCs w:val="24"/>
          <w:lang w:val="en-US"/>
        </w:rPr>
        <w:t>. [Accessed 19 Mar. 2025].</w:t>
      </w:r>
    </w:p>
    <w:p w14:paraId="70DC7616"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Indeed Career Guide. (2024). </w:t>
      </w:r>
      <w:r w:rsidRPr="00A013B0">
        <w:rPr>
          <w:rFonts w:ascii="Times New Roman" w:hAnsi="Times New Roman" w:cs="Times New Roman"/>
          <w:i/>
          <w:iCs/>
          <w:sz w:val="24"/>
          <w:szCs w:val="24"/>
          <w:lang w:val="en-US"/>
        </w:rPr>
        <w:t>What is divergent thinking? (Plus tips and benefits)</w:t>
      </w:r>
      <w:r w:rsidRPr="00A013B0">
        <w:rPr>
          <w:rFonts w:ascii="Times New Roman" w:hAnsi="Times New Roman" w:cs="Times New Roman"/>
          <w:sz w:val="24"/>
          <w:szCs w:val="24"/>
          <w:lang w:val="en-US"/>
        </w:rPr>
        <w:t xml:space="preserve">. [online] Available at: </w:t>
      </w:r>
      <w:hyperlink r:id="rId25" w:history="1">
        <w:r w:rsidRPr="00A013B0">
          <w:rPr>
            <w:rStyle w:val="Hyperlink"/>
            <w:rFonts w:ascii="Times New Roman" w:hAnsi="Times New Roman" w:cs="Times New Roman"/>
            <w:sz w:val="24"/>
            <w:szCs w:val="24"/>
            <w:lang w:val="en-US"/>
          </w:rPr>
          <w:t>https://uk.indeed.com/career-advice/career-development/what-is-divergent-thinking</w:t>
        </w:r>
      </w:hyperlink>
      <w:r w:rsidRPr="00A013B0">
        <w:rPr>
          <w:rFonts w:ascii="Times New Roman" w:hAnsi="Times New Roman" w:cs="Times New Roman"/>
          <w:sz w:val="24"/>
          <w:szCs w:val="24"/>
          <w:lang w:val="en-US"/>
        </w:rPr>
        <w:t>. [Accessed 19 Mar. 2025].</w:t>
      </w:r>
    </w:p>
    <w:p w14:paraId="54AB2313"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 xml:space="preserve">Jeong, J., </w:t>
      </w:r>
      <w:proofErr w:type="spellStart"/>
      <w:r w:rsidRPr="00A013B0">
        <w:rPr>
          <w:rFonts w:ascii="Times New Roman" w:hAnsi="Times New Roman" w:cs="Times New Roman"/>
          <w:sz w:val="24"/>
          <w:szCs w:val="24"/>
          <w:lang w:val="en-US"/>
        </w:rPr>
        <w:t>Franchett</w:t>
      </w:r>
      <w:proofErr w:type="spellEnd"/>
      <w:r w:rsidRPr="00A013B0">
        <w:rPr>
          <w:rFonts w:ascii="Times New Roman" w:hAnsi="Times New Roman" w:cs="Times New Roman"/>
          <w:sz w:val="24"/>
          <w:szCs w:val="24"/>
          <w:lang w:val="en-US"/>
        </w:rPr>
        <w:t>, E.E., Ramos de Oliveira, C.V., Rehmani, K. and Yousafzai, A.K. (2021). Parenting interventions to promote early child development in the first three years of life: A global systematic review and meta-analysis. </w:t>
      </w:r>
      <w:r w:rsidRPr="00A013B0">
        <w:rPr>
          <w:rFonts w:ascii="Times New Roman" w:hAnsi="Times New Roman" w:cs="Times New Roman"/>
          <w:i/>
          <w:iCs/>
          <w:sz w:val="24"/>
          <w:szCs w:val="24"/>
          <w:lang w:val="en-US"/>
        </w:rPr>
        <w:t>PLOS Medicine</w:t>
      </w:r>
      <w:r w:rsidRPr="00A013B0">
        <w:rPr>
          <w:rFonts w:ascii="Times New Roman" w:hAnsi="Times New Roman" w:cs="Times New Roman"/>
          <w:sz w:val="24"/>
          <w:szCs w:val="24"/>
          <w:lang w:val="en-US"/>
        </w:rPr>
        <w:t xml:space="preserve">, 18(5), pp.1–51. </w:t>
      </w:r>
      <w:hyperlink r:id="rId26" w:history="1">
        <w:r w:rsidRPr="00A013B0">
          <w:rPr>
            <w:rStyle w:val="Hyperlink"/>
            <w:rFonts w:ascii="Times New Roman" w:hAnsi="Times New Roman" w:cs="Times New Roman"/>
            <w:sz w:val="24"/>
            <w:szCs w:val="24"/>
            <w:lang w:val="en-US"/>
          </w:rPr>
          <w:t>https://doi.org/10.1371/journal.pmed.1003602</w:t>
        </w:r>
      </w:hyperlink>
      <w:r w:rsidRPr="00A013B0">
        <w:rPr>
          <w:rFonts w:ascii="Times New Roman" w:hAnsi="Times New Roman" w:cs="Times New Roman"/>
          <w:sz w:val="24"/>
          <w:szCs w:val="24"/>
          <w:lang w:val="en-US"/>
        </w:rPr>
        <w:t>. [Accessed 19 Mar. 2025].</w:t>
      </w:r>
    </w:p>
    <w:p w14:paraId="446D7E1F" w14:textId="77777777" w:rsidR="00A013B0" w:rsidRPr="00A013B0" w:rsidRDefault="00A013B0" w:rsidP="00A013B0">
      <w:pPr>
        <w:spacing w:line="480" w:lineRule="auto"/>
        <w:rPr>
          <w:rFonts w:ascii="Times New Roman" w:hAnsi="Times New Roman" w:cs="Times New Roman"/>
          <w:sz w:val="24"/>
          <w:szCs w:val="24"/>
          <w:lang w:val="en-US"/>
        </w:rPr>
      </w:pPr>
      <w:proofErr w:type="spellStart"/>
      <w:r w:rsidRPr="00A013B0">
        <w:rPr>
          <w:rFonts w:ascii="Times New Roman" w:hAnsi="Times New Roman" w:cs="Times New Roman"/>
          <w:sz w:val="24"/>
          <w:szCs w:val="24"/>
          <w:lang w:val="en-US"/>
        </w:rPr>
        <w:t>Kharkhurin</w:t>
      </w:r>
      <w:proofErr w:type="spellEnd"/>
      <w:r w:rsidRPr="00A013B0">
        <w:rPr>
          <w:rFonts w:ascii="Times New Roman" w:hAnsi="Times New Roman" w:cs="Times New Roman"/>
          <w:sz w:val="24"/>
          <w:szCs w:val="24"/>
          <w:lang w:val="en-US"/>
        </w:rPr>
        <w:t xml:space="preserve">, A.V., </w:t>
      </w:r>
      <w:proofErr w:type="spellStart"/>
      <w:r w:rsidRPr="00A013B0">
        <w:rPr>
          <w:rFonts w:ascii="Times New Roman" w:hAnsi="Times New Roman" w:cs="Times New Roman"/>
          <w:sz w:val="24"/>
          <w:szCs w:val="24"/>
          <w:lang w:val="en-US"/>
        </w:rPr>
        <w:t>Koncha</w:t>
      </w:r>
      <w:proofErr w:type="spellEnd"/>
      <w:r w:rsidRPr="00A013B0">
        <w:rPr>
          <w:rFonts w:ascii="Times New Roman" w:hAnsi="Times New Roman" w:cs="Times New Roman"/>
          <w:sz w:val="24"/>
          <w:szCs w:val="24"/>
          <w:lang w:val="en-US"/>
        </w:rPr>
        <w:t xml:space="preserve">, V. and </w:t>
      </w:r>
      <w:proofErr w:type="spellStart"/>
      <w:r w:rsidRPr="00A013B0">
        <w:rPr>
          <w:rFonts w:ascii="Times New Roman" w:hAnsi="Times New Roman" w:cs="Times New Roman"/>
          <w:sz w:val="24"/>
          <w:szCs w:val="24"/>
          <w:lang w:val="en-US"/>
        </w:rPr>
        <w:t>Charkhabi</w:t>
      </w:r>
      <w:proofErr w:type="spellEnd"/>
      <w:r w:rsidRPr="00A013B0">
        <w:rPr>
          <w:rFonts w:ascii="Times New Roman" w:hAnsi="Times New Roman" w:cs="Times New Roman"/>
          <w:sz w:val="24"/>
          <w:szCs w:val="24"/>
          <w:lang w:val="en-US"/>
        </w:rPr>
        <w:t>, M. (2021). The effects of multilingual and multicultural practices on divergent thinking. Implications for plurilingual creativity paradigm. </w:t>
      </w:r>
      <w:r w:rsidRPr="00A013B0">
        <w:rPr>
          <w:rFonts w:ascii="Times New Roman" w:hAnsi="Times New Roman" w:cs="Times New Roman"/>
          <w:i/>
          <w:iCs/>
          <w:sz w:val="24"/>
          <w:szCs w:val="24"/>
          <w:lang w:val="en-US"/>
        </w:rPr>
        <w:t>Bilingualism: Language and Cognition</w:t>
      </w:r>
      <w:r w:rsidRPr="00A013B0">
        <w:rPr>
          <w:rFonts w:ascii="Times New Roman" w:hAnsi="Times New Roman" w:cs="Times New Roman"/>
          <w:sz w:val="24"/>
          <w:szCs w:val="24"/>
          <w:lang w:val="en-US"/>
        </w:rPr>
        <w:t xml:space="preserve">, [online] pp.1–18. </w:t>
      </w:r>
      <w:hyperlink r:id="rId27" w:history="1">
        <w:r w:rsidRPr="00A013B0">
          <w:rPr>
            <w:rStyle w:val="Hyperlink"/>
            <w:rFonts w:ascii="Times New Roman" w:hAnsi="Times New Roman" w:cs="Times New Roman"/>
            <w:sz w:val="24"/>
            <w:szCs w:val="24"/>
            <w:lang w:val="en-US"/>
          </w:rPr>
          <w:t>https://doi.org/10.1017/S1366728922000864</w:t>
        </w:r>
      </w:hyperlink>
      <w:r w:rsidRPr="00A013B0">
        <w:rPr>
          <w:rFonts w:ascii="Times New Roman" w:hAnsi="Times New Roman" w:cs="Times New Roman"/>
          <w:sz w:val="24"/>
          <w:szCs w:val="24"/>
          <w:lang w:val="en-US"/>
        </w:rPr>
        <w:t>. [Accessed 19 Mar. 2025].</w:t>
      </w:r>
    </w:p>
    <w:p w14:paraId="378C4C85" w14:textId="77777777" w:rsidR="00A013B0" w:rsidRPr="00A013B0" w:rsidRDefault="00A013B0" w:rsidP="00A013B0">
      <w:pPr>
        <w:spacing w:line="480" w:lineRule="auto"/>
        <w:rPr>
          <w:rFonts w:ascii="Times New Roman" w:hAnsi="Times New Roman" w:cs="Times New Roman"/>
          <w:sz w:val="24"/>
          <w:szCs w:val="24"/>
          <w:lang w:val="en-US"/>
        </w:rPr>
      </w:pPr>
      <w:proofErr w:type="spellStart"/>
      <w:r w:rsidRPr="00A013B0">
        <w:rPr>
          <w:rFonts w:ascii="Times New Roman" w:hAnsi="Times New Roman" w:cs="Times New Roman"/>
          <w:sz w:val="24"/>
          <w:szCs w:val="24"/>
          <w:lang w:val="en-US"/>
        </w:rPr>
        <w:t>Kharkhurin</w:t>
      </w:r>
      <w:proofErr w:type="spellEnd"/>
      <w:r w:rsidRPr="00A013B0">
        <w:rPr>
          <w:rFonts w:ascii="Times New Roman" w:hAnsi="Times New Roman" w:cs="Times New Roman"/>
          <w:sz w:val="24"/>
          <w:szCs w:val="24"/>
          <w:lang w:val="en-US"/>
        </w:rPr>
        <w:t xml:space="preserve">, A.V., </w:t>
      </w:r>
      <w:proofErr w:type="spellStart"/>
      <w:r w:rsidRPr="00A013B0">
        <w:rPr>
          <w:rFonts w:ascii="Times New Roman" w:hAnsi="Times New Roman" w:cs="Times New Roman"/>
          <w:sz w:val="24"/>
          <w:szCs w:val="24"/>
          <w:lang w:val="en-US"/>
        </w:rPr>
        <w:t>Koncha</w:t>
      </w:r>
      <w:proofErr w:type="spellEnd"/>
      <w:r w:rsidRPr="00A013B0">
        <w:rPr>
          <w:rFonts w:ascii="Times New Roman" w:hAnsi="Times New Roman" w:cs="Times New Roman"/>
          <w:sz w:val="24"/>
          <w:szCs w:val="24"/>
          <w:lang w:val="en-US"/>
        </w:rPr>
        <w:t xml:space="preserve">, V. and </w:t>
      </w:r>
      <w:proofErr w:type="spellStart"/>
      <w:r w:rsidRPr="00A013B0">
        <w:rPr>
          <w:rFonts w:ascii="Times New Roman" w:hAnsi="Times New Roman" w:cs="Times New Roman"/>
          <w:sz w:val="24"/>
          <w:szCs w:val="24"/>
          <w:lang w:val="en-US"/>
        </w:rPr>
        <w:t>Charkhabi</w:t>
      </w:r>
      <w:proofErr w:type="spellEnd"/>
      <w:r w:rsidRPr="00A013B0">
        <w:rPr>
          <w:rFonts w:ascii="Times New Roman" w:hAnsi="Times New Roman" w:cs="Times New Roman"/>
          <w:sz w:val="24"/>
          <w:szCs w:val="24"/>
          <w:lang w:val="en-US"/>
        </w:rPr>
        <w:t>, M. (n.d.). The effects of multilingual and multicultural practices on divergent thinking. Implications for plurilingual creativity paradigm. </w:t>
      </w:r>
      <w:r w:rsidRPr="00A013B0">
        <w:rPr>
          <w:rFonts w:ascii="Times New Roman" w:hAnsi="Times New Roman" w:cs="Times New Roman"/>
          <w:i/>
          <w:iCs/>
          <w:sz w:val="24"/>
          <w:szCs w:val="24"/>
          <w:lang w:val="en-US"/>
        </w:rPr>
        <w:t>Bilingualism: Language and Cognition</w:t>
      </w:r>
      <w:r w:rsidRPr="00A013B0">
        <w:rPr>
          <w:rFonts w:ascii="Times New Roman" w:hAnsi="Times New Roman" w:cs="Times New Roman"/>
          <w:sz w:val="24"/>
          <w:szCs w:val="24"/>
          <w:lang w:val="en-US"/>
        </w:rPr>
        <w:t xml:space="preserve">, [online] pp.1–18. </w:t>
      </w:r>
      <w:hyperlink r:id="rId28" w:history="1">
        <w:r w:rsidRPr="00A013B0">
          <w:rPr>
            <w:rStyle w:val="Hyperlink"/>
            <w:rFonts w:ascii="Times New Roman" w:hAnsi="Times New Roman" w:cs="Times New Roman"/>
            <w:sz w:val="24"/>
            <w:szCs w:val="24"/>
            <w:lang w:val="en-US"/>
          </w:rPr>
          <w:t>https://doi.org/10.1017/S1366728922000864</w:t>
        </w:r>
      </w:hyperlink>
      <w:r w:rsidRPr="00A013B0">
        <w:rPr>
          <w:rFonts w:ascii="Times New Roman" w:hAnsi="Times New Roman" w:cs="Times New Roman"/>
          <w:sz w:val="24"/>
          <w:szCs w:val="24"/>
          <w:lang w:val="en-US"/>
        </w:rPr>
        <w:t>. [Accessed 19 Mar. 2025].</w:t>
      </w:r>
    </w:p>
    <w:p w14:paraId="1C605B51"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w:t>
      </w:r>
      <w:proofErr w:type="spellStart"/>
      <w:r w:rsidRPr="00A013B0">
        <w:rPr>
          <w:rFonts w:ascii="Times New Roman" w:hAnsi="Times New Roman" w:cs="Times New Roman"/>
          <w:sz w:val="24"/>
          <w:szCs w:val="24"/>
          <w:lang w:val="en-US"/>
        </w:rPr>
        <w:t>Korenar</w:t>
      </w:r>
      <w:proofErr w:type="spellEnd"/>
      <w:r w:rsidRPr="00A013B0">
        <w:rPr>
          <w:rFonts w:ascii="Times New Roman" w:hAnsi="Times New Roman" w:cs="Times New Roman"/>
          <w:sz w:val="24"/>
          <w:szCs w:val="24"/>
          <w:lang w:val="en-US"/>
        </w:rPr>
        <w:t xml:space="preserve">, M., </w:t>
      </w:r>
      <w:proofErr w:type="spellStart"/>
      <w:r w:rsidRPr="00A013B0">
        <w:rPr>
          <w:rFonts w:ascii="Times New Roman" w:hAnsi="Times New Roman" w:cs="Times New Roman"/>
          <w:sz w:val="24"/>
          <w:szCs w:val="24"/>
          <w:lang w:val="en-US"/>
        </w:rPr>
        <w:t>Treffers-Daller</w:t>
      </w:r>
      <w:proofErr w:type="spellEnd"/>
      <w:r w:rsidRPr="00A013B0">
        <w:rPr>
          <w:rFonts w:ascii="Times New Roman" w:hAnsi="Times New Roman" w:cs="Times New Roman"/>
          <w:sz w:val="24"/>
          <w:szCs w:val="24"/>
          <w:lang w:val="en-US"/>
        </w:rPr>
        <w:t xml:space="preserve">, J. and </w:t>
      </w:r>
      <w:proofErr w:type="spellStart"/>
      <w:r w:rsidRPr="00A013B0">
        <w:rPr>
          <w:rFonts w:ascii="Times New Roman" w:hAnsi="Times New Roman" w:cs="Times New Roman"/>
          <w:sz w:val="24"/>
          <w:szCs w:val="24"/>
          <w:lang w:val="en-US"/>
        </w:rPr>
        <w:t>Pliatsikas</w:t>
      </w:r>
      <w:proofErr w:type="spellEnd"/>
      <w:r w:rsidRPr="00A013B0">
        <w:rPr>
          <w:rFonts w:ascii="Times New Roman" w:hAnsi="Times New Roman" w:cs="Times New Roman"/>
          <w:sz w:val="24"/>
          <w:szCs w:val="24"/>
          <w:lang w:val="en-US"/>
        </w:rPr>
        <w:t>, C. (2023). Dynamic effects of bilingualism on brain structure map onto general principles of experience-based neuroplasticity. </w:t>
      </w:r>
      <w:r w:rsidRPr="00A013B0">
        <w:rPr>
          <w:rFonts w:ascii="Times New Roman" w:hAnsi="Times New Roman" w:cs="Times New Roman"/>
          <w:i/>
          <w:iCs/>
          <w:sz w:val="24"/>
          <w:szCs w:val="24"/>
          <w:lang w:val="en-US"/>
        </w:rPr>
        <w:t>Scientific Reports</w:t>
      </w:r>
      <w:r w:rsidRPr="00A013B0">
        <w:rPr>
          <w:rFonts w:ascii="Times New Roman" w:hAnsi="Times New Roman" w:cs="Times New Roman"/>
          <w:sz w:val="24"/>
          <w:szCs w:val="24"/>
          <w:lang w:val="en-US"/>
        </w:rPr>
        <w:t xml:space="preserve">, 13(1). Available at: </w:t>
      </w:r>
      <w:hyperlink r:id="rId29" w:history="1">
        <w:r w:rsidRPr="00A013B0">
          <w:rPr>
            <w:rStyle w:val="Hyperlink"/>
            <w:rFonts w:ascii="Times New Roman" w:hAnsi="Times New Roman" w:cs="Times New Roman"/>
            <w:sz w:val="24"/>
            <w:szCs w:val="24"/>
            <w:lang w:val="en-US"/>
          </w:rPr>
          <w:t>https://doi.org/10.1038/s41598-023-30326-3</w:t>
        </w:r>
      </w:hyperlink>
      <w:r w:rsidRPr="00A013B0">
        <w:rPr>
          <w:rFonts w:ascii="Times New Roman" w:hAnsi="Times New Roman" w:cs="Times New Roman"/>
          <w:sz w:val="24"/>
          <w:szCs w:val="24"/>
          <w:lang w:val="en-US"/>
        </w:rPr>
        <w:t>. [Accessed 19 Mar. 2025].</w:t>
      </w:r>
    </w:p>
    <w:p w14:paraId="379BF377" w14:textId="77777777" w:rsidR="00A013B0" w:rsidRPr="00A013B0" w:rsidRDefault="00A013B0" w:rsidP="00A013B0">
      <w:pPr>
        <w:spacing w:after="0" w:line="480" w:lineRule="auto"/>
        <w:rPr>
          <w:rFonts w:ascii="Times New Roman" w:eastAsia="Times New Roman" w:hAnsi="Times New Roman" w:cs="Times New Roman"/>
          <w:color w:val="000000"/>
          <w:kern w:val="0"/>
          <w:sz w:val="24"/>
          <w:szCs w:val="24"/>
          <w:lang w:val="en-US"/>
          <w14:ligatures w14:val="none"/>
        </w:rPr>
      </w:pPr>
      <w:r w:rsidRPr="00A013B0">
        <w:rPr>
          <w:rFonts w:ascii="Times New Roman" w:eastAsia="Times New Roman" w:hAnsi="Times New Roman" w:cs="Times New Roman"/>
          <w:color w:val="000000"/>
          <w:kern w:val="0"/>
          <w:sz w:val="24"/>
          <w:szCs w:val="24"/>
          <w:lang w:val="en-US"/>
          <w14:ligatures w14:val="none"/>
        </w:rPr>
        <w:t>Kuipers, J.R. and Thierry, G. (2015). Bilingualism and increased attention to speech: Evidence from event-related potentials. </w:t>
      </w:r>
      <w:r w:rsidRPr="00A013B0">
        <w:rPr>
          <w:rFonts w:ascii="Times New Roman" w:eastAsia="Times New Roman" w:hAnsi="Times New Roman" w:cs="Times New Roman"/>
          <w:i/>
          <w:iCs/>
          <w:color w:val="000000"/>
          <w:kern w:val="0"/>
          <w:sz w:val="24"/>
          <w:szCs w:val="24"/>
          <w:lang w:val="en-US"/>
          <w14:ligatures w14:val="none"/>
        </w:rPr>
        <w:t>Brain and Language</w:t>
      </w:r>
      <w:r w:rsidRPr="00A013B0">
        <w:rPr>
          <w:rFonts w:ascii="Times New Roman" w:eastAsia="Times New Roman" w:hAnsi="Times New Roman" w:cs="Times New Roman"/>
          <w:color w:val="000000"/>
          <w:kern w:val="0"/>
          <w:sz w:val="24"/>
          <w:szCs w:val="24"/>
          <w:lang w:val="en-US"/>
          <w14:ligatures w14:val="none"/>
        </w:rPr>
        <w:t xml:space="preserve">, 149, pp.27–32. </w:t>
      </w:r>
      <w:r w:rsidRPr="00A013B0">
        <w:rPr>
          <w:rFonts w:ascii="Times New Roman" w:hAnsi="Times New Roman" w:cs="Times New Roman"/>
          <w:sz w:val="24"/>
          <w:szCs w:val="24"/>
          <w:lang w:val="en-US"/>
        </w:rPr>
        <w:t xml:space="preserve">Available at: </w:t>
      </w:r>
      <w:hyperlink r:id="rId30" w:history="1">
        <w:r w:rsidRPr="00A013B0">
          <w:rPr>
            <w:rStyle w:val="Hyperlink"/>
            <w:rFonts w:ascii="Times New Roman" w:eastAsia="Times New Roman" w:hAnsi="Times New Roman" w:cs="Times New Roman"/>
            <w:kern w:val="0"/>
            <w:sz w:val="24"/>
            <w:szCs w:val="24"/>
            <w:lang w:val="en-US"/>
            <w14:ligatures w14:val="none"/>
          </w:rPr>
          <w:t>https://doi.org/10.1016/j.bandl.2015.07.004</w:t>
        </w:r>
      </w:hyperlink>
      <w:r w:rsidRPr="00A013B0">
        <w:rPr>
          <w:rFonts w:ascii="Times New Roman" w:eastAsia="Times New Roman" w:hAnsi="Times New Roman" w:cs="Times New Roman"/>
          <w:color w:val="000000"/>
          <w:kern w:val="0"/>
          <w:sz w:val="24"/>
          <w:szCs w:val="24"/>
          <w:lang w:val="en-US"/>
          <w14:ligatures w14:val="none"/>
        </w:rPr>
        <w:t xml:space="preserve">. </w:t>
      </w:r>
    </w:p>
    <w:p w14:paraId="74D7E92E" w14:textId="77777777" w:rsidR="00A013B0" w:rsidRPr="00A013B0" w:rsidRDefault="00A013B0" w:rsidP="00A013B0">
      <w:pPr>
        <w:spacing w:after="0" w:line="480" w:lineRule="auto"/>
        <w:rPr>
          <w:rFonts w:ascii="Times New Roman" w:eastAsia="Times New Roman" w:hAnsi="Times New Roman" w:cs="Times New Roman"/>
          <w:color w:val="000000"/>
          <w:kern w:val="0"/>
          <w:sz w:val="24"/>
          <w:szCs w:val="24"/>
          <w:lang w:val="en-US"/>
          <w14:ligatures w14:val="none"/>
        </w:rPr>
      </w:pPr>
      <w:r w:rsidRPr="00A013B0">
        <w:rPr>
          <w:rFonts w:ascii="Times New Roman" w:eastAsia="Times New Roman" w:hAnsi="Times New Roman" w:cs="Times New Roman"/>
          <w:color w:val="000000"/>
          <w:kern w:val="0"/>
          <w:sz w:val="24"/>
          <w:szCs w:val="24"/>
          <w:lang w:val="en-US"/>
          <w14:ligatures w14:val="none"/>
        </w:rPr>
        <w:t xml:space="preserve">Kuo, L.-J., </w:t>
      </w:r>
      <w:proofErr w:type="spellStart"/>
      <w:r w:rsidRPr="00A013B0">
        <w:rPr>
          <w:rFonts w:ascii="Times New Roman" w:eastAsia="Times New Roman" w:hAnsi="Times New Roman" w:cs="Times New Roman"/>
          <w:color w:val="000000"/>
          <w:kern w:val="0"/>
          <w:sz w:val="24"/>
          <w:szCs w:val="24"/>
          <w:lang w:val="en-US"/>
          <w14:ligatures w14:val="none"/>
        </w:rPr>
        <w:t>Uchikoshi</w:t>
      </w:r>
      <w:proofErr w:type="spellEnd"/>
      <w:r w:rsidRPr="00A013B0">
        <w:rPr>
          <w:rFonts w:ascii="Times New Roman" w:eastAsia="Times New Roman" w:hAnsi="Times New Roman" w:cs="Times New Roman"/>
          <w:color w:val="000000"/>
          <w:kern w:val="0"/>
          <w:sz w:val="24"/>
          <w:szCs w:val="24"/>
          <w:lang w:val="en-US"/>
          <w14:ligatures w14:val="none"/>
        </w:rPr>
        <w:t>, Y., Kim, T.-J. and Yang, X. (2016). Bilingualism and phonological awareness: Re-examining theories of cross-language transfer and structural sensitivity. </w:t>
      </w:r>
      <w:r w:rsidRPr="00A013B0">
        <w:rPr>
          <w:rFonts w:ascii="Times New Roman" w:eastAsia="Times New Roman" w:hAnsi="Times New Roman" w:cs="Times New Roman"/>
          <w:i/>
          <w:iCs/>
          <w:color w:val="000000"/>
          <w:kern w:val="0"/>
          <w:sz w:val="24"/>
          <w:szCs w:val="24"/>
          <w:lang w:val="en-US"/>
          <w14:ligatures w14:val="none"/>
        </w:rPr>
        <w:t>Contemporary Educational Psychology</w:t>
      </w:r>
      <w:r w:rsidRPr="00A013B0">
        <w:rPr>
          <w:rFonts w:ascii="Times New Roman" w:eastAsia="Times New Roman" w:hAnsi="Times New Roman" w:cs="Times New Roman"/>
          <w:color w:val="000000"/>
          <w:kern w:val="0"/>
          <w:sz w:val="24"/>
          <w:szCs w:val="24"/>
          <w:lang w:val="en-US"/>
          <w14:ligatures w14:val="none"/>
        </w:rPr>
        <w:t xml:space="preserve">, 46, pp.1–9. Available at: </w:t>
      </w:r>
      <w:hyperlink r:id="rId31" w:history="1">
        <w:r w:rsidRPr="00A013B0">
          <w:rPr>
            <w:rStyle w:val="Hyperlink"/>
            <w:rFonts w:ascii="Times New Roman" w:eastAsia="Times New Roman" w:hAnsi="Times New Roman" w:cs="Times New Roman"/>
            <w:kern w:val="0"/>
            <w:sz w:val="24"/>
            <w:szCs w:val="24"/>
            <w:lang w:val="en-US"/>
            <w14:ligatures w14:val="none"/>
          </w:rPr>
          <w:t>https://doi.org/10.1016/j.cedpsych.2016.03.002</w:t>
        </w:r>
      </w:hyperlink>
      <w:r w:rsidRPr="00A013B0">
        <w:rPr>
          <w:rFonts w:ascii="Times New Roman" w:eastAsia="Times New Roman" w:hAnsi="Times New Roman" w:cs="Times New Roman"/>
          <w:color w:val="000000"/>
          <w:kern w:val="0"/>
          <w:sz w:val="24"/>
          <w:szCs w:val="24"/>
          <w:lang w:val="en-US"/>
          <w14:ligatures w14:val="none"/>
        </w:rPr>
        <w:t xml:space="preserve">. </w:t>
      </w:r>
    </w:p>
    <w:p w14:paraId="1A197875"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 xml:space="preserve">Landsberry, L. (2019). Defining multilingualism. Available at: </w:t>
      </w:r>
      <w:hyperlink r:id="rId32" w:history="1">
        <w:r w:rsidRPr="00A013B0">
          <w:rPr>
            <w:rStyle w:val="Hyperlink"/>
            <w:rFonts w:ascii="Times New Roman" w:hAnsi="Times New Roman" w:cs="Times New Roman"/>
            <w:sz w:val="24"/>
            <w:szCs w:val="24"/>
            <w:lang w:val="en-US"/>
          </w:rPr>
          <w:t>https://core.ac.uk/download/pdf/268407604.pdf</w:t>
        </w:r>
      </w:hyperlink>
      <w:r w:rsidRPr="00A013B0">
        <w:rPr>
          <w:rFonts w:ascii="Times New Roman" w:hAnsi="Times New Roman" w:cs="Times New Roman"/>
          <w:sz w:val="24"/>
          <w:szCs w:val="24"/>
          <w:lang w:val="en-US"/>
        </w:rPr>
        <w:t xml:space="preserve"> [Accessed 19 Mar. 2025].</w:t>
      </w:r>
    </w:p>
    <w:p w14:paraId="5E2EE5F6" w14:textId="77777777" w:rsidR="00A013B0" w:rsidRPr="00A013B0" w:rsidRDefault="00A013B0" w:rsidP="00A013B0">
      <w:pPr>
        <w:spacing w:line="480" w:lineRule="auto"/>
        <w:rPr>
          <w:rFonts w:ascii="Times New Roman" w:hAnsi="Times New Roman" w:cs="Times New Roman"/>
          <w:sz w:val="24"/>
          <w:szCs w:val="24"/>
          <w:lang w:val="en-US"/>
        </w:rPr>
      </w:pPr>
      <w:proofErr w:type="spellStart"/>
      <w:r w:rsidRPr="00A013B0">
        <w:rPr>
          <w:rFonts w:ascii="Times New Roman" w:hAnsi="Times New Roman" w:cs="Times New Roman"/>
          <w:sz w:val="24"/>
          <w:szCs w:val="24"/>
          <w:lang w:val="en-US"/>
        </w:rPr>
        <w:t>Limacher-Riebold</w:t>
      </w:r>
      <w:proofErr w:type="spellEnd"/>
      <w:r w:rsidRPr="00A013B0">
        <w:rPr>
          <w:rFonts w:ascii="Times New Roman" w:hAnsi="Times New Roman" w:cs="Times New Roman"/>
          <w:sz w:val="24"/>
          <w:szCs w:val="24"/>
          <w:lang w:val="en-US"/>
        </w:rPr>
        <w:t>, U. (2019). </w:t>
      </w:r>
      <w:r w:rsidRPr="00A013B0">
        <w:rPr>
          <w:rFonts w:ascii="Times New Roman" w:hAnsi="Times New Roman" w:cs="Times New Roman"/>
          <w:i/>
          <w:iCs/>
          <w:sz w:val="24"/>
          <w:szCs w:val="24"/>
          <w:lang w:val="en-US"/>
        </w:rPr>
        <w:t>5 Stages of Additional Language Acquisition</w:t>
      </w:r>
      <w:r w:rsidRPr="00A013B0">
        <w:rPr>
          <w:rFonts w:ascii="Times New Roman" w:hAnsi="Times New Roman" w:cs="Times New Roman"/>
          <w:sz w:val="24"/>
          <w:szCs w:val="24"/>
          <w:lang w:val="en-US"/>
        </w:rPr>
        <w:t xml:space="preserve">. [online] Multilingual-families.com. Available at: </w:t>
      </w:r>
      <w:hyperlink r:id="rId33" w:history="1">
        <w:r w:rsidRPr="00A013B0">
          <w:rPr>
            <w:rStyle w:val="Hyperlink"/>
            <w:rFonts w:ascii="Times New Roman" w:hAnsi="Times New Roman" w:cs="Times New Roman"/>
            <w:sz w:val="24"/>
            <w:szCs w:val="24"/>
            <w:lang w:val="en-US"/>
          </w:rPr>
          <w:t>http://multilingual-families.com/5-stages-of-additional-language-acquisition/</w:t>
        </w:r>
      </w:hyperlink>
      <w:r w:rsidRPr="00A013B0">
        <w:rPr>
          <w:rFonts w:ascii="Times New Roman" w:hAnsi="Times New Roman" w:cs="Times New Roman"/>
          <w:sz w:val="24"/>
          <w:szCs w:val="24"/>
          <w:lang w:val="en-US"/>
        </w:rPr>
        <w:t>. [Accessed 19 Mar. 2025].</w:t>
      </w:r>
    </w:p>
    <w:p w14:paraId="4838F6D1"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‌Luckenbill, J. (2020). </w:t>
      </w:r>
      <w:r w:rsidRPr="00A013B0">
        <w:rPr>
          <w:rFonts w:ascii="Times New Roman" w:hAnsi="Times New Roman" w:cs="Times New Roman"/>
          <w:i/>
          <w:iCs/>
          <w:sz w:val="24"/>
          <w:szCs w:val="24"/>
          <w:lang w:val="en-US"/>
        </w:rPr>
        <w:t>12 Ways to Support Language Development for Infants and Toddlers | NAEYC</w:t>
      </w:r>
      <w:r w:rsidRPr="00A013B0">
        <w:rPr>
          <w:rFonts w:ascii="Times New Roman" w:hAnsi="Times New Roman" w:cs="Times New Roman"/>
          <w:sz w:val="24"/>
          <w:szCs w:val="24"/>
          <w:lang w:val="en-US"/>
        </w:rPr>
        <w:t xml:space="preserve">. [online] Naeyc.org. Available at: </w:t>
      </w:r>
      <w:hyperlink r:id="rId34" w:history="1">
        <w:r w:rsidRPr="00A013B0">
          <w:rPr>
            <w:rStyle w:val="Hyperlink"/>
            <w:rFonts w:ascii="Times New Roman" w:hAnsi="Times New Roman" w:cs="Times New Roman"/>
            <w:sz w:val="24"/>
            <w:szCs w:val="24"/>
            <w:lang w:val="en-US"/>
          </w:rPr>
          <w:t>https://www.naeyc.org/our-work/families/support-language-development-infants-and-toddlers</w:t>
        </w:r>
      </w:hyperlink>
      <w:r w:rsidRPr="00A013B0">
        <w:rPr>
          <w:rFonts w:ascii="Times New Roman" w:hAnsi="Times New Roman" w:cs="Times New Roman"/>
          <w:sz w:val="24"/>
          <w:szCs w:val="24"/>
          <w:lang w:val="en-US"/>
        </w:rPr>
        <w:t>. [Accessed 19 Mar. 2025].</w:t>
      </w:r>
    </w:p>
    <w:p w14:paraId="4C6191B5"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Macy, M. (2019). Activity-Based Intervention to Support Second Language Acquisition. </w:t>
      </w:r>
      <w:r w:rsidRPr="00A013B0">
        <w:rPr>
          <w:rFonts w:ascii="Times New Roman" w:hAnsi="Times New Roman" w:cs="Times New Roman"/>
          <w:i/>
          <w:iCs/>
          <w:sz w:val="24"/>
          <w:szCs w:val="24"/>
          <w:lang w:val="en-US"/>
        </w:rPr>
        <w:t>International Journal of Early Childhood Special Education</w:t>
      </w:r>
      <w:r w:rsidRPr="00A013B0">
        <w:rPr>
          <w:rFonts w:ascii="Times New Roman" w:hAnsi="Times New Roman" w:cs="Times New Roman"/>
          <w:sz w:val="24"/>
          <w:szCs w:val="24"/>
          <w:lang w:val="en-US"/>
        </w:rPr>
        <w:t xml:space="preserve">, pp.43–51.  Available at: </w:t>
      </w:r>
      <w:hyperlink r:id="rId35" w:history="1">
        <w:r w:rsidRPr="00A013B0">
          <w:rPr>
            <w:rStyle w:val="Hyperlink"/>
            <w:rFonts w:ascii="Times New Roman" w:hAnsi="Times New Roman" w:cs="Times New Roman"/>
            <w:sz w:val="24"/>
            <w:szCs w:val="24"/>
            <w:lang w:val="en-US"/>
          </w:rPr>
          <w:t>https://doi.org/10.20489/intjecse.584468</w:t>
        </w:r>
      </w:hyperlink>
      <w:r w:rsidRPr="00A013B0">
        <w:rPr>
          <w:rFonts w:ascii="Times New Roman" w:hAnsi="Times New Roman" w:cs="Times New Roman"/>
          <w:sz w:val="24"/>
          <w:szCs w:val="24"/>
          <w:lang w:val="en-US"/>
        </w:rPr>
        <w:t>. [Accessed 19 Mar. 2025].</w:t>
      </w:r>
    </w:p>
    <w:p w14:paraId="561FA82A"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Marian, V. and Shook, A. (2012). The Cognitive Benefits of Being Bilingual. </w:t>
      </w:r>
      <w:r w:rsidRPr="00A013B0">
        <w:rPr>
          <w:rFonts w:ascii="Times New Roman" w:hAnsi="Times New Roman" w:cs="Times New Roman"/>
          <w:i/>
          <w:iCs/>
          <w:sz w:val="24"/>
          <w:szCs w:val="24"/>
          <w:lang w:val="en-US"/>
        </w:rPr>
        <w:t>Cerebrum: the Dana Forum on Brain Science</w:t>
      </w:r>
      <w:r w:rsidRPr="00A013B0">
        <w:rPr>
          <w:rFonts w:ascii="Times New Roman" w:hAnsi="Times New Roman" w:cs="Times New Roman"/>
          <w:sz w:val="24"/>
          <w:szCs w:val="24"/>
          <w:lang w:val="en-US"/>
        </w:rPr>
        <w:t xml:space="preserve">, [online] 2012(13), p.13. Available at: </w:t>
      </w:r>
      <w:hyperlink r:id="rId36" w:history="1">
        <w:r w:rsidRPr="00A013B0">
          <w:rPr>
            <w:rStyle w:val="Hyperlink"/>
            <w:rFonts w:ascii="Times New Roman" w:hAnsi="Times New Roman" w:cs="Times New Roman"/>
            <w:sz w:val="24"/>
            <w:szCs w:val="24"/>
            <w:lang w:val="en-US"/>
          </w:rPr>
          <w:t>https://pmc.ncbi.nlm.nih.gov/articles/PMC3583091/</w:t>
        </w:r>
      </w:hyperlink>
      <w:r w:rsidRPr="00A013B0">
        <w:rPr>
          <w:rFonts w:ascii="Times New Roman" w:hAnsi="Times New Roman" w:cs="Times New Roman"/>
          <w:sz w:val="24"/>
          <w:szCs w:val="24"/>
          <w:lang w:val="en-US"/>
        </w:rPr>
        <w:t>. [Accessed 19 Mar. 2025].</w:t>
      </w:r>
    </w:p>
    <w:p w14:paraId="1783442D" w14:textId="77777777" w:rsidR="00A013B0" w:rsidRPr="00A013B0" w:rsidRDefault="00A013B0" w:rsidP="00A013B0">
      <w:pPr>
        <w:spacing w:after="0" w:line="480" w:lineRule="auto"/>
        <w:rPr>
          <w:rFonts w:ascii="Times New Roman" w:eastAsia="Times New Roman" w:hAnsi="Times New Roman" w:cs="Times New Roman"/>
          <w:color w:val="000000"/>
          <w:kern w:val="0"/>
          <w:sz w:val="24"/>
          <w:szCs w:val="24"/>
          <w:lang w:val="en-US"/>
          <w14:ligatures w14:val="none"/>
        </w:rPr>
      </w:pPr>
      <w:r w:rsidRPr="00A013B0">
        <w:rPr>
          <w:rFonts w:ascii="Times New Roman" w:eastAsia="Times New Roman" w:hAnsi="Times New Roman" w:cs="Times New Roman"/>
          <w:color w:val="000000"/>
          <w:kern w:val="0"/>
          <w:sz w:val="24"/>
          <w:szCs w:val="24"/>
          <w:lang w:val="en-US"/>
          <w14:ligatures w14:val="none"/>
        </w:rPr>
        <w:t>McLeod, S. (2024). </w:t>
      </w:r>
      <w:r w:rsidRPr="00A013B0">
        <w:rPr>
          <w:rFonts w:ascii="Times New Roman" w:eastAsia="Times New Roman" w:hAnsi="Times New Roman" w:cs="Times New Roman"/>
          <w:i/>
          <w:iCs/>
          <w:color w:val="000000"/>
          <w:kern w:val="0"/>
          <w:sz w:val="24"/>
          <w:szCs w:val="24"/>
          <w:lang w:val="en-US"/>
          <w14:ligatures w14:val="none"/>
        </w:rPr>
        <w:t>Jerome Bruner’s Theory of Learning and Cognitive Development</w:t>
      </w:r>
      <w:r w:rsidRPr="00A013B0">
        <w:rPr>
          <w:rFonts w:ascii="Times New Roman" w:eastAsia="Times New Roman" w:hAnsi="Times New Roman" w:cs="Times New Roman"/>
          <w:color w:val="000000"/>
          <w:kern w:val="0"/>
          <w:sz w:val="24"/>
          <w:szCs w:val="24"/>
          <w:lang w:val="en-US"/>
          <w14:ligatures w14:val="none"/>
        </w:rPr>
        <w:t xml:space="preserve">. [online] Simply Psychology. Available at: </w:t>
      </w:r>
      <w:hyperlink r:id="rId37" w:history="1">
        <w:r w:rsidRPr="00A013B0">
          <w:rPr>
            <w:rStyle w:val="Hyperlink"/>
            <w:rFonts w:ascii="Times New Roman" w:eastAsia="Times New Roman" w:hAnsi="Times New Roman" w:cs="Times New Roman"/>
            <w:kern w:val="0"/>
            <w:sz w:val="24"/>
            <w:szCs w:val="24"/>
            <w:lang w:val="en-US"/>
            <w14:ligatures w14:val="none"/>
          </w:rPr>
          <w:t>https://www.simplypsychology.org/bruner.html</w:t>
        </w:r>
      </w:hyperlink>
      <w:r w:rsidRPr="00A013B0">
        <w:rPr>
          <w:rFonts w:ascii="Times New Roman" w:eastAsia="Times New Roman" w:hAnsi="Times New Roman" w:cs="Times New Roman"/>
          <w:color w:val="000000"/>
          <w:kern w:val="0"/>
          <w:sz w:val="24"/>
          <w:szCs w:val="24"/>
          <w:lang w:val="en-US"/>
          <w14:ligatures w14:val="none"/>
        </w:rPr>
        <w:t xml:space="preserve">. </w:t>
      </w:r>
      <w:r w:rsidRPr="00A013B0">
        <w:rPr>
          <w:rFonts w:ascii="Times New Roman" w:hAnsi="Times New Roman" w:cs="Times New Roman"/>
          <w:sz w:val="24"/>
          <w:szCs w:val="24"/>
          <w:lang w:val="en-US"/>
        </w:rPr>
        <w:t>[Accessed 19 Mar. 2025].</w:t>
      </w:r>
    </w:p>
    <w:p w14:paraId="21DB41EC"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McLeod, S. (2024). </w:t>
      </w:r>
      <w:r w:rsidRPr="00A013B0">
        <w:rPr>
          <w:rFonts w:ascii="Times New Roman" w:hAnsi="Times New Roman" w:cs="Times New Roman"/>
          <w:i/>
          <w:iCs/>
          <w:sz w:val="24"/>
          <w:szCs w:val="24"/>
          <w:lang w:val="en-US"/>
        </w:rPr>
        <w:t>The zone of proximal development and scaffolding</w:t>
      </w:r>
      <w:r w:rsidRPr="00A013B0">
        <w:rPr>
          <w:rFonts w:ascii="Times New Roman" w:hAnsi="Times New Roman" w:cs="Times New Roman"/>
          <w:sz w:val="24"/>
          <w:szCs w:val="24"/>
          <w:lang w:val="en-US"/>
        </w:rPr>
        <w:t xml:space="preserve">. [online] Simply Psychology. Available at: </w:t>
      </w:r>
      <w:hyperlink r:id="rId38" w:history="1">
        <w:r w:rsidRPr="00A013B0">
          <w:rPr>
            <w:rStyle w:val="Hyperlink"/>
            <w:rFonts w:ascii="Times New Roman" w:hAnsi="Times New Roman" w:cs="Times New Roman"/>
            <w:sz w:val="24"/>
            <w:szCs w:val="24"/>
            <w:lang w:val="en-US"/>
          </w:rPr>
          <w:t>https://www.simplypsychology.org/Zone-of-Proximal-Development.html</w:t>
        </w:r>
      </w:hyperlink>
      <w:r w:rsidRPr="00A013B0">
        <w:rPr>
          <w:rFonts w:ascii="Times New Roman" w:hAnsi="Times New Roman" w:cs="Times New Roman"/>
          <w:sz w:val="24"/>
          <w:szCs w:val="24"/>
          <w:lang w:val="en-US"/>
        </w:rPr>
        <w:t>. [Accessed 19 Mar. 2025].</w:t>
      </w:r>
    </w:p>
    <w:p w14:paraId="737CD0D3" w14:textId="77777777" w:rsidR="00A013B0" w:rsidRPr="00A013B0" w:rsidRDefault="00A013B0" w:rsidP="00A013B0">
      <w:pPr>
        <w:spacing w:line="480" w:lineRule="auto"/>
        <w:rPr>
          <w:rFonts w:ascii="Times New Roman" w:hAnsi="Times New Roman" w:cs="Times New Roman"/>
          <w:sz w:val="24"/>
          <w:szCs w:val="24"/>
          <w:lang w:val="en-US"/>
        </w:rPr>
      </w:pPr>
      <w:proofErr w:type="spellStart"/>
      <w:r w:rsidRPr="00A013B0">
        <w:rPr>
          <w:rFonts w:ascii="Times New Roman" w:hAnsi="Times New Roman" w:cs="Times New Roman"/>
          <w:sz w:val="24"/>
          <w:szCs w:val="24"/>
          <w:lang w:val="en-US"/>
        </w:rPr>
        <w:t>Pliatsikas</w:t>
      </w:r>
      <w:proofErr w:type="spellEnd"/>
      <w:r w:rsidRPr="00A013B0">
        <w:rPr>
          <w:rFonts w:ascii="Times New Roman" w:hAnsi="Times New Roman" w:cs="Times New Roman"/>
          <w:sz w:val="24"/>
          <w:szCs w:val="24"/>
          <w:lang w:val="en-US"/>
        </w:rPr>
        <w:t xml:space="preserve">, C., </w:t>
      </w:r>
      <w:proofErr w:type="spellStart"/>
      <w:r w:rsidRPr="00A013B0">
        <w:rPr>
          <w:rFonts w:ascii="Times New Roman" w:hAnsi="Times New Roman" w:cs="Times New Roman"/>
          <w:sz w:val="24"/>
          <w:szCs w:val="24"/>
          <w:lang w:val="en-US"/>
        </w:rPr>
        <w:t>Meteyard</w:t>
      </w:r>
      <w:proofErr w:type="spellEnd"/>
      <w:r w:rsidRPr="00A013B0">
        <w:rPr>
          <w:rFonts w:ascii="Times New Roman" w:hAnsi="Times New Roman" w:cs="Times New Roman"/>
          <w:sz w:val="24"/>
          <w:szCs w:val="24"/>
          <w:lang w:val="en-US"/>
        </w:rPr>
        <w:t>, L., Veríssimo, J., DeLuca, V., Shattuck, K. and Ullman, M.T. (2020). The effect of bilingualism on brain development from early childhood to young adulthood. </w:t>
      </w:r>
      <w:r w:rsidRPr="00A013B0">
        <w:rPr>
          <w:rFonts w:ascii="Times New Roman" w:hAnsi="Times New Roman" w:cs="Times New Roman"/>
          <w:i/>
          <w:iCs/>
          <w:sz w:val="24"/>
          <w:szCs w:val="24"/>
          <w:lang w:val="en-US"/>
        </w:rPr>
        <w:t>Brain Structure and Function</w:t>
      </w:r>
      <w:r w:rsidRPr="00A013B0">
        <w:rPr>
          <w:rFonts w:ascii="Times New Roman" w:hAnsi="Times New Roman" w:cs="Times New Roman"/>
          <w:sz w:val="24"/>
          <w:szCs w:val="24"/>
          <w:lang w:val="en-US"/>
        </w:rPr>
        <w:t xml:space="preserve">, [online] 225(7), pp.2131–2152. Available at </w:t>
      </w:r>
      <w:hyperlink r:id="rId39" w:history="1">
        <w:r w:rsidRPr="00A013B0">
          <w:rPr>
            <w:rStyle w:val="Hyperlink"/>
            <w:rFonts w:ascii="Times New Roman" w:hAnsi="Times New Roman" w:cs="Times New Roman"/>
            <w:sz w:val="24"/>
            <w:szCs w:val="24"/>
            <w:lang w:val="en-US"/>
          </w:rPr>
          <w:t>https://doi.org/10.1007/s00429-020-02115-5</w:t>
        </w:r>
      </w:hyperlink>
      <w:r w:rsidRPr="00A013B0">
        <w:rPr>
          <w:rFonts w:ascii="Times New Roman" w:hAnsi="Times New Roman" w:cs="Times New Roman"/>
          <w:sz w:val="24"/>
          <w:szCs w:val="24"/>
          <w:lang w:val="en-US"/>
        </w:rPr>
        <w:t>. [Accessed 19 Mar. 2025].</w:t>
      </w:r>
    </w:p>
    <w:p w14:paraId="1664238B"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 xml:space="preserve">‌Rajan, G., and </w:t>
      </w:r>
      <w:proofErr w:type="spellStart"/>
      <w:r w:rsidRPr="00A013B0">
        <w:rPr>
          <w:rFonts w:ascii="Times New Roman" w:hAnsi="Times New Roman" w:cs="Times New Roman"/>
          <w:sz w:val="24"/>
          <w:szCs w:val="24"/>
          <w:lang w:val="en-US"/>
        </w:rPr>
        <w:t>Mukhija,J</w:t>
      </w:r>
      <w:proofErr w:type="spellEnd"/>
      <w:r w:rsidRPr="00A013B0">
        <w:rPr>
          <w:rFonts w:ascii="Times New Roman" w:hAnsi="Times New Roman" w:cs="Times New Roman"/>
          <w:sz w:val="24"/>
          <w:szCs w:val="24"/>
          <w:lang w:val="en-US"/>
        </w:rPr>
        <w:t>. (2025). Investigating the Role of Multiple Language Learning in Divergent Thinking. </w:t>
      </w:r>
      <w:r w:rsidRPr="00A013B0">
        <w:rPr>
          <w:rFonts w:ascii="Times New Roman" w:hAnsi="Times New Roman" w:cs="Times New Roman"/>
          <w:i/>
          <w:iCs/>
          <w:sz w:val="24"/>
          <w:szCs w:val="24"/>
          <w:lang w:val="en-US"/>
        </w:rPr>
        <w:t>Psychology &amp; Psychological Research International Journal</w:t>
      </w:r>
      <w:r w:rsidRPr="00A013B0">
        <w:rPr>
          <w:rFonts w:ascii="Times New Roman" w:hAnsi="Times New Roman" w:cs="Times New Roman"/>
          <w:sz w:val="24"/>
          <w:szCs w:val="24"/>
          <w:lang w:val="en-US"/>
        </w:rPr>
        <w:t xml:space="preserve">, 10(1), pp.1–3. </w:t>
      </w:r>
      <w:hyperlink r:id="rId40" w:history="1">
        <w:r w:rsidRPr="00A013B0">
          <w:rPr>
            <w:rStyle w:val="Hyperlink"/>
            <w:rFonts w:ascii="Times New Roman" w:hAnsi="Times New Roman" w:cs="Times New Roman"/>
            <w:sz w:val="24"/>
            <w:szCs w:val="24"/>
            <w:lang w:val="en-US"/>
          </w:rPr>
          <w:t>https://doi.org/10.23880/pprij-16000453</w:t>
        </w:r>
      </w:hyperlink>
      <w:r w:rsidRPr="00A013B0">
        <w:rPr>
          <w:rFonts w:ascii="Times New Roman" w:hAnsi="Times New Roman" w:cs="Times New Roman"/>
          <w:sz w:val="24"/>
          <w:szCs w:val="24"/>
          <w:lang w:val="en-US"/>
        </w:rPr>
        <w:t>. [Accessed 19 Mar. 2025].</w:t>
      </w:r>
    </w:p>
    <w:p w14:paraId="1AB44CC3"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‌Sword, R. (2021). </w:t>
      </w:r>
      <w:r w:rsidRPr="00A013B0">
        <w:rPr>
          <w:rFonts w:ascii="Times New Roman" w:hAnsi="Times New Roman" w:cs="Times New Roman"/>
          <w:i/>
          <w:iCs/>
          <w:sz w:val="24"/>
          <w:szCs w:val="24"/>
          <w:lang w:val="en-US"/>
        </w:rPr>
        <w:t>Early Childhood Language Development | Key Strategies</w:t>
      </w:r>
      <w:r w:rsidRPr="00A013B0">
        <w:rPr>
          <w:rFonts w:ascii="Times New Roman" w:hAnsi="Times New Roman" w:cs="Times New Roman"/>
          <w:sz w:val="24"/>
          <w:szCs w:val="24"/>
          <w:lang w:val="en-US"/>
        </w:rPr>
        <w:t xml:space="preserve">. [online] The Hub | High Speed Training. Available at: </w:t>
      </w:r>
      <w:hyperlink r:id="rId41" w:history="1">
        <w:r w:rsidRPr="00A013B0">
          <w:rPr>
            <w:rStyle w:val="Hyperlink"/>
            <w:rFonts w:ascii="Times New Roman" w:hAnsi="Times New Roman" w:cs="Times New Roman"/>
            <w:sz w:val="24"/>
            <w:szCs w:val="24"/>
            <w:lang w:val="en-US"/>
          </w:rPr>
          <w:t>https://www.highspeedtraining.co.uk/hub/supporting-language-development-in-the-early-years/</w:t>
        </w:r>
      </w:hyperlink>
      <w:r w:rsidRPr="00A013B0">
        <w:rPr>
          <w:rFonts w:ascii="Times New Roman" w:hAnsi="Times New Roman" w:cs="Times New Roman"/>
          <w:sz w:val="24"/>
          <w:szCs w:val="24"/>
          <w:lang w:val="en-US"/>
        </w:rPr>
        <w:t>. [Accessed 19 Mar. 2025].</w:t>
      </w:r>
    </w:p>
    <w:p w14:paraId="11F19056" w14:textId="77777777" w:rsidR="00A013B0" w:rsidRPr="00A013B0" w:rsidRDefault="00A013B0" w:rsidP="00A013B0">
      <w:pPr>
        <w:spacing w:after="0" w:line="480" w:lineRule="auto"/>
        <w:rPr>
          <w:rFonts w:ascii="Times New Roman" w:eastAsia="Times New Roman" w:hAnsi="Times New Roman" w:cs="Times New Roman"/>
          <w:color w:val="000000"/>
          <w:kern w:val="0"/>
          <w:sz w:val="24"/>
          <w:szCs w:val="24"/>
          <w:lang w:val="en-US"/>
          <w14:ligatures w14:val="none"/>
        </w:rPr>
      </w:pPr>
      <w:r w:rsidRPr="00A013B0">
        <w:rPr>
          <w:rFonts w:ascii="Times New Roman" w:eastAsia="Times New Roman" w:hAnsi="Times New Roman" w:cs="Times New Roman"/>
          <w:color w:val="000000"/>
          <w:kern w:val="0"/>
          <w:sz w:val="24"/>
          <w:szCs w:val="24"/>
          <w:lang w:val="en-US"/>
          <w14:ligatures w14:val="none"/>
        </w:rPr>
        <w:t xml:space="preserve">Taylor, C., Hall, S., Manivannan, S., </w:t>
      </w:r>
      <w:proofErr w:type="spellStart"/>
      <w:r w:rsidRPr="00A013B0">
        <w:rPr>
          <w:rFonts w:ascii="Times New Roman" w:eastAsia="Times New Roman" w:hAnsi="Times New Roman" w:cs="Times New Roman"/>
          <w:color w:val="000000"/>
          <w:kern w:val="0"/>
          <w:sz w:val="24"/>
          <w:szCs w:val="24"/>
          <w:lang w:val="en-US"/>
          <w14:ligatures w14:val="none"/>
        </w:rPr>
        <w:t>Mundil</w:t>
      </w:r>
      <w:proofErr w:type="spellEnd"/>
      <w:r w:rsidRPr="00A013B0">
        <w:rPr>
          <w:rFonts w:ascii="Times New Roman" w:eastAsia="Times New Roman" w:hAnsi="Times New Roman" w:cs="Times New Roman"/>
          <w:color w:val="000000"/>
          <w:kern w:val="0"/>
          <w:sz w:val="24"/>
          <w:szCs w:val="24"/>
          <w:lang w:val="en-US"/>
          <w14:ligatures w14:val="none"/>
        </w:rPr>
        <w:t>, N. and Border, S. (2021). The neuroanatomical consequences and pathological implications of bilingualism. </w:t>
      </w:r>
      <w:r w:rsidRPr="00A013B0">
        <w:rPr>
          <w:rFonts w:ascii="Times New Roman" w:eastAsia="Times New Roman" w:hAnsi="Times New Roman" w:cs="Times New Roman"/>
          <w:i/>
          <w:iCs/>
          <w:color w:val="000000"/>
          <w:kern w:val="0"/>
          <w:sz w:val="24"/>
          <w:szCs w:val="24"/>
          <w:lang w:val="en-US"/>
          <w14:ligatures w14:val="none"/>
        </w:rPr>
        <w:t>Journal of Anatomy</w:t>
      </w:r>
      <w:r w:rsidRPr="00A013B0">
        <w:rPr>
          <w:rFonts w:ascii="Times New Roman" w:eastAsia="Times New Roman" w:hAnsi="Times New Roman" w:cs="Times New Roman"/>
          <w:color w:val="000000"/>
          <w:kern w:val="0"/>
          <w:sz w:val="24"/>
          <w:szCs w:val="24"/>
          <w:lang w:val="en-US"/>
          <w14:ligatures w14:val="none"/>
        </w:rPr>
        <w:t xml:space="preserve">, 240(2), pp.410–427. Available at: </w:t>
      </w:r>
      <w:hyperlink r:id="rId42" w:history="1">
        <w:r w:rsidRPr="00A013B0">
          <w:rPr>
            <w:rStyle w:val="Hyperlink"/>
            <w:rFonts w:ascii="Times New Roman" w:eastAsia="Times New Roman" w:hAnsi="Times New Roman" w:cs="Times New Roman"/>
            <w:kern w:val="0"/>
            <w:sz w:val="24"/>
            <w:szCs w:val="24"/>
            <w:lang w:val="en-US"/>
            <w14:ligatures w14:val="none"/>
          </w:rPr>
          <w:t>https://doi.org/10.1111/joa.13542</w:t>
        </w:r>
      </w:hyperlink>
      <w:r w:rsidRPr="00A013B0">
        <w:rPr>
          <w:rFonts w:ascii="Times New Roman" w:eastAsia="Times New Roman" w:hAnsi="Times New Roman" w:cs="Times New Roman"/>
          <w:color w:val="000000"/>
          <w:kern w:val="0"/>
          <w:sz w:val="24"/>
          <w:szCs w:val="24"/>
          <w:lang w:val="en-US"/>
          <w14:ligatures w14:val="none"/>
        </w:rPr>
        <w:t xml:space="preserve">. </w:t>
      </w:r>
    </w:p>
    <w:p w14:paraId="7B3AEF42"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The Children and Young People’s Commissioner Scotland. (n.d.). </w:t>
      </w:r>
      <w:r w:rsidRPr="00A013B0">
        <w:rPr>
          <w:rFonts w:ascii="Times New Roman" w:hAnsi="Times New Roman" w:cs="Times New Roman"/>
          <w:i/>
          <w:iCs/>
          <w:sz w:val="24"/>
          <w:szCs w:val="24"/>
          <w:lang w:val="en-US"/>
        </w:rPr>
        <w:t>Article 30 - I have a right to speak my own language and to follow my family’s way of life</w:t>
      </w:r>
      <w:r w:rsidRPr="00A013B0">
        <w:rPr>
          <w:rFonts w:ascii="Times New Roman" w:hAnsi="Times New Roman" w:cs="Times New Roman"/>
          <w:sz w:val="24"/>
          <w:szCs w:val="24"/>
          <w:lang w:val="en-US"/>
        </w:rPr>
        <w:t xml:space="preserve">. [online] Available at: </w:t>
      </w:r>
      <w:hyperlink r:id="rId43" w:history="1">
        <w:r w:rsidRPr="00A013B0">
          <w:rPr>
            <w:rStyle w:val="Hyperlink"/>
            <w:rFonts w:ascii="Times New Roman" w:hAnsi="Times New Roman" w:cs="Times New Roman"/>
            <w:sz w:val="24"/>
            <w:szCs w:val="24"/>
            <w:lang w:val="en-US"/>
          </w:rPr>
          <w:t>https://www.cypcs.org.uk/rights/uncrc/articles/article-30/</w:t>
        </w:r>
      </w:hyperlink>
      <w:r w:rsidRPr="00A013B0">
        <w:rPr>
          <w:rFonts w:ascii="Times New Roman" w:hAnsi="Times New Roman" w:cs="Times New Roman"/>
          <w:sz w:val="24"/>
          <w:szCs w:val="24"/>
          <w:lang w:val="en-US"/>
        </w:rPr>
        <w:t>.[Accessed 19 Mar. 2025].</w:t>
      </w:r>
    </w:p>
    <w:p w14:paraId="1EF9A3C6"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‌The Interaction Design Foundation. (2016). </w:t>
      </w:r>
      <w:r w:rsidRPr="00A013B0">
        <w:rPr>
          <w:rFonts w:ascii="Times New Roman" w:hAnsi="Times New Roman" w:cs="Times New Roman"/>
          <w:i/>
          <w:iCs/>
          <w:sz w:val="24"/>
          <w:szCs w:val="24"/>
          <w:lang w:val="en-US"/>
        </w:rPr>
        <w:t>What is Lateral Thinking?</w:t>
      </w:r>
      <w:r w:rsidRPr="00A013B0">
        <w:rPr>
          <w:rFonts w:ascii="Times New Roman" w:hAnsi="Times New Roman" w:cs="Times New Roman"/>
          <w:sz w:val="24"/>
          <w:szCs w:val="24"/>
          <w:lang w:val="en-US"/>
        </w:rPr>
        <w:t xml:space="preserve"> [online] Available at: </w:t>
      </w:r>
      <w:hyperlink r:id="rId44" w:history="1">
        <w:r w:rsidRPr="00A013B0">
          <w:rPr>
            <w:rStyle w:val="Hyperlink"/>
            <w:rFonts w:ascii="Times New Roman" w:hAnsi="Times New Roman" w:cs="Times New Roman"/>
            <w:sz w:val="24"/>
            <w:szCs w:val="24"/>
            <w:lang w:val="en-US"/>
          </w:rPr>
          <w:t>https://www.interaction-design.org/literature/topics/lateral-thinking?srsltid=AfmBOorBbn-GElrKJD_b8S59zf5NAcID21cX5ePomzYSy0OeI6KV4nQw</w:t>
        </w:r>
      </w:hyperlink>
      <w:r w:rsidRPr="00A013B0">
        <w:rPr>
          <w:rFonts w:ascii="Times New Roman" w:hAnsi="Times New Roman" w:cs="Times New Roman"/>
          <w:sz w:val="24"/>
          <w:szCs w:val="24"/>
          <w:lang w:val="en-US"/>
        </w:rPr>
        <w:t xml:space="preserve"> [Accessed 19 Mar. 2025].</w:t>
      </w:r>
    </w:p>
    <w:p w14:paraId="6A0CB2E0"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Véronique (2023). </w:t>
      </w:r>
      <w:r w:rsidRPr="00A013B0">
        <w:rPr>
          <w:rFonts w:ascii="Times New Roman" w:hAnsi="Times New Roman" w:cs="Times New Roman"/>
          <w:i/>
          <w:iCs/>
          <w:sz w:val="24"/>
          <w:szCs w:val="24"/>
          <w:lang w:val="en-US"/>
        </w:rPr>
        <w:t>The 5 Stages of Second-Language Acquisition</w:t>
      </w:r>
      <w:r w:rsidRPr="00A013B0">
        <w:rPr>
          <w:rFonts w:ascii="Times New Roman" w:hAnsi="Times New Roman" w:cs="Times New Roman"/>
          <w:sz w:val="24"/>
          <w:szCs w:val="24"/>
          <w:lang w:val="en-US"/>
        </w:rPr>
        <w:t xml:space="preserve">. [online] The French Académie. Available at: </w:t>
      </w:r>
      <w:hyperlink r:id="rId45" w:history="1">
        <w:r w:rsidRPr="00A013B0">
          <w:rPr>
            <w:rStyle w:val="Hyperlink"/>
            <w:rFonts w:ascii="Times New Roman" w:hAnsi="Times New Roman" w:cs="Times New Roman"/>
            <w:sz w:val="24"/>
            <w:szCs w:val="24"/>
            <w:lang w:val="en-US"/>
          </w:rPr>
          <w:t>https://www.thefrenchacademie.org/post/stages-of-second-language-acquisition</w:t>
        </w:r>
      </w:hyperlink>
      <w:r w:rsidRPr="00A013B0">
        <w:rPr>
          <w:rFonts w:ascii="Times New Roman" w:hAnsi="Times New Roman" w:cs="Times New Roman"/>
          <w:sz w:val="24"/>
          <w:szCs w:val="24"/>
          <w:lang w:val="en-US"/>
        </w:rPr>
        <w:t>. [Accessed 19 Mar. 2025].</w:t>
      </w:r>
    </w:p>
    <w:p w14:paraId="04373450" w14:textId="77777777" w:rsidR="00A013B0" w:rsidRPr="00A013B0" w:rsidRDefault="00A013B0" w:rsidP="00A013B0">
      <w:pPr>
        <w:spacing w:after="0" w:line="480" w:lineRule="auto"/>
        <w:rPr>
          <w:rFonts w:ascii="Times New Roman" w:eastAsia="Times New Roman" w:hAnsi="Times New Roman" w:cs="Times New Roman"/>
          <w:color w:val="000000"/>
          <w:kern w:val="0"/>
          <w:sz w:val="24"/>
          <w:szCs w:val="24"/>
          <w:lang w:val="en-US"/>
          <w14:ligatures w14:val="none"/>
        </w:rPr>
      </w:pPr>
      <w:r w:rsidRPr="00A013B0">
        <w:rPr>
          <w:rFonts w:ascii="Times New Roman" w:eastAsia="Times New Roman" w:hAnsi="Times New Roman" w:cs="Times New Roman"/>
          <w:color w:val="000000"/>
          <w:kern w:val="0"/>
          <w:sz w:val="24"/>
          <w:szCs w:val="24"/>
          <w:lang w:val="en-US"/>
          <w14:ligatures w14:val="none"/>
        </w:rPr>
        <w:t>Wani, P.D. (2024). From Sound to Meaning: Navigating Wernicke’s Area in Language Processing. </w:t>
      </w:r>
      <w:proofErr w:type="spellStart"/>
      <w:r w:rsidRPr="00A013B0">
        <w:rPr>
          <w:rFonts w:ascii="Times New Roman" w:eastAsia="Times New Roman" w:hAnsi="Times New Roman" w:cs="Times New Roman"/>
          <w:i/>
          <w:iCs/>
          <w:color w:val="000000"/>
          <w:kern w:val="0"/>
          <w:sz w:val="24"/>
          <w:szCs w:val="24"/>
          <w:lang w:val="en-US"/>
          <w14:ligatures w14:val="none"/>
        </w:rPr>
        <w:t>Cureus</w:t>
      </w:r>
      <w:proofErr w:type="spellEnd"/>
      <w:r w:rsidRPr="00A013B0">
        <w:rPr>
          <w:rFonts w:ascii="Times New Roman" w:eastAsia="Times New Roman" w:hAnsi="Times New Roman" w:cs="Times New Roman"/>
          <w:color w:val="000000"/>
          <w:kern w:val="0"/>
          <w:sz w:val="24"/>
          <w:szCs w:val="24"/>
          <w:lang w:val="en-US"/>
          <w14:ligatures w14:val="none"/>
        </w:rPr>
        <w:t xml:space="preserve">, 16(9). Available at: </w:t>
      </w:r>
      <w:hyperlink r:id="rId46" w:history="1">
        <w:r w:rsidRPr="00A013B0">
          <w:rPr>
            <w:rStyle w:val="Hyperlink"/>
            <w:rFonts w:ascii="Times New Roman" w:eastAsia="Times New Roman" w:hAnsi="Times New Roman" w:cs="Times New Roman"/>
            <w:kern w:val="0"/>
            <w:sz w:val="24"/>
            <w:szCs w:val="24"/>
            <w:lang w:val="en-US"/>
            <w14:ligatures w14:val="none"/>
          </w:rPr>
          <w:t>https://doi.org/10.7759/cureus.69833</w:t>
        </w:r>
      </w:hyperlink>
      <w:r w:rsidRPr="00A013B0">
        <w:rPr>
          <w:rFonts w:ascii="Times New Roman" w:eastAsia="Times New Roman" w:hAnsi="Times New Roman" w:cs="Times New Roman"/>
          <w:color w:val="000000"/>
          <w:kern w:val="0"/>
          <w:sz w:val="24"/>
          <w:szCs w:val="24"/>
          <w:lang w:val="en-US"/>
          <w14:ligatures w14:val="none"/>
        </w:rPr>
        <w:t xml:space="preserve">. </w:t>
      </w:r>
      <w:r w:rsidRPr="00A013B0">
        <w:rPr>
          <w:rFonts w:ascii="Times New Roman" w:hAnsi="Times New Roman" w:cs="Times New Roman"/>
          <w:sz w:val="24"/>
          <w:szCs w:val="24"/>
          <w:lang w:val="en-US"/>
        </w:rPr>
        <w:t>[Accessed 19 Mar. 2025].</w:t>
      </w:r>
    </w:p>
    <w:p w14:paraId="54DE9AFB" w14:textId="77777777" w:rsidR="00A013B0" w:rsidRPr="00A013B0" w:rsidRDefault="00A013B0" w:rsidP="00A013B0">
      <w:pPr>
        <w:spacing w:line="480" w:lineRule="auto"/>
        <w:rPr>
          <w:rFonts w:ascii="Times New Roman" w:hAnsi="Times New Roman" w:cs="Times New Roman"/>
          <w:sz w:val="24"/>
          <w:szCs w:val="24"/>
          <w:lang w:val="en-US"/>
        </w:rPr>
      </w:pPr>
      <w:r w:rsidRPr="00A013B0">
        <w:rPr>
          <w:rFonts w:ascii="Times New Roman" w:hAnsi="Times New Roman" w:cs="Times New Roman"/>
          <w:sz w:val="24"/>
          <w:szCs w:val="24"/>
          <w:lang w:val="en-US"/>
        </w:rPr>
        <w:t>Xia, T., An, Y. and Guo, J. (2022). Bilingualism and creativity: Benefits from cognitive inhibition and cognitive flexibility. </w:t>
      </w:r>
      <w:r w:rsidRPr="00A013B0">
        <w:rPr>
          <w:rFonts w:ascii="Times New Roman" w:hAnsi="Times New Roman" w:cs="Times New Roman"/>
          <w:i/>
          <w:iCs/>
          <w:sz w:val="24"/>
          <w:szCs w:val="24"/>
          <w:lang w:val="en-US"/>
        </w:rPr>
        <w:t>Frontiers in Psychology</w:t>
      </w:r>
      <w:r w:rsidRPr="00A013B0">
        <w:rPr>
          <w:rFonts w:ascii="Times New Roman" w:hAnsi="Times New Roman" w:cs="Times New Roman"/>
          <w:sz w:val="24"/>
          <w:szCs w:val="24"/>
          <w:lang w:val="en-US"/>
        </w:rPr>
        <w:t xml:space="preserve">, 13(1). Available at: </w:t>
      </w:r>
      <w:hyperlink r:id="rId47" w:history="1">
        <w:r w:rsidRPr="00A013B0">
          <w:rPr>
            <w:rStyle w:val="Hyperlink"/>
            <w:rFonts w:ascii="Times New Roman" w:hAnsi="Times New Roman" w:cs="Times New Roman"/>
            <w:sz w:val="24"/>
            <w:szCs w:val="24"/>
            <w:lang w:val="en-US"/>
          </w:rPr>
          <w:t>https://doi.org/10.3389/fpsyg.2022.1016777</w:t>
        </w:r>
      </w:hyperlink>
      <w:r w:rsidRPr="00A013B0">
        <w:rPr>
          <w:rFonts w:ascii="Times New Roman" w:hAnsi="Times New Roman" w:cs="Times New Roman"/>
          <w:sz w:val="24"/>
          <w:szCs w:val="24"/>
          <w:lang w:val="en-US"/>
        </w:rPr>
        <w:t xml:space="preserve">. </w:t>
      </w:r>
    </w:p>
    <w:sectPr w:rsidR="00A013B0" w:rsidRPr="00A013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83D6F"/>
    <w:multiLevelType w:val="hybridMultilevel"/>
    <w:tmpl w:val="38127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E58"/>
    <w:rsid w:val="0001165F"/>
    <w:rsid w:val="00031E52"/>
    <w:rsid w:val="00060508"/>
    <w:rsid w:val="0006777A"/>
    <w:rsid w:val="00087DA9"/>
    <w:rsid w:val="000C2341"/>
    <w:rsid w:val="000E3AC6"/>
    <w:rsid w:val="00100059"/>
    <w:rsid w:val="00116DF5"/>
    <w:rsid w:val="00130BE2"/>
    <w:rsid w:val="001614F2"/>
    <w:rsid w:val="00186EF2"/>
    <w:rsid w:val="001970D3"/>
    <w:rsid w:val="001A0EB5"/>
    <w:rsid w:val="001A5C7A"/>
    <w:rsid w:val="001B00CE"/>
    <w:rsid w:val="001D5441"/>
    <w:rsid w:val="001E2E31"/>
    <w:rsid w:val="0021140B"/>
    <w:rsid w:val="0023268D"/>
    <w:rsid w:val="00236DBB"/>
    <w:rsid w:val="00242CD0"/>
    <w:rsid w:val="00260561"/>
    <w:rsid w:val="00286483"/>
    <w:rsid w:val="00293D8E"/>
    <w:rsid w:val="002A7F51"/>
    <w:rsid w:val="002C4473"/>
    <w:rsid w:val="002C4F18"/>
    <w:rsid w:val="0032565F"/>
    <w:rsid w:val="003276FE"/>
    <w:rsid w:val="00335020"/>
    <w:rsid w:val="003413D8"/>
    <w:rsid w:val="0034576B"/>
    <w:rsid w:val="00362F96"/>
    <w:rsid w:val="003716B1"/>
    <w:rsid w:val="0037564E"/>
    <w:rsid w:val="004029B9"/>
    <w:rsid w:val="004346FA"/>
    <w:rsid w:val="00455ABB"/>
    <w:rsid w:val="00467426"/>
    <w:rsid w:val="00472271"/>
    <w:rsid w:val="00484F2E"/>
    <w:rsid w:val="00486C37"/>
    <w:rsid w:val="0048703B"/>
    <w:rsid w:val="00502B07"/>
    <w:rsid w:val="00515D05"/>
    <w:rsid w:val="00520960"/>
    <w:rsid w:val="0053021A"/>
    <w:rsid w:val="005423C6"/>
    <w:rsid w:val="00576AF4"/>
    <w:rsid w:val="005850EC"/>
    <w:rsid w:val="005A31F0"/>
    <w:rsid w:val="005C228E"/>
    <w:rsid w:val="005F1849"/>
    <w:rsid w:val="00610ED4"/>
    <w:rsid w:val="00611B18"/>
    <w:rsid w:val="006623A4"/>
    <w:rsid w:val="00675F7F"/>
    <w:rsid w:val="00676553"/>
    <w:rsid w:val="006948F8"/>
    <w:rsid w:val="006B4F5F"/>
    <w:rsid w:val="006C5E37"/>
    <w:rsid w:val="006E49AF"/>
    <w:rsid w:val="006E6B43"/>
    <w:rsid w:val="006F1370"/>
    <w:rsid w:val="00707252"/>
    <w:rsid w:val="00707D03"/>
    <w:rsid w:val="00725B30"/>
    <w:rsid w:val="0073790C"/>
    <w:rsid w:val="007473F0"/>
    <w:rsid w:val="007803E9"/>
    <w:rsid w:val="00782D17"/>
    <w:rsid w:val="007C3C2E"/>
    <w:rsid w:val="007D11D6"/>
    <w:rsid w:val="007D2014"/>
    <w:rsid w:val="00817023"/>
    <w:rsid w:val="008A1D04"/>
    <w:rsid w:val="008F4EAE"/>
    <w:rsid w:val="008F57A5"/>
    <w:rsid w:val="00902AC8"/>
    <w:rsid w:val="0091028F"/>
    <w:rsid w:val="009103CE"/>
    <w:rsid w:val="00943036"/>
    <w:rsid w:val="00962CE8"/>
    <w:rsid w:val="00971A98"/>
    <w:rsid w:val="0097609A"/>
    <w:rsid w:val="0098357B"/>
    <w:rsid w:val="00991A57"/>
    <w:rsid w:val="00996CC9"/>
    <w:rsid w:val="009B4CE4"/>
    <w:rsid w:val="009E22C0"/>
    <w:rsid w:val="00A0122B"/>
    <w:rsid w:val="00A013B0"/>
    <w:rsid w:val="00A0176D"/>
    <w:rsid w:val="00A109CD"/>
    <w:rsid w:val="00A223FE"/>
    <w:rsid w:val="00A2264B"/>
    <w:rsid w:val="00A30998"/>
    <w:rsid w:val="00A36DDA"/>
    <w:rsid w:val="00A419C1"/>
    <w:rsid w:val="00AB081C"/>
    <w:rsid w:val="00AD58A0"/>
    <w:rsid w:val="00AF206F"/>
    <w:rsid w:val="00B32350"/>
    <w:rsid w:val="00B33999"/>
    <w:rsid w:val="00B54A3C"/>
    <w:rsid w:val="00B55C72"/>
    <w:rsid w:val="00B56B42"/>
    <w:rsid w:val="00B80F92"/>
    <w:rsid w:val="00B82D74"/>
    <w:rsid w:val="00BB2990"/>
    <w:rsid w:val="00BC556B"/>
    <w:rsid w:val="00BD2569"/>
    <w:rsid w:val="00BE1757"/>
    <w:rsid w:val="00C026B8"/>
    <w:rsid w:val="00C24C86"/>
    <w:rsid w:val="00C30242"/>
    <w:rsid w:val="00C35804"/>
    <w:rsid w:val="00C63313"/>
    <w:rsid w:val="00C80C89"/>
    <w:rsid w:val="00C84C8D"/>
    <w:rsid w:val="00CA7837"/>
    <w:rsid w:val="00CC1527"/>
    <w:rsid w:val="00CD0B6E"/>
    <w:rsid w:val="00CE0E36"/>
    <w:rsid w:val="00CE4148"/>
    <w:rsid w:val="00D2323D"/>
    <w:rsid w:val="00D265F3"/>
    <w:rsid w:val="00D30276"/>
    <w:rsid w:val="00D5609F"/>
    <w:rsid w:val="00D91F4B"/>
    <w:rsid w:val="00D92821"/>
    <w:rsid w:val="00DA0885"/>
    <w:rsid w:val="00DC4523"/>
    <w:rsid w:val="00DC75F2"/>
    <w:rsid w:val="00E30F49"/>
    <w:rsid w:val="00E31EC5"/>
    <w:rsid w:val="00E648FC"/>
    <w:rsid w:val="00E67CA4"/>
    <w:rsid w:val="00E7568C"/>
    <w:rsid w:val="00E80E35"/>
    <w:rsid w:val="00EC66EA"/>
    <w:rsid w:val="00ED612A"/>
    <w:rsid w:val="00F00E58"/>
    <w:rsid w:val="00F05447"/>
    <w:rsid w:val="00F26CBD"/>
    <w:rsid w:val="00F3629E"/>
    <w:rsid w:val="00F43B6B"/>
    <w:rsid w:val="00F573A7"/>
    <w:rsid w:val="00F643C3"/>
    <w:rsid w:val="00F84182"/>
    <w:rsid w:val="00FA0697"/>
    <w:rsid w:val="00FA699C"/>
    <w:rsid w:val="00FC74CE"/>
    <w:rsid w:val="00FF3C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4C35D"/>
  <w15:chartTrackingRefBased/>
  <w15:docId w15:val="{41847A46-012B-4267-8A70-FA91741CE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AU"/>
    </w:rPr>
  </w:style>
  <w:style w:type="paragraph" w:styleId="Heading1">
    <w:name w:val="heading 1"/>
    <w:basedOn w:val="Normal"/>
    <w:next w:val="Normal"/>
    <w:link w:val="Heading1Char"/>
    <w:uiPriority w:val="9"/>
    <w:qFormat/>
    <w:rsid w:val="00F00E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00E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00E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0E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0E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0E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E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E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E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E58"/>
    <w:rPr>
      <w:rFonts w:asciiTheme="majorHAnsi" w:eastAsiaTheme="majorEastAsia" w:hAnsiTheme="majorHAnsi" w:cstheme="majorBidi"/>
      <w:color w:val="2F5496" w:themeColor="accent1" w:themeShade="BF"/>
      <w:sz w:val="40"/>
      <w:szCs w:val="40"/>
      <w:lang w:val="en-AU"/>
    </w:rPr>
  </w:style>
  <w:style w:type="character" w:customStyle="1" w:styleId="Heading2Char">
    <w:name w:val="Heading 2 Char"/>
    <w:basedOn w:val="DefaultParagraphFont"/>
    <w:link w:val="Heading2"/>
    <w:uiPriority w:val="9"/>
    <w:semiHidden/>
    <w:rsid w:val="00F00E58"/>
    <w:rPr>
      <w:rFonts w:asciiTheme="majorHAnsi" w:eastAsiaTheme="majorEastAsia" w:hAnsiTheme="majorHAnsi" w:cstheme="majorBidi"/>
      <w:color w:val="2F5496" w:themeColor="accent1" w:themeShade="BF"/>
      <w:sz w:val="32"/>
      <w:szCs w:val="32"/>
      <w:lang w:val="en-AU"/>
    </w:rPr>
  </w:style>
  <w:style w:type="character" w:customStyle="1" w:styleId="Heading3Char">
    <w:name w:val="Heading 3 Char"/>
    <w:basedOn w:val="DefaultParagraphFont"/>
    <w:link w:val="Heading3"/>
    <w:uiPriority w:val="9"/>
    <w:semiHidden/>
    <w:rsid w:val="00F00E58"/>
    <w:rPr>
      <w:rFonts w:eastAsiaTheme="majorEastAsia" w:cstheme="majorBidi"/>
      <w:color w:val="2F5496" w:themeColor="accent1" w:themeShade="BF"/>
      <w:sz w:val="28"/>
      <w:szCs w:val="28"/>
      <w:lang w:val="en-AU"/>
    </w:rPr>
  </w:style>
  <w:style w:type="character" w:customStyle="1" w:styleId="Heading4Char">
    <w:name w:val="Heading 4 Char"/>
    <w:basedOn w:val="DefaultParagraphFont"/>
    <w:link w:val="Heading4"/>
    <w:uiPriority w:val="9"/>
    <w:semiHidden/>
    <w:rsid w:val="00F00E58"/>
    <w:rPr>
      <w:rFonts w:eastAsiaTheme="majorEastAsia" w:cstheme="majorBidi"/>
      <w:i/>
      <w:iCs/>
      <w:color w:val="2F5496" w:themeColor="accent1" w:themeShade="BF"/>
      <w:lang w:val="en-AU"/>
    </w:rPr>
  </w:style>
  <w:style w:type="character" w:customStyle="1" w:styleId="Heading5Char">
    <w:name w:val="Heading 5 Char"/>
    <w:basedOn w:val="DefaultParagraphFont"/>
    <w:link w:val="Heading5"/>
    <w:uiPriority w:val="9"/>
    <w:semiHidden/>
    <w:rsid w:val="00F00E58"/>
    <w:rPr>
      <w:rFonts w:eastAsiaTheme="majorEastAsia" w:cstheme="majorBidi"/>
      <w:color w:val="2F5496" w:themeColor="accent1" w:themeShade="BF"/>
      <w:lang w:val="en-AU"/>
    </w:rPr>
  </w:style>
  <w:style w:type="character" w:customStyle="1" w:styleId="Heading6Char">
    <w:name w:val="Heading 6 Char"/>
    <w:basedOn w:val="DefaultParagraphFont"/>
    <w:link w:val="Heading6"/>
    <w:uiPriority w:val="9"/>
    <w:semiHidden/>
    <w:rsid w:val="00F00E58"/>
    <w:rPr>
      <w:rFonts w:eastAsiaTheme="majorEastAsia" w:cstheme="majorBidi"/>
      <w:i/>
      <w:iCs/>
      <w:color w:val="595959" w:themeColor="text1" w:themeTint="A6"/>
      <w:lang w:val="en-AU"/>
    </w:rPr>
  </w:style>
  <w:style w:type="character" w:customStyle="1" w:styleId="Heading7Char">
    <w:name w:val="Heading 7 Char"/>
    <w:basedOn w:val="DefaultParagraphFont"/>
    <w:link w:val="Heading7"/>
    <w:uiPriority w:val="9"/>
    <w:semiHidden/>
    <w:rsid w:val="00F00E58"/>
    <w:rPr>
      <w:rFonts w:eastAsiaTheme="majorEastAsia" w:cstheme="majorBidi"/>
      <w:color w:val="595959" w:themeColor="text1" w:themeTint="A6"/>
      <w:lang w:val="en-AU"/>
    </w:rPr>
  </w:style>
  <w:style w:type="character" w:customStyle="1" w:styleId="Heading8Char">
    <w:name w:val="Heading 8 Char"/>
    <w:basedOn w:val="DefaultParagraphFont"/>
    <w:link w:val="Heading8"/>
    <w:uiPriority w:val="9"/>
    <w:semiHidden/>
    <w:rsid w:val="00F00E58"/>
    <w:rPr>
      <w:rFonts w:eastAsiaTheme="majorEastAsia" w:cstheme="majorBidi"/>
      <w:i/>
      <w:iCs/>
      <w:color w:val="272727" w:themeColor="text1" w:themeTint="D8"/>
      <w:lang w:val="en-AU"/>
    </w:rPr>
  </w:style>
  <w:style w:type="character" w:customStyle="1" w:styleId="Heading9Char">
    <w:name w:val="Heading 9 Char"/>
    <w:basedOn w:val="DefaultParagraphFont"/>
    <w:link w:val="Heading9"/>
    <w:uiPriority w:val="9"/>
    <w:semiHidden/>
    <w:rsid w:val="00F00E58"/>
    <w:rPr>
      <w:rFonts w:eastAsiaTheme="majorEastAsia" w:cstheme="majorBidi"/>
      <w:color w:val="272727" w:themeColor="text1" w:themeTint="D8"/>
      <w:lang w:val="en-AU"/>
    </w:rPr>
  </w:style>
  <w:style w:type="paragraph" w:styleId="Title">
    <w:name w:val="Title"/>
    <w:basedOn w:val="Normal"/>
    <w:next w:val="Normal"/>
    <w:link w:val="TitleChar"/>
    <w:uiPriority w:val="10"/>
    <w:qFormat/>
    <w:rsid w:val="00F00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E58"/>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F00E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E58"/>
    <w:rPr>
      <w:rFonts w:eastAsiaTheme="majorEastAsia" w:cstheme="majorBidi"/>
      <w:color w:val="595959" w:themeColor="text1" w:themeTint="A6"/>
      <w:spacing w:val="15"/>
      <w:sz w:val="28"/>
      <w:szCs w:val="28"/>
      <w:lang w:val="en-AU"/>
    </w:rPr>
  </w:style>
  <w:style w:type="paragraph" w:styleId="Quote">
    <w:name w:val="Quote"/>
    <w:basedOn w:val="Normal"/>
    <w:next w:val="Normal"/>
    <w:link w:val="QuoteChar"/>
    <w:uiPriority w:val="29"/>
    <w:qFormat/>
    <w:rsid w:val="00F00E58"/>
    <w:pPr>
      <w:spacing w:before="160"/>
      <w:jc w:val="center"/>
    </w:pPr>
    <w:rPr>
      <w:i/>
      <w:iCs/>
      <w:color w:val="404040" w:themeColor="text1" w:themeTint="BF"/>
    </w:rPr>
  </w:style>
  <w:style w:type="character" w:customStyle="1" w:styleId="QuoteChar">
    <w:name w:val="Quote Char"/>
    <w:basedOn w:val="DefaultParagraphFont"/>
    <w:link w:val="Quote"/>
    <w:uiPriority w:val="29"/>
    <w:rsid w:val="00F00E58"/>
    <w:rPr>
      <w:i/>
      <w:iCs/>
      <w:color w:val="404040" w:themeColor="text1" w:themeTint="BF"/>
      <w:lang w:val="en-AU"/>
    </w:rPr>
  </w:style>
  <w:style w:type="paragraph" w:styleId="ListParagraph">
    <w:name w:val="List Paragraph"/>
    <w:basedOn w:val="Normal"/>
    <w:uiPriority w:val="34"/>
    <w:qFormat/>
    <w:rsid w:val="00F00E58"/>
    <w:pPr>
      <w:ind w:left="720"/>
      <w:contextualSpacing/>
    </w:pPr>
  </w:style>
  <w:style w:type="character" w:styleId="IntenseEmphasis">
    <w:name w:val="Intense Emphasis"/>
    <w:basedOn w:val="DefaultParagraphFont"/>
    <w:uiPriority w:val="21"/>
    <w:qFormat/>
    <w:rsid w:val="00F00E58"/>
    <w:rPr>
      <w:i/>
      <w:iCs/>
      <w:color w:val="2F5496" w:themeColor="accent1" w:themeShade="BF"/>
    </w:rPr>
  </w:style>
  <w:style w:type="paragraph" w:styleId="IntenseQuote">
    <w:name w:val="Intense Quote"/>
    <w:basedOn w:val="Normal"/>
    <w:next w:val="Normal"/>
    <w:link w:val="IntenseQuoteChar"/>
    <w:uiPriority w:val="30"/>
    <w:qFormat/>
    <w:rsid w:val="00F00E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0E58"/>
    <w:rPr>
      <w:i/>
      <w:iCs/>
      <w:color w:val="2F5496" w:themeColor="accent1" w:themeShade="BF"/>
      <w:lang w:val="en-AU"/>
    </w:rPr>
  </w:style>
  <w:style w:type="character" w:styleId="IntenseReference">
    <w:name w:val="Intense Reference"/>
    <w:basedOn w:val="DefaultParagraphFont"/>
    <w:uiPriority w:val="32"/>
    <w:qFormat/>
    <w:rsid w:val="00F00E58"/>
    <w:rPr>
      <w:b/>
      <w:bCs/>
      <w:smallCaps/>
      <w:color w:val="2F5496" w:themeColor="accent1" w:themeShade="BF"/>
      <w:spacing w:val="5"/>
    </w:rPr>
  </w:style>
  <w:style w:type="character" w:styleId="Hyperlink">
    <w:name w:val="Hyperlink"/>
    <w:basedOn w:val="DefaultParagraphFont"/>
    <w:uiPriority w:val="99"/>
    <w:unhideWhenUsed/>
    <w:rsid w:val="00C63313"/>
    <w:rPr>
      <w:color w:val="0563C1" w:themeColor="hyperlink"/>
      <w:u w:val="single"/>
    </w:rPr>
  </w:style>
  <w:style w:type="character" w:customStyle="1" w:styleId="UnresolvedMention">
    <w:name w:val="Unresolved Mention"/>
    <w:basedOn w:val="DefaultParagraphFont"/>
    <w:uiPriority w:val="99"/>
    <w:semiHidden/>
    <w:unhideWhenUsed/>
    <w:rsid w:val="00C63313"/>
    <w:rPr>
      <w:color w:val="605E5C"/>
      <w:shd w:val="clear" w:color="auto" w:fill="E1DFDD"/>
    </w:rPr>
  </w:style>
  <w:style w:type="paragraph" w:styleId="NormalWeb">
    <w:name w:val="Normal (Web)"/>
    <w:basedOn w:val="Normal"/>
    <w:uiPriority w:val="99"/>
    <w:semiHidden/>
    <w:unhideWhenUsed/>
    <w:rsid w:val="007473F0"/>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103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1708">
      <w:bodyDiv w:val="1"/>
      <w:marLeft w:val="0"/>
      <w:marRight w:val="0"/>
      <w:marTop w:val="0"/>
      <w:marBottom w:val="0"/>
      <w:divBdr>
        <w:top w:val="none" w:sz="0" w:space="0" w:color="auto"/>
        <w:left w:val="none" w:sz="0" w:space="0" w:color="auto"/>
        <w:bottom w:val="none" w:sz="0" w:space="0" w:color="auto"/>
        <w:right w:val="none" w:sz="0" w:space="0" w:color="auto"/>
      </w:divBdr>
    </w:div>
    <w:div w:id="28267068">
      <w:bodyDiv w:val="1"/>
      <w:marLeft w:val="0"/>
      <w:marRight w:val="0"/>
      <w:marTop w:val="0"/>
      <w:marBottom w:val="0"/>
      <w:divBdr>
        <w:top w:val="none" w:sz="0" w:space="0" w:color="auto"/>
        <w:left w:val="none" w:sz="0" w:space="0" w:color="auto"/>
        <w:bottom w:val="none" w:sz="0" w:space="0" w:color="auto"/>
        <w:right w:val="none" w:sz="0" w:space="0" w:color="auto"/>
      </w:divBdr>
    </w:div>
    <w:div w:id="31659435">
      <w:bodyDiv w:val="1"/>
      <w:marLeft w:val="0"/>
      <w:marRight w:val="0"/>
      <w:marTop w:val="0"/>
      <w:marBottom w:val="0"/>
      <w:divBdr>
        <w:top w:val="none" w:sz="0" w:space="0" w:color="auto"/>
        <w:left w:val="none" w:sz="0" w:space="0" w:color="auto"/>
        <w:bottom w:val="none" w:sz="0" w:space="0" w:color="auto"/>
        <w:right w:val="none" w:sz="0" w:space="0" w:color="auto"/>
      </w:divBdr>
    </w:div>
    <w:div w:id="47263302">
      <w:bodyDiv w:val="1"/>
      <w:marLeft w:val="0"/>
      <w:marRight w:val="0"/>
      <w:marTop w:val="0"/>
      <w:marBottom w:val="0"/>
      <w:divBdr>
        <w:top w:val="none" w:sz="0" w:space="0" w:color="auto"/>
        <w:left w:val="none" w:sz="0" w:space="0" w:color="auto"/>
        <w:bottom w:val="none" w:sz="0" w:space="0" w:color="auto"/>
        <w:right w:val="none" w:sz="0" w:space="0" w:color="auto"/>
      </w:divBdr>
    </w:div>
    <w:div w:id="85421441">
      <w:bodyDiv w:val="1"/>
      <w:marLeft w:val="0"/>
      <w:marRight w:val="0"/>
      <w:marTop w:val="0"/>
      <w:marBottom w:val="0"/>
      <w:divBdr>
        <w:top w:val="none" w:sz="0" w:space="0" w:color="auto"/>
        <w:left w:val="none" w:sz="0" w:space="0" w:color="auto"/>
        <w:bottom w:val="none" w:sz="0" w:space="0" w:color="auto"/>
        <w:right w:val="none" w:sz="0" w:space="0" w:color="auto"/>
      </w:divBdr>
    </w:div>
    <w:div w:id="95910376">
      <w:bodyDiv w:val="1"/>
      <w:marLeft w:val="0"/>
      <w:marRight w:val="0"/>
      <w:marTop w:val="0"/>
      <w:marBottom w:val="0"/>
      <w:divBdr>
        <w:top w:val="none" w:sz="0" w:space="0" w:color="auto"/>
        <w:left w:val="none" w:sz="0" w:space="0" w:color="auto"/>
        <w:bottom w:val="none" w:sz="0" w:space="0" w:color="auto"/>
        <w:right w:val="none" w:sz="0" w:space="0" w:color="auto"/>
      </w:divBdr>
    </w:div>
    <w:div w:id="96758255">
      <w:bodyDiv w:val="1"/>
      <w:marLeft w:val="0"/>
      <w:marRight w:val="0"/>
      <w:marTop w:val="0"/>
      <w:marBottom w:val="0"/>
      <w:divBdr>
        <w:top w:val="none" w:sz="0" w:space="0" w:color="auto"/>
        <w:left w:val="none" w:sz="0" w:space="0" w:color="auto"/>
        <w:bottom w:val="none" w:sz="0" w:space="0" w:color="auto"/>
        <w:right w:val="none" w:sz="0" w:space="0" w:color="auto"/>
      </w:divBdr>
    </w:div>
    <w:div w:id="150098082">
      <w:bodyDiv w:val="1"/>
      <w:marLeft w:val="0"/>
      <w:marRight w:val="0"/>
      <w:marTop w:val="0"/>
      <w:marBottom w:val="0"/>
      <w:divBdr>
        <w:top w:val="none" w:sz="0" w:space="0" w:color="auto"/>
        <w:left w:val="none" w:sz="0" w:space="0" w:color="auto"/>
        <w:bottom w:val="none" w:sz="0" w:space="0" w:color="auto"/>
        <w:right w:val="none" w:sz="0" w:space="0" w:color="auto"/>
      </w:divBdr>
    </w:div>
    <w:div w:id="159194934">
      <w:bodyDiv w:val="1"/>
      <w:marLeft w:val="0"/>
      <w:marRight w:val="0"/>
      <w:marTop w:val="0"/>
      <w:marBottom w:val="0"/>
      <w:divBdr>
        <w:top w:val="none" w:sz="0" w:space="0" w:color="auto"/>
        <w:left w:val="none" w:sz="0" w:space="0" w:color="auto"/>
        <w:bottom w:val="none" w:sz="0" w:space="0" w:color="auto"/>
        <w:right w:val="none" w:sz="0" w:space="0" w:color="auto"/>
      </w:divBdr>
    </w:div>
    <w:div w:id="180045660">
      <w:bodyDiv w:val="1"/>
      <w:marLeft w:val="0"/>
      <w:marRight w:val="0"/>
      <w:marTop w:val="0"/>
      <w:marBottom w:val="0"/>
      <w:divBdr>
        <w:top w:val="none" w:sz="0" w:space="0" w:color="auto"/>
        <w:left w:val="none" w:sz="0" w:space="0" w:color="auto"/>
        <w:bottom w:val="none" w:sz="0" w:space="0" w:color="auto"/>
        <w:right w:val="none" w:sz="0" w:space="0" w:color="auto"/>
      </w:divBdr>
    </w:div>
    <w:div w:id="237179121">
      <w:bodyDiv w:val="1"/>
      <w:marLeft w:val="0"/>
      <w:marRight w:val="0"/>
      <w:marTop w:val="0"/>
      <w:marBottom w:val="0"/>
      <w:divBdr>
        <w:top w:val="none" w:sz="0" w:space="0" w:color="auto"/>
        <w:left w:val="none" w:sz="0" w:space="0" w:color="auto"/>
        <w:bottom w:val="none" w:sz="0" w:space="0" w:color="auto"/>
        <w:right w:val="none" w:sz="0" w:space="0" w:color="auto"/>
      </w:divBdr>
    </w:div>
    <w:div w:id="248852142">
      <w:bodyDiv w:val="1"/>
      <w:marLeft w:val="0"/>
      <w:marRight w:val="0"/>
      <w:marTop w:val="0"/>
      <w:marBottom w:val="0"/>
      <w:divBdr>
        <w:top w:val="none" w:sz="0" w:space="0" w:color="auto"/>
        <w:left w:val="none" w:sz="0" w:space="0" w:color="auto"/>
        <w:bottom w:val="none" w:sz="0" w:space="0" w:color="auto"/>
        <w:right w:val="none" w:sz="0" w:space="0" w:color="auto"/>
      </w:divBdr>
    </w:div>
    <w:div w:id="284241791">
      <w:bodyDiv w:val="1"/>
      <w:marLeft w:val="0"/>
      <w:marRight w:val="0"/>
      <w:marTop w:val="0"/>
      <w:marBottom w:val="0"/>
      <w:divBdr>
        <w:top w:val="none" w:sz="0" w:space="0" w:color="auto"/>
        <w:left w:val="none" w:sz="0" w:space="0" w:color="auto"/>
        <w:bottom w:val="none" w:sz="0" w:space="0" w:color="auto"/>
        <w:right w:val="none" w:sz="0" w:space="0" w:color="auto"/>
      </w:divBdr>
    </w:div>
    <w:div w:id="286005994">
      <w:bodyDiv w:val="1"/>
      <w:marLeft w:val="0"/>
      <w:marRight w:val="0"/>
      <w:marTop w:val="0"/>
      <w:marBottom w:val="0"/>
      <w:divBdr>
        <w:top w:val="none" w:sz="0" w:space="0" w:color="auto"/>
        <w:left w:val="none" w:sz="0" w:space="0" w:color="auto"/>
        <w:bottom w:val="none" w:sz="0" w:space="0" w:color="auto"/>
        <w:right w:val="none" w:sz="0" w:space="0" w:color="auto"/>
      </w:divBdr>
    </w:div>
    <w:div w:id="300963964">
      <w:bodyDiv w:val="1"/>
      <w:marLeft w:val="0"/>
      <w:marRight w:val="0"/>
      <w:marTop w:val="0"/>
      <w:marBottom w:val="0"/>
      <w:divBdr>
        <w:top w:val="none" w:sz="0" w:space="0" w:color="auto"/>
        <w:left w:val="none" w:sz="0" w:space="0" w:color="auto"/>
        <w:bottom w:val="none" w:sz="0" w:space="0" w:color="auto"/>
        <w:right w:val="none" w:sz="0" w:space="0" w:color="auto"/>
      </w:divBdr>
    </w:div>
    <w:div w:id="347997212">
      <w:bodyDiv w:val="1"/>
      <w:marLeft w:val="0"/>
      <w:marRight w:val="0"/>
      <w:marTop w:val="0"/>
      <w:marBottom w:val="0"/>
      <w:divBdr>
        <w:top w:val="none" w:sz="0" w:space="0" w:color="auto"/>
        <w:left w:val="none" w:sz="0" w:space="0" w:color="auto"/>
        <w:bottom w:val="none" w:sz="0" w:space="0" w:color="auto"/>
        <w:right w:val="none" w:sz="0" w:space="0" w:color="auto"/>
      </w:divBdr>
    </w:div>
    <w:div w:id="418410871">
      <w:bodyDiv w:val="1"/>
      <w:marLeft w:val="0"/>
      <w:marRight w:val="0"/>
      <w:marTop w:val="0"/>
      <w:marBottom w:val="0"/>
      <w:divBdr>
        <w:top w:val="none" w:sz="0" w:space="0" w:color="auto"/>
        <w:left w:val="none" w:sz="0" w:space="0" w:color="auto"/>
        <w:bottom w:val="none" w:sz="0" w:space="0" w:color="auto"/>
        <w:right w:val="none" w:sz="0" w:space="0" w:color="auto"/>
      </w:divBdr>
    </w:div>
    <w:div w:id="475685706">
      <w:bodyDiv w:val="1"/>
      <w:marLeft w:val="0"/>
      <w:marRight w:val="0"/>
      <w:marTop w:val="0"/>
      <w:marBottom w:val="0"/>
      <w:divBdr>
        <w:top w:val="none" w:sz="0" w:space="0" w:color="auto"/>
        <w:left w:val="none" w:sz="0" w:space="0" w:color="auto"/>
        <w:bottom w:val="none" w:sz="0" w:space="0" w:color="auto"/>
        <w:right w:val="none" w:sz="0" w:space="0" w:color="auto"/>
      </w:divBdr>
    </w:div>
    <w:div w:id="475991935">
      <w:bodyDiv w:val="1"/>
      <w:marLeft w:val="0"/>
      <w:marRight w:val="0"/>
      <w:marTop w:val="0"/>
      <w:marBottom w:val="0"/>
      <w:divBdr>
        <w:top w:val="none" w:sz="0" w:space="0" w:color="auto"/>
        <w:left w:val="none" w:sz="0" w:space="0" w:color="auto"/>
        <w:bottom w:val="none" w:sz="0" w:space="0" w:color="auto"/>
        <w:right w:val="none" w:sz="0" w:space="0" w:color="auto"/>
      </w:divBdr>
    </w:div>
    <w:div w:id="517235554">
      <w:bodyDiv w:val="1"/>
      <w:marLeft w:val="0"/>
      <w:marRight w:val="0"/>
      <w:marTop w:val="0"/>
      <w:marBottom w:val="0"/>
      <w:divBdr>
        <w:top w:val="none" w:sz="0" w:space="0" w:color="auto"/>
        <w:left w:val="none" w:sz="0" w:space="0" w:color="auto"/>
        <w:bottom w:val="none" w:sz="0" w:space="0" w:color="auto"/>
        <w:right w:val="none" w:sz="0" w:space="0" w:color="auto"/>
      </w:divBdr>
    </w:div>
    <w:div w:id="523861832">
      <w:bodyDiv w:val="1"/>
      <w:marLeft w:val="0"/>
      <w:marRight w:val="0"/>
      <w:marTop w:val="0"/>
      <w:marBottom w:val="0"/>
      <w:divBdr>
        <w:top w:val="none" w:sz="0" w:space="0" w:color="auto"/>
        <w:left w:val="none" w:sz="0" w:space="0" w:color="auto"/>
        <w:bottom w:val="none" w:sz="0" w:space="0" w:color="auto"/>
        <w:right w:val="none" w:sz="0" w:space="0" w:color="auto"/>
      </w:divBdr>
    </w:div>
    <w:div w:id="527910778">
      <w:bodyDiv w:val="1"/>
      <w:marLeft w:val="0"/>
      <w:marRight w:val="0"/>
      <w:marTop w:val="0"/>
      <w:marBottom w:val="0"/>
      <w:divBdr>
        <w:top w:val="none" w:sz="0" w:space="0" w:color="auto"/>
        <w:left w:val="none" w:sz="0" w:space="0" w:color="auto"/>
        <w:bottom w:val="none" w:sz="0" w:space="0" w:color="auto"/>
        <w:right w:val="none" w:sz="0" w:space="0" w:color="auto"/>
      </w:divBdr>
    </w:div>
    <w:div w:id="566497967">
      <w:bodyDiv w:val="1"/>
      <w:marLeft w:val="0"/>
      <w:marRight w:val="0"/>
      <w:marTop w:val="0"/>
      <w:marBottom w:val="0"/>
      <w:divBdr>
        <w:top w:val="none" w:sz="0" w:space="0" w:color="auto"/>
        <w:left w:val="none" w:sz="0" w:space="0" w:color="auto"/>
        <w:bottom w:val="none" w:sz="0" w:space="0" w:color="auto"/>
        <w:right w:val="none" w:sz="0" w:space="0" w:color="auto"/>
      </w:divBdr>
    </w:div>
    <w:div w:id="576213815">
      <w:bodyDiv w:val="1"/>
      <w:marLeft w:val="0"/>
      <w:marRight w:val="0"/>
      <w:marTop w:val="0"/>
      <w:marBottom w:val="0"/>
      <w:divBdr>
        <w:top w:val="none" w:sz="0" w:space="0" w:color="auto"/>
        <w:left w:val="none" w:sz="0" w:space="0" w:color="auto"/>
        <w:bottom w:val="none" w:sz="0" w:space="0" w:color="auto"/>
        <w:right w:val="none" w:sz="0" w:space="0" w:color="auto"/>
      </w:divBdr>
    </w:div>
    <w:div w:id="581138277">
      <w:bodyDiv w:val="1"/>
      <w:marLeft w:val="0"/>
      <w:marRight w:val="0"/>
      <w:marTop w:val="0"/>
      <w:marBottom w:val="0"/>
      <w:divBdr>
        <w:top w:val="none" w:sz="0" w:space="0" w:color="auto"/>
        <w:left w:val="none" w:sz="0" w:space="0" w:color="auto"/>
        <w:bottom w:val="none" w:sz="0" w:space="0" w:color="auto"/>
        <w:right w:val="none" w:sz="0" w:space="0" w:color="auto"/>
      </w:divBdr>
    </w:div>
    <w:div w:id="638262840">
      <w:bodyDiv w:val="1"/>
      <w:marLeft w:val="0"/>
      <w:marRight w:val="0"/>
      <w:marTop w:val="0"/>
      <w:marBottom w:val="0"/>
      <w:divBdr>
        <w:top w:val="none" w:sz="0" w:space="0" w:color="auto"/>
        <w:left w:val="none" w:sz="0" w:space="0" w:color="auto"/>
        <w:bottom w:val="none" w:sz="0" w:space="0" w:color="auto"/>
        <w:right w:val="none" w:sz="0" w:space="0" w:color="auto"/>
      </w:divBdr>
    </w:div>
    <w:div w:id="674694823">
      <w:bodyDiv w:val="1"/>
      <w:marLeft w:val="0"/>
      <w:marRight w:val="0"/>
      <w:marTop w:val="0"/>
      <w:marBottom w:val="0"/>
      <w:divBdr>
        <w:top w:val="none" w:sz="0" w:space="0" w:color="auto"/>
        <w:left w:val="none" w:sz="0" w:space="0" w:color="auto"/>
        <w:bottom w:val="none" w:sz="0" w:space="0" w:color="auto"/>
        <w:right w:val="none" w:sz="0" w:space="0" w:color="auto"/>
      </w:divBdr>
    </w:div>
    <w:div w:id="683753618">
      <w:bodyDiv w:val="1"/>
      <w:marLeft w:val="0"/>
      <w:marRight w:val="0"/>
      <w:marTop w:val="0"/>
      <w:marBottom w:val="0"/>
      <w:divBdr>
        <w:top w:val="none" w:sz="0" w:space="0" w:color="auto"/>
        <w:left w:val="none" w:sz="0" w:space="0" w:color="auto"/>
        <w:bottom w:val="none" w:sz="0" w:space="0" w:color="auto"/>
        <w:right w:val="none" w:sz="0" w:space="0" w:color="auto"/>
      </w:divBdr>
    </w:div>
    <w:div w:id="719324006">
      <w:bodyDiv w:val="1"/>
      <w:marLeft w:val="0"/>
      <w:marRight w:val="0"/>
      <w:marTop w:val="0"/>
      <w:marBottom w:val="0"/>
      <w:divBdr>
        <w:top w:val="none" w:sz="0" w:space="0" w:color="auto"/>
        <w:left w:val="none" w:sz="0" w:space="0" w:color="auto"/>
        <w:bottom w:val="none" w:sz="0" w:space="0" w:color="auto"/>
        <w:right w:val="none" w:sz="0" w:space="0" w:color="auto"/>
      </w:divBdr>
    </w:div>
    <w:div w:id="729578454">
      <w:bodyDiv w:val="1"/>
      <w:marLeft w:val="0"/>
      <w:marRight w:val="0"/>
      <w:marTop w:val="0"/>
      <w:marBottom w:val="0"/>
      <w:divBdr>
        <w:top w:val="none" w:sz="0" w:space="0" w:color="auto"/>
        <w:left w:val="none" w:sz="0" w:space="0" w:color="auto"/>
        <w:bottom w:val="none" w:sz="0" w:space="0" w:color="auto"/>
        <w:right w:val="none" w:sz="0" w:space="0" w:color="auto"/>
      </w:divBdr>
    </w:div>
    <w:div w:id="763183086">
      <w:bodyDiv w:val="1"/>
      <w:marLeft w:val="0"/>
      <w:marRight w:val="0"/>
      <w:marTop w:val="0"/>
      <w:marBottom w:val="0"/>
      <w:divBdr>
        <w:top w:val="none" w:sz="0" w:space="0" w:color="auto"/>
        <w:left w:val="none" w:sz="0" w:space="0" w:color="auto"/>
        <w:bottom w:val="none" w:sz="0" w:space="0" w:color="auto"/>
        <w:right w:val="none" w:sz="0" w:space="0" w:color="auto"/>
      </w:divBdr>
    </w:div>
    <w:div w:id="846095657">
      <w:bodyDiv w:val="1"/>
      <w:marLeft w:val="0"/>
      <w:marRight w:val="0"/>
      <w:marTop w:val="0"/>
      <w:marBottom w:val="0"/>
      <w:divBdr>
        <w:top w:val="none" w:sz="0" w:space="0" w:color="auto"/>
        <w:left w:val="none" w:sz="0" w:space="0" w:color="auto"/>
        <w:bottom w:val="none" w:sz="0" w:space="0" w:color="auto"/>
        <w:right w:val="none" w:sz="0" w:space="0" w:color="auto"/>
      </w:divBdr>
    </w:div>
    <w:div w:id="852914850">
      <w:bodyDiv w:val="1"/>
      <w:marLeft w:val="0"/>
      <w:marRight w:val="0"/>
      <w:marTop w:val="0"/>
      <w:marBottom w:val="0"/>
      <w:divBdr>
        <w:top w:val="none" w:sz="0" w:space="0" w:color="auto"/>
        <w:left w:val="none" w:sz="0" w:space="0" w:color="auto"/>
        <w:bottom w:val="none" w:sz="0" w:space="0" w:color="auto"/>
        <w:right w:val="none" w:sz="0" w:space="0" w:color="auto"/>
      </w:divBdr>
    </w:div>
    <w:div w:id="886991747">
      <w:bodyDiv w:val="1"/>
      <w:marLeft w:val="0"/>
      <w:marRight w:val="0"/>
      <w:marTop w:val="0"/>
      <w:marBottom w:val="0"/>
      <w:divBdr>
        <w:top w:val="none" w:sz="0" w:space="0" w:color="auto"/>
        <w:left w:val="none" w:sz="0" w:space="0" w:color="auto"/>
        <w:bottom w:val="none" w:sz="0" w:space="0" w:color="auto"/>
        <w:right w:val="none" w:sz="0" w:space="0" w:color="auto"/>
      </w:divBdr>
    </w:div>
    <w:div w:id="920063563">
      <w:bodyDiv w:val="1"/>
      <w:marLeft w:val="0"/>
      <w:marRight w:val="0"/>
      <w:marTop w:val="0"/>
      <w:marBottom w:val="0"/>
      <w:divBdr>
        <w:top w:val="none" w:sz="0" w:space="0" w:color="auto"/>
        <w:left w:val="none" w:sz="0" w:space="0" w:color="auto"/>
        <w:bottom w:val="none" w:sz="0" w:space="0" w:color="auto"/>
        <w:right w:val="none" w:sz="0" w:space="0" w:color="auto"/>
      </w:divBdr>
    </w:div>
    <w:div w:id="1021323999">
      <w:bodyDiv w:val="1"/>
      <w:marLeft w:val="0"/>
      <w:marRight w:val="0"/>
      <w:marTop w:val="0"/>
      <w:marBottom w:val="0"/>
      <w:divBdr>
        <w:top w:val="none" w:sz="0" w:space="0" w:color="auto"/>
        <w:left w:val="none" w:sz="0" w:space="0" w:color="auto"/>
        <w:bottom w:val="none" w:sz="0" w:space="0" w:color="auto"/>
        <w:right w:val="none" w:sz="0" w:space="0" w:color="auto"/>
      </w:divBdr>
    </w:div>
    <w:div w:id="1022781410">
      <w:bodyDiv w:val="1"/>
      <w:marLeft w:val="0"/>
      <w:marRight w:val="0"/>
      <w:marTop w:val="0"/>
      <w:marBottom w:val="0"/>
      <w:divBdr>
        <w:top w:val="none" w:sz="0" w:space="0" w:color="auto"/>
        <w:left w:val="none" w:sz="0" w:space="0" w:color="auto"/>
        <w:bottom w:val="none" w:sz="0" w:space="0" w:color="auto"/>
        <w:right w:val="none" w:sz="0" w:space="0" w:color="auto"/>
      </w:divBdr>
    </w:div>
    <w:div w:id="1029187807">
      <w:bodyDiv w:val="1"/>
      <w:marLeft w:val="0"/>
      <w:marRight w:val="0"/>
      <w:marTop w:val="0"/>
      <w:marBottom w:val="0"/>
      <w:divBdr>
        <w:top w:val="none" w:sz="0" w:space="0" w:color="auto"/>
        <w:left w:val="none" w:sz="0" w:space="0" w:color="auto"/>
        <w:bottom w:val="none" w:sz="0" w:space="0" w:color="auto"/>
        <w:right w:val="none" w:sz="0" w:space="0" w:color="auto"/>
      </w:divBdr>
    </w:div>
    <w:div w:id="1033001762">
      <w:bodyDiv w:val="1"/>
      <w:marLeft w:val="0"/>
      <w:marRight w:val="0"/>
      <w:marTop w:val="0"/>
      <w:marBottom w:val="0"/>
      <w:divBdr>
        <w:top w:val="none" w:sz="0" w:space="0" w:color="auto"/>
        <w:left w:val="none" w:sz="0" w:space="0" w:color="auto"/>
        <w:bottom w:val="none" w:sz="0" w:space="0" w:color="auto"/>
        <w:right w:val="none" w:sz="0" w:space="0" w:color="auto"/>
      </w:divBdr>
    </w:div>
    <w:div w:id="1036083803">
      <w:bodyDiv w:val="1"/>
      <w:marLeft w:val="0"/>
      <w:marRight w:val="0"/>
      <w:marTop w:val="0"/>
      <w:marBottom w:val="0"/>
      <w:divBdr>
        <w:top w:val="none" w:sz="0" w:space="0" w:color="auto"/>
        <w:left w:val="none" w:sz="0" w:space="0" w:color="auto"/>
        <w:bottom w:val="none" w:sz="0" w:space="0" w:color="auto"/>
        <w:right w:val="none" w:sz="0" w:space="0" w:color="auto"/>
      </w:divBdr>
    </w:div>
    <w:div w:id="1041713565">
      <w:bodyDiv w:val="1"/>
      <w:marLeft w:val="0"/>
      <w:marRight w:val="0"/>
      <w:marTop w:val="0"/>
      <w:marBottom w:val="0"/>
      <w:divBdr>
        <w:top w:val="none" w:sz="0" w:space="0" w:color="auto"/>
        <w:left w:val="none" w:sz="0" w:space="0" w:color="auto"/>
        <w:bottom w:val="none" w:sz="0" w:space="0" w:color="auto"/>
        <w:right w:val="none" w:sz="0" w:space="0" w:color="auto"/>
      </w:divBdr>
    </w:div>
    <w:div w:id="1056660215">
      <w:bodyDiv w:val="1"/>
      <w:marLeft w:val="0"/>
      <w:marRight w:val="0"/>
      <w:marTop w:val="0"/>
      <w:marBottom w:val="0"/>
      <w:divBdr>
        <w:top w:val="none" w:sz="0" w:space="0" w:color="auto"/>
        <w:left w:val="none" w:sz="0" w:space="0" w:color="auto"/>
        <w:bottom w:val="none" w:sz="0" w:space="0" w:color="auto"/>
        <w:right w:val="none" w:sz="0" w:space="0" w:color="auto"/>
      </w:divBdr>
    </w:div>
    <w:div w:id="1148017932">
      <w:bodyDiv w:val="1"/>
      <w:marLeft w:val="0"/>
      <w:marRight w:val="0"/>
      <w:marTop w:val="0"/>
      <w:marBottom w:val="0"/>
      <w:divBdr>
        <w:top w:val="none" w:sz="0" w:space="0" w:color="auto"/>
        <w:left w:val="none" w:sz="0" w:space="0" w:color="auto"/>
        <w:bottom w:val="none" w:sz="0" w:space="0" w:color="auto"/>
        <w:right w:val="none" w:sz="0" w:space="0" w:color="auto"/>
      </w:divBdr>
    </w:div>
    <w:div w:id="1148933316">
      <w:bodyDiv w:val="1"/>
      <w:marLeft w:val="0"/>
      <w:marRight w:val="0"/>
      <w:marTop w:val="0"/>
      <w:marBottom w:val="0"/>
      <w:divBdr>
        <w:top w:val="none" w:sz="0" w:space="0" w:color="auto"/>
        <w:left w:val="none" w:sz="0" w:space="0" w:color="auto"/>
        <w:bottom w:val="none" w:sz="0" w:space="0" w:color="auto"/>
        <w:right w:val="none" w:sz="0" w:space="0" w:color="auto"/>
      </w:divBdr>
      <w:divsChild>
        <w:div w:id="1815025173">
          <w:marLeft w:val="300"/>
          <w:marRight w:val="0"/>
          <w:marTop w:val="0"/>
          <w:marBottom w:val="300"/>
          <w:divBdr>
            <w:top w:val="none" w:sz="0" w:space="0" w:color="auto"/>
            <w:left w:val="none" w:sz="0" w:space="0" w:color="auto"/>
            <w:bottom w:val="none" w:sz="0" w:space="0" w:color="auto"/>
            <w:right w:val="none" w:sz="0" w:space="0" w:color="auto"/>
          </w:divBdr>
        </w:div>
        <w:div w:id="558787800">
          <w:marLeft w:val="0"/>
          <w:marRight w:val="0"/>
          <w:marTop w:val="0"/>
          <w:marBottom w:val="0"/>
          <w:divBdr>
            <w:top w:val="none" w:sz="0" w:space="0" w:color="auto"/>
            <w:left w:val="none" w:sz="0" w:space="0" w:color="auto"/>
            <w:bottom w:val="none" w:sz="0" w:space="0" w:color="auto"/>
            <w:right w:val="none" w:sz="0" w:space="0" w:color="auto"/>
          </w:divBdr>
          <w:divsChild>
            <w:div w:id="82798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562457">
      <w:bodyDiv w:val="1"/>
      <w:marLeft w:val="0"/>
      <w:marRight w:val="0"/>
      <w:marTop w:val="0"/>
      <w:marBottom w:val="0"/>
      <w:divBdr>
        <w:top w:val="none" w:sz="0" w:space="0" w:color="auto"/>
        <w:left w:val="none" w:sz="0" w:space="0" w:color="auto"/>
        <w:bottom w:val="none" w:sz="0" w:space="0" w:color="auto"/>
        <w:right w:val="none" w:sz="0" w:space="0" w:color="auto"/>
      </w:divBdr>
    </w:div>
    <w:div w:id="1165710794">
      <w:bodyDiv w:val="1"/>
      <w:marLeft w:val="0"/>
      <w:marRight w:val="0"/>
      <w:marTop w:val="0"/>
      <w:marBottom w:val="0"/>
      <w:divBdr>
        <w:top w:val="none" w:sz="0" w:space="0" w:color="auto"/>
        <w:left w:val="none" w:sz="0" w:space="0" w:color="auto"/>
        <w:bottom w:val="none" w:sz="0" w:space="0" w:color="auto"/>
        <w:right w:val="none" w:sz="0" w:space="0" w:color="auto"/>
      </w:divBdr>
    </w:div>
    <w:div w:id="1183208981">
      <w:bodyDiv w:val="1"/>
      <w:marLeft w:val="0"/>
      <w:marRight w:val="0"/>
      <w:marTop w:val="0"/>
      <w:marBottom w:val="0"/>
      <w:divBdr>
        <w:top w:val="none" w:sz="0" w:space="0" w:color="auto"/>
        <w:left w:val="none" w:sz="0" w:space="0" w:color="auto"/>
        <w:bottom w:val="none" w:sz="0" w:space="0" w:color="auto"/>
        <w:right w:val="none" w:sz="0" w:space="0" w:color="auto"/>
      </w:divBdr>
    </w:div>
    <w:div w:id="1183974381">
      <w:bodyDiv w:val="1"/>
      <w:marLeft w:val="0"/>
      <w:marRight w:val="0"/>
      <w:marTop w:val="0"/>
      <w:marBottom w:val="0"/>
      <w:divBdr>
        <w:top w:val="none" w:sz="0" w:space="0" w:color="auto"/>
        <w:left w:val="none" w:sz="0" w:space="0" w:color="auto"/>
        <w:bottom w:val="none" w:sz="0" w:space="0" w:color="auto"/>
        <w:right w:val="none" w:sz="0" w:space="0" w:color="auto"/>
      </w:divBdr>
    </w:div>
    <w:div w:id="1215196389">
      <w:bodyDiv w:val="1"/>
      <w:marLeft w:val="0"/>
      <w:marRight w:val="0"/>
      <w:marTop w:val="0"/>
      <w:marBottom w:val="0"/>
      <w:divBdr>
        <w:top w:val="none" w:sz="0" w:space="0" w:color="auto"/>
        <w:left w:val="none" w:sz="0" w:space="0" w:color="auto"/>
        <w:bottom w:val="none" w:sz="0" w:space="0" w:color="auto"/>
        <w:right w:val="none" w:sz="0" w:space="0" w:color="auto"/>
      </w:divBdr>
    </w:div>
    <w:div w:id="1233387650">
      <w:bodyDiv w:val="1"/>
      <w:marLeft w:val="0"/>
      <w:marRight w:val="0"/>
      <w:marTop w:val="0"/>
      <w:marBottom w:val="0"/>
      <w:divBdr>
        <w:top w:val="none" w:sz="0" w:space="0" w:color="auto"/>
        <w:left w:val="none" w:sz="0" w:space="0" w:color="auto"/>
        <w:bottom w:val="none" w:sz="0" w:space="0" w:color="auto"/>
        <w:right w:val="none" w:sz="0" w:space="0" w:color="auto"/>
      </w:divBdr>
    </w:div>
    <w:div w:id="1266426843">
      <w:bodyDiv w:val="1"/>
      <w:marLeft w:val="0"/>
      <w:marRight w:val="0"/>
      <w:marTop w:val="0"/>
      <w:marBottom w:val="0"/>
      <w:divBdr>
        <w:top w:val="none" w:sz="0" w:space="0" w:color="auto"/>
        <w:left w:val="none" w:sz="0" w:space="0" w:color="auto"/>
        <w:bottom w:val="none" w:sz="0" w:space="0" w:color="auto"/>
        <w:right w:val="none" w:sz="0" w:space="0" w:color="auto"/>
      </w:divBdr>
    </w:div>
    <w:div w:id="1280643942">
      <w:bodyDiv w:val="1"/>
      <w:marLeft w:val="0"/>
      <w:marRight w:val="0"/>
      <w:marTop w:val="0"/>
      <w:marBottom w:val="0"/>
      <w:divBdr>
        <w:top w:val="none" w:sz="0" w:space="0" w:color="auto"/>
        <w:left w:val="none" w:sz="0" w:space="0" w:color="auto"/>
        <w:bottom w:val="none" w:sz="0" w:space="0" w:color="auto"/>
        <w:right w:val="none" w:sz="0" w:space="0" w:color="auto"/>
      </w:divBdr>
    </w:div>
    <w:div w:id="1287347142">
      <w:bodyDiv w:val="1"/>
      <w:marLeft w:val="0"/>
      <w:marRight w:val="0"/>
      <w:marTop w:val="0"/>
      <w:marBottom w:val="0"/>
      <w:divBdr>
        <w:top w:val="none" w:sz="0" w:space="0" w:color="auto"/>
        <w:left w:val="none" w:sz="0" w:space="0" w:color="auto"/>
        <w:bottom w:val="none" w:sz="0" w:space="0" w:color="auto"/>
        <w:right w:val="none" w:sz="0" w:space="0" w:color="auto"/>
      </w:divBdr>
    </w:div>
    <w:div w:id="1299190667">
      <w:bodyDiv w:val="1"/>
      <w:marLeft w:val="0"/>
      <w:marRight w:val="0"/>
      <w:marTop w:val="0"/>
      <w:marBottom w:val="0"/>
      <w:divBdr>
        <w:top w:val="none" w:sz="0" w:space="0" w:color="auto"/>
        <w:left w:val="none" w:sz="0" w:space="0" w:color="auto"/>
        <w:bottom w:val="none" w:sz="0" w:space="0" w:color="auto"/>
        <w:right w:val="none" w:sz="0" w:space="0" w:color="auto"/>
      </w:divBdr>
    </w:div>
    <w:div w:id="1311209478">
      <w:bodyDiv w:val="1"/>
      <w:marLeft w:val="0"/>
      <w:marRight w:val="0"/>
      <w:marTop w:val="0"/>
      <w:marBottom w:val="0"/>
      <w:divBdr>
        <w:top w:val="none" w:sz="0" w:space="0" w:color="auto"/>
        <w:left w:val="none" w:sz="0" w:space="0" w:color="auto"/>
        <w:bottom w:val="none" w:sz="0" w:space="0" w:color="auto"/>
        <w:right w:val="none" w:sz="0" w:space="0" w:color="auto"/>
      </w:divBdr>
    </w:div>
    <w:div w:id="1374379466">
      <w:bodyDiv w:val="1"/>
      <w:marLeft w:val="0"/>
      <w:marRight w:val="0"/>
      <w:marTop w:val="0"/>
      <w:marBottom w:val="0"/>
      <w:divBdr>
        <w:top w:val="none" w:sz="0" w:space="0" w:color="auto"/>
        <w:left w:val="none" w:sz="0" w:space="0" w:color="auto"/>
        <w:bottom w:val="none" w:sz="0" w:space="0" w:color="auto"/>
        <w:right w:val="none" w:sz="0" w:space="0" w:color="auto"/>
      </w:divBdr>
    </w:div>
    <w:div w:id="1388339637">
      <w:bodyDiv w:val="1"/>
      <w:marLeft w:val="0"/>
      <w:marRight w:val="0"/>
      <w:marTop w:val="0"/>
      <w:marBottom w:val="0"/>
      <w:divBdr>
        <w:top w:val="none" w:sz="0" w:space="0" w:color="auto"/>
        <w:left w:val="none" w:sz="0" w:space="0" w:color="auto"/>
        <w:bottom w:val="none" w:sz="0" w:space="0" w:color="auto"/>
        <w:right w:val="none" w:sz="0" w:space="0" w:color="auto"/>
      </w:divBdr>
    </w:div>
    <w:div w:id="1394355606">
      <w:bodyDiv w:val="1"/>
      <w:marLeft w:val="0"/>
      <w:marRight w:val="0"/>
      <w:marTop w:val="0"/>
      <w:marBottom w:val="0"/>
      <w:divBdr>
        <w:top w:val="none" w:sz="0" w:space="0" w:color="auto"/>
        <w:left w:val="none" w:sz="0" w:space="0" w:color="auto"/>
        <w:bottom w:val="none" w:sz="0" w:space="0" w:color="auto"/>
        <w:right w:val="none" w:sz="0" w:space="0" w:color="auto"/>
      </w:divBdr>
    </w:div>
    <w:div w:id="1416317809">
      <w:bodyDiv w:val="1"/>
      <w:marLeft w:val="0"/>
      <w:marRight w:val="0"/>
      <w:marTop w:val="0"/>
      <w:marBottom w:val="0"/>
      <w:divBdr>
        <w:top w:val="none" w:sz="0" w:space="0" w:color="auto"/>
        <w:left w:val="none" w:sz="0" w:space="0" w:color="auto"/>
        <w:bottom w:val="none" w:sz="0" w:space="0" w:color="auto"/>
        <w:right w:val="none" w:sz="0" w:space="0" w:color="auto"/>
      </w:divBdr>
    </w:div>
    <w:div w:id="1457136521">
      <w:bodyDiv w:val="1"/>
      <w:marLeft w:val="0"/>
      <w:marRight w:val="0"/>
      <w:marTop w:val="0"/>
      <w:marBottom w:val="0"/>
      <w:divBdr>
        <w:top w:val="none" w:sz="0" w:space="0" w:color="auto"/>
        <w:left w:val="none" w:sz="0" w:space="0" w:color="auto"/>
        <w:bottom w:val="none" w:sz="0" w:space="0" w:color="auto"/>
        <w:right w:val="none" w:sz="0" w:space="0" w:color="auto"/>
      </w:divBdr>
    </w:div>
    <w:div w:id="1496219506">
      <w:bodyDiv w:val="1"/>
      <w:marLeft w:val="0"/>
      <w:marRight w:val="0"/>
      <w:marTop w:val="0"/>
      <w:marBottom w:val="0"/>
      <w:divBdr>
        <w:top w:val="none" w:sz="0" w:space="0" w:color="auto"/>
        <w:left w:val="none" w:sz="0" w:space="0" w:color="auto"/>
        <w:bottom w:val="none" w:sz="0" w:space="0" w:color="auto"/>
        <w:right w:val="none" w:sz="0" w:space="0" w:color="auto"/>
      </w:divBdr>
    </w:div>
    <w:div w:id="1510370248">
      <w:bodyDiv w:val="1"/>
      <w:marLeft w:val="0"/>
      <w:marRight w:val="0"/>
      <w:marTop w:val="0"/>
      <w:marBottom w:val="0"/>
      <w:divBdr>
        <w:top w:val="none" w:sz="0" w:space="0" w:color="auto"/>
        <w:left w:val="none" w:sz="0" w:space="0" w:color="auto"/>
        <w:bottom w:val="none" w:sz="0" w:space="0" w:color="auto"/>
        <w:right w:val="none" w:sz="0" w:space="0" w:color="auto"/>
      </w:divBdr>
    </w:div>
    <w:div w:id="1521090821">
      <w:bodyDiv w:val="1"/>
      <w:marLeft w:val="0"/>
      <w:marRight w:val="0"/>
      <w:marTop w:val="0"/>
      <w:marBottom w:val="0"/>
      <w:divBdr>
        <w:top w:val="none" w:sz="0" w:space="0" w:color="auto"/>
        <w:left w:val="none" w:sz="0" w:space="0" w:color="auto"/>
        <w:bottom w:val="none" w:sz="0" w:space="0" w:color="auto"/>
        <w:right w:val="none" w:sz="0" w:space="0" w:color="auto"/>
      </w:divBdr>
    </w:div>
    <w:div w:id="1525710307">
      <w:bodyDiv w:val="1"/>
      <w:marLeft w:val="0"/>
      <w:marRight w:val="0"/>
      <w:marTop w:val="0"/>
      <w:marBottom w:val="0"/>
      <w:divBdr>
        <w:top w:val="none" w:sz="0" w:space="0" w:color="auto"/>
        <w:left w:val="none" w:sz="0" w:space="0" w:color="auto"/>
        <w:bottom w:val="none" w:sz="0" w:space="0" w:color="auto"/>
        <w:right w:val="none" w:sz="0" w:space="0" w:color="auto"/>
      </w:divBdr>
    </w:div>
    <w:div w:id="1543400898">
      <w:bodyDiv w:val="1"/>
      <w:marLeft w:val="0"/>
      <w:marRight w:val="0"/>
      <w:marTop w:val="0"/>
      <w:marBottom w:val="0"/>
      <w:divBdr>
        <w:top w:val="none" w:sz="0" w:space="0" w:color="auto"/>
        <w:left w:val="none" w:sz="0" w:space="0" w:color="auto"/>
        <w:bottom w:val="none" w:sz="0" w:space="0" w:color="auto"/>
        <w:right w:val="none" w:sz="0" w:space="0" w:color="auto"/>
      </w:divBdr>
    </w:div>
    <w:div w:id="1556815174">
      <w:bodyDiv w:val="1"/>
      <w:marLeft w:val="0"/>
      <w:marRight w:val="0"/>
      <w:marTop w:val="0"/>
      <w:marBottom w:val="0"/>
      <w:divBdr>
        <w:top w:val="none" w:sz="0" w:space="0" w:color="auto"/>
        <w:left w:val="none" w:sz="0" w:space="0" w:color="auto"/>
        <w:bottom w:val="none" w:sz="0" w:space="0" w:color="auto"/>
        <w:right w:val="none" w:sz="0" w:space="0" w:color="auto"/>
      </w:divBdr>
      <w:divsChild>
        <w:div w:id="618998265">
          <w:marLeft w:val="300"/>
          <w:marRight w:val="0"/>
          <w:marTop w:val="0"/>
          <w:marBottom w:val="300"/>
          <w:divBdr>
            <w:top w:val="none" w:sz="0" w:space="0" w:color="auto"/>
            <w:left w:val="none" w:sz="0" w:space="0" w:color="auto"/>
            <w:bottom w:val="none" w:sz="0" w:space="0" w:color="auto"/>
            <w:right w:val="none" w:sz="0" w:space="0" w:color="auto"/>
          </w:divBdr>
        </w:div>
        <w:div w:id="1677342199">
          <w:marLeft w:val="0"/>
          <w:marRight w:val="0"/>
          <w:marTop w:val="0"/>
          <w:marBottom w:val="0"/>
          <w:divBdr>
            <w:top w:val="none" w:sz="0" w:space="0" w:color="auto"/>
            <w:left w:val="none" w:sz="0" w:space="0" w:color="auto"/>
            <w:bottom w:val="none" w:sz="0" w:space="0" w:color="auto"/>
            <w:right w:val="none" w:sz="0" w:space="0" w:color="auto"/>
          </w:divBdr>
          <w:divsChild>
            <w:div w:id="111236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8711">
      <w:bodyDiv w:val="1"/>
      <w:marLeft w:val="0"/>
      <w:marRight w:val="0"/>
      <w:marTop w:val="0"/>
      <w:marBottom w:val="0"/>
      <w:divBdr>
        <w:top w:val="none" w:sz="0" w:space="0" w:color="auto"/>
        <w:left w:val="none" w:sz="0" w:space="0" w:color="auto"/>
        <w:bottom w:val="none" w:sz="0" w:space="0" w:color="auto"/>
        <w:right w:val="none" w:sz="0" w:space="0" w:color="auto"/>
      </w:divBdr>
    </w:div>
    <w:div w:id="1679383732">
      <w:bodyDiv w:val="1"/>
      <w:marLeft w:val="0"/>
      <w:marRight w:val="0"/>
      <w:marTop w:val="0"/>
      <w:marBottom w:val="0"/>
      <w:divBdr>
        <w:top w:val="none" w:sz="0" w:space="0" w:color="auto"/>
        <w:left w:val="none" w:sz="0" w:space="0" w:color="auto"/>
        <w:bottom w:val="none" w:sz="0" w:space="0" w:color="auto"/>
        <w:right w:val="none" w:sz="0" w:space="0" w:color="auto"/>
      </w:divBdr>
    </w:div>
    <w:div w:id="1682049151">
      <w:bodyDiv w:val="1"/>
      <w:marLeft w:val="0"/>
      <w:marRight w:val="0"/>
      <w:marTop w:val="0"/>
      <w:marBottom w:val="0"/>
      <w:divBdr>
        <w:top w:val="none" w:sz="0" w:space="0" w:color="auto"/>
        <w:left w:val="none" w:sz="0" w:space="0" w:color="auto"/>
        <w:bottom w:val="none" w:sz="0" w:space="0" w:color="auto"/>
        <w:right w:val="none" w:sz="0" w:space="0" w:color="auto"/>
      </w:divBdr>
    </w:div>
    <w:div w:id="1689943817">
      <w:bodyDiv w:val="1"/>
      <w:marLeft w:val="0"/>
      <w:marRight w:val="0"/>
      <w:marTop w:val="0"/>
      <w:marBottom w:val="0"/>
      <w:divBdr>
        <w:top w:val="none" w:sz="0" w:space="0" w:color="auto"/>
        <w:left w:val="none" w:sz="0" w:space="0" w:color="auto"/>
        <w:bottom w:val="none" w:sz="0" w:space="0" w:color="auto"/>
        <w:right w:val="none" w:sz="0" w:space="0" w:color="auto"/>
      </w:divBdr>
    </w:div>
    <w:div w:id="1747612619">
      <w:bodyDiv w:val="1"/>
      <w:marLeft w:val="0"/>
      <w:marRight w:val="0"/>
      <w:marTop w:val="0"/>
      <w:marBottom w:val="0"/>
      <w:divBdr>
        <w:top w:val="none" w:sz="0" w:space="0" w:color="auto"/>
        <w:left w:val="none" w:sz="0" w:space="0" w:color="auto"/>
        <w:bottom w:val="none" w:sz="0" w:space="0" w:color="auto"/>
        <w:right w:val="none" w:sz="0" w:space="0" w:color="auto"/>
      </w:divBdr>
    </w:div>
    <w:div w:id="1798334500">
      <w:bodyDiv w:val="1"/>
      <w:marLeft w:val="0"/>
      <w:marRight w:val="0"/>
      <w:marTop w:val="0"/>
      <w:marBottom w:val="0"/>
      <w:divBdr>
        <w:top w:val="none" w:sz="0" w:space="0" w:color="auto"/>
        <w:left w:val="none" w:sz="0" w:space="0" w:color="auto"/>
        <w:bottom w:val="none" w:sz="0" w:space="0" w:color="auto"/>
        <w:right w:val="none" w:sz="0" w:space="0" w:color="auto"/>
      </w:divBdr>
    </w:div>
    <w:div w:id="1853686009">
      <w:bodyDiv w:val="1"/>
      <w:marLeft w:val="0"/>
      <w:marRight w:val="0"/>
      <w:marTop w:val="0"/>
      <w:marBottom w:val="0"/>
      <w:divBdr>
        <w:top w:val="none" w:sz="0" w:space="0" w:color="auto"/>
        <w:left w:val="none" w:sz="0" w:space="0" w:color="auto"/>
        <w:bottom w:val="none" w:sz="0" w:space="0" w:color="auto"/>
        <w:right w:val="none" w:sz="0" w:space="0" w:color="auto"/>
      </w:divBdr>
    </w:div>
    <w:div w:id="1855849434">
      <w:bodyDiv w:val="1"/>
      <w:marLeft w:val="0"/>
      <w:marRight w:val="0"/>
      <w:marTop w:val="0"/>
      <w:marBottom w:val="0"/>
      <w:divBdr>
        <w:top w:val="none" w:sz="0" w:space="0" w:color="auto"/>
        <w:left w:val="none" w:sz="0" w:space="0" w:color="auto"/>
        <w:bottom w:val="none" w:sz="0" w:space="0" w:color="auto"/>
        <w:right w:val="none" w:sz="0" w:space="0" w:color="auto"/>
      </w:divBdr>
    </w:div>
    <w:div w:id="1888446240">
      <w:bodyDiv w:val="1"/>
      <w:marLeft w:val="0"/>
      <w:marRight w:val="0"/>
      <w:marTop w:val="0"/>
      <w:marBottom w:val="0"/>
      <w:divBdr>
        <w:top w:val="none" w:sz="0" w:space="0" w:color="auto"/>
        <w:left w:val="none" w:sz="0" w:space="0" w:color="auto"/>
        <w:bottom w:val="none" w:sz="0" w:space="0" w:color="auto"/>
        <w:right w:val="none" w:sz="0" w:space="0" w:color="auto"/>
      </w:divBdr>
    </w:div>
    <w:div w:id="1895385452">
      <w:bodyDiv w:val="1"/>
      <w:marLeft w:val="0"/>
      <w:marRight w:val="0"/>
      <w:marTop w:val="0"/>
      <w:marBottom w:val="0"/>
      <w:divBdr>
        <w:top w:val="none" w:sz="0" w:space="0" w:color="auto"/>
        <w:left w:val="none" w:sz="0" w:space="0" w:color="auto"/>
        <w:bottom w:val="none" w:sz="0" w:space="0" w:color="auto"/>
        <w:right w:val="none" w:sz="0" w:space="0" w:color="auto"/>
      </w:divBdr>
    </w:div>
    <w:div w:id="1928149589">
      <w:bodyDiv w:val="1"/>
      <w:marLeft w:val="0"/>
      <w:marRight w:val="0"/>
      <w:marTop w:val="0"/>
      <w:marBottom w:val="0"/>
      <w:divBdr>
        <w:top w:val="none" w:sz="0" w:space="0" w:color="auto"/>
        <w:left w:val="none" w:sz="0" w:space="0" w:color="auto"/>
        <w:bottom w:val="none" w:sz="0" w:space="0" w:color="auto"/>
        <w:right w:val="none" w:sz="0" w:space="0" w:color="auto"/>
      </w:divBdr>
    </w:div>
    <w:div w:id="1965383916">
      <w:bodyDiv w:val="1"/>
      <w:marLeft w:val="0"/>
      <w:marRight w:val="0"/>
      <w:marTop w:val="0"/>
      <w:marBottom w:val="0"/>
      <w:divBdr>
        <w:top w:val="none" w:sz="0" w:space="0" w:color="auto"/>
        <w:left w:val="none" w:sz="0" w:space="0" w:color="auto"/>
        <w:bottom w:val="none" w:sz="0" w:space="0" w:color="auto"/>
        <w:right w:val="none" w:sz="0" w:space="0" w:color="auto"/>
      </w:divBdr>
    </w:div>
    <w:div w:id="1991396870">
      <w:bodyDiv w:val="1"/>
      <w:marLeft w:val="0"/>
      <w:marRight w:val="0"/>
      <w:marTop w:val="0"/>
      <w:marBottom w:val="0"/>
      <w:divBdr>
        <w:top w:val="none" w:sz="0" w:space="0" w:color="auto"/>
        <w:left w:val="none" w:sz="0" w:space="0" w:color="auto"/>
        <w:bottom w:val="none" w:sz="0" w:space="0" w:color="auto"/>
        <w:right w:val="none" w:sz="0" w:space="0" w:color="auto"/>
      </w:divBdr>
    </w:div>
    <w:div w:id="202181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techopen.com/chapters/59744" TargetMode="External"/><Relationship Id="rId18" Type="http://schemas.openxmlformats.org/officeDocument/2006/relationships/hyperlink" Target="https://doi.org/10.3389/fpsyg.2017.00522" TargetMode="External"/><Relationship Id="rId26" Type="http://schemas.openxmlformats.org/officeDocument/2006/relationships/hyperlink" Target="https://doi.org/10.1371/journal.pmed.1003602" TargetMode="External"/><Relationship Id="rId39" Type="http://schemas.openxmlformats.org/officeDocument/2006/relationships/hyperlink" Target="https://doi.org/10.1007/s00429-020-02115-5" TargetMode="External"/><Relationship Id="rId3" Type="http://schemas.openxmlformats.org/officeDocument/2006/relationships/settings" Target="settings.xml"/><Relationship Id="rId21" Type="http://schemas.openxmlformats.org/officeDocument/2006/relationships/hyperlink" Target="https://doi.org/10.1177/0956797615574699" TargetMode="External"/><Relationship Id="rId34" Type="http://schemas.openxmlformats.org/officeDocument/2006/relationships/hyperlink" Target="https://www.naeyc.org/our-work/families/support-language-development-infants-and-toddlers" TargetMode="External"/><Relationship Id="rId42" Type="http://schemas.openxmlformats.org/officeDocument/2006/relationships/hyperlink" Target="https://doi.org/10.1111/joa.13542" TargetMode="External"/><Relationship Id="rId47" Type="http://schemas.openxmlformats.org/officeDocument/2006/relationships/hyperlink" Target="https://doi.org/10.3389/fpsyg.2022.1016777" TargetMode="External"/><Relationship Id="rId7" Type="http://schemas.openxmlformats.org/officeDocument/2006/relationships/hyperlink" Target="https://www.bell-foundation.org.uk/resources/great-ideas/scaffolding/" TargetMode="External"/><Relationship Id="rId12" Type="http://schemas.openxmlformats.org/officeDocument/2006/relationships/hyperlink" Target="https://www.verywellmind.com/what-is-sociocultural-theory-2795088" TargetMode="External"/><Relationship Id="rId17" Type="http://schemas.openxmlformats.org/officeDocument/2006/relationships/hyperlink" Target="https://doi.org/10.4324/9780367824479" TargetMode="External"/><Relationship Id="rId25" Type="http://schemas.openxmlformats.org/officeDocument/2006/relationships/hyperlink" Target="https://uk.indeed.com/career-advice/career-development/what-is-divergent-thinking" TargetMode="External"/><Relationship Id="rId33" Type="http://schemas.openxmlformats.org/officeDocument/2006/relationships/hyperlink" Target="http://multilingual-families.com/5-stages-of-additional-language-acquisition/" TargetMode="External"/><Relationship Id="rId38" Type="http://schemas.openxmlformats.org/officeDocument/2006/relationships/hyperlink" Target="https://www.simplypsychology.org/Zone-of-Proximal-Development.html" TargetMode="External"/><Relationship Id="rId46" Type="http://schemas.openxmlformats.org/officeDocument/2006/relationships/hyperlink" Target="https://doi.org/10.7759/cureus.69833" TargetMode="External"/><Relationship Id="rId2" Type="http://schemas.openxmlformats.org/officeDocument/2006/relationships/styles" Target="styles.xml"/><Relationship Id="rId16" Type="http://schemas.openxmlformats.org/officeDocument/2006/relationships/hyperlink" Target="https://doi.org/10.47941/ejl.2055" TargetMode="External"/><Relationship Id="rId20" Type="http://schemas.openxmlformats.org/officeDocument/2006/relationships/hyperlink" Target="http://ec.europa.eu/education/policies/lang/doc/multireport_en.pdf" TargetMode="External"/><Relationship Id="rId29" Type="http://schemas.openxmlformats.org/officeDocument/2006/relationships/hyperlink" Target="https://doi.org/10.1038/s41598-023-30326-3" TargetMode="External"/><Relationship Id="rId41" Type="http://schemas.openxmlformats.org/officeDocument/2006/relationships/hyperlink" Target="https://www.highspeedtraining.co.uk/hub/supporting-language-development-in-the-early-years/" TargetMode="External"/><Relationship Id="rId1" Type="http://schemas.openxmlformats.org/officeDocument/2006/relationships/numbering" Target="numbering.xml"/><Relationship Id="rId6" Type="http://schemas.openxmlformats.org/officeDocument/2006/relationships/hyperlink" Target="https://uowtsd-my.sharepoint.com/:v:/g/personal/2328612_student_uwtsd_ac_uk/EXlsjNFyAdtGto4IpTnutqQBo2rifYEhzw_WMmSfdLBQAg?nav=eyJyZWZlcnJhbEluZm8iOnsicmVmZXJyYWxBcHAiOiJPbmVEcml2ZUZvckJ1c2luZXNzIiwicmVmZXJyYWxBcHBQbGF0Zm9ybSI6IldlYiIsInJlZmVycmFsTW9kZSI6InZpZXciLCJyZWZlcnJhbFZpZXciOiJNeUZpbGVzTGlua0NvcHkifX0&amp;e=weahLi" TargetMode="External"/><Relationship Id="rId11" Type="http://schemas.openxmlformats.org/officeDocument/2006/relationships/hyperlink" Target="https://www.verywellmind.com/wernickes-area-2796017" TargetMode="External"/><Relationship Id="rId24" Type="http://schemas.openxmlformats.org/officeDocument/2006/relationships/hyperlink" Target="https://doi.org/10.1186/s12993-019-0157-z" TargetMode="External"/><Relationship Id="rId32" Type="http://schemas.openxmlformats.org/officeDocument/2006/relationships/hyperlink" Target="https://core.ac.uk/download/pdf/268407604.pdf" TargetMode="External"/><Relationship Id="rId37" Type="http://schemas.openxmlformats.org/officeDocument/2006/relationships/hyperlink" Target="https://www.simplypsychology.org/bruner.html" TargetMode="External"/><Relationship Id="rId40" Type="http://schemas.openxmlformats.org/officeDocument/2006/relationships/hyperlink" Target="https://doi.org/10.23880/pprij-16000453" TargetMode="External"/><Relationship Id="rId45" Type="http://schemas.openxmlformats.org/officeDocument/2006/relationships/hyperlink" Target="https://www.thefrenchacademie.org/post/stages-of-second-language-acquisition" TargetMode="External"/><Relationship Id="rId5" Type="http://schemas.openxmlformats.org/officeDocument/2006/relationships/hyperlink" Target="https://uowtsd-my.sharepoint.com/:v:/g/personal/2328612_student_uwtsd_ac_uk/Ed-aZMu8WRFCiszg3YG2bzcBzZICX8HAyUsYdwCcHoBG0g?nav=eyJyZWZlcnJhbEluZm8iOnsicmVmZXJyYWxBcHAiOiJPbmVEcml2ZUZvckJ1c2luZXNzIiwicmVmZXJyYWxBcHBQbGF0Zm9ybSI6IldlYiIsInJlZmVycmFsTW9kZSI6InZpZXciLCJyZWZlcnJhbFZpZXciOiJNeUZpbGVzTGlua0NvcHkifX0&amp;e=gXW3QF" TargetMode="External"/><Relationship Id="rId15" Type="http://schemas.openxmlformats.org/officeDocument/2006/relationships/hyperlink" Target="https://doi.org/10.1038/nrn3709" TargetMode="External"/><Relationship Id="rId23" Type="http://schemas.openxmlformats.org/officeDocument/2006/relationships/hyperlink" Target="https://doi.org/10.13140/RG.2.2.33865.97122" TargetMode="External"/><Relationship Id="rId28" Type="http://schemas.openxmlformats.org/officeDocument/2006/relationships/hyperlink" Target="https://doi.org/10.1017/S1366728922000864" TargetMode="External"/><Relationship Id="rId36" Type="http://schemas.openxmlformats.org/officeDocument/2006/relationships/hyperlink" Target="https://pmc.ncbi.nlm.nih.gov/articles/PMC3583091/" TargetMode="External"/><Relationship Id="rId49" Type="http://schemas.openxmlformats.org/officeDocument/2006/relationships/theme" Target="theme/theme1.xml"/><Relationship Id="rId10" Type="http://schemas.openxmlformats.org/officeDocument/2006/relationships/hyperlink" Target="https://doi.org/10.3389/fpsyg.2019.02122" TargetMode="External"/><Relationship Id="rId19" Type="http://schemas.openxmlformats.org/officeDocument/2006/relationships/hyperlink" Target="https://www.ealhub.co.uk/lorem-ipsum-dolor-sit-amet/" TargetMode="External"/><Relationship Id="rId31" Type="http://schemas.openxmlformats.org/officeDocument/2006/relationships/hyperlink" Target="https://doi.org/10.1016/j.cedpsych.2016.03.002" TargetMode="External"/><Relationship Id="rId44" Type="http://schemas.openxmlformats.org/officeDocument/2006/relationships/hyperlink" Target="https://www.interaction-design.org/literature/topics/lateral-thinking?srsltid=AfmBOorBbn-GElrKJD_b8S59zf5NAcID21cX5ePomzYSy0OeI6KV4nQw" TargetMode="External"/><Relationship Id="rId4" Type="http://schemas.openxmlformats.org/officeDocument/2006/relationships/webSettings" Target="webSettings.xml"/><Relationship Id="rId9" Type="http://schemas.openxmlformats.org/officeDocument/2006/relationships/hyperlink" Target="https://doi.org/10.1017/s026719051300007x" TargetMode="External"/><Relationship Id="rId14" Type="http://schemas.openxmlformats.org/officeDocument/2006/relationships/hyperlink" Target="https://doi.org/10.1075/sibil.67.01chu" TargetMode="External"/><Relationship Id="rId22" Type="http://schemas.openxmlformats.org/officeDocument/2006/relationships/hyperlink" Target="https://doi.org/10.3389/fpsyg.2023.1202819" TargetMode="External"/><Relationship Id="rId27" Type="http://schemas.openxmlformats.org/officeDocument/2006/relationships/hyperlink" Target="https://doi.org/10.1017/S1366728922000864" TargetMode="External"/><Relationship Id="rId30" Type="http://schemas.openxmlformats.org/officeDocument/2006/relationships/hyperlink" Target="https://doi.org/10.1016/j.bandl.2015.07.004" TargetMode="External"/><Relationship Id="rId35" Type="http://schemas.openxmlformats.org/officeDocument/2006/relationships/hyperlink" Target="https://doi.org/10.20489/intjecse.584468" TargetMode="External"/><Relationship Id="rId43" Type="http://schemas.openxmlformats.org/officeDocument/2006/relationships/hyperlink" Target="https://www.cypcs.org.uk/rights/uncrc/articles/article-30/" TargetMode="External"/><Relationship Id="rId48" Type="http://schemas.openxmlformats.org/officeDocument/2006/relationships/fontTable" Target="fontTable.xml"/><Relationship Id="rId8" Type="http://schemas.openxmlformats.org/officeDocument/2006/relationships/hyperlink" Target="https://doi.org/10.1037/bul00000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3994</Words>
  <Characters>22768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JAM19851372 (Sharmin Amin Jamil)</cp:lastModifiedBy>
  <cp:revision>2</cp:revision>
  <dcterms:created xsi:type="dcterms:W3CDTF">2025-03-24T20:17:00Z</dcterms:created>
  <dcterms:modified xsi:type="dcterms:W3CDTF">2025-03-24T20:17:00Z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01a57edd-dfee-41ee-8f41-34dfb76ff542</vt:lpwstr>
  </property>
</Properties>
</file>